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948926097"/>
        <w:docPartObj>
          <w:docPartGallery w:val="Cover Pages"/>
          <w:docPartUnique/>
        </w:docPartObj>
      </w:sdtPr>
      <w:sdtEndPr>
        <w:rPr>
          <w:rFonts w:ascii="Arial" w:eastAsiaTheme="minorHAnsi" w:hAnsi="Arial" w:cs="Arial"/>
          <w:color w:val="auto"/>
          <w:kern w:val="2"/>
          <w:sz w:val="24"/>
          <w:szCs w:val="24"/>
          <w:lang w:val="en-GB"/>
          <w14:ligatures w14:val="standardContextual"/>
        </w:rPr>
      </w:sdtEndPr>
      <w:sdtContent>
        <w:p w14:paraId="14859BDB" w14:textId="010624A7" w:rsidR="00C71755" w:rsidRDefault="00C71755">
          <w:pPr>
            <w:pStyle w:val="NoSpacing"/>
            <w:spacing w:before="1540" w:after="240"/>
            <w:jc w:val="center"/>
            <w:rPr>
              <w:color w:val="4472C4" w:themeColor="accent1"/>
            </w:rPr>
          </w:pPr>
          <w:r>
            <w:rPr>
              <w:noProof/>
              <w:color w:val="4472C4" w:themeColor="accent1"/>
            </w:rPr>
            <w:drawing>
              <wp:inline distT="0" distB="0" distL="0" distR="0" wp14:anchorId="51926631" wp14:editId="78673A6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0BB04ED4AA947A59A9FCA0DBA454F9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4B8DF46" w14:textId="1791C25C" w:rsidR="00C71755" w:rsidRDefault="00C7175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LCBB6002 International financial management - essay</w:t>
              </w:r>
            </w:p>
          </w:sdtContent>
        </w:sdt>
        <w:sdt>
          <w:sdtPr>
            <w:rPr>
              <w:color w:val="4472C4" w:themeColor="accent1"/>
              <w:sz w:val="28"/>
              <w:szCs w:val="28"/>
            </w:rPr>
            <w:alias w:val="Subtitle"/>
            <w:tag w:val=""/>
            <w:id w:val="328029620"/>
            <w:placeholder>
              <w:docPart w:val="C3E7CB5BD92945B18FEA560BEB5564A9"/>
            </w:placeholder>
            <w:dataBinding w:prefixMappings="xmlns:ns0='http://purl.org/dc/elements/1.1/' xmlns:ns1='http://schemas.openxmlformats.org/package/2006/metadata/core-properties' " w:xpath="/ns1:coreProperties[1]/ns0:subject[1]" w:storeItemID="{6C3C8BC8-F283-45AE-878A-BAB7291924A1}"/>
            <w:text/>
          </w:sdtPr>
          <w:sdtContent>
            <w:p w14:paraId="235A5B8B" w14:textId="5FA40034" w:rsidR="00C71755" w:rsidRDefault="00DB38DE">
              <w:pPr>
                <w:pStyle w:val="NoSpacing"/>
                <w:jc w:val="center"/>
                <w:rPr>
                  <w:color w:val="4472C4" w:themeColor="accent1"/>
                  <w:sz w:val="28"/>
                  <w:szCs w:val="28"/>
                </w:rPr>
              </w:pPr>
              <w:r w:rsidRPr="00DB38DE">
                <w:rPr>
                  <w:color w:val="4472C4" w:themeColor="accent1"/>
                  <w:sz w:val="28"/>
                  <w:szCs w:val="28"/>
                </w:rPr>
                <w:t>MODULE LEADER: Dr. Taye Timothy Osadiya</w:t>
              </w:r>
            </w:p>
          </w:sdtContent>
        </w:sdt>
        <w:p w14:paraId="5C76B88A" w14:textId="77777777" w:rsidR="00C71755" w:rsidRDefault="00C7175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B38114E" wp14:editId="20FCA44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177C716" w14:textId="2150C238" w:rsidR="00C71755" w:rsidRDefault="00C71755">
                                    <w:pPr>
                                      <w:pStyle w:val="NoSpacing"/>
                                      <w:spacing w:after="40"/>
                                      <w:jc w:val="center"/>
                                      <w:rPr>
                                        <w:caps/>
                                        <w:color w:val="4472C4" w:themeColor="accent1"/>
                                        <w:sz w:val="28"/>
                                        <w:szCs w:val="28"/>
                                      </w:rPr>
                                    </w:pPr>
                                    <w:r>
                                      <w:rPr>
                                        <w:caps/>
                                        <w:color w:val="4472C4" w:themeColor="accent1"/>
                                        <w:sz w:val="28"/>
                                        <w:szCs w:val="28"/>
                                      </w:rPr>
                                      <w:t>student name: nikolinka nedelcheva</w:t>
                                    </w:r>
                                  </w:p>
                                </w:sdtContent>
                              </w:sdt>
                              <w:p w14:paraId="457E1608" w14:textId="28E3F2E2" w:rsidR="00C71755" w:rsidRDefault="00C71755" w:rsidP="00C7175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ID:</w:t>
                                    </w:r>
                                  </w:sdtContent>
                                </w:sdt>
                                <w:r w:rsidR="00DB38DE">
                                  <w:rPr>
                                    <w:caps/>
                                    <w:color w:val="4472C4" w:themeColor="accent1"/>
                                  </w:rPr>
                                  <w:t xml:space="preserve"> </w:t>
                                </w:r>
                                <w:r w:rsidR="00DB38DE" w:rsidRPr="00DB38DE">
                                  <w:rPr>
                                    <w:caps/>
                                    <w:color w:val="4472C4" w:themeColor="accent1"/>
                                  </w:rPr>
                                  <w:t>2115610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B38114E"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177C716" w14:textId="2150C238" w:rsidR="00C71755" w:rsidRDefault="00C71755">
                              <w:pPr>
                                <w:pStyle w:val="NoSpacing"/>
                                <w:spacing w:after="40"/>
                                <w:jc w:val="center"/>
                                <w:rPr>
                                  <w:caps/>
                                  <w:color w:val="4472C4" w:themeColor="accent1"/>
                                  <w:sz w:val="28"/>
                                  <w:szCs w:val="28"/>
                                </w:rPr>
                              </w:pPr>
                              <w:r>
                                <w:rPr>
                                  <w:caps/>
                                  <w:color w:val="4472C4" w:themeColor="accent1"/>
                                  <w:sz w:val="28"/>
                                  <w:szCs w:val="28"/>
                                </w:rPr>
                                <w:t>student name: nikolinka nedelcheva</w:t>
                              </w:r>
                            </w:p>
                          </w:sdtContent>
                        </w:sdt>
                        <w:p w14:paraId="457E1608" w14:textId="28E3F2E2" w:rsidR="00C71755" w:rsidRDefault="00C71755" w:rsidP="00C7175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ID:</w:t>
                              </w:r>
                            </w:sdtContent>
                          </w:sdt>
                          <w:r w:rsidR="00DB38DE">
                            <w:rPr>
                              <w:caps/>
                              <w:color w:val="4472C4" w:themeColor="accent1"/>
                            </w:rPr>
                            <w:t xml:space="preserve"> </w:t>
                          </w:r>
                          <w:r w:rsidR="00DB38DE" w:rsidRPr="00DB38DE">
                            <w:rPr>
                              <w:caps/>
                              <w:color w:val="4472C4" w:themeColor="accent1"/>
                            </w:rPr>
                            <w:t>2115610</w:t>
                          </w:r>
                        </w:p>
                      </w:txbxContent>
                    </v:textbox>
                    <w10:wrap anchorx="margin" anchory="page"/>
                  </v:shape>
                </w:pict>
              </mc:Fallback>
            </mc:AlternateContent>
          </w:r>
          <w:r>
            <w:rPr>
              <w:noProof/>
              <w:color w:val="4472C4" w:themeColor="accent1"/>
            </w:rPr>
            <w:drawing>
              <wp:inline distT="0" distB="0" distL="0" distR="0" wp14:anchorId="1737AB9D" wp14:editId="4DBF5BC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6CB4E53" w14:textId="05578607" w:rsidR="00C71755" w:rsidRDefault="00C71755">
          <w:pPr>
            <w:rPr>
              <w:rFonts w:ascii="Arial" w:hAnsi="Arial" w:cs="Arial"/>
              <w:sz w:val="24"/>
              <w:szCs w:val="24"/>
            </w:rPr>
          </w:pPr>
          <w:r>
            <w:rPr>
              <w:rFonts w:ascii="Arial" w:hAnsi="Arial" w:cs="Arial"/>
              <w:sz w:val="24"/>
              <w:szCs w:val="24"/>
            </w:rPr>
            <w:br w:type="page"/>
          </w:r>
        </w:p>
      </w:sdtContent>
    </w:sdt>
    <w:p w14:paraId="294C4625" w14:textId="06626880" w:rsidR="00637E1B" w:rsidRPr="00637E1B" w:rsidRDefault="00637E1B" w:rsidP="00666B76">
      <w:pPr>
        <w:pStyle w:val="Heading1"/>
      </w:pPr>
      <w:r>
        <w:lastRenderedPageBreak/>
        <w:t>Introduction</w:t>
      </w:r>
    </w:p>
    <w:p w14:paraId="6E2BCA70" w14:textId="77777777" w:rsidR="00637E1B" w:rsidRPr="00637E1B" w:rsidRDefault="00637E1B" w:rsidP="00637E1B">
      <w:pPr>
        <w:rPr>
          <w:rFonts w:ascii="Arial" w:hAnsi="Arial" w:cs="Arial"/>
          <w:sz w:val="24"/>
          <w:szCs w:val="24"/>
        </w:rPr>
      </w:pPr>
      <w:r w:rsidRPr="00637E1B">
        <w:rPr>
          <w:rFonts w:ascii="Arial" w:hAnsi="Arial" w:cs="Arial"/>
          <w:sz w:val="24"/>
          <w:szCs w:val="24"/>
        </w:rPr>
        <w:t>There are a multitude of issues that multinational corporations (MNCs) face in the context of the dynamic and linked global economy. One of these challenges stands out as a substantial threat to the MNCs' financial stability, and that risk is foreign exchange risk (FX risk). Changes in exchange rates have the potential to have a significant influence on the profitability, operational efficiency, and overall business strategy of multinational corporations (MNCs). Multinational corporations (MNCs) adopt a variety of measures to reduce these risks, each of which is adapted to the specific circumstances, risk tolerance, and market conditions of the MNC.</w:t>
      </w:r>
    </w:p>
    <w:p w14:paraId="677CC94E" w14:textId="084FAD47" w:rsidR="00637E1B" w:rsidRPr="00637E1B" w:rsidRDefault="00637E1B" w:rsidP="00666B76">
      <w:pPr>
        <w:pStyle w:val="Heading1"/>
      </w:pPr>
      <w:r w:rsidRPr="00637E1B">
        <w:t>Main Body</w:t>
      </w:r>
    </w:p>
    <w:p w14:paraId="3943A415" w14:textId="77777777" w:rsidR="00637E1B" w:rsidRPr="00637E1B" w:rsidRDefault="00637E1B" w:rsidP="00666B76">
      <w:pPr>
        <w:pStyle w:val="Heading2"/>
      </w:pPr>
      <w:r w:rsidRPr="00637E1B">
        <w:t>The Strategies for the Management of Transaction Risk</w:t>
      </w:r>
    </w:p>
    <w:p w14:paraId="72FA7EEF" w14:textId="1493E9FA" w:rsidR="00637E1B" w:rsidRPr="00637E1B" w:rsidRDefault="00637E1B" w:rsidP="00637E1B">
      <w:pPr>
        <w:rPr>
          <w:rFonts w:ascii="Arial" w:hAnsi="Arial" w:cs="Arial"/>
          <w:sz w:val="24"/>
          <w:szCs w:val="24"/>
        </w:rPr>
      </w:pPr>
      <w:r w:rsidRPr="00637E1B">
        <w:rPr>
          <w:rFonts w:ascii="Arial" w:hAnsi="Arial" w:cs="Arial"/>
          <w:sz w:val="24"/>
          <w:szCs w:val="24"/>
        </w:rPr>
        <w:t xml:space="preserve">The timing variations that occur between the occurrence of expenses and the receipt of revenue in various currencies are the source of transaction risk on the market. </w:t>
      </w:r>
      <w:proofErr w:type="gramStart"/>
      <w:r w:rsidRPr="00637E1B">
        <w:rPr>
          <w:rFonts w:ascii="Arial" w:hAnsi="Arial" w:cs="Arial"/>
          <w:sz w:val="24"/>
          <w:szCs w:val="24"/>
        </w:rPr>
        <w:t>Due to the fact that</w:t>
      </w:r>
      <w:proofErr w:type="gramEnd"/>
      <w:r w:rsidRPr="00637E1B">
        <w:rPr>
          <w:rFonts w:ascii="Arial" w:hAnsi="Arial" w:cs="Arial"/>
          <w:sz w:val="24"/>
          <w:szCs w:val="24"/>
        </w:rPr>
        <w:t xml:space="preserve"> adverse exchange rate changes can either reduce profitability or raise costs, this risk can have a major impact on the financial performance of a multinational corporation (Fan and Stevenson, 2018). Multinational corporations (MNCs) utilise a variety of hedging measures, such as forward contracts, currency swaps, and options, </w:t>
      </w:r>
      <w:proofErr w:type="gramStart"/>
      <w:r w:rsidRPr="00637E1B">
        <w:rPr>
          <w:rFonts w:ascii="Arial" w:hAnsi="Arial" w:cs="Arial"/>
          <w:sz w:val="24"/>
          <w:szCs w:val="24"/>
        </w:rPr>
        <w:t>in order to</w:t>
      </w:r>
      <w:proofErr w:type="gramEnd"/>
      <w:r w:rsidRPr="00637E1B">
        <w:rPr>
          <w:rFonts w:ascii="Arial" w:hAnsi="Arial" w:cs="Arial"/>
          <w:sz w:val="24"/>
          <w:szCs w:val="24"/>
        </w:rPr>
        <w:t xml:space="preserve"> reduce the risk associated with transactions.</w:t>
      </w:r>
    </w:p>
    <w:p w14:paraId="729C980C" w14:textId="0847563A" w:rsidR="00637E1B" w:rsidRPr="00637E1B" w:rsidRDefault="00637E1B" w:rsidP="00637E1B">
      <w:pPr>
        <w:rPr>
          <w:rFonts w:ascii="Arial" w:hAnsi="Arial" w:cs="Arial"/>
          <w:sz w:val="24"/>
          <w:szCs w:val="24"/>
        </w:rPr>
      </w:pPr>
      <w:r w:rsidRPr="00637E1B">
        <w:rPr>
          <w:rFonts w:ascii="Arial" w:hAnsi="Arial" w:cs="Arial"/>
          <w:sz w:val="24"/>
          <w:szCs w:val="24"/>
        </w:rPr>
        <w:t>In the context of multinational corporations (MNCs) and their counterparties, forward contracts are bilateral agreements that stipulate the purchase or sale of a particular quantity of currency at a predetermined exchange rate on a future date (Czinkota, Ronkainen and Moffett, 2021). The multinational corporation is protected from unfavourable currency fluctuations thanks to the locking in of the exchange rate, which guarantees that the cost or revenue will continue to be predictable in the native currency.</w:t>
      </w:r>
      <w:r>
        <w:rPr>
          <w:rFonts w:ascii="Arial" w:hAnsi="Arial" w:cs="Arial"/>
          <w:sz w:val="24"/>
          <w:szCs w:val="24"/>
        </w:rPr>
        <w:t xml:space="preserve"> </w:t>
      </w:r>
      <w:r w:rsidRPr="00637E1B">
        <w:rPr>
          <w:rFonts w:ascii="Arial" w:hAnsi="Arial" w:cs="Arial"/>
          <w:sz w:val="24"/>
          <w:szCs w:val="24"/>
        </w:rPr>
        <w:t xml:space="preserve">In particular, the utilisation of forward contracts is advantageous for the purpose of hedging against the transaction risk that is associated with </w:t>
      </w:r>
      <w:proofErr w:type="gramStart"/>
      <w:r w:rsidRPr="00637E1B">
        <w:rPr>
          <w:rFonts w:ascii="Arial" w:hAnsi="Arial" w:cs="Arial"/>
          <w:sz w:val="24"/>
          <w:szCs w:val="24"/>
        </w:rPr>
        <w:t>particular transactions</w:t>
      </w:r>
      <w:proofErr w:type="gramEnd"/>
      <w:r w:rsidRPr="00637E1B">
        <w:rPr>
          <w:rFonts w:ascii="Arial" w:hAnsi="Arial" w:cs="Arial"/>
          <w:sz w:val="24"/>
          <w:szCs w:val="24"/>
        </w:rPr>
        <w:t>, such as the importation of products or the exportation of services. It is possible for multinational corporations to effectively protect themselves against fluctuations in the exchange rate that occur up to the day of the transaction if they lock in the currency rate at the time that the contract is initiated.</w:t>
      </w:r>
    </w:p>
    <w:p w14:paraId="231578B7" w14:textId="2076CC89" w:rsidR="00637E1B" w:rsidRPr="00637E1B" w:rsidRDefault="00637E1B" w:rsidP="00637E1B">
      <w:pPr>
        <w:rPr>
          <w:rFonts w:ascii="Arial" w:hAnsi="Arial" w:cs="Arial"/>
          <w:sz w:val="24"/>
          <w:szCs w:val="24"/>
        </w:rPr>
      </w:pPr>
      <w:r w:rsidRPr="00637E1B">
        <w:rPr>
          <w:rFonts w:ascii="Arial" w:hAnsi="Arial" w:cs="Arial"/>
          <w:sz w:val="24"/>
          <w:szCs w:val="24"/>
        </w:rPr>
        <w:t xml:space="preserve">Currency swaps are transactions in which two parties voluntarily exchange their respective currencies for a predetermined amount of time (Czinkota, Ronkainen and Moffett, 2021). A hedge against the risk of long-term transactions can be achieved through the utilisation of this method, which is more adaptable than forward contracts. MNCs </w:t>
      </w:r>
      <w:proofErr w:type="gramStart"/>
      <w:r w:rsidRPr="00637E1B">
        <w:rPr>
          <w:rFonts w:ascii="Arial" w:hAnsi="Arial" w:cs="Arial"/>
          <w:sz w:val="24"/>
          <w:szCs w:val="24"/>
        </w:rPr>
        <w:t>have the ability to</w:t>
      </w:r>
      <w:proofErr w:type="gramEnd"/>
      <w:r w:rsidRPr="00637E1B">
        <w:rPr>
          <w:rFonts w:ascii="Arial" w:hAnsi="Arial" w:cs="Arial"/>
          <w:sz w:val="24"/>
          <w:szCs w:val="24"/>
        </w:rPr>
        <w:t xml:space="preserve"> control their total foreign exchange risk profile by entering into currency swaps, which allow them to balance their exposure to particular currencies.</w:t>
      </w:r>
      <w:r>
        <w:rPr>
          <w:rFonts w:ascii="Arial" w:hAnsi="Arial" w:cs="Arial"/>
          <w:sz w:val="24"/>
          <w:szCs w:val="24"/>
        </w:rPr>
        <w:t xml:space="preserve"> </w:t>
      </w:r>
      <w:r w:rsidRPr="00637E1B">
        <w:rPr>
          <w:rFonts w:ascii="Arial" w:hAnsi="Arial" w:cs="Arial"/>
          <w:sz w:val="24"/>
          <w:szCs w:val="24"/>
        </w:rPr>
        <w:t xml:space="preserve">In comparison to forward contracts, currency swaps have </w:t>
      </w:r>
      <w:proofErr w:type="gramStart"/>
      <w:r w:rsidRPr="00637E1B">
        <w:rPr>
          <w:rFonts w:ascii="Arial" w:hAnsi="Arial" w:cs="Arial"/>
          <w:sz w:val="24"/>
          <w:szCs w:val="24"/>
        </w:rPr>
        <w:t>a number of</w:t>
      </w:r>
      <w:proofErr w:type="gramEnd"/>
      <w:r w:rsidRPr="00637E1B">
        <w:rPr>
          <w:rFonts w:ascii="Arial" w:hAnsi="Arial" w:cs="Arial"/>
          <w:sz w:val="24"/>
          <w:szCs w:val="24"/>
        </w:rPr>
        <w:t xml:space="preserve"> additional benefits (Czinkota, Ronkainen and Moffett, 2021). First, they make it possible for multinational corporations to tailor the exchange rate to their </w:t>
      </w:r>
      <w:proofErr w:type="gramStart"/>
      <w:r w:rsidRPr="00637E1B">
        <w:rPr>
          <w:rFonts w:ascii="Arial" w:hAnsi="Arial" w:cs="Arial"/>
          <w:sz w:val="24"/>
          <w:szCs w:val="24"/>
        </w:rPr>
        <w:t>particular requirements</w:t>
      </w:r>
      <w:proofErr w:type="gramEnd"/>
      <w:r w:rsidRPr="00637E1B">
        <w:rPr>
          <w:rFonts w:ascii="Arial" w:hAnsi="Arial" w:cs="Arial"/>
          <w:sz w:val="24"/>
          <w:szCs w:val="24"/>
        </w:rPr>
        <w:t xml:space="preserve">, which could result in cheaper transaction costs as compared to forward contracts. The second advantage is that they offer </w:t>
      </w:r>
      <w:proofErr w:type="gramStart"/>
      <w:r w:rsidRPr="00637E1B">
        <w:rPr>
          <w:rFonts w:ascii="Arial" w:hAnsi="Arial" w:cs="Arial"/>
          <w:sz w:val="24"/>
          <w:szCs w:val="24"/>
        </w:rPr>
        <w:t>a larger degree of</w:t>
      </w:r>
      <w:proofErr w:type="gramEnd"/>
      <w:r w:rsidRPr="00637E1B">
        <w:rPr>
          <w:rFonts w:ascii="Arial" w:hAnsi="Arial" w:cs="Arial"/>
          <w:sz w:val="24"/>
          <w:szCs w:val="24"/>
        </w:rPr>
        <w:t xml:space="preserve"> flexibility in terms of adjusting the period of the hedge, which can be very useful when it comes to protecting against long-term transaction risk.</w:t>
      </w:r>
    </w:p>
    <w:p w14:paraId="09C4BE8E" w14:textId="196A49E2" w:rsidR="00637E1B" w:rsidRPr="00637E1B" w:rsidRDefault="00637E1B" w:rsidP="00637E1B">
      <w:pPr>
        <w:rPr>
          <w:rFonts w:ascii="Arial" w:hAnsi="Arial" w:cs="Arial"/>
          <w:sz w:val="24"/>
          <w:szCs w:val="24"/>
        </w:rPr>
      </w:pPr>
      <w:r w:rsidRPr="00637E1B">
        <w:rPr>
          <w:rFonts w:ascii="Arial" w:hAnsi="Arial" w:cs="Arial"/>
          <w:sz w:val="24"/>
          <w:szCs w:val="24"/>
        </w:rPr>
        <w:lastRenderedPageBreak/>
        <w:t xml:space="preserve">The right, but not the responsibility, to buy or sell a foreign currency at a predetermined price within a specified </w:t>
      </w:r>
      <w:proofErr w:type="gramStart"/>
      <w:r w:rsidRPr="00637E1B">
        <w:rPr>
          <w:rFonts w:ascii="Arial" w:hAnsi="Arial" w:cs="Arial"/>
          <w:sz w:val="24"/>
          <w:szCs w:val="24"/>
        </w:rPr>
        <w:t>period of time</w:t>
      </w:r>
      <w:proofErr w:type="gramEnd"/>
      <w:r w:rsidRPr="00637E1B">
        <w:rPr>
          <w:rFonts w:ascii="Arial" w:hAnsi="Arial" w:cs="Arial"/>
          <w:sz w:val="24"/>
          <w:szCs w:val="24"/>
        </w:rPr>
        <w:t xml:space="preserve"> is presented to multinational corporations (MNCs) through the use of options. Because of this element of flexibility, options are especially useful for hedging against fluctuations in currency rates that are not anticipated. Multinational corporations </w:t>
      </w:r>
      <w:proofErr w:type="gramStart"/>
      <w:r w:rsidRPr="00637E1B">
        <w:rPr>
          <w:rFonts w:ascii="Arial" w:hAnsi="Arial" w:cs="Arial"/>
          <w:sz w:val="24"/>
          <w:szCs w:val="24"/>
        </w:rPr>
        <w:t>are able to</w:t>
      </w:r>
      <w:proofErr w:type="gramEnd"/>
      <w:r w:rsidRPr="00637E1B">
        <w:rPr>
          <w:rFonts w:ascii="Arial" w:hAnsi="Arial" w:cs="Arial"/>
          <w:sz w:val="24"/>
          <w:szCs w:val="24"/>
        </w:rPr>
        <w:t xml:space="preserve"> safeguard themselves against unfavourable movements by acquiring options, which allows them to avoid the expenses that are connected with forward contracts or currency swaps</w:t>
      </w:r>
      <w:r w:rsidR="00666B76" w:rsidRPr="00666B76">
        <w:rPr>
          <w:rFonts w:ascii="Arial" w:hAnsi="Arial" w:cs="Arial"/>
          <w:sz w:val="24"/>
          <w:szCs w:val="24"/>
        </w:rPr>
        <w:t xml:space="preserve"> (Luo and Shenkar, 2017)</w:t>
      </w:r>
      <w:r w:rsidRPr="00637E1B">
        <w:rPr>
          <w:rFonts w:ascii="Arial" w:hAnsi="Arial" w:cs="Arial"/>
          <w:sz w:val="24"/>
          <w:szCs w:val="24"/>
        </w:rPr>
        <w:t>.</w:t>
      </w:r>
    </w:p>
    <w:p w14:paraId="2E18439E" w14:textId="2738631C" w:rsidR="00637E1B" w:rsidRPr="00637E1B" w:rsidRDefault="00637E1B" w:rsidP="00637E1B">
      <w:pPr>
        <w:rPr>
          <w:rFonts w:ascii="Arial" w:hAnsi="Arial" w:cs="Arial"/>
          <w:sz w:val="24"/>
          <w:szCs w:val="24"/>
        </w:rPr>
      </w:pPr>
      <w:proofErr w:type="gramStart"/>
      <w:r w:rsidRPr="00637E1B">
        <w:rPr>
          <w:rFonts w:ascii="Arial" w:hAnsi="Arial" w:cs="Arial"/>
          <w:sz w:val="24"/>
          <w:szCs w:val="24"/>
        </w:rPr>
        <w:t>In order to</w:t>
      </w:r>
      <w:proofErr w:type="gramEnd"/>
      <w:r w:rsidRPr="00637E1B">
        <w:rPr>
          <w:rFonts w:ascii="Arial" w:hAnsi="Arial" w:cs="Arial"/>
          <w:sz w:val="24"/>
          <w:szCs w:val="24"/>
        </w:rPr>
        <w:t xml:space="preserve"> protect oneself against the transaction risk that is caused by fluctuating exchange rates, options are frequently utilised. Through the purchase of an option, multinational corporations </w:t>
      </w:r>
      <w:proofErr w:type="gramStart"/>
      <w:r w:rsidRPr="00637E1B">
        <w:rPr>
          <w:rFonts w:ascii="Arial" w:hAnsi="Arial" w:cs="Arial"/>
          <w:sz w:val="24"/>
          <w:szCs w:val="24"/>
        </w:rPr>
        <w:t>are able to</w:t>
      </w:r>
      <w:proofErr w:type="gramEnd"/>
      <w:r w:rsidRPr="00637E1B">
        <w:rPr>
          <w:rFonts w:ascii="Arial" w:hAnsi="Arial" w:cs="Arial"/>
          <w:sz w:val="24"/>
          <w:szCs w:val="24"/>
        </w:rPr>
        <w:t xml:space="preserve"> efficiently limit their potential losses in the event that currency rate movements are unfavourable, while yet maintaining the flexibility to profit from favourable exchange rate movements.</w:t>
      </w:r>
      <w:r w:rsidR="00666B76">
        <w:rPr>
          <w:rFonts w:ascii="Arial" w:hAnsi="Arial" w:cs="Arial"/>
          <w:sz w:val="24"/>
          <w:szCs w:val="24"/>
        </w:rPr>
        <w:t xml:space="preserve"> </w:t>
      </w:r>
      <w:r w:rsidRPr="00637E1B">
        <w:rPr>
          <w:rFonts w:ascii="Arial" w:hAnsi="Arial" w:cs="Arial"/>
          <w:sz w:val="24"/>
          <w:szCs w:val="24"/>
        </w:rPr>
        <w:t>Because of the special circumstances of the multinational corporation (MNC), such as the type of its transactions, its risk tolerance, and the conditions of the market, the choice of transaction risk management approach is contingent upon these factors</w:t>
      </w:r>
      <w:r w:rsidR="00666B76" w:rsidRPr="00666B76">
        <w:rPr>
          <w:rFonts w:ascii="Arial" w:hAnsi="Arial" w:cs="Arial"/>
          <w:sz w:val="24"/>
          <w:szCs w:val="24"/>
        </w:rPr>
        <w:t xml:space="preserve"> (Luo and Shenkar, 2017)</w:t>
      </w:r>
      <w:r w:rsidRPr="00637E1B">
        <w:rPr>
          <w:rFonts w:ascii="Arial" w:hAnsi="Arial" w:cs="Arial"/>
          <w:sz w:val="24"/>
          <w:szCs w:val="24"/>
        </w:rPr>
        <w:t xml:space="preserve">. The use of forward contracts is appropriate for hedging against </w:t>
      </w:r>
      <w:proofErr w:type="gramStart"/>
      <w:r w:rsidRPr="00637E1B">
        <w:rPr>
          <w:rFonts w:ascii="Arial" w:hAnsi="Arial" w:cs="Arial"/>
          <w:sz w:val="24"/>
          <w:szCs w:val="24"/>
        </w:rPr>
        <w:t>particular transactions</w:t>
      </w:r>
      <w:proofErr w:type="gramEnd"/>
      <w:r w:rsidRPr="00637E1B">
        <w:rPr>
          <w:rFonts w:ascii="Arial" w:hAnsi="Arial" w:cs="Arial"/>
          <w:sz w:val="24"/>
          <w:szCs w:val="24"/>
        </w:rPr>
        <w:t>, but currency swaps provide a larger degree of flexibility for hedging over a longer period of time. Although options offer the greatest degree of flexibility, it is necessary to carefully evaluate the potential costs and benefits of each option.</w:t>
      </w:r>
    </w:p>
    <w:p w14:paraId="73E6CD3A" w14:textId="77777777" w:rsidR="00637E1B" w:rsidRPr="00637E1B" w:rsidRDefault="00637E1B" w:rsidP="00666B76">
      <w:pPr>
        <w:pStyle w:val="Heading2"/>
      </w:pPr>
      <w:r w:rsidRPr="00637E1B">
        <w:t>The Strategies for the Management of Translation Risk</w:t>
      </w:r>
    </w:p>
    <w:p w14:paraId="785C1930" w14:textId="6CEFDF2E" w:rsidR="00637E1B" w:rsidRPr="00637E1B" w:rsidRDefault="00637E1B" w:rsidP="00637E1B">
      <w:pPr>
        <w:rPr>
          <w:rFonts w:ascii="Arial" w:hAnsi="Arial" w:cs="Arial"/>
          <w:sz w:val="24"/>
          <w:szCs w:val="24"/>
        </w:rPr>
      </w:pPr>
      <w:r w:rsidRPr="00637E1B">
        <w:rPr>
          <w:rFonts w:ascii="Arial" w:hAnsi="Arial" w:cs="Arial"/>
          <w:sz w:val="24"/>
          <w:szCs w:val="24"/>
        </w:rPr>
        <w:t>The process of converting assets and liabilities denominated in a foreign currency into the currency of the multinational corporation's home country for the purpose of financial reporting is a source of translation risk</w:t>
      </w:r>
      <w:r w:rsidR="00666B76" w:rsidRPr="00666B76">
        <w:rPr>
          <w:rFonts w:ascii="Arial" w:hAnsi="Arial" w:cs="Arial"/>
          <w:sz w:val="24"/>
          <w:szCs w:val="24"/>
        </w:rPr>
        <w:t xml:space="preserve"> (Zaveckaite and Ulbinaite, 2018)</w:t>
      </w:r>
      <w:r w:rsidRPr="00637E1B">
        <w:rPr>
          <w:rFonts w:ascii="Arial" w:hAnsi="Arial" w:cs="Arial"/>
          <w:sz w:val="24"/>
          <w:szCs w:val="24"/>
        </w:rPr>
        <w:t xml:space="preserve">. </w:t>
      </w:r>
      <w:proofErr w:type="gramStart"/>
      <w:r w:rsidRPr="00637E1B">
        <w:rPr>
          <w:rFonts w:ascii="Arial" w:hAnsi="Arial" w:cs="Arial"/>
          <w:sz w:val="24"/>
          <w:szCs w:val="24"/>
        </w:rPr>
        <w:t>In order to</w:t>
      </w:r>
      <w:proofErr w:type="gramEnd"/>
      <w:r w:rsidRPr="00637E1B">
        <w:rPr>
          <w:rFonts w:ascii="Arial" w:hAnsi="Arial" w:cs="Arial"/>
          <w:sz w:val="24"/>
          <w:szCs w:val="24"/>
        </w:rPr>
        <w:t xml:space="preserve"> mitigate this risk, multinational corporations make use of Forward Rate Agreements (FRAs) and money market hedges.</w:t>
      </w:r>
    </w:p>
    <w:p w14:paraId="003F2EAB" w14:textId="7B2923F7" w:rsidR="00637E1B" w:rsidRPr="00637E1B" w:rsidRDefault="00637E1B" w:rsidP="00637E1B">
      <w:pPr>
        <w:rPr>
          <w:rFonts w:ascii="Arial" w:hAnsi="Arial" w:cs="Arial"/>
          <w:sz w:val="24"/>
          <w:szCs w:val="24"/>
        </w:rPr>
      </w:pPr>
      <w:proofErr w:type="gramStart"/>
      <w:r w:rsidRPr="00637E1B">
        <w:rPr>
          <w:rFonts w:ascii="Arial" w:hAnsi="Arial" w:cs="Arial"/>
          <w:sz w:val="24"/>
          <w:szCs w:val="24"/>
        </w:rPr>
        <w:t>Similar to</w:t>
      </w:r>
      <w:proofErr w:type="gramEnd"/>
      <w:r w:rsidRPr="00637E1B">
        <w:rPr>
          <w:rFonts w:ascii="Arial" w:hAnsi="Arial" w:cs="Arial"/>
          <w:sz w:val="24"/>
          <w:szCs w:val="24"/>
        </w:rPr>
        <w:t xml:space="preserve"> forward contracts, forward risk assessments (FRAs) are primarily concerned with hedging risks on the balance sheet rather than specific transactions. There is a way for multinational corporations to reduce the influence that currency swings have on their reported financial performance</w:t>
      </w:r>
      <w:r w:rsidR="00666B76" w:rsidRPr="00666B76">
        <w:rPr>
          <w:rFonts w:ascii="Arial" w:hAnsi="Arial" w:cs="Arial"/>
          <w:sz w:val="24"/>
          <w:szCs w:val="24"/>
        </w:rPr>
        <w:t xml:space="preserve"> (Zaveckaite and Ulbinaite, 2018)</w:t>
      </w:r>
      <w:r w:rsidRPr="00637E1B">
        <w:rPr>
          <w:rFonts w:ascii="Arial" w:hAnsi="Arial" w:cs="Arial"/>
          <w:sz w:val="24"/>
          <w:szCs w:val="24"/>
        </w:rPr>
        <w:t>. This is accomplished by locking in the exchange rates at which their foreign currency assets or liabilities will be translated.</w:t>
      </w:r>
    </w:p>
    <w:p w14:paraId="12EDFCB6" w14:textId="43FF079E" w:rsidR="00637E1B" w:rsidRPr="00637E1B" w:rsidRDefault="00637E1B" w:rsidP="00637E1B">
      <w:pPr>
        <w:rPr>
          <w:rFonts w:ascii="Arial" w:hAnsi="Arial" w:cs="Arial"/>
          <w:sz w:val="24"/>
          <w:szCs w:val="24"/>
        </w:rPr>
      </w:pPr>
      <w:r w:rsidRPr="00637E1B">
        <w:rPr>
          <w:rFonts w:ascii="Arial" w:hAnsi="Arial" w:cs="Arial"/>
          <w:sz w:val="24"/>
          <w:szCs w:val="24"/>
        </w:rPr>
        <w:t>Money market hedges are investments made in short-term money market instruments that are denominated in currencies other than the ones used in the money market</w:t>
      </w:r>
      <w:r w:rsidR="00666B76" w:rsidRPr="00666B76">
        <w:rPr>
          <w:rFonts w:ascii="Arial" w:hAnsi="Arial" w:cs="Arial"/>
          <w:sz w:val="24"/>
          <w:szCs w:val="24"/>
        </w:rPr>
        <w:t xml:space="preserve"> (Zaveckaite and Ulbinaite, 2018)</w:t>
      </w:r>
      <w:r w:rsidRPr="00637E1B">
        <w:rPr>
          <w:rFonts w:ascii="Arial" w:hAnsi="Arial" w:cs="Arial"/>
          <w:sz w:val="24"/>
          <w:szCs w:val="24"/>
        </w:rPr>
        <w:t>. When it comes to hedging against short-term movements, this method is particularly beneficial since it mitigates the impact that fluctuations in exchange rates have on the value of foreign currency liabilities.</w:t>
      </w:r>
    </w:p>
    <w:p w14:paraId="4F049A80" w14:textId="77777777" w:rsidR="00637E1B" w:rsidRPr="00637E1B" w:rsidRDefault="00637E1B" w:rsidP="00666B76">
      <w:pPr>
        <w:pStyle w:val="Heading2"/>
      </w:pPr>
      <w:r w:rsidRPr="00637E1B">
        <w:t>Methodologies for the Management of Economic Risk</w:t>
      </w:r>
    </w:p>
    <w:p w14:paraId="7EA7F42C" w14:textId="0F354AD0" w:rsidR="00637E1B" w:rsidRPr="00637E1B" w:rsidRDefault="00637E1B" w:rsidP="00637E1B">
      <w:pPr>
        <w:rPr>
          <w:rFonts w:ascii="Arial" w:hAnsi="Arial" w:cs="Arial"/>
          <w:sz w:val="24"/>
          <w:szCs w:val="24"/>
        </w:rPr>
      </w:pPr>
      <w:r w:rsidRPr="00637E1B">
        <w:rPr>
          <w:rFonts w:ascii="Arial" w:hAnsi="Arial" w:cs="Arial"/>
          <w:sz w:val="24"/>
          <w:szCs w:val="24"/>
        </w:rPr>
        <w:t>Economic risk comprises the more extensive impact that fluctuations in exchange rates have on the entire business performance of a multinational corporation</w:t>
      </w:r>
      <w:r w:rsidR="00666B76" w:rsidRPr="00666B76">
        <w:rPr>
          <w:rFonts w:ascii="Arial" w:hAnsi="Arial" w:cs="Arial"/>
          <w:sz w:val="24"/>
          <w:szCs w:val="24"/>
        </w:rPr>
        <w:t xml:space="preserve"> (Marano, Tashman and Kostova, 2017)</w:t>
      </w:r>
      <w:r w:rsidRPr="00637E1B">
        <w:rPr>
          <w:rFonts w:ascii="Arial" w:hAnsi="Arial" w:cs="Arial"/>
          <w:sz w:val="24"/>
          <w:szCs w:val="24"/>
        </w:rPr>
        <w:t xml:space="preserve">. </w:t>
      </w:r>
      <w:proofErr w:type="gramStart"/>
      <w:r w:rsidRPr="00637E1B">
        <w:rPr>
          <w:rFonts w:ascii="Arial" w:hAnsi="Arial" w:cs="Arial"/>
          <w:sz w:val="24"/>
          <w:szCs w:val="24"/>
        </w:rPr>
        <w:t>For the purpose of</w:t>
      </w:r>
      <w:proofErr w:type="gramEnd"/>
      <w:r w:rsidRPr="00637E1B">
        <w:rPr>
          <w:rFonts w:ascii="Arial" w:hAnsi="Arial" w:cs="Arial"/>
          <w:sz w:val="24"/>
          <w:szCs w:val="24"/>
        </w:rPr>
        <w:t xml:space="preserve"> mitigating this risk, </w:t>
      </w:r>
      <w:r w:rsidRPr="00637E1B">
        <w:rPr>
          <w:rFonts w:ascii="Arial" w:hAnsi="Arial" w:cs="Arial"/>
          <w:sz w:val="24"/>
          <w:szCs w:val="24"/>
        </w:rPr>
        <w:lastRenderedPageBreak/>
        <w:t>multinational corporations utilise pass-through pricing, strategic diversification, and dynamic hedging.</w:t>
      </w:r>
    </w:p>
    <w:p w14:paraId="0C4F3FF0" w14:textId="263AB51E" w:rsidR="00637E1B" w:rsidRPr="00637E1B" w:rsidRDefault="00637E1B" w:rsidP="00637E1B">
      <w:pPr>
        <w:rPr>
          <w:rFonts w:ascii="Arial" w:hAnsi="Arial" w:cs="Arial"/>
          <w:sz w:val="24"/>
          <w:szCs w:val="24"/>
        </w:rPr>
      </w:pPr>
      <w:r w:rsidRPr="00637E1B">
        <w:rPr>
          <w:rFonts w:ascii="Arial" w:hAnsi="Arial" w:cs="Arial"/>
          <w:sz w:val="24"/>
          <w:szCs w:val="24"/>
        </w:rPr>
        <w:t xml:space="preserve">Spreading out operations over </w:t>
      </w:r>
      <w:proofErr w:type="gramStart"/>
      <w:r w:rsidRPr="00637E1B">
        <w:rPr>
          <w:rFonts w:ascii="Arial" w:hAnsi="Arial" w:cs="Arial"/>
          <w:sz w:val="24"/>
          <w:szCs w:val="24"/>
        </w:rPr>
        <w:t>a number of</w:t>
      </w:r>
      <w:proofErr w:type="gramEnd"/>
      <w:r w:rsidRPr="00637E1B">
        <w:rPr>
          <w:rFonts w:ascii="Arial" w:hAnsi="Arial" w:cs="Arial"/>
          <w:sz w:val="24"/>
          <w:szCs w:val="24"/>
        </w:rPr>
        <w:t xml:space="preserve"> various nations and currencies is an example of strategic diversification. This helps to mitigate the impact of unfavourable swings in any one currency</w:t>
      </w:r>
      <w:r w:rsidR="00666B76" w:rsidRPr="00666B76">
        <w:rPr>
          <w:rFonts w:ascii="Arial" w:hAnsi="Arial" w:cs="Arial"/>
          <w:sz w:val="24"/>
          <w:szCs w:val="24"/>
        </w:rPr>
        <w:t xml:space="preserve"> (Marano, Tashman and Kostova, 2017)</w:t>
      </w:r>
      <w:r w:rsidRPr="00637E1B">
        <w:rPr>
          <w:rFonts w:ascii="Arial" w:hAnsi="Arial" w:cs="Arial"/>
          <w:sz w:val="24"/>
          <w:szCs w:val="24"/>
        </w:rPr>
        <w:t>. Through the implementation of this strategy, the risk exposure is diversified, and the impact of unfavourable currency movements on the whole business portfolio is substantially reduced.</w:t>
      </w:r>
    </w:p>
    <w:p w14:paraId="575488B8" w14:textId="7521946A" w:rsidR="00637E1B" w:rsidRPr="00637E1B" w:rsidRDefault="00637E1B" w:rsidP="00637E1B">
      <w:pPr>
        <w:rPr>
          <w:rFonts w:ascii="Arial" w:hAnsi="Arial" w:cs="Arial"/>
          <w:sz w:val="24"/>
          <w:szCs w:val="24"/>
        </w:rPr>
      </w:pPr>
      <w:r w:rsidRPr="00637E1B">
        <w:rPr>
          <w:rFonts w:ascii="Arial" w:hAnsi="Arial" w:cs="Arial"/>
          <w:sz w:val="24"/>
          <w:szCs w:val="24"/>
        </w:rPr>
        <w:t>Pass-through pricing is a method of offering products at prices that are adjusted to reflect fluctuations in currency exchange rates. By successfully passing on the risk exposure to the market, this technique has the potential to be beneficial in transferring the costs or advantages of currency movements to clients</w:t>
      </w:r>
      <w:r w:rsidR="00666B76" w:rsidRPr="00666B76">
        <w:rPr>
          <w:rFonts w:ascii="Arial" w:hAnsi="Arial" w:cs="Arial"/>
          <w:sz w:val="24"/>
          <w:szCs w:val="24"/>
        </w:rPr>
        <w:t xml:space="preserve"> (Marano, Tashman and Kostova, 2017)</w:t>
      </w:r>
      <w:r w:rsidRPr="00637E1B">
        <w:rPr>
          <w:rFonts w:ascii="Arial" w:hAnsi="Arial" w:cs="Arial"/>
          <w:sz w:val="24"/>
          <w:szCs w:val="24"/>
        </w:rPr>
        <w:t>.</w:t>
      </w:r>
    </w:p>
    <w:p w14:paraId="610DCCF7" w14:textId="7A726CF4" w:rsidR="00637E1B" w:rsidRPr="00637E1B" w:rsidRDefault="00637E1B" w:rsidP="00637E1B">
      <w:pPr>
        <w:rPr>
          <w:rFonts w:ascii="Arial" w:hAnsi="Arial" w:cs="Arial"/>
          <w:sz w:val="24"/>
          <w:szCs w:val="24"/>
        </w:rPr>
      </w:pPr>
      <w:proofErr w:type="gramStart"/>
      <w:r w:rsidRPr="00637E1B">
        <w:rPr>
          <w:rFonts w:ascii="Arial" w:hAnsi="Arial" w:cs="Arial"/>
          <w:sz w:val="24"/>
          <w:szCs w:val="24"/>
        </w:rPr>
        <w:t>Making adjustments to</w:t>
      </w:r>
      <w:proofErr w:type="gramEnd"/>
      <w:r w:rsidRPr="00637E1B">
        <w:rPr>
          <w:rFonts w:ascii="Arial" w:hAnsi="Arial" w:cs="Arial"/>
          <w:sz w:val="24"/>
          <w:szCs w:val="24"/>
        </w:rPr>
        <w:t xml:space="preserve"> hedging methods in accordance with the current market conditions, risk appetite, and corporate objectives is what is meant by the term "dynamic hedging"</w:t>
      </w:r>
      <w:r w:rsidR="00666B76">
        <w:rPr>
          <w:rFonts w:ascii="Arial" w:hAnsi="Arial" w:cs="Arial"/>
          <w:sz w:val="24"/>
          <w:szCs w:val="24"/>
        </w:rPr>
        <w:t xml:space="preserve"> </w:t>
      </w:r>
      <w:r w:rsidR="00666B76" w:rsidRPr="00666B76">
        <w:rPr>
          <w:rFonts w:ascii="Arial" w:hAnsi="Arial" w:cs="Arial"/>
          <w:sz w:val="24"/>
          <w:szCs w:val="24"/>
        </w:rPr>
        <w:t>(Marano, Tashman and Kostova, 2017)</w:t>
      </w:r>
      <w:r w:rsidR="00666B76">
        <w:rPr>
          <w:rFonts w:ascii="Arial" w:hAnsi="Arial" w:cs="Arial"/>
          <w:sz w:val="24"/>
          <w:szCs w:val="24"/>
        </w:rPr>
        <w:t>.</w:t>
      </w:r>
      <w:r w:rsidRPr="00637E1B">
        <w:rPr>
          <w:rFonts w:ascii="Arial" w:hAnsi="Arial" w:cs="Arial"/>
          <w:sz w:val="24"/>
          <w:szCs w:val="24"/>
        </w:rPr>
        <w:t xml:space="preserve"> This strategy enables multinational corporations to respond proactively to unanticipated fluctuations in currency rates, so preserving control over their foreign exchange exposure and maximising the efficiency of their hedging strategies.</w:t>
      </w:r>
    </w:p>
    <w:p w14:paraId="697CFC90" w14:textId="77777777" w:rsidR="00637E1B" w:rsidRPr="00637E1B" w:rsidRDefault="00637E1B" w:rsidP="00666B76">
      <w:pPr>
        <w:pStyle w:val="Heading2"/>
      </w:pPr>
      <w:r w:rsidRPr="00637E1B">
        <w:t>An Empirical Investigation of the Effectiveness of Hedging</w:t>
      </w:r>
    </w:p>
    <w:p w14:paraId="7AF22289" w14:textId="77777777" w:rsidR="00637E1B" w:rsidRPr="00637E1B" w:rsidRDefault="00637E1B" w:rsidP="00637E1B">
      <w:pPr>
        <w:rPr>
          <w:rFonts w:ascii="Arial" w:hAnsi="Arial" w:cs="Arial"/>
          <w:sz w:val="24"/>
          <w:szCs w:val="24"/>
        </w:rPr>
      </w:pPr>
      <w:r w:rsidRPr="00637E1B">
        <w:rPr>
          <w:rFonts w:ascii="Arial" w:hAnsi="Arial" w:cs="Arial"/>
          <w:sz w:val="24"/>
          <w:szCs w:val="24"/>
        </w:rPr>
        <w:t xml:space="preserve">Numerous studies on the efficiency of hedging have produced contradictory findings. Some research has demonstrated that hedging can significantly reduce foreign exchange losses for multinational corporations (MNCs), while other studies have demonstrated that the benefits of hedging may be counterbalanced by the costs of the hedging instruments themselves. The efficiency of hedging techniques is contingent upon </w:t>
      </w:r>
      <w:proofErr w:type="gramStart"/>
      <w:r w:rsidRPr="00637E1B">
        <w:rPr>
          <w:rFonts w:ascii="Arial" w:hAnsi="Arial" w:cs="Arial"/>
          <w:sz w:val="24"/>
          <w:szCs w:val="24"/>
        </w:rPr>
        <w:t>a number of</w:t>
      </w:r>
      <w:proofErr w:type="gramEnd"/>
      <w:r w:rsidRPr="00637E1B">
        <w:rPr>
          <w:rFonts w:ascii="Arial" w:hAnsi="Arial" w:cs="Arial"/>
          <w:sz w:val="24"/>
          <w:szCs w:val="24"/>
        </w:rPr>
        <w:t xml:space="preserve"> elements, such as the particular circumstances of the multinational corporation (MNC), its individual level of risk tolerance, and the current market conditions.</w:t>
      </w:r>
    </w:p>
    <w:p w14:paraId="3623D622" w14:textId="7DD34CAD" w:rsidR="00637E1B" w:rsidRPr="00637E1B" w:rsidRDefault="00637E1B" w:rsidP="00666B76">
      <w:pPr>
        <w:pStyle w:val="Heading1"/>
      </w:pPr>
      <w:r>
        <w:t>Conclusion</w:t>
      </w:r>
    </w:p>
    <w:p w14:paraId="4B681693" w14:textId="12CAB8B1" w:rsidR="00637E1B" w:rsidRDefault="00637E1B" w:rsidP="00637E1B">
      <w:pPr>
        <w:rPr>
          <w:rFonts w:ascii="Arial" w:hAnsi="Arial" w:cs="Arial"/>
          <w:sz w:val="24"/>
          <w:szCs w:val="24"/>
        </w:rPr>
      </w:pPr>
      <w:r w:rsidRPr="00637E1B">
        <w:rPr>
          <w:rFonts w:ascii="Arial" w:hAnsi="Arial" w:cs="Arial"/>
          <w:sz w:val="24"/>
          <w:szCs w:val="24"/>
        </w:rPr>
        <w:t xml:space="preserve">MNCs are exposed to a wide variety of foreign exchange risks, which calls for an all-encompassing strategy for risk management. Transaction risk management, translation risk management, and economic risk management are frequently used in conjunction with one another, with each of these tactics being adapted to the </w:t>
      </w:r>
      <w:proofErr w:type="gramStart"/>
      <w:r w:rsidRPr="00637E1B">
        <w:rPr>
          <w:rFonts w:ascii="Arial" w:hAnsi="Arial" w:cs="Arial"/>
          <w:sz w:val="24"/>
          <w:szCs w:val="24"/>
        </w:rPr>
        <w:t>particular circumstances</w:t>
      </w:r>
      <w:proofErr w:type="gramEnd"/>
      <w:r w:rsidRPr="00637E1B">
        <w:rPr>
          <w:rFonts w:ascii="Arial" w:hAnsi="Arial" w:cs="Arial"/>
          <w:sz w:val="24"/>
          <w:szCs w:val="24"/>
        </w:rPr>
        <w:t xml:space="preserve"> of the multinational corporation. </w:t>
      </w:r>
      <w:proofErr w:type="gramStart"/>
      <w:r w:rsidRPr="00637E1B">
        <w:rPr>
          <w:rFonts w:ascii="Arial" w:hAnsi="Arial" w:cs="Arial"/>
          <w:sz w:val="24"/>
          <w:szCs w:val="24"/>
        </w:rPr>
        <w:t>In order to</w:t>
      </w:r>
      <w:proofErr w:type="gramEnd"/>
      <w:r w:rsidRPr="00637E1B">
        <w:rPr>
          <w:rFonts w:ascii="Arial" w:hAnsi="Arial" w:cs="Arial"/>
          <w:sz w:val="24"/>
          <w:szCs w:val="24"/>
        </w:rPr>
        <w:t xml:space="preserve"> effectively manage foreign exchange risk, it is necessary to take into account some fundamental factors, such as conducting regular assessments of foreign exchange risk exposure, doing cost-benefit analyses of hedging methods, taking into consideration complex hedging techniques, and maintaining a transparent hedging strategy. The ability of multinational corporations (MNCs) to protect their profitability and overall business performance in the face of fluctuating currency rates can be achieved via the careful selection and implementation of appropriate hedging techniques.</w:t>
      </w:r>
    </w:p>
    <w:p w14:paraId="235AC9C3" w14:textId="77777777" w:rsidR="00637E1B" w:rsidRDefault="00637E1B" w:rsidP="00637E1B">
      <w:pPr>
        <w:rPr>
          <w:rFonts w:ascii="Arial" w:hAnsi="Arial" w:cs="Arial"/>
          <w:sz w:val="24"/>
          <w:szCs w:val="24"/>
        </w:rPr>
      </w:pPr>
    </w:p>
    <w:p w14:paraId="75B197EF" w14:textId="1FDDB152" w:rsidR="00637E1B" w:rsidRDefault="00637E1B" w:rsidP="00666B76">
      <w:pPr>
        <w:pStyle w:val="Heading1"/>
      </w:pPr>
      <w:r>
        <w:t>Reference List</w:t>
      </w:r>
    </w:p>
    <w:p w14:paraId="1C3312C8" w14:textId="2EC08C89" w:rsidR="00637E1B" w:rsidRDefault="00637E1B" w:rsidP="00637E1B">
      <w:pPr>
        <w:rPr>
          <w:rFonts w:ascii="Arial" w:hAnsi="Arial" w:cs="Arial"/>
          <w:sz w:val="24"/>
          <w:szCs w:val="24"/>
        </w:rPr>
      </w:pPr>
      <w:r w:rsidRPr="00637E1B">
        <w:rPr>
          <w:rFonts w:ascii="Arial" w:hAnsi="Arial" w:cs="Arial"/>
          <w:sz w:val="24"/>
          <w:szCs w:val="24"/>
        </w:rPr>
        <w:t>Czinkota, M.R., Ronkainen, I.A. and Moffett, M.H. (2021). </w:t>
      </w:r>
      <w:r w:rsidRPr="00637E1B">
        <w:rPr>
          <w:rFonts w:ascii="Arial" w:hAnsi="Arial" w:cs="Arial"/>
          <w:i/>
          <w:iCs/>
          <w:sz w:val="24"/>
          <w:szCs w:val="24"/>
        </w:rPr>
        <w:t>International business</w:t>
      </w:r>
      <w:r w:rsidRPr="00637E1B">
        <w:rPr>
          <w:rFonts w:ascii="Arial" w:hAnsi="Arial" w:cs="Arial"/>
          <w:sz w:val="24"/>
          <w:szCs w:val="24"/>
        </w:rPr>
        <w:t>. Hoboken (N.J.): Wiley.</w:t>
      </w:r>
    </w:p>
    <w:p w14:paraId="36DBE955" w14:textId="7336E66F" w:rsidR="00637E1B" w:rsidRPr="00637E1B" w:rsidRDefault="00637E1B" w:rsidP="00637E1B">
      <w:pPr>
        <w:rPr>
          <w:rFonts w:ascii="Arial" w:hAnsi="Arial" w:cs="Arial"/>
          <w:sz w:val="24"/>
          <w:szCs w:val="24"/>
        </w:rPr>
      </w:pPr>
      <w:r w:rsidRPr="00637E1B">
        <w:rPr>
          <w:rFonts w:ascii="Arial" w:hAnsi="Arial" w:cs="Arial"/>
          <w:sz w:val="24"/>
          <w:szCs w:val="24"/>
        </w:rPr>
        <w:t>Fan, Y. and Stevenson, M. (2018). A review of supply chain risk management: Definition, theory, and research agenda. </w:t>
      </w:r>
      <w:r w:rsidRPr="00637E1B">
        <w:rPr>
          <w:rFonts w:ascii="Arial" w:hAnsi="Arial" w:cs="Arial"/>
          <w:i/>
          <w:iCs/>
          <w:sz w:val="24"/>
          <w:szCs w:val="24"/>
        </w:rPr>
        <w:t>International Journal of Physical Distribution &amp; Logistics Management</w:t>
      </w:r>
      <w:r w:rsidRPr="00637E1B">
        <w:rPr>
          <w:rFonts w:ascii="Arial" w:hAnsi="Arial" w:cs="Arial"/>
          <w:sz w:val="24"/>
          <w:szCs w:val="24"/>
        </w:rPr>
        <w:t>, [online] 48(</w:t>
      </w:r>
      <w:r w:rsidRPr="00637E1B">
        <w:rPr>
          <w:rFonts w:ascii="Arial" w:hAnsi="Arial" w:cs="Arial"/>
          <w:b/>
          <w:bCs/>
          <w:sz w:val="24"/>
          <w:szCs w:val="24"/>
        </w:rPr>
        <w:t>3</w:t>
      </w:r>
      <w:r w:rsidRPr="00637E1B">
        <w:rPr>
          <w:rFonts w:ascii="Arial" w:hAnsi="Arial" w:cs="Arial"/>
          <w:sz w:val="24"/>
          <w:szCs w:val="24"/>
        </w:rPr>
        <w:t xml:space="preserve">), pp.205–230. </w:t>
      </w:r>
      <w:proofErr w:type="gramStart"/>
      <w:r w:rsidRPr="00637E1B">
        <w:rPr>
          <w:rFonts w:ascii="Arial" w:hAnsi="Arial" w:cs="Arial"/>
          <w:sz w:val="24"/>
          <w:szCs w:val="24"/>
        </w:rPr>
        <w:t>doi:https://doi.org/10.1108/ijpdlm-01-2017-0043</w:t>
      </w:r>
      <w:proofErr w:type="gramEnd"/>
      <w:r w:rsidRPr="00637E1B">
        <w:rPr>
          <w:rFonts w:ascii="Arial" w:hAnsi="Arial" w:cs="Arial"/>
          <w:sz w:val="24"/>
          <w:szCs w:val="24"/>
        </w:rPr>
        <w:t>.</w:t>
      </w:r>
    </w:p>
    <w:p w14:paraId="54986AA6" w14:textId="77777777" w:rsidR="00666B76" w:rsidRDefault="00666B76" w:rsidP="00666B76">
      <w:pPr>
        <w:rPr>
          <w:rFonts w:ascii="Arial" w:hAnsi="Arial" w:cs="Arial"/>
          <w:sz w:val="24"/>
          <w:szCs w:val="24"/>
        </w:rPr>
      </w:pPr>
      <w:r w:rsidRPr="00666B76">
        <w:rPr>
          <w:rFonts w:ascii="Arial" w:hAnsi="Arial" w:cs="Arial"/>
          <w:sz w:val="24"/>
          <w:szCs w:val="24"/>
        </w:rPr>
        <w:t>Luo, Y. and Shenkar, O. (2017). The Multinational Corporation as a Multilingual Community: Language and Organization in a Global Context. </w:t>
      </w:r>
      <w:r w:rsidRPr="00666B76">
        <w:rPr>
          <w:rFonts w:ascii="Arial" w:hAnsi="Arial" w:cs="Arial"/>
          <w:i/>
          <w:iCs/>
          <w:sz w:val="24"/>
          <w:szCs w:val="24"/>
        </w:rPr>
        <w:t>Language in International Business</w:t>
      </w:r>
      <w:r w:rsidRPr="00666B76">
        <w:rPr>
          <w:rFonts w:ascii="Arial" w:hAnsi="Arial" w:cs="Arial"/>
          <w:sz w:val="24"/>
          <w:szCs w:val="24"/>
        </w:rPr>
        <w:t xml:space="preserve">, [online] pp.59–92. </w:t>
      </w:r>
      <w:proofErr w:type="gramStart"/>
      <w:r w:rsidRPr="00666B76">
        <w:rPr>
          <w:rFonts w:ascii="Arial" w:hAnsi="Arial" w:cs="Arial"/>
          <w:sz w:val="24"/>
          <w:szCs w:val="24"/>
        </w:rPr>
        <w:t>doi:https://doi.org/10.1007/978-3-319-42745-4_4</w:t>
      </w:r>
      <w:proofErr w:type="gramEnd"/>
      <w:r w:rsidRPr="00666B76">
        <w:rPr>
          <w:rFonts w:ascii="Arial" w:hAnsi="Arial" w:cs="Arial"/>
          <w:sz w:val="24"/>
          <w:szCs w:val="24"/>
        </w:rPr>
        <w:t>.</w:t>
      </w:r>
    </w:p>
    <w:p w14:paraId="7D7B559E" w14:textId="575EEDD3" w:rsidR="00666B76" w:rsidRPr="00666B76" w:rsidRDefault="00666B76" w:rsidP="00666B76">
      <w:pPr>
        <w:rPr>
          <w:rFonts w:ascii="Arial" w:hAnsi="Arial" w:cs="Arial"/>
          <w:sz w:val="24"/>
          <w:szCs w:val="24"/>
        </w:rPr>
      </w:pPr>
      <w:r w:rsidRPr="00666B76">
        <w:rPr>
          <w:rFonts w:ascii="Arial" w:hAnsi="Arial" w:cs="Arial"/>
          <w:sz w:val="24"/>
          <w:szCs w:val="24"/>
        </w:rPr>
        <w:t>Marano, V., Tashman, P. and Kostova, T. (2017). Escaping the iron cage: Liabilities of origin and CSR reporting of emerging market multinational enterprises. </w:t>
      </w:r>
      <w:r w:rsidRPr="00666B76">
        <w:rPr>
          <w:rFonts w:ascii="Arial" w:hAnsi="Arial" w:cs="Arial"/>
          <w:i/>
          <w:iCs/>
          <w:sz w:val="24"/>
          <w:szCs w:val="24"/>
        </w:rPr>
        <w:t>Journal of International Business Studies</w:t>
      </w:r>
      <w:r w:rsidRPr="00666B76">
        <w:rPr>
          <w:rFonts w:ascii="Arial" w:hAnsi="Arial" w:cs="Arial"/>
          <w:sz w:val="24"/>
          <w:szCs w:val="24"/>
        </w:rPr>
        <w:t>, [online] 48(</w:t>
      </w:r>
      <w:r w:rsidRPr="00666B76">
        <w:rPr>
          <w:rFonts w:ascii="Arial" w:hAnsi="Arial" w:cs="Arial"/>
          <w:b/>
          <w:bCs/>
          <w:sz w:val="24"/>
          <w:szCs w:val="24"/>
        </w:rPr>
        <w:t>3</w:t>
      </w:r>
      <w:r w:rsidRPr="00666B76">
        <w:rPr>
          <w:rFonts w:ascii="Arial" w:hAnsi="Arial" w:cs="Arial"/>
          <w:sz w:val="24"/>
          <w:szCs w:val="24"/>
        </w:rPr>
        <w:t xml:space="preserve">), pp.386–408. </w:t>
      </w:r>
      <w:proofErr w:type="gramStart"/>
      <w:r w:rsidRPr="00666B76">
        <w:rPr>
          <w:rFonts w:ascii="Arial" w:hAnsi="Arial" w:cs="Arial"/>
          <w:sz w:val="24"/>
          <w:szCs w:val="24"/>
        </w:rPr>
        <w:t>doi:https://doi.org/10.1057/jibs.2016.17</w:t>
      </w:r>
      <w:proofErr w:type="gramEnd"/>
      <w:r w:rsidRPr="00666B76">
        <w:rPr>
          <w:rFonts w:ascii="Arial" w:hAnsi="Arial" w:cs="Arial"/>
          <w:sz w:val="24"/>
          <w:szCs w:val="24"/>
        </w:rPr>
        <w:t>.</w:t>
      </w:r>
    </w:p>
    <w:p w14:paraId="57DF2986" w14:textId="77777777" w:rsidR="00666B76" w:rsidRPr="00666B76" w:rsidRDefault="00666B76" w:rsidP="00666B76">
      <w:pPr>
        <w:rPr>
          <w:rFonts w:ascii="Arial" w:hAnsi="Arial" w:cs="Arial"/>
          <w:sz w:val="24"/>
          <w:szCs w:val="24"/>
        </w:rPr>
      </w:pPr>
      <w:r w:rsidRPr="00666B76">
        <w:rPr>
          <w:rFonts w:ascii="Arial" w:hAnsi="Arial" w:cs="Arial"/>
          <w:sz w:val="24"/>
          <w:szCs w:val="24"/>
        </w:rPr>
        <w:t>Zaveckaite, A. and Ulbinaite, A. (2018). ASSESSMENT CRITERIA OF PROJECT RISK MANAGEMENT IN LANGUAGE TRANSLATION SERVICE COMPANIES. </w:t>
      </w:r>
      <w:r w:rsidRPr="00666B76">
        <w:rPr>
          <w:rFonts w:ascii="Arial" w:hAnsi="Arial" w:cs="Arial"/>
          <w:i/>
          <w:iCs/>
          <w:sz w:val="24"/>
          <w:szCs w:val="24"/>
        </w:rPr>
        <w:t>Technological and Economic Development of Economy</w:t>
      </w:r>
      <w:r w:rsidRPr="00666B76">
        <w:rPr>
          <w:rFonts w:ascii="Arial" w:hAnsi="Arial" w:cs="Arial"/>
          <w:sz w:val="24"/>
          <w:szCs w:val="24"/>
        </w:rPr>
        <w:t>, 24(</w:t>
      </w:r>
      <w:r w:rsidRPr="00666B76">
        <w:rPr>
          <w:rFonts w:ascii="Arial" w:hAnsi="Arial" w:cs="Arial"/>
          <w:b/>
          <w:bCs/>
          <w:sz w:val="24"/>
          <w:szCs w:val="24"/>
        </w:rPr>
        <w:t>4</w:t>
      </w:r>
      <w:r w:rsidRPr="00666B76">
        <w:rPr>
          <w:rFonts w:ascii="Arial" w:hAnsi="Arial" w:cs="Arial"/>
          <w:sz w:val="24"/>
          <w:szCs w:val="24"/>
        </w:rPr>
        <w:t xml:space="preserve">), pp.1323–1343. </w:t>
      </w:r>
      <w:proofErr w:type="gramStart"/>
      <w:r w:rsidRPr="00666B76">
        <w:rPr>
          <w:rFonts w:ascii="Arial" w:hAnsi="Arial" w:cs="Arial"/>
          <w:sz w:val="24"/>
          <w:szCs w:val="24"/>
        </w:rPr>
        <w:t>doi:https://doi.org/10.3846/20294913.2017.1295287</w:t>
      </w:r>
      <w:proofErr w:type="gramEnd"/>
      <w:r w:rsidRPr="00666B76">
        <w:rPr>
          <w:rFonts w:ascii="Arial" w:hAnsi="Arial" w:cs="Arial"/>
          <w:sz w:val="24"/>
          <w:szCs w:val="24"/>
        </w:rPr>
        <w:t>.</w:t>
      </w:r>
    </w:p>
    <w:p w14:paraId="6A924C0F" w14:textId="77777777" w:rsidR="00637E1B" w:rsidRPr="00637E1B" w:rsidRDefault="00637E1B" w:rsidP="00637E1B">
      <w:pPr>
        <w:rPr>
          <w:rFonts w:ascii="Arial" w:hAnsi="Arial" w:cs="Arial"/>
          <w:sz w:val="24"/>
          <w:szCs w:val="24"/>
        </w:rPr>
      </w:pPr>
    </w:p>
    <w:p w14:paraId="1CDFD0F0" w14:textId="77777777" w:rsidR="00E905BC" w:rsidRPr="00C71755" w:rsidRDefault="00E905BC" w:rsidP="00637E1B">
      <w:pPr>
        <w:rPr>
          <w:rFonts w:ascii="Arial" w:hAnsi="Arial" w:cs="Arial"/>
          <w:sz w:val="24"/>
          <w:szCs w:val="24"/>
        </w:rPr>
      </w:pPr>
    </w:p>
    <w:sectPr w:rsidR="00E905BC" w:rsidRPr="00C71755" w:rsidSect="00C71755">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DDBB23" w14:textId="77777777" w:rsidR="007D3C85" w:rsidRDefault="007D3C85" w:rsidP="00C71755">
      <w:pPr>
        <w:spacing w:after="0" w:line="240" w:lineRule="auto"/>
      </w:pPr>
      <w:r>
        <w:separator/>
      </w:r>
    </w:p>
  </w:endnote>
  <w:endnote w:type="continuationSeparator" w:id="0">
    <w:p w14:paraId="231B27E2" w14:textId="77777777" w:rsidR="007D3C85" w:rsidRDefault="007D3C85" w:rsidP="00C71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4285552"/>
      <w:docPartObj>
        <w:docPartGallery w:val="Page Numbers (Bottom of Page)"/>
        <w:docPartUnique/>
      </w:docPartObj>
    </w:sdtPr>
    <w:sdtEndPr>
      <w:rPr>
        <w:noProof/>
      </w:rPr>
    </w:sdtEndPr>
    <w:sdtContent>
      <w:p w14:paraId="2A7EBDC3" w14:textId="28D0C346" w:rsidR="00C71755" w:rsidRDefault="00C717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CB1DBE" w14:textId="77777777" w:rsidR="00C71755" w:rsidRDefault="00C717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58250D" w14:textId="77777777" w:rsidR="007D3C85" w:rsidRDefault="007D3C85" w:rsidP="00C71755">
      <w:pPr>
        <w:spacing w:after="0" w:line="240" w:lineRule="auto"/>
      </w:pPr>
      <w:r>
        <w:separator/>
      </w:r>
    </w:p>
  </w:footnote>
  <w:footnote w:type="continuationSeparator" w:id="0">
    <w:p w14:paraId="0B66B467" w14:textId="77777777" w:rsidR="007D3C85" w:rsidRDefault="007D3C85" w:rsidP="00C717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755"/>
    <w:rsid w:val="00637E1B"/>
    <w:rsid w:val="00666B76"/>
    <w:rsid w:val="007D3C85"/>
    <w:rsid w:val="00C71755"/>
    <w:rsid w:val="00DB38DE"/>
    <w:rsid w:val="00E90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599B2"/>
  <w15:chartTrackingRefBased/>
  <w15:docId w15:val="{0F77F56C-305A-4F97-A1BE-F6589140A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6B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6B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17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755"/>
  </w:style>
  <w:style w:type="paragraph" w:styleId="Footer">
    <w:name w:val="footer"/>
    <w:basedOn w:val="Normal"/>
    <w:link w:val="FooterChar"/>
    <w:uiPriority w:val="99"/>
    <w:unhideWhenUsed/>
    <w:rsid w:val="00C717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755"/>
  </w:style>
  <w:style w:type="paragraph" w:styleId="NoSpacing">
    <w:name w:val="No Spacing"/>
    <w:link w:val="NoSpacingChar"/>
    <w:uiPriority w:val="1"/>
    <w:qFormat/>
    <w:rsid w:val="00C7175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71755"/>
    <w:rPr>
      <w:rFonts w:eastAsiaTheme="minorEastAsia"/>
      <w:kern w:val="0"/>
      <w:lang w:val="en-US"/>
      <w14:ligatures w14:val="none"/>
    </w:rPr>
  </w:style>
  <w:style w:type="character" w:customStyle="1" w:styleId="Heading1Char">
    <w:name w:val="Heading 1 Char"/>
    <w:basedOn w:val="DefaultParagraphFont"/>
    <w:link w:val="Heading1"/>
    <w:uiPriority w:val="9"/>
    <w:rsid w:val="00666B7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66B7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532147">
      <w:bodyDiv w:val="1"/>
      <w:marLeft w:val="0"/>
      <w:marRight w:val="0"/>
      <w:marTop w:val="0"/>
      <w:marBottom w:val="0"/>
      <w:divBdr>
        <w:top w:val="none" w:sz="0" w:space="0" w:color="auto"/>
        <w:left w:val="none" w:sz="0" w:space="0" w:color="auto"/>
        <w:bottom w:val="none" w:sz="0" w:space="0" w:color="auto"/>
        <w:right w:val="none" w:sz="0" w:space="0" w:color="auto"/>
      </w:divBdr>
      <w:divsChild>
        <w:div w:id="1042906768">
          <w:marLeft w:val="0"/>
          <w:marRight w:val="0"/>
          <w:marTop w:val="0"/>
          <w:marBottom w:val="150"/>
          <w:divBdr>
            <w:top w:val="none" w:sz="0" w:space="0" w:color="auto"/>
            <w:left w:val="none" w:sz="0" w:space="0" w:color="auto"/>
            <w:bottom w:val="none" w:sz="0" w:space="0" w:color="auto"/>
            <w:right w:val="none" w:sz="0" w:space="0" w:color="auto"/>
          </w:divBdr>
        </w:div>
      </w:divsChild>
    </w:div>
    <w:div w:id="315301268">
      <w:bodyDiv w:val="1"/>
      <w:marLeft w:val="0"/>
      <w:marRight w:val="0"/>
      <w:marTop w:val="0"/>
      <w:marBottom w:val="0"/>
      <w:divBdr>
        <w:top w:val="none" w:sz="0" w:space="0" w:color="auto"/>
        <w:left w:val="none" w:sz="0" w:space="0" w:color="auto"/>
        <w:bottom w:val="none" w:sz="0" w:space="0" w:color="auto"/>
        <w:right w:val="none" w:sz="0" w:space="0" w:color="auto"/>
      </w:divBdr>
      <w:divsChild>
        <w:div w:id="283469365">
          <w:marLeft w:val="0"/>
          <w:marRight w:val="0"/>
          <w:marTop w:val="0"/>
          <w:marBottom w:val="150"/>
          <w:divBdr>
            <w:top w:val="none" w:sz="0" w:space="0" w:color="auto"/>
            <w:left w:val="none" w:sz="0" w:space="0" w:color="auto"/>
            <w:bottom w:val="none" w:sz="0" w:space="0" w:color="auto"/>
            <w:right w:val="none" w:sz="0" w:space="0" w:color="auto"/>
          </w:divBdr>
        </w:div>
      </w:divsChild>
    </w:div>
    <w:div w:id="584846151">
      <w:bodyDiv w:val="1"/>
      <w:marLeft w:val="0"/>
      <w:marRight w:val="0"/>
      <w:marTop w:val="0"/>
      <w:marBottom w:val="0"/>
      <w:divBdr>
        <w:top w:val="none" w:sz="0" w:space="0" w:color="auto"/>
        <w:left w:val="none" w:sz="0" w:space="0" w:color="auto"/>
        <w:bottom w:val="none" w:sz="0" w:space="0" w:color="auto"/>
        <w:right w:val="none" w:sz="0" w:space="0" w:color="auto"/>
      </w:divBdr>
      <w:divsChild>
        <w:div w:id="1738435889">
          <w:marLeft w:val="0"/>
          <w:marRight w:val="0"/>
          <w:marTop w:val="0"/>
          <w:marBottom w:val="150"/>
          <w:divBdr>
            <w:top w:val="none" w:sz="0" w:space="0" w:color="auto"/>
            <w:left w:val="none" w:sz="0" w:space="0" w:color="auto"/>
            <w:bottom w:val="none" w:sz="0" w:space="0" w:color="auto"/>
            <w:right w:val="none" w:sz="0" w:space="0" w:color="auto"/>
          </w:divBdr>
        </w:div>
      </w:divsChild>
    </w:div>
    <w:div w:id="926695993">
      <w:bodyDiv w:val="1"/>
      <w:marLeft w:val="0"/>
      <w:marRight w:val="0"/>
      <w:marTop w:val="0"/>
      <w:marBottom w:val="0"/>
      <w:divBdr>
        <w:top w:val="none" w:sz="0" w:space="0" w:color="auto"/>
        <w:left w:val="none" w:sz="0" w:space="0" w:color="auto"/>
        <w:bottom w:val="none" w:sz="0" w:space="0" w:color="auto"/>
        <w:right w:val="none" w:sz="0" w:space="0" w:color="auto"/>
      </w:divBdr>
      <w:divsChild>
        <w:div w:id="1684743369">
          <w:marLeft w:val="0"/>
          <w:marRight w:val="0"/>
          <w:marTop w:val="0"/>
          <w:marBottom w:val="150"/>
          <w:divBdr>
            <w:top w:val="none" w:sz="0" w:space="0" w:color="auto"/>
            <w:left w:val="none" w:sz="0" w:space="0" w:color="auto"/>
            <w:bottom w:val="none" w:sz="0" w:space="0" w:color="auto"/>
            <w:right w:val="none" w:sz="0" w:space="0" w:color="auto"/>
          </w:divBdr>
        </w:div>
      </w:divsChild>
    </w:div>
    <w:div w:id="951090019">
      <w:bodyDiv w:val="1"/>
      <w:marLeft w:val="0"/>
      <w:marRight w:val="0"/>
      <w:marTop w:val="0"/>
      <w:marBottom w:val="0"/>
      <w:divBdr>
        <w:top w:val="none" w:sz="0" w:space="0" w:color="auto"/>
        <w:left w:val="none" w:sz="0" w:space="0" w:color="auto"/>
        <w:bottom w:val="none" w:sz="0" w:space="0" w:color="auto"/>
        <w:right w:val="none" w:sz="0" w:space="0" w:color="auto"/>
      </w:divBdr>
      <w:divsChild>
        <w:div w:id="1978099791">
          <w:marLeft w:val="0"/>
          <w:marRight w:val="0"/>
          <w:marTop w:val="0"/>
          <w:marBottom w:val="150"/>
          <w:divBdr>
            <w:top w:val="none" w:sz="0" w:space="0" w:color="auto"/>
            <w:left w:val="none" w:sz="0" w:space="0" w:color="auto"/>
            <w:bottom w:val="none" w:sz="0" w:space="0" w:color="auto"/>
            <w:right w:val="none" w:sz="0" w:space="0" w:color="auto"/>
          </w:divBdr>
        </w:div>
      </w:divsChild>
    </w:div>
    <w:div w:id="993526198">
      <w:bodyDiv w:val="1"/>
      <w:marLeft w:val="0"/>
      <w:marRight w:val="0"/>
      <w:marTop w:val="0"/>
      <w:marBottom w:val="0"/>
      <w:divBdr>
        <w:top w:val="none" w:sz="0" w:space="0" w:color="auto"/>
        <w:left w:val="none" w:sz="0" w:space="0" w:color="auto"/>
        <w:bottom w:val="none" w:sz="0" w:space="0" w:color="auto"/>
        <w:right w:val="none" w:sz="0" w:space="0" w:color="auto"/>
      </w:divBdr>
    </w:div>
    <w:div w:id="1642617985">
      <w:bodyDiv w:val="1"/>
      <w:marLeft w:val="0"/>
      <w:marRight w:val="0"/>
      <w:marTop w:val="0"/>
      <w:marBottom w:val="0"/>
      <w:divBdr>
        <w:top w:val="none" w:sz="0" w:space="0" w:color="auto"/>
        <w:left w:val="none" w:sz="0" w:space="0" w:color="auto"/>
        <w:bottom w:val="none" w:sz="0" w:space="0" w:color="auto"/>
        <w:right w:val="none" w:sz="0" w:space="0" w:color="auto"/>
      </w:divBdr>
      <w:divsChild>
        <w:div w:id="2112433504">
          <w:marLeft w:val="0"/>
          <w:marRight w:val="0"/>
          <w:marTop w:val="0"/>
          <w:marBottom w:val="150"/>
          <w:divBdr>
            <w:top w:val="none" w:sz="0" w:space="0" w:color="auto"/>
            <w:left w:val="none" w:sz="0" w:space="0" w:color="auto"/>
            <w:bottom w:val="none" w:sz="0" w:space="0" w:color="auto"/>
            <w:right w:val="none" w:sz="0" w:space="0" w:color="auto"/>
          </w:divBdr>
        </w:div>
      </w:divsChild>
    </w:div>
    <w:div w:id="1841041597">
      <w:bodyDiv w:val="1"/>
      <w:marLeft w:val="0"/>
      <w:marRight w:val="0"/>
      <w:marTop w:val="0"/>
      <w:marBottom w:val="0"/>
      <w:divBdr>
        <w:top w:val="none" w:sz="0" w:space="0" w:color="auto"/>
        <w:left w:val="none" w:sz="0" w:space="0" w:color="auto"/>
        <w:bottom w:val="none" w:sz="0" w:space="0" w:color="auto"/>
        <w:right w:val="none" w:sz="0" w:space="0" w:color="auto"/>
      </w:divBdr>
    </w:div>
    <w:div w:id="1883206481">
      <w:bodyDiv w:val="1"/>
      <w:marLeft w:val="0"/>
      <w:marRight w:val="0"/>
      <w:marTop w:val="0"/>
      <w:marBottom w:val="0"/>
      <w:divBdr>
        <w:top w:val="none" w:sz="0" w:space="0" w:color="auto"/>
        <w:left w:val="none" w:sz="0" w:space="0" w:color="auto"/>
        <w:bottom w:val="none" w:sz="0" w:space="0" w:color="auto"/>
        <w:right w:val="none" w:sz="0" w:space="0" w:color="auto"/>
      </w:divBdr>
      <w:divsChild>
        <w:div w:id="756175333">
          <w:marLeft w:val="0"/>
          <w:marRight w:val="0"/>
          <w:marTop w:val="0"/>
          <w:marBottom w:val="150"/>
          <w:divBdr>
            <w:top w:val="none" w:sz="0" w:space="0" w:color="auto"/>
            <w:left w:val="none" w:sz="0" w:space="0" w:color="auto"/>
            <w:bottom w:val="none" w:sz="0" w:space="0" w:color="auto"/>
            <w:right w:val="none" w:sz="0" w:space="0" w:color="auto"/>
          </w:divBdr>
        </w:div>
      </w:divsChild>
    </w:div>
    <w:div w:id="1952780164">
      <w:bodyDiv w:val="1"/>
      <w:marLeft w:val="0"/>
      <w:marRight w:val="0"/>
      <w:marTop w:val="0"/>
      <w:marBottom w:val="0"/>
      <w:divBdr>
        <w:top w:val="none" w:sz="0" w:space="0" w:color="auto"/>
        <w:left w:val="none" w:sz="0" w:space="0" w:color="auto"/>
        <w:bottom w:val="none" w:sz="0" w:space="0" w:color="auto"/>
        <w:right w:val="none" w:sz="0" w:space="0" w:color="auto"/>
      </w:divBdr>
    </w:div>
    <w:div w:id="1985742497">
      <w:bodyDiv w:val="1"/>
      <w:marLeft w:val="0"/>
      <w:marRight w:val="0"/>
      <w:marTop w:val="0"/>
      <w:marBottom w:val="0"/>
      <w:divBdr>
        <w:top w:val="none" w:sz="0" w:space="0" w:color="auto"/>
        <w:left w:val="none" w:sz="0" w:space="0" w:color="auto"/>
        <w:bottom w:val="none" w:sz="0" w:space="0" w:color="auto"/>
        <w:right w:val="none" w:sz="0" w:space="0" w:color="auto"/>
      </w:divBdr>
      <w:divsChild>
        <w:div w:id="1938782773">
          <w:marLeft w:val="0"/>
          <w:marRight w:val="0"/>
          <w:marTop w:val="0"/>
          <w:marBottom w:val="150"/>
          <w:divBdr>
            <w:top w:val="none" w:sz="0" w:space="0" w:color="auto"/>
            <w:left w:val="none" w:sz="0" w:space="0" w:color="auto"/>
            <w:bottom w:val="none" w:sz="0" w:space="0" w:color="auto"/>
            <w:right w:val="none" w:sz="0" w:space="0" w:color="auto"/>
          </w:divBdr>
        </w:div>
      </w:divsChild>
    </w:div>
    <w:div w:id="2063481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0BB04ED4AA947A59A9FCA0DBA454F97"/>
        <w:category>
          <w:name w:val="General"/>
          <w:gallery w:val="placeholder"/>
        </w:category>
        <w:types>
          <w:type w:val="bbPlcHdr"/>
        </w:types>
        <w:behaviors>
          <w:behavior w:val="content"/>
        </w:behaviors>
        <w:guid w:val="{E9D3EB56-A73B-4CDA-9B6E-DD28E9FF3EB4}"/>
      </w:docPartPr>
      <w:docPartBody>
        <w:p w:rsidR="00000000" w:rsidRDefault="00971D59" w:rsidP="00971D59">
          <w:pPr>
            <w:pStyle w:val="20BB04ED4AA947A59A9FCA0DBA454F97"/>
          </w:pPr>
          <w:r>
            <w:rPr>
              <w:rFonts w:asciiTheme="majorHAnsi" w:eastAsiaTheme="majorEastAsia" w:hAnsiTheme="majorHAnsi" w:cstheme="majorBidi"/>
              <w:caps/>
              <w:color w:val="4472C4" w:themeColor="accent1"/>
              <w:sz w:val="80"/>
              <w:szCs w:val="80"/>
            </w:rPr>
            <w:t>[Document title]</w:t>
          </w:r>
        </w:p>
      </w:docPartBody>
    </w:docPart>
    <w:docPart>
      <w:docPartPr>
        <w:name w:val="C3E7CB5BD92945B18FEA560BEB5564A9"/>
        <w:category>
          <w:name w:val="General"/>
          <w:gallery w:val="placeholder"/>
        </w:category>
        <w:types>
          <w:type w:val="bbPlcHdr"/>
        </w:types>
        <w:behaviors>
          <w:behavior w:val="content"/>
        </w:behaviors>
        <w:guid w:val="{67721FB8-3DE2-4790-908E-D2FC2F03940F}"/>
      </w:docPartPr>
      <w:docPartBody>
        <w:p w:rsidR="00000000" w:rsidRDefault="00971D59" w:rsidP="00971D59">
          <w:pPr>
            <w:pStyle w:val="C3E7CB5BD92945B18FEA560BEB5564A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D59"/>
    <w:rsid w:val="00971D59"/>
    <w:rsid w:val="00BD1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BB04ED4AA947A59A9FCA0DBA454F97">
    <w:name w:val="20BB04ED4AA947A59A9FCA0DBA454F97"/>
    <w:rsid w:val="00971D59"/>
  </w:style>
  <w:style w:type="paragraph" w:customStyle="1" w:styleId="C3E7CB5BD92945B18FEA560BEB5564A9">
    <w:name w:val="C3E7CB5BD92945B18FEA560BEB5564A9"/>
    <w:rsid w:val="00971D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name: nikolinka nedelcheva</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5</Pages>
  <Words>1606</Words>
  <Characters>9156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10741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LCBB6002 International financial management - essay</dc:title>
  <dc:subject>MODULE LEADER: Dr. Taye Timothy Osadiya</dc:subject>
  <cp:keywords/>
  <dc:description/>
  <cp:revision>2</cp:revision>
  <dcterms:created xsi:type="dcterms:W3CDTF">2024-01-01T22:12:00Z</dcterms:created>
  <dcterms:modified xsi:type="dcterms:W3CDTF">2024-01-01T22:42:00Z</dcterms:modified>
</cp:coreProperties>
</file>