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default" w:ascii="Times New Roman" w:hAnsi="Times New Roman" w:cs="Times New Roman"/>
          <w:b/>
          <w:bCs/>
          <w:sz w:val="28"/>
          <w:szCs w:val="28"/>
        </w:rPr>
      </w:pPr>
      <w:r>
        <w:rPr>
          <w:rFonts w:hint="default" w:ascii="Times New Roman" w:hAnsi="Times New Roman" w:cs="Times New Roman"/>
          <w:b/>
          <w:bCs/>
          <w:sz w:val="28"/>
          <w:szCs w:val="28"/>
        </w:rPr>
        <w:t>Exploring the Differences Between Native and Non-Native Speakers of English: Implications for the Position of Non-Native Teachers of English</w:t>
      </w:r>
    </w:p>
    <w:p>
      <w:pPr>
        <w:pStyle w:val="3"/>
        <w:pageBreakBefore w:val="0"/>
        <w:kinsoku/>
        <w:wordWrap/>
        <w:overflowPunct/>
        <w:topLinePunct w:val="0"/>
        <w:autoSpaceDE/>
        <w:autoSpaceDN/>
        <w:bidi w:val="0"/>
        <w:adjustRightInd/>
        <w:snapToGrid/>
        <w:spacing w:before="0" w:beforeLines="0" w:after="0" w:afterLines="0" w:line="360" w:lineRule="auto"/>
        <w:ind w:left="42" w:leftChars="20" w:right="42" w:rightChars="2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I. Introduction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 xml:space="preserve">Péter (1992) discusses many viewpoints on the distinction between native and non-native English speakers, such as language competency, teaching behavior, conceptual alternatives, and the sociolinguistic </w:t>
      </w:r>
      <w:bookmarkStart w:id="0" w:name="_GoBack"/>
      <w:bookmarkEnd w:id="0"/>
      <w:r>
        <w:rPr>
          <w:rFonts w:hint="default" w:ascii="Times New Roman" w:hAnsi="Times New Roman" w:eastAsia="宋体" w:cs="Times New Roman"/>
          <w:color w:val="auto"/>
          <w:kern w:val="0"/>
          <w:sz w:val="28"/>
          <w:szCs w:val="28"/>
          <w:highlight w:val="none"/>
          <w:lang w:val="en-US" w:eastAsia="zh-CN" w:bidi="ar"/>
        </w:rPr>
        <w:t>perspective. According to Péter (1992), non-native speakers may struggle to develop native-like language competence. However, his article implies that both native and non-native speakers have equal possibilities to thrive as teachers, albeit via distinct paths. While there are disparities in the teaching styles of native and non-native English teachers, this does not mean that non-native teachers are intrinsically less efficient. Alternative words such as "more or less accomplished users of English" have been proposed to replace the standard native and non-native speaker categories. The distinction between native and non-native speakers is contested, particularly in nations where English is a second language, challenging the traditional binary definition. These findings highlight the complexities of categorizing individuals based on their native or non-native speaker status in the field of English language instruction.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Lasagabaster and Sierra (2002) explore the significance of knowing the distinctions between native and non-native English speakers in the context of English language instruction. Their study investigates university students' attitudes toward NSTs and NNSTs in several elements of language teaching, including language skills, grammar, vocabulary, pronunciation, learning methodologies, culture, and attitude. To satisfy students' various needs and preferences, language educators and teacher training programs must first understand these distinctions. Recognizing the strengths and weaknesses of both NSTs and NNSTs allows language teachers to build more effective teaching tactics and establish inclusive learning environments that accommodate to students' diverse learning styles and expectations.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This paper will explore the differences between native and non-native English speakers and explain how they affect the position of non-native English teachers.</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II. Defining Native and Non-Native Speakers of English</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280" w:firstLineChars="10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A native speaker of a language is traditionally described as someone who has spoken it as their first language since birth and was raised in it (Chomsky, 1965). The native speaker was considered to have complete grasp of the language. In contrast, a non-native speaker is someone who studies the target language as a second or foreign language. Cheng et al. (2021) have criticized the classification of native and non-native speakers for its raciolinguistic ideology. For instance, Braine (2010) pointed out that the term native speaker undoubtedly has positive connotations: it denotes a birthright, fluency, cultural affinity, and sociolinguistic competence,the term non-native speaker carries the burden of the minority, of marginalization and stigmatization.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 xml:space="preserve">However, other studies have seen NNEST labeling as a double-edged sword (Selvi, 2014). Even though utilizing the NNEST label may have certain drawbacks, such as demeaning, othering NNESTs, and pointing to a false standard, some regard it as having some positives. This includes admitting the periphery, making it simple to organize against prejudice, leveraging existing identification in the research field, and benefiting the profession. The NNESTs/NESTs classification focuses on challenges in China (Zhang and Zhan, 2014; Fang et al., 2022). </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Kachru et al. (2006) defined native English speakers as those who were born and raised in inner-circle countries such as the United Kingdom, the United States, Anglophone Canada, Australia, and New Zealand, as well as specific outer-circle countries or former British colonies like South Africa and Singapore. This category includes expat English teachers who are considered NESTs. Although many expatriates, known as NNESTs, are qualified to teach English as a foreign language, Chinese institutions prefer to recruit NESTs and native Chinese English speakers who were born and raised in China, and the majority of Chinese scholars use Kachru's definition of NNESTs and NESTs.This study seeks to analyze the differences between NESTs and NNESTs, as well as the ramifications for NNEST positions.Most Chinese EFL institutions utilize this.</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III. Linguistic Proficiency</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560" w:firstLineChars="20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Linguistic proficiency is important in shaping the effectiveness and perceived credibility of English language teachers. Native English speakers are frequently distinguished by their intrinsic, native-like fluency and accent, which have been developed during years of exposure to the language since birth. This fluency and accent are commonly regarded as indicators of linguistic authenticity and proficiency, improving native speakers' trustworthiness in the eyes of both learners and colleagues(Elyas and Alghofaili,2019).</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Non-native English speakers, on the other hand, have a wide range of linguistic competency levels and accents, which reflect their unique language learning backgrounds and experiences(Medgyes,2001). While some non-native speakers can achieve near-native fluency and accents through extended immersion or formal schooling, others may still have obvious accents or occasional grammatical mistakes. Despite these disparities, non-native speakers provide new perspectives and insights to language education, based on their own language learning and cross-cultural experiences.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The influence of linguistic skill on instructional effectiveness and perceived trustworthiness is multidimensional(Elyas and Alghofaili,2019). Native speakers' native-like fluency and accent may aid smoother communication and comprehension in the classroom, adding to the perceived authority and authenticity of language instruction. However, it is critical to understand that linguistic proficiency does not ensure effective instruction. Non-native speakers, despite differences in fluency and accent, can flourish as instructors due to their pedagogical abilities, cultural sensitivity, and empathy for language learners.</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Furthermore, the perceived credibility of non-native speakers is becoming more recognized and valued in the field of English language instruction(Deng, Zhang and Mohamed 2023). Non-native speakers are increasingly being recognized for their distinctive contributions to language instruction as the limitations of native-speakerism and the importance of linguistic variety become more widely understood. Finally, both native and non-native speakers have the ability to flourish as language educators, bringing unique views and talents to the classroom. By embracing linguistic diversity and recognizing educators based on their teaching talents rather than their native status, English language teachers may create more inclusive and effective learning environments for all.</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IV. Cultural Awareness and Sensitivity</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560" w:firstLineChars="20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Cultural knowledge and sensitivity are critical components of good English language teaching, whether the educator is a native or non-native speaker of English. Native speakers frequently have cultural awareness and follow native cultural norms, which can help them connect with pupils from similar backgrounds and express cultural nuances in language use (Verdugo, 2006). Non-native speakers, on the other hand, may demonstrate cross-cultural knowledge and sensitivity based on their experience navigating cultural disparities in language learning and communication. Their unique perspective enables them to overcome cultural divides and foster meaningful interactions in a variety of school situations(Verdugo, 2006).</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Segoe UI" w:cs="Times New Roman"/>
          <w:i w:val="0"/>
          <w:iCs w:val="0"/>
          <w:caps w:val="0"/>
          <w:color w:val="auto"/>
          <w:spacing w:val="0"/>
          <w:sz w:val="28"/>
          <w:szCs w:val="28"/>
          <w:highlight w:val="none"/>
          <w:shd w:val="clear" w:fill="FFFFFF"/>
        </w:rPr>
      </w:pPr>
      <w:r>
        <w:rPr>
          <w:rFonts w:hint="default" w:ascii="Times New Roman" w:hAnsi="Times New Roman" w:eastAsia="宋体" w:cs="Times New Roman"/>
          <w:color w:val="auto"/>
          <w:kern w:val="0"/>
          <w:sz w:val="28"/>
          <w:szCs w:val="28"/>
          <w:highlight w:val="none"/>
          <w:lang w:val="en-US" w:eastAsia="zh-CN" w:bidi="ar"/>
        </w:rPr>
        <w:t>Regardless of linguistic background, cultural knowledge is critical for developing inclusive and effective learning settings. Culturally aware educators can understand and appreciate their pupils' diverse backgrounds, beliefs, and values. They can use culturally appropriate resources and instructional methods to build a sense of belonging and acceptance among all students.</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Furthermore, cultural awareness helps educators negotiate potential cultural misunderstandings or conflicts in the classroom, encouraging open communication and mutual understanding among students from various cultural origins(Verdugo, 2006). Educators may improve student engagement, boost intercultural communication skills, and prepare students to negotiate the complexities of our interconnected world by creating a culturally responsive learning environment. Finally, cultural understanding and sensitivity are essential for developing inclusive and effective English language teaching environments that value variety and foster mutual respect among students.</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V. Identity and Stereotypes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280" w:firstLineChars="100"/>
        <w:jc w:val="both"/>
        <w:textAlignment w:val="auto"/>
        <w:rPr>
          <w:rFonts w:hint="default" w:ascii="Times New Roman" w:hAnsi="Times New Roman" w:eastAsia="Segoe UI" w:cs="Times New Roman"/>
          <w:i w:val="0"/>
          <w:iCs w:val="0"/>
          <w:caps w:val="0"/>
          <w:color w:val="auto"/>
          <w:spacing w:val="0"/>
          <w:sz w:val="28"/>
          <w:szCs w:val="28"/>
          <w:highlight w:val="none"/>
          <w:shd w:val="clear" w:fill="FFFFFF"/>
        </w:rPr>
      </w:pPr>
      <w:r>
        <w:rPr>
          <w:rFonts w:hint="default" w:ascii="Times New Roman" w:hAnsi="Times New Roman" w:eastAsia="宋体" w:cs="Times New Roman"/>
          <w:color w:val="auto"/>
          <w:kern w:val="0"/>
          <w:sz w:val="28"/>
          <w:szCs w:val="28"/>
          <w:highlight w:val="none"/>
          <w:lang w:val="en-US" w:eastAsia="zh-CN" w:bidi="ar"/>
        </w:rPr>
        <w:t>Identity and stereotypes significantly influence the experiences and perceptions of English language teachers, both native and non-native speakers alike(Kemaloglu-Er and Lowe,2023). Native speakers frequently have an established identity associated with their status as native English speakers, which can result in certain privileges and preconceptions about linguistic competency and cultural authenticity. This identity is frequently viewed positively, instilling native speakers with confidence in their language skills and perceived credibility as educators.</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Non-native English speakers, on the other hand, may experience identification issues as well as preconceptions that impede their professional effectiveness (Peirce, 1995). The label "non-native speaker" might imply linguistic inadequacy or cultural otherness, causing sentiments of marginalization and shame. These problems can erode teacher confidence and reinforce unfavorable preconceptions, affecting both professional self-esteem and student views of instructional efficacy.</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Identity and stereotypes  have a significant impact on both teacher confidence and student stereotypes . A strong sense of identity can boost native speakers' confidence in their teaching abilities while also fostering good student views of linguistic authenticity and cultural awareness. Non-native speakers, on the other hand, may experience imposter syndrome and internalized biases, which can cause self-doubt and increased sensitivity to perceived evaluations from students and coworkers.</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 xml:space="preserve">Additionally, student views of teacher identity might impact classroom dynamics and learning outcomes(Lawrence,2020). Positive impressions of native speakers may increase student engagement and motivation, whereas unfavorable stereotypes of non-native speakers may undermine students' trust in the teacher's linguistic ability and teaching efficacy. </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In conclusion, identity and stereotypes have a substantial impact on both native and non-native English language teachers, impacting both confidence and student perceptions in the classroom(Kemaloglu-Er and Lowe,2023) . Recognizing and addressing the obstacles that non-native speakers have, promoting cultural diversity and tolerance, and creating a supportive learning environment can all assist to reduce the harmful effects of stereotypes and improve teaching effectiveness for all educators.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However,Norton (2000, 2013) did study on teacher and learner identity established a poststructuralist paradigm that recognizes instructors' identities as fluid and context-dependent. This approach views identities as socially formed through interaction rather than innate or genetically determined (Weedon, 1997). Gender, sexuality, and position as a native speaker or non-native speaker are subjective characteristics of teacher identity, shaped by societal forces. These social processes involve interaction with others, which permits components of our identities to be displayed and acted, as well as forced on us by others. This definition defines identity in terms of who people are to each other, and how different kinds of identities are produced in spoken interaction and written texts (Block, 2007; Peirce, 1995).</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The study by Luke Lawrence(2020) primarily focuses on the identity construction of English teachers in Japan within institutional interactions. It examines how teachers navigate and challenge the traditional distinctions between 'native' and 'non-native' speaker identities in the English language teaching context. The study employs a Linguistic Ethnographic framework to explore the agency of teachers in shaping their professional identities and resisting stereotypical categorizations based on language proficiency. Through detailed analysis and examples, the research sheds light on the nuanced ways in which English teachers in Japan negotiate their identities in relation to their students and the educational institution.Furthermore, the study emphasizes that, while institutional perceptions may limit the development of teacher identities based on language proficiency, there is still room for individual agency and resistance at the interactional level, where teachers can actively shape their professional identities in ways that go beyond simplistic categorizations.According to Lawrence (2020), non-native English teachers navigate institutional expectations, assert their agency in interactions with students, and challenge traditional views of language fluency and teaching competence.</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VI. Pedagogical Approaches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cs="Times New Roman"/>
          <w:color w:val="auto"/>
          <w:sz w:val="28"/>
          <w:szCs w:val="28"/>
          <w:highlight w:val="none"/>
        </w:rPr>
        <w:t xml:space="preserve">   </w:t>
      </w:r>
      <w:r>
        <w:rPr>
          <w:rFonts w:hint="default" w:ascii="Times New Roman" w:hAnsi="Times New Roman" w:eastAsia="宋体" w:cs="Times New Roman"/>
          <w:color w:val="auto"/>
          <w:kern w:val="0"/>
          <w:sz w:val="28"/>
          <w:szCs w:val="28"/>
          <w:highlight w:val="none"/>
          <w:lang w:val="en-US" w:eastAsia="zh-CN" w:bidi="ar"/>
        </w:rPr>
        <w:t xml:space="preserve">Pedagogical techniques in English language teaching are affected by a variety of factors, including educators' language learning experiences, the use of various teaching strategies, and the customization of teaching methods to fit the requirements of varied students. </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Non-native English speakers frequently base their teaching methods on their personal language learning experiences</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(Deng, Zhang and Mohamed, 2023). Non-native speakers who have firsthand experience with the challenges and accomplishments of language acquisition can draw on a variety of strategies and techniques that have proven beneficial in their own learning path. This intimate grasp of the language learning process enables non-native speakers to empathize with their students' difficulties and modify their teaching methods accordingly, including tactics that increase language acquisition and comprehension.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Furthermore, effective English language education necessitates the use of several pedagogical approaches and strategies. Educators must move beyond standard lecture-style instruction and adopt new ways that address their students' different needs and learning styles(Elyas,2019). This may entail incorporating technology-enhanced learning tools, collaborative group activities, communicative language teaching methods, and task-based learning activities into lesson planning. Educators can encourage student engagement and language acquisition by providing a variety of interesting and interactive learning activities in the classroom(Selvi, 2014).</w:t>
      </w:r>
      <w:r>
        <w:rPr>
          <w:rFonts w:hint="eastAsia" w:ascii="Times New Roman" w:hAnsi="Times New Roman" w:eastAsia="宋体" w:cs="Times New Roman"/>
          <w:color w:val="auto"/>
          <w:kern w:val="0"/>
          <w:sz w:val="28"/>
          <w:szCs w:val="28"/>
          <w:highlight w:val="none"/>
          <w:lang w:val="en-US" w:eastAsia="zh-CN" w:bidi="ar"/>
        </w:rPr>
        <w:t xml:space="preserve"> </w:t>
      </w:r>
      <w:r>
        <w:rPr>
          <w:rFonts w:hint="default" w:ascii="Times New Roman" w:hAnsi="Times New Roman" w:eastAsia="宋体" w:cs="Times New Roman"/>
          <w:color w:val="auto"/>
          <w:kern w:val="0"/>
          <w:sz w:val="28"/>
          <w:szCs w:val="28"/>
          <w:highlight w:val="none"/>
          <w:lang w:val="en-US" w:eastAsia="zh-CN" w:bidi="ar"/>
        </w:rPr>
        <w:t>Moreover, customization of teaching approaches is required to meet the demands of varied learners. English language courses frequently include pupils of various competence levels, learning methods, and cultural backgrounds. Educators must be capable of adapting their teaching methods to accommodate these variances, offering extra help and scaffolding for failing students while challenging more advanced pupils(Elyas,2019). This could include differentiating instruction, providing individualized feedback, and creating a supportive learning environment in which all students feel valued and included.</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Segoe UI" w:cs="Times New Roman"/>
          <w:i w:val="0"/>
          <w:iCs w:val="0"/>
          <w:caps w:val="0"/>
          <w:color w:val="auto"/>
          <w:spacing w:val="0"/>
          <w:sz w:val="28"/>
          <w:szCs w:val="28"/>
          <w:highlight w:val="none"/>
          <w:shd w:val="clear" w:fill="FFFFFF"/>
        </w:rPr>
      </w:pPr>
      <w:r>
        <w:rPr>
          <w:rFonts w:hint="default" w:ascii="Times New Roman" w:hAnsi="Times New Roman" w:eastAsia="宋体" w:cs="Times New Roman"/>
          <w:color w:val="auto"/>
          <w:kern w:val="0"/>
          <w:sz w:val="28"/>
          <w:szCs w:val="28"/>
          <w:highlight w:val="none"/>
          <w:lang w:val="en-US" w:eastAsia="zh-CN" w:bidi="ar"/>
        </w:rPr>
        <w:t>To summarize, effective English language teaching requires non-native speakers to draw on their own language learning experiences, include varied pedagogical techniques, and adjust teaching methods to fit the requirements of diverse learners. Educators may develop dynamic and inclusive learning environments that enable students to attain their language learning objectives by using their unique insights and implementing creative teaching tactics(Elyas,2019).</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VII. Professional Development and Recognition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560" w:firstLineChars="20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 xml:space="preserve">English language teachers, whether native or non-native speakers, must prioritize professional development and recognition in order to advance in their careers and find job happiness. However, access to these chances and recognition in the profession can vary depending on linguistic background. </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firstLine="560" w:firstLineChars="20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Native English speakers frequently find easier paths to professional success because of their perceived language proficiency, cultural familiarity, and the inherent legitimacy that comes with being regarded a language expert. They are usually offered personalized mentorship programs, specialized workshops, and opportunities to attend conferences and advanced training courses. Furthermore, their status as native speakers may increase their exposure and respect in the profession. Non-native English-speaking teachers (NNESTs) may face challenges to professional growth and recognition. These barriers may include high language competency requirements, cultural biases, and discriminatory hiring practices that limit their access to training and employment opportunities. The prominence of native speakerism exacerbates these issues, creating the notion that NNESTs are less qualified or competent than their native counterparts.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Saba and Frangieh's (2021) study throws light on the special issues that NNESTs confront in the field of English Language Teaching (ELT), notably at English-medium universities in the UAE. Their findings highlight how the dominance of native speaker ideology fosters feelings of marginalization, low self-esteem, and insecurity among NNEST. Using Critical Theory, the study investigates how linguistic power, authority, and culture interact to construct NNESTs' professional identities, exposing the discriminatory attitudes common in the ELT field. Their study found that NNESTs frequently experience employability anxiety, job security concerns, and a pervasive sense of isolation in prominent academic contexts. The preference for Native English-Speaking Teachers (NESTs) in hiring methods exacerbates NNESTs' difficulties in obtaining higher-level positions and career growth possibilities. Furthermore, NNESTs face a difficult path in creating their professional identities, dealing with emotions of inadequacy, unworthiness, and lack of confidence as compared to their NEST counterparts.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However, Saba and Frangieh's (2021)also reveals opportunities to strengthen NNESTs and advocate for their fair treatment in the ELT profession. Suggestions include modifying recruiting rules to offer equitable chances for NNESTs, disputing comparisons to NESTs, and supporting narrative-based techniques to help NNESTs express themselves and build their identities. By confronting discriminatory attitudes and cultivating a culture of respect and inclusion, the ELT community can create a more supportive and equal workplace for all instructors, regardless of linguistic background.</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 xml:space="preserve">It is critical to acknowledge the value of equal assistance and appreciation for all English language teachers. Institutions can build inclusive professional development programs that meet the needs of all educators by recognizing the varied strengths and views that both native and non-native speakers contribute to the field. This could include providing language improvement courses for non-native speakers, encouraging cultural diversity and sensitivity training, and providing mentorship and leadership chances regardless of linguistic background(Saba and Frangieh, 2021). </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sans-serif" w:cs="Times New Roman"/>
          <w:i w:val="0"/>
          <w:iCs w:val="0"/>
          <w:caps w:val="0"/>
          <w:color w:val="auto"/>
          <w:spacing w:val="0"/>
          <w:sz w:val="28"/>
          <w:szCs w:val="28"/>
          <w:highlight w:val="none"/>
          <w:shd w:val="clear" w:fill="FFFFFF"/>
        </w:rPr>
      </w:pPr>
      <w:r>
        <w:rPr>
          <w:rFonts w:hint="default" w:ascii="Times New Roman" w:hAnsi="Times New Roman" w:eastAsia="宋体" w:cs="Times New Roman"/>
          <w:color w:val="auto"/>
          <w:kern w:val="0"/>
          <w:sz w:val="28"/>
          <w:szCs w:val="28"/>
          <w:highlight w:val="none"/>
          <w:lang w:val="en-US" w:eastAsia="zh-CN" w:bidi="ar"/>
        </w:rPr>
        <w:t>Furthermore, equal recognition of teaching excellence and contributions to the field is critical to building a supportive and inclusive professional community(Saba and Frangieh, 2021). Institutions and organizations should actively oppose native speaker ideology and advocate for fair and open evaluation methods that prioritize instructional efficacy, innovation, and dedication to student achievement over linguistic identity.</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Finally, equal access to professional development opportunities and recognition is critical to promoting the growth and success of all English language instructors. By removing barriers to professional growth and supporting inclusive practices, the sector may tap into the collective expertise and ability of native and non-native speakers to provide engaging learning experiences for students globally.</w:t>
      </w:r>
    </w:p>
    <w:p>
      <w:pPr>
        <w:pageBreakBefore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b/>
          <w:bCs/>
          <w:color w:val="auto"/>
          <w:sz w:val="28"/>
          <w:szCs w:val="28"/>
          <w:highlight w:val="none"/>
        </w:rPr>
        <w:t>VIII. Conclusion</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cs="Times New Roman"/>
          <w:color w:val="auto"/>
          <w:sz w:val="28"/>
          <w:szCs w:val="28"/>
          <w:highlight w:val="none"/>
        </w:rPr>
        <w:t xml:space="preserve">  </w:t>
      </w:r>
      <w:r>
        <w:rPr>
          <w:rFonts w:hint="default" w:ascii="Times New Roman" w:hAnsi="Times New Roman" w:eastAsia="宋体" w:cs="Times New Roman"/>
          <w:color w:val="auto"/>
          <w:kern w:val="0"/>
          <w:sz w:val="28"/>
          <w:szCs w:val="28"/>
          <w:highlight w:val="none"/>
          <w:lang w:val="en-US" w:eastAsia="zh-CN" w:bidi="ar"/>
        </w:rPr>
        <w:t>Various features of the disparities between native and non-native English speakers, as well as their consequences for English language instruction, have been investigated in this thorough study. Initially, the definitions of native and non-native speakers were examined, stressing the difficulties and conflicts surrounding these classifications, particularly in the context of English language education. The conversation then shifted to the significance of linguistic competency, cultural awareness, and sensitivity in establishing good teaching techniques, highlighting the unique skills and contributions of both native and non-native teachers.</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eastAsia="宋体" w:cs="Times New Roman"/>
          <w:color w:val="auto"/>
          <w:kern w:val="0"/>
          <w:sz w:val="28"/>
          <w:szCs w:val="28"/>
          <w:highlight w:val="none"/>
          <w:lang w:val="en-US" w:eastAsia="zh-CN" w:bidi="ar"/>
        </w:rPr>
      </w:pPr>
      <w:r>
        <w:rPr>
          <w:rFonts w:hint="default" w:ascii="Times New Roman" w:hAnsi="Times New Roman" w:eastAsia="宋体" w:cs="Times New Roman"/>
          <w:color w:val="auto"/>
          <w:kern w:val="0"/>
          <w:sz w:val="28"/>
          <w:szCs w:val="28"/>
          <w:highlight w:val="none"/>
          <w:lang w:val="en-US" w:eastAsia="zh-CN" w:bidi="ar"/>
        </w:rPr>
        <w:t>Furthermore, the impact of identity and stereotypes on teacher confidence and student perceptions was thoroughly examined, providing insight into the intricacies and significance of these issues in the classroom. The conversation addressed the need of recognizing and supporting non-native English-speaking teachers, removing barriers to professional development, and fighting for fair opportunities in the industry.Moreover, the function of pedagogical approaches in English language teaching was investigated, emphasizing the relevance of drawing on personal language learning experiences, including varied tactics, and tailoring teaching methods to match the requirements of diverse learners. Finally, the value of professional development and recognition for all English language instructors, regardless of linguistic origin, was highlighted, emphasizing the importance of cultivating a friendly and inclusive professional community.</w:t>
      </w:r>
    </w:p>
    <w:p>
      <w:pPr>
        <w:keepNext w:val="0"/>
        <w:keepLines w:val="0"/>
        <w:pageBreakBefore w:val="0"/>
        <w:widowControl/>
        <w:suppressLineNumbers w:val="0"/>
        <w:kinsoku/>
        <w:wordWrap/>
        <w:overflowPunct/>
        <w:topLinePunct w:val="0"/>
        <w:autoSpaceDE/>
        <w:autoSpaceDN/>
        <w:bidi w:val="0"/>
        <w:adjustRightInd/>
        <w:snapToGrid/>
        <w:spacing w:line="360" w:lineRule="auto"/>
        <w:ind w:left="42" w:leftChars="20" w:right="42" w:rightChars="20"/>
        <w:jc w:val="both"/>
        <w:textAlignment w:val="auto"/>
        <w:rPr>
          <w:rFonts w:hint="default" w:ascii="Times New Roman" w:hAnsi="Times New Roman" w:cs="Times New Roman"/>
          <w:color w:val="auto"/>
          <w:sz w:val="28"/>
          <w:szCs w:val="28"/>
          <w:highlight w:val="none"/>
        </w:rPr>
      </w:pPr>
      <w:r>
        <w:rPr>
          <w:rFonts w:hint="default" w:ascii="Times New Roman" w:hAnsi="Times New Roman" w:eastAsia="宋体" w:cs="Times New Roman"/>
          <w:color w:val="auto"/>
          <w:kern w:val="0"/>
          <w:sz w:val="28"/>
          <w:szCs w:val="28"/>
          <w:highlight w:val="none"/>
          <w:lang w:val="en-US" w:eastAsia="zh-CN" w:bidi="ar"/>
        </w:rPr>
        <w:t>This study emphasizes the importance of recognizing and accepting linguistic variety in English language education, encouraging inclusive practices, and pushing for equitable opportunities and recognition for all educators. By addressing impediments to professional development, confronting prejudices, and establishing a culture of respect and equality, English language education may promote more helpful and effective learning settings for students all over the world.</w:t>
      </w:r>
    </w:p>
    <w:p>
      <w:pPr>
        <w:rPr>
          <w:rFonts w:hint="eastAsia" w:ascii="Segoe UI" w:hAnsi="Segoe UI" w:eastAsia="Segoe UI" w:cs="Segoe UI"/>
          <w:i w:val="0"/>
          <w:iCs w:val="0"/>
          <w:caps w:val="0"/>
          <w:spacing w:val="0"/>
          <w:sz w:val="28"/>
          <w:szCs w:val="28"/>
          <w:shd w:val="clear" w:fill="FFFFFF"/>
        </w:rPr>
      </w:pPr>
    </w:p>
    <w:p>
      <w:pPr>
        <w:rPr>
          <w:rFonts w:hint="default" w:ascii="Times New Roman" w:hAnsi="Times New Roman" w:eastAsia="宋体" w:cs="Times New Roman"/>
          <w:b/>
          <w:bCs/>
          <w:i w:val="0"/>
          <w:iCs w:val="0"/>
          <w:caps w:val="0"/>
          <w:spacing w:val="0"/>
          <w:sz w:val="28"/>
          <w:szCs w:val="28"/>
          <w:shd w:val="clear" w:fill="FFFFFF"/>
          <w:lang w:val="en-US" w:eastAsia="zh-CN"/>
        </w:rPr>
      </w:pPr>
      <w:r>
        <w:rPr>
          <w:rFonts w:hint="default" w:ascii="Times New Roman" w:hAnsi="Times New Roman" w:eastAsia="宋体" w:cs="Times New Roman"/>
          <w:b/>
          <w:bCs/>
          <w:i w:val="0"/>
          <w:iCs w:val="0"/>
          <w:caps w:val="0"/>
          <w:spacing w:val="0"/>
          <w:sz w:val="28"/>
          <w:szCs w:val="28"/>
          <w:shd w:val="clear" w:fill="FFFFFF"/>
          <w:lang w:val="en-US" w:eastAsia="zh-CN"/>
        </w:rPr>
        <w:t>Word count: 2960</w:t>
      </w:r>
    </w:p>
    <w:p>
      <w:pPr>
        <w:rPr>
          <w:rFonts w:hint="default" w:ascii="Times New Roman" w:hAnsi="Times New Roman" w:eastAsia="宋体" w:cs="Times New Roman"/>
          <w:b/>
          <w:bCs/>
          <w:i w:val="0"/>
          <w:iCs w:val="0"/>
          <w:caps w:val="0"/>
          <w:spacing w:val="0"/>
          <w:sz w:val="28"/>
          <w:szCs w:val="28"/>
          <w:shd w:val="clear" w:fill="FFFFFF"/>
          <w:lang w:val="en-US" w:eastAsia="zh-CN"/>
        </w:rPr>
      </w:pPr>
    </w:p>
    <w:p>
      <w:pPr>
        <w:pStyle w:val="2"/>
        <w:bidi w:val="0"/>
        <w:rPr>
          <w:rFonts w:hint="default" w:ascii="Times New Roman" w:hAnsi="Times New Roman" w:eastAsia="宋体" w:cs="Times New Roman"/>
          <w:color w:val="000000"/>
          <w:kern w:val="0"/>
          <w:sz w:val="28"/>
          <w:szCs w:val="28"/>
          <w:lang w:val="en-US" w:eastAsia="zh-CN" w:bidi="ar"/>
        </w:rPr>
      </w:pPr>
      <w:r>
        <w:rPr>
          <w:rFonts w:hint="default" w:ascii="Times New Roman" w:hAnsi="Times New Roman" w:cs="Times New Roman"/>
          <w:sz w:val="32"/>
          <w:szCs w:val="32"/>
          <w:lang w:val="en-US" w:eastAsia="zh-CN"/>
        </w:rPr>
        <w:t>References</w:t>
      </w:r>
    </w:p>
    <w:p>
      <w:pPr>
        <w:keepNext w:val="0"/>
        <w:keepLines w:val="0"/>
        <w:widowControl/>
        <w:suppressLineNumbers w:val="0"/>
        <w:jc w:val="both"/>
        <w:rPr>
          <w:rFonts w:hint="default" w:ascii="Times New Roman" w:hAnsi="Times New Roman" w:eastAsia="宋体" w:cs="Times New Roman"/>
          <w:color w:val="auto"/>
          <w:kern w:val="0"/>
          <w:sz w:val="28"/>
          <w:szCs w:val="28"/>
          <w:lang w:val="en-US" w:eastAsia="zh-CN" w:bidi="ar"/>
        </w:rPr>
      </w:pPr>
      <w:r>
        <w:rPr>
          <w:rFonts w:hint="default" w:ascii="Times New Roman" w:hAnsi="Times New Roman" w:eastAsia="宋体" w:cs="Times New Roman"/>
          <w:color w:val="auto"/>
          <w:kern w:val="0"/>
          <w:sz w:val="28"/>
          <w:szCs w:val="28"/>
          <w:lang w:val="en-US" w:eastAsia="zh-CN" w:bidi="ar"/>
        </w:rPr>
        <w:t xml:space="preserve">Block, D. (2007). </w:t>
      </w:r>
      <w:r>
        <w:rPr>
          <w:rFonts w:hint="default" w:ascii="Times New Roman" w:hAnsi="Times New Roman" w:eastAsia="宋体" w:cs="Times New Roman"/>
          <w:i/>
          <w:iCs/>
          <w:color w:val="auto"/>
          <w:kern w:val="0"/>
          <w:sz w:val="28"/>
          <w:szCs w:val="28"/>
          <w:lang w:val="en-US" w:eastAsia="zh-CN" w:bidi="ar"/>
        </w:rPr>
        <w:t xml:space="preserve">Second language identities. </w:t>
      </w:r>
      <w:r>
        <w:rPr>
          <w:rFonts w:hint="default" w:ascii="Times New Roman" w:hAnsi="Times New Roman" w:eastAsia="宋体" w:cs="Times New Roman"/>
          <w:color w:val="auto"/>
          <w:kern w:val="0"/>
          <w:sz w:val="28"/>
          <w:szCs w:val="28"/>
          <w:lang w:val="en-US" w:eastAsia="zh-CN" w:bidi="ar"/>
        </w:rPr>
        <w:t xml:space="preserve">London: Continuum. </w:t>
      </w:r>
      <w:r>
        <w:rPr>
          <w:rFonts w:hint="default" w:ascii="Times New Roman" w:hAnsi="Times New Roman" w:eastAsia="MinionPro-Regular" w:cs="Times New Roman"/>
          <w:color w:val="auto"/>
          <w:kern w:val="0"/>
          <w:sz w:val="28"/>
          <w:szCs w:val="28"/>
          <w:lang w:val="en-US" w:eastAsia="zh-CN" w:bidi="ar"/>
        </w:rPr>
        <w:t xml:space="preserve">Braine, G. (2010). </w:t>
      </w:r>
      <w:r>
        <w:rPr>
          <w:rFonts w:hint="default" w:ascii="Times New Roman" w:hAnsi="Times New Roman" w:eastAsia="MinionPro-It" w:cs="Times New Roman"/>
          <w:i/>
          <w:iCs/>
          <w:color w:val="auto"/>
          <w:kern w:val="0"/>
          <w:sz w:val="28"/>
          <w:szCs w:val="28"/>
          <w:lang w:val="en-US" w:eastAsia="zh-CN" w:bidi="ar"/>
        </w:rPr>
        <w:t>Nonnative speaker English teachers: Research, pedagogy, and professional growth.</w:t>
      </w:r>
      <w:r>
        <w:rPr>
          <w:rFonts w:hint="default" w:ascii="Times New Roman" w:hAnsi="Times New Roman" w:eastAsia="MinionPro-Regular" w:cs="Times New Roman"/>
          <w:color w:val="auto"/>
          <w:kern w:val="0"/>
          <w:sz w:val="28"/>
          <w:szCs w:val="28"/>
          <w:lang w:val="en-US" w:eastAsia="zh-CN" w:bidi="ar"/>
        </w:rPr>
        <w:t xml:space="preserve"> New York: Routledge.</w:t>
      </w:r>
    </w:p>
    <w:p>
      <w:pPr>
        <w:keepNext w:val="0"/>
        <w:keepLines w:val="0"/>
        <w:widowControl/>
        <w:suppressLineNumbers w:val="0"/>
        <w:jc w:val="both"/>
        <w:rPr>
          <w:rFonts w:hint="default" w:ascii="Times New Roman" w:hAnsi="Times New Roman" w:eastAsia="MinionPro-Regular" w:cs="Times New Roman"/>
          <w:color w:val="auto"/>
          <w:kern w:val="0"/>
          <w:sz w:val="28"/>
          <w:szCs w:val="28"/>
          <w:lang w:val="en-US" w:eastAsia="zh-CN" w:bidi="ar"/>
        </w:rPr>
      </w:pPr>
      <w:r>
        <w:rPr>
          <w:rFonts w:hint="default" w:ascii="Times New Roman" w:hAnsi="Times New Roman" w:eastAsia="MinionPro-Regular" w:cs="Times New Roman"/>
          <w:color w:val="auto"/>
          <w:kern w:val="0"/>
          <w:sz w:val="28"/>
          <w:szCs w:val="28"/>
          <w:lang w:val="en-US" w:eastAsia="zh-CN" w:bidi="ar"/>
        </w:rPr>
        <w:t xml:space="preserve">Chomsky, N. (1965). </w:t>
      </w:r>
      <w:r>
        <w:rPr>
          <w:rFonts w:hint="default" w:ascii="Times New Roman" w:hAnsi="Times New Roman" w:eastAsia="MinionPro-It" w:cs="Times New Roman"/>
          <w:i/>
          <w:iCs/>
          <w:color w:val="auto"/>
          <w:kern w:val="0"/>
          <w:sz w:val="28"/>
          <w:szCs w:val="28"/>
          <w:lang w:val="en-US" w:eastAsia="zh-CN" w:bidi="ar"/>
        </w:rPr>
        <w:t>Aspects of the theory of syntax</w:t>
      </w:r>
      <w:r>
        <w:rPr>
          <w:rFonts w:hint="eastAsia" w:ascii="Times New Roman" w:hAnsi="Times New Roman" w:eastAsia="MinionPro-It" w:cs="Times New Roman"/>
          <w:i/>
          <w:iCs/>
          <w:color w:val="auto"/>
          <w:kern w:val="0"/>
          <w:sz w:val="28"/>
          <w:szCs w:val="28"/>
          <w:lang w:val="en-US" w:eastAsia="zh-CN" w:bidi="ar"/>
        </w:rPr>
        <w:t xml:space="preserve">. </w:t>
      </w:r>
      <w:r>
        <w:rPr>
          <w:rFonts w:hint="default" w:ascii="Times New Roman" w:hAnsi="Times New Roman" w:eastAsia="MinionPro-Regular" w:cs="Times New Roman"/>
          <w:color w:val="auto"/>
          <w:kern w:val="0"/>
          <w:sz w:val="28"/>
          <w:szCs w:val="28"/>
          <w:lang w:val="en-US" w:eastAsia="zh-CN" w:bidi="ar"/>
        </w:rPr>
        <w:t>Massachusetts: MIT Press.</w:t>
      </w:r>
    </w:p>
    <w:p>
      <w:pPr>
        <w:keepNext w:val="0"/>
        <w:keepLines w:val="0"/>
        <w:widowControl/>
        <w:suppressLineNumbers w:val="0"/>
        <w:jc w:val="both"/>
        <w:rPr>
          <w:rFonts w:hint="default" w:ascii="Times New Roman" w:hAnsi="Times New Roman" w:eastAsia="宋体" w:cs="Times New Roman"/>
          <w:color w:val="auto"/>
          <w:kern w:val="0"/>
          <w:sz w:val="28"/>
          <w:szCs w:val="28"/>
          <w:lang w:val="en-US" w:eastAsia="zh-CN" w:bidi="ar"/>
        </w:rPr>
      </w:pPr>
      <w:r>
        <w:rPr>
          <w:rFonts w:hint="default" w:ascii="Times New Roman" w:hAnsi="Times New Roman" w:eastAsia="宋体" w:cs="Times New Roman"/>
          <w:color w:val="auto"/>
          <w:kern w:val="0"/>
          <w:sz w:val="28"/>
          <w:szCs w:val="28"/>
          <w:lang w:val="en-US" w:eastAsia="zh-CN" w:bidi="ar"/>
        </w:rPr>
        <w:t>Elyas, T.and Alghofaili, N.M. (2019) “N</w:t>
      </w:r>
      <w:r>
        <w:rPr>
          <w:rFonts w:hint="eastAsia" w:ascii="Times New Roman" w:hAnsi="Times New Roman" w:eastAsia="宋体" w:cs="Times New Roman"/>
          <w:color w:val="auto"/>
          <w:kern w:val="0"/>
          <w:sz w:val="28"/>
          <w:szCs w:val="28"/>
          <w:lang w:val="en-US" w:eastAsia="zh-CN" w:bidi="ar"/>
        </w:rPr>
        <w:t>ative</w:t>
      </w:r>
      <w:r>
        <w:rPr>
          <w:rFonts w:hint="default" w:ascii="Times New Roman" w:hAnsi="Times New Roman" w:eastAsia="宋体" w:cs="Times New Roman"/>
          <w:color w:val="auto"/>
          <w:kern w:val="0"/>
          <w:sz w:val="28"/>
          <w:szCs w:val="28"/>
          <w:lang w:val="en-US" w:eastAsia="zh-CN" w:bidi="ar"/>
        </w:rPr>
        <w:t xml:space="preserve"> E</w:t>
      </w:r>
      <w:r>
        <w:rPr>
          <w:rFonts w:hint="eastAsia" w:ascii="Times New Roman" w:hAnsi="Times New Roman" w:eastAsia="宋体" w:cs="Times New Roman"/>
          <w:color w:val="auto"/>
          <w:kern w:val="0"/>
          <w:sz w:val="28"/>
          <w:szCs w:val="28"/>
          <w:lang w:val="en-US" w:eastAsia="zh-CN" w:bidi="ar"/>
        </w:rPr>
        <w:t>nglish</w:t>
      </w:r>
      <w:r>
        <w:rPr>
          <w:rFonts w:hint="default" w:ascii="Times New Roman" w:hAnsi="Times New Roman" w:eastAsia="宋体" w:cs="Times New Roman"/>
          <w:color w:val="auto"/>
          <w:kern w:val="0"/>
          <w:sz w:val="28"/>
          <w:szCs w:val="28"/>
          <w:lang w:val="en-US" w:eastAsia="zh-CN" w:bidi="ar"/>
        </w:rPr>
        <w:t xml:space="preserve"> S</w:t>
      </w:r>
      <w:r>
        <w:rPr>
          <w:rFonts w:hint="eastAsia" w:ascii="Times New Roman" w:hAnsi="Times New Roman" w:eastAsia="宋体" w:cs="Times New Roman"/>
          <w:color w:val="auto"/>
          <w:kern w:val="0"/>
          <w:sz w:val="28"/>
          <w:szCs w:val="28"/>
          <w:lang w:val="en-US" w:eastAsia="zh-CN" w:bidi="ar"/>
        </w:rPr>
        <w:t>peakers</w:t>
      </w:r>
      <w:r>
        <w:rPr>
          <w:rFonts w:hint="default" w:ascii="Times New Roman" w:hAnsi="Times New Roman" w:eastAsia="宋体" w:cs="Times New Roman"/>
          <w:color w:val="auto"/>
          <w:kern w:val="0"/>
          <w:sz w:val="28"/>
          <w:szCs w:val="28"/>
          <w:lang w:val="en-US" w:eastAsia="zh-CN" w:bidi="ar"/>
        </w:rPr>
        <w:t xml:space="preserve"> V</w:t>
      </w:r>
      <w:r>
        <w:rPr>
          <w:rFonts w:hint="eastAsia" w:ascii="Times New Roman" w:hAnsi="Times New Roman" w:eastAsia="宋体" w:cs="Times New Roman"/>
          <w:color w:val="auto"/>
          <w:kern w:val="0"/>
          <w:sz w:val="28"/>
          <w:szCs w:val="28"/>
          <w:lang w:val="en-US" w:eastAsia="zh-CN" w:bidi="ar"/>
        </w:rPr>
        <w:t xml:space="preserve">ersus </w:t>
      </w:r>
      <w:r>
        <w:rPr>
          <w:rFonts w:hint="default" w:ascii="Times New Roman" w:hAnsi="Times New Roman" w:eastAsia="宋体" w:cs="Times New Roman"/>
          <w:color w:val="auto"/>
          <w:kern w:val="0"/>
          <w:sz w:val="28"/>
          <w:szCs w:val="28"/>
          <w:lang w:val="en-US" w:eastAsia="zh-CN" w:bidi="ar"/>
        </w:rPr>
        <w:t>N</w:t>
      </w:r>
      <w:r>
        <w:rPr>
          <w:rFonts w:hint="eastAsia" w:ascii="Times New Roman" w:hAnsi="Times New Roman" w:eastAsia="宋体" w:cs="Times New Roman"/>
          <w:color w:val="auto"/>
          <w:kern w:val="0"/>
          <w:sz w:val="28"/>
          <w:szCs w:val="28"/>
          <w:lang w:val="en-US" w:eastAsia="zh-CN" w:bidi="ar"/>
        </w:rPr>
        <w:t>on-native</w:t>
      </w:r>
      <w:r>
        <w:rPr>
          <w:rFonts w:hint="default" w:ascii="Times New Roman" w:hAnsi="Times New Roman" w:eastAsia="宋体" w:cs="Times New Roman"/>
          <w:color w:val="auto"/>
          <w:kern w:val="0"/>
          <w:sz w:val="28"/>
          <w:szCs w:val="28"/>
          <w:lang w:val="en-US" w:eastAsia="zh-CN" w:bidi="ar"/>
        </w:rPr>
        <w:t xml:space="preserve"> E</w:t>
      </w:r>
      <w:r>
        <w:rPr>
          <w:rFonts w:hint="eastAsia" w:ascii="Times New Roman" w:hAnsi="Times New Roman" w:eastAsia="宋体" w:cs="Times New Roman"/>
          <w:color w:val="auto"/>
          <w:kern w:val="0"/>
          <w:sz w:val="28"/>
          <w:szCs w:val="28"/>
          <w:lang w:val="en-US" w:eastAsia="zh-CN" w:bidi="ar"/>
        </w:rPr>
        <w:t>nglish</w:t>
      </w:r>
      <w:r>
        <w:rPr>
          <w:rFonts w:hint="default" w:ascii="Times New Roman" w:hAnsi="Times New Roman" w:eastAsia="宋体" w:cs="Times New Roman"/>
          <w:color w:val="auto"/>
          <w:kern w:val="0"/>
          <w:sz w:val="28"/>
          <w:szCs w:val="28"/>
          <w:lang w:val="en-US" w:eastAsia="zh-CN" w:bidi="ar"/>
        </w:rPr>
        <w:t xml:space="preserve"> S</w:t>
      </w:r>
      <w:r>
        <w:rPr>
          <w:rFonts w:hint="eastAsia" w:ascii="Times New Roman" w:hAnsi="Times New Roman" w:eastAsia="宋体" w:cs="Times New Roman"/>
          <w:color w:val="auto"/>
          <w:kern w:val="0"/>
          <w:sz w:val="28"/>
          <w:szCs w:val="28"/>
          <w:lang w:val="en-US" w:eastAsia="zh-CN" w:bidi="ar"/>
        </w:rPr>
        <w:t>peakers</w:t>
      </w:r>
      <w:r>
        <w:rPr>
          <w:rFonts w:hint="default" w:ascii="Times New Roman" w:hAnsi="Times New Roman" w:eastAsia="宋体" w:cs="Times New Roman"/>
          <w:color w:val="auto"/>
          <w:kern w:val="0"/>
          <w:sz w:val="28"/>
          <w:szCs w:val="28"/>
          <w:lang w:val="en-US" w:eastAsia="zh-CN" w:bidi="ar"/>
        </w:rPr>
        <w:t>: T</w:t>
      </w:r>
      <w:r>
        <w:rPr>
          <w:rFonts w:hint="eastAsia" w:ascii="Times New Roman" w:hAnsi="Times New Roman" w:eastAsia="宋体" w:cs="Times New Roman"/>
          <w:color w:val="auto"/>
          <w:kern w:val="0"/>
          <w:sz w:val="28"/>
          <w:szCs w:val="28"/>
          <w:lang w:val="en-US" w:eastAsia="zh-CN" w:bidi="ar"/>
        </w:rPr>
        <w:t>he</w:t>
      </w:r>
      <w:r>
        <w:rPr>
          <w:rFonts w:hint="default" w:ascii="Times New Roman" w:hAnsi="Times New Roman" w:eastAsia="宋体" w:cs="Times New Roman"/>
          <w:color w:val="auto"/>
          <w:kern w:val="0"/>
          <w:sz w:val="28"/>
          <w:szCs w:val="28"/>
          <w:lang w:val="en-US" w:eastAsia="zh-CN" w:bidi="ar"/>
        </w:rPr>
        <w:t xml:space="preserve"> I</w:t>
      </w:r>
      <w:r>
        <w:rPr>
          <w:rFonts w:hint="eastAsia" w:ascii="Times New Roman" w:hAnsi="Times New Roman" w:eastAsia="宋体" w:cs="Times New Roman"/>
          <w:color w:val="auto"/>
          <w:kern w:val="0"/>
          <w:sz w:val="28"/>
          <w:szCs w:val="28"/>
          <w:lang w:val="en-US" w:eastAsia="zh-CN" w:bidi="ar"/>
        </w:rPr>
        <w:t>mpact</w:t>
      </w:r>
      <w:r>
        <w:rPr>
          <w:rFonts w:hint="default" w:ascii="Times New Roman" w:hAnsi="Times New Roman" w:eastAsia="宋体" w:cs="Times New Roman"/>
          <w:color w:val="auto"/>
          <w:kern w:val="0"/>
          <w:sz w:val="28"/>
          <w:szCs w:val="28"/>
          <w:lang w:val="en-US" w:eastAsia="zh-CN" w:bidi="ar"/>
        </w:rPr>
        <w:t xml:space="preserve"> </w:t>
      </w:r>
      <w:r>
        <w:rPr>
          <w:rFonts w:hint="eastAsia" w:ascii="Times New Roman" w:hAnsi="Times New Roman" w:eastAsia="宋体" w:cs="Times New Roman"/>
          <w:color w:val="auto"/>
          <w:kern w:val="0"/>
          <w:sz w:val="28"/>
          <w:szCs w:val="28"/>
          <w:lang w:val="en-US" w:eastAsia="zh-CN" w:bidi="ar"/>
        </w:rPr>
        <w:t>of</w:t>
      </w:r>
      <w:r>
        <w:rPr>
          <w:rFonts w:hint="default" w:ascii="Times New Roman" w:hAnsi="Times New Roman" w:eastAsia="宋体" w:cs="Times New Roman"/>
          <w:color w:val="auto"/>
          <w:kern w:val="0"/>
          <w:sz w:val="28"/>
          <w:szCs w:val="28"/>
          <w:lang w:val="en-US" w:eastAsia="zh-CN" w:bidi="ar"/>
        </w:rPr>
        <w:t xml:space="preserve"> L</w:t>
      </w:r>
      <w:r>
        <w:rPr>
          <w:rFonts w:hint="eastAsia" w:ascii="Times New Roman" w:hAnsi="Times New Roman" w:eastAsia="宋体" w:cs="Times New Roman"/>
          <w:color w:val="auto"/>
          <w:kern w:val="0"/>
          <w:sz w:val="28"/>
          <w:szCs w:val="28"/>
          <w:lang w:val="en-US" w:eastAsia="zh-CN" w:bidi="ar"/>
        </w:rPr>
        <w:t>anguage</w:t>
      </w:r>
      <w:r>
        <w:rPr>
          <w:rFonts w:hint="default" w:ascii="Times New Roman" w:hAnsi="Times New Roman" w:eastAsia="宋体" w:cs="Times New Roman"/>
          <w:color w:val="auto"/>
          <w:kern w:val="0"/>
          <w:sz w:val="28"/>
          <w:szCs w:val="28"/>
          <w:lang w:val="en-US" w:eastAsia="zh-CN" w:bidi="ar"/>
        </w:rPr>
        <w:t xml:space="preserve"> T</w:t>
      </w:r>
      <w:r>
        <w:rPr>
          <w:rFonts w:hint="eastAsia" w:ascii="Times New Roman" w:hAnsi="Times New Roman" w:eastAsia="宋体" w:cs="Times New Roman"/>
          <w:color w:val="auto"/>
          <w:kern w:val="0"/>
          <w:sz w:val="28"/>
          <w:szCs w:val="28"/>
          <w:lang w:val="en-US" w:eastAsia="zh-CN" w:bidi="ar"/>
        </w:rPr>
        <w:t>eachers</w:t>
      </w:r>
      <w:r>
        <w:rPr>
          <w:rFonts w:hint="default" w:ascii="Times New Roman" w:hAnsi="Times New Roman" w:eastAsia="宋体" w:cs="Times New Roman"/>
          <w:color w:val="auto"/>
          <w:kern w:val="0"/>
          <w:sz w:val="28"/>
          <w:szCs w:val="28"/>
          <w:lang w:val="en-US" w:eastAsia="zh-CN" w:bidi="ar"/>
        </w:rPr>
        <w:t xml:space="preserve"> </w:t>
      </w:r>
      <w:r>
        <w:rPr>
          <w:rFonts w:hint="eastAsia" w:ascii="Times New Roman" w:hAnsi="Times New Roman" w:eastAsia="宋体" w:cs="Times New Roman"/>
          <w:color w:val="auto"/>
          <w:kern w:val="0"/>
          <w:sz w:val="28"/>
          <w:szCs w:val="28"/>
          <w:lang w:val="en-US" w:eastAsia="zh-CN" w:bidi="ar"/>
        </w:rPr>
        <w:t xml:space="preserve">on </w:t>
      </w:r>
      <w:r>
        <w:rPr>
          <w:rFonts w:hint="default" w:ascii="Times New Roman" w:hAnsi="Times New Roman" w:eastAsia="宋体" w:cs="Times New Roman"/>
          <w:color w:val="auto"/>
          <w:kern w:val="0"/>
          <w:sz w:val="28"/>
          <w:szCs w:val="28"/>
          <w:lang w:val="en-US" w:eastAsia="zh-CN" w:bidi="ar"/>
        </w:rPr>
        <w:t>EFL L</w:t>
      </w:r>
      <w:r>
        <w:rPr>
          <w:rFonts w:hint="eastAsia" w:ascii="Times New Roman" w:hAnsi="Times New Roman" w:eastAsia="宋体" w:cs="Times New Roman"/>
          <w:color w:val="auto"/>
          <w:kern w:val="0"/>
          <w:sz w:val="28"/>
          <w:szCs w:val="28"/>
          <w:lang w:val="en-US" w:eastAsia="zh-CN" w:bidi="ar"/>
        </w:rPr>
        <w:t>earners</w:t>
      </w:r>
      <w:r>
        <w:rPr>
          <w:rFonts w:hint="default" w:ascii="Times New Roman" w:hAnsi="Times New Roman" w:eastAsia="宋体" w:cs="Times New Roman"/>
          <w:color w:val="auto"/>
          <w:kern w:val="0"/>
          <w:sz w:val="28"/>
          <w:szCs w:val="28"/>
          <w:lang w:val="en-US" w:eastAsia="zh-CN" w:bidi="ar"/>
        </w:rPr>
        <w:t>’ E</w:t>
      </w:r>
      <w:r>
        <w:rPr>
          <w:rFonts w:hint="eastAsia" w:ascii="Times New Roman" w:hAnsi="Times New Roman" w:eastAsia="宋体" w:cs="Times New Roman"/>
          <w:color w:val="auto"/>
          <w:kern w:val="0"/>
          <w:sz w:val="28"/>
          <w:szCs w:val="28"/>
          <w:lang w:val="en-US" w:eastAsia="zh-CN" w:bidi="ar"/>
        </w:rPr>
        <w:t>nglish</w:t>
      </w:r>
      <w:r>
        <w:rPr>
          <w:rFonts w:hint="default" w:ascii="Times New Roman" w:hAnsi="Times New Roman" w:eastAsia="宋体" w:cs="Times New Roman"/>
          <w:color w:val="auto"/>
          <w:kern w:val="0"/>
          <w:sz w:val="28"/>
          <w:szCs w:val="28"/>
          <w:lang w:val="en-US" w:eastAsia="zh-CN" w:bidi="ar"/>
        </w:rPr>
        <w:t xml:space="preserve"> P</w:t>
      </w:r>
      <w:r>
        <w:rPr>
          <w:rFonts w:hint="eastAsia" w:ascii="Times New Roman" w:hAnsi="Times New Roman" w:eastAsia="宋体" w:cs="Times New Roman"/>
          <w:color w:val="auto"/>
          <w:kern w:val="0"/>
          <w:sz w:val="28"/>
          <w:szCs w:val="28"/>
          <w:lang w:val="en-US" w:eastAsia="zh-CN" w:bidi="ar"/>
        </w:rPr>
        <w:t>roficiency</w:t>
      </w:r>
      <w:r>
        <w:rPr>
          <w:rFonts w:hint="default" w:ascii="Times New Roman" w:hAnsi="Times New Roman" w:eastAsia="宋体" w:cs="Times New Roman"/>
          <w:color w:val="auto"/>
          <w:kern w:val="0"/>
          <w:sz w:val="28"/>
          <w:szCs w:val="28"/>
          <w:lang w:val="en-US" w:eastAsia="zh-CN" w:bidi="ar"/>
        </w:rPr>
        <w:t xml:space="preserve">”, </w:t>
      </w:r>
      <w:r>
        <w:rPr>
          <w:rFonts w:hint="default" w:ascii="Times New Roman" w:hAnsi="Times New Roman" w:eastAsia="宋体" w:cs="Times New Roman"/>
          <w:i/>
          <w:iCs/>
          <w:color w:val="auto"/>
          <w:kern w:val="0"/>
          <w:sz w:val="28"/>
          <w:szCs w:val="28"/>
          <w:lang w:val="en-US" w:eastAsia="zh-CN" w:bidi="ar"/>
        </w:rPr>
        <w:t>English review</w:t>
      </w:r>
      <w:r>
        <w:rPr>
          <w:rFonts w:hint="default" w:ascii="Times New Roman" w:hAnsi="Times New Roman" w:eastAsia="宋体" w:cs="Times New Roman"/>
          <w:color w:val="auto"/>
          <w:kern w:val="0"/>
          <w:sz w:val="28"/>
          <w:szCs w:val="28"/>
          <w:lang w:val="en-US" w:eastAsia="zh-CN" w:bidi="ar"/>
        </w:rPr>
        <w:t xml:space="preserve">, 7(2), pp. 27–38. Available at: </w:t>
      </w:r>
      <w:r>
        <w:rPr>
          <w:rFonts w:hint="default" w:ascii="Times New Roman" w:hAnsi="Times New Roman" w:eastAsia="宋体" w:cs="Times New Roman"/>
          <w:color w:val="auto"/>
          <w:kern w:val="0"/>
          <w:sz w:val="28"/>
          <w:szCs w:val="28"/>
          <w:lang w:val="en-US" w:eastAsia="zh-CN" w:bidi="ar"/>
        </w:rPr>
        <w:fldChar w:fldCharType="begin"/>
      </w:r>
      <w:r>
        <w:rPr>
          <w:rFonts w:hint="default" w:ascii="Times New Roman" w:hAnsi="Times New Roman" w:eastAsia="宋体" w:cs="Times New Roman"/>
          <w:color w:val="auto"/>
          <w:kern w:val="0"/>
          <w:sz w:val="28"/>
          <w:szCs w:val="28"/>
          <w:lang w:val="en-US" w:eastAsia="zh-CN" w:bidi="ar"/>
        </w:rPr>
        <w:instrText xml:space="preserve"> HYPERLINK "https://doi.org/10.25134/erjee.v7i2.1773." </w:instrText>
      </w:r>
      <w:r>
        <w:rPr>
          <w:rFonts w:hint="default" w:ascii="Times New Roman" w:hAnsi="Times New Roman" w:eastAsia="宋体" w:cs="Times New Roman"/>
          <w:color w:val="auto"/>
          <w:kern w:val="0"/>
          <w:sz w:val="28"/>
          <w:szCs w:val="28"/>
          <w:lang w:val="en-US" w:eastAsia="zh-CN" w:bidi="ar"/>
        </w:rPr>
        <w:fldChar w:fldCharType="separate"/>
      </w:r>
      <w:r>
        <w:rPr>
          <w:rStyle w:val="10"/>
          <w:rFonts w:hint="default" w:ascii="Times New Roman" w:hAnsi="Times New Roman" w:eastAsia="宋体" w:cs="Times New Roman"/>
          <w:kern w:val="0"/>
          <w:sz w:val="28"/>
          <w:szCs w:val="28"/>
          <w:lang w:val="en-US" w:eastAsia="zh-CN" w:bidi="ar"/>
        </w:rPr>
        <w:t>https://doi.org/10.25134/erjee.v7i2.1773.</w:t>
      </w:r>
      <w:r>
        <w:rPr>
          <w:rFonts w:hint="default" w:ascii="Times New Roman" w:hAnsi="Times New Roman" w:eastAsia="宋体" w:cs="Times New Roman"/>
          <w:color w:val="auto"/>
          <w:kern w:val="0"/>
          <w:sz w:val="28"/>
          <w:szCs w:val="28"/>
          <w:lang w:val="en-US" w:eastAsia="zh-CN" w:bidi="ar"/>
        </w:rPr>
        <w:fldChar w:fldCharType="end"/>
      </w:r>
    </w:p>
    <w:p>
      <w:pPr>
        <w:keepNext w:val="0"/>
        <w:keepLines w:val="0"/>
        <w:widowControl/>
        <w:suppressLineNumbers w:val="0"/>
        <w:jc w:val="both"/>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pPr>
      <w:r>
        <w:rPr>
          <w:rFonts w:hint="default" w:ascii="Times New Roman" w:hAnsi="Times New Roman" w:eastAsia="宋体" w:cs="Times New Roman"/>
          <w:kern w:val="0"/>
          <w:sz w:val="28"/>
          <w:szCs w:val="28"/>
          <w:lang w:val="en-US" w:eastAsia="zh-CN" w:bidi="ar"/>
        </w:rPr>
        <w:t xml:space="preserve">Fang, F. G., Zhang, L. J., and Sah, P. (2022). “Translanguaging in </w:t>
      </w:r>
      <w:r>
        <w:rPr>
          <w:rFonts w:hint="eastAsia" w:ascii="Times New Roman" w:hAnsi="Times New Roman" w:eastAsia="宋体" w:cs="Times New Roman"/>
          <w:kern w:val="0"/>
          <w:sz w:val="28"/>
          <w:szCs w:val="28"/>
          <w:lang w:val="en-US" w:eastAsia="zh-CN" w:bidi="ar"/>
        </w:rPr>
        <w:t>L</w:t>
      </w:r>
      <w:r>
        <w:rPr>
          <w:rFonts w:hint="default" w:ascii="Times New Roman" w:hAnsi="Times New Roman" w:eastAsia="宋体" w:cs="Times New Roman"/>
          <w:kern w:val="0"/>
          <w:sz w:val="28"/>
          <w:szCs w:val="28"/>
          <w:lang w:val="en-US" w:eastAsia="zh-CN" w:bidi="ar"/>
        </w:rPr>
        <w:t xml:space="preserve">anguage </w:t>
      </w:r>
      <w:r>
        <w:rPr>
          <w:rFonts w:hint="eastAsia" w:ascii="Times New Roman" w:hAnsi="Times New Roman" w:eastAsia="宋体" w:cs="Times New Roman"/>
          <w:kern w:val="0"/>
          <w:sz w:val="28"/>
          <w:szCs w:val="28"/>
          <w:lang w:val="en-US" w:eastAsia="zh-CN" w:bidi="ar"/>
        </w:rPr>
        <w:t>T</w:t>
      </w:r>
      <w:r>
        <w:rPr>
          <w:rFonts w:hint="default" w:ascii="Times New Roman" w:hAnsi="Times New Roman" w:eastAsia="宋体" w:cs="Times New Roman"/>
          <w:kern w:val="0"/>
          <w:sz w:val="28"/>
          <w:szCs w:val="28"/>
          <w:lang w:val="en-US" w:eastAsia="zh-CN" w:bidi="ar"/>
        </w:rPr>
        <w:t xml:space="preserve">eaching and </w:t>
      </w:r>
      <w:r>
        <w:rPr>
          <w:rFonts w:hint="eastAsia" w:ascii="Times New Roman" w:hAnsi="Times New Roman" w:eastAsia="宋体" w:cs="Times New Roman"/>
          <w:kern w:val="0"/>
          <w:sz w:val="28"/>
          <w:szCs w:val="28"/>
          <w:lang w:val="en-US" w:eastAsia="zh-CN" w:bidi="ar"/>
        </w:rPr>
        <w:t>L</w:t>
      </w:r>
      <w:r>
        <w:rPr>
          <w:rFonts w:hint="default" w:ascii="Times New Roman" w:hAnsi="Times New Roman" w:eastAsia="宋体" w:cs="Times New Roman"/>
          <w:kern w:val="0"/>
          <w:sz w:val="28"/>
          <w:szCs w:val="28"/>
          <w:lang w:val="en-US" w:eastAsia="zh-CN" w:bidi="ar"/>
        </w:rPr>
        <w:t xml:space="preserve">earning: </w:t>
      </w:r>
      <w:r>
        <w:rPr>
          <w:rFonts w:hint="eastAsia" w:ascii="Times New Roman" w:hAnsi="Times New Roman" w:eastAsia="宋体" w:cs="Times New Roman"/>
          <w:kern w:val="0"/>
          <w:sz w:val="28"/>
          <w:szCs w:val="28"/>
          <w:lang w:val="en-US" w:eastAsia="zh-CN" w:bidi="ar"/>
        </w:rPr>
        <w:t>C</w:t>
      </w:r>
      <w:r>
        <w:rPr>
          <w:rFonts w:hint="default" w:ascii="Times New Roman" w:hAnsi="Times New Roman" w:eastAsia="宋体" w:cs="Times New Roman"/>
          <w:kern w:val="0"/>
          <w:sz w:val="28"/>
          <w:szCs w:val="28"/>
          <w:lang w:val="en-US" w:eastAsia="zh-CN" w:bidi="ar"/>
        </w:rPr>
        <w:t xml:space="preserve">urrent </w:t>
      </w:r>
      <w:r>
        <w:rPr>
          <w:rFonts w:hint="eastAsia" w:ascii="Times New Roman" w:hAnsi="Times New Roman" w:eastAsia="宋体" w:cs="Times New Roman"/>
          <w:kern w:val="0"/>
          <w:sz w:val="28"/>
          <w:szCs w:val="28"/>
          <w:lang w:val="en-US" w:eastAsia="zh-CN" w:bidi="ar"/>
        </w:rPr>
        <w:t>P</w:t>
      </w:r>
      <w:r>
        <w:rPr>
          <w:rFonts w:hint="default" w:ascii="Times New Roman" w:hAnsi="Times New Roman" w:eastAsia="宋体" w:cs="Times New Roman"/>
          <w:kern w:val="0"/>
          <w:sz w:val="28"/>
          <w:szCs w:val="28"/>
          <w:lang w:val="en-US" w:eastAsia="zh-CN" w:bidi="ar"/>
        </w:rPr>
        <w:t xml:space="preserve">ractices and </w:t>
      </w:r>
      <w:r>
        <w:rPr>
          <w:rFonts w:hint="eastAsia" w:ascii="Times New Roman" w:hAnsi="Times New Roman" w:eastAsia="宋体" w:cs="Times New Roman"/>
          <w:kern w:val="0"/>
          <w:sz w:val="28"/>
          <w:szCs w:val="28"/>
          <w:lang w:val="en-US" w:eastAsia="zh-CN" w:bidi="ar"/>
        </w:rPr>
        <w:t>F</w:t>
      </w:r>
      <w:r>
        <w:rPr>
          <w:rFonts w:hint="default" w:ascii="Times New Roman" w:hAnsi="Times New Roman" w:eastAsia="宋体" w:cs="Times New Roman"/>
          <w:kern w:val="0"/>
          <w:sz w:val="28"/>
          <w:szCs w:val="28"/>
          <w:lang w:val="en-US" w:eastAsia="zh-CN" w:bidi="ar"/>
        </w:rPr>
        <w:t xml:space="preserve">uture </w:t>
      </w:r>
      <w:r>
        <w:rPr>
          <w:rFonts w:hint="eastAsia" w:ascii="Times New Roman" w:hAnsi="Times New Roman" w:eastAsia="宋体" w:cs="Times New Roman"/>
          <w:kern w:val="0"/>
          <w:sz w:val="28"/>
          <w:szCs w:val="28"/>
          <w:lang w:val="en-US" w:eastAsia="zh-CN" w:bidi="ar"/>
        </w:rPr>
        <w:t>D</w:t>
      </w:r>
      <w:r>
        <w:rPr>
          <w:rFonts w:hint="default" w:ascii="Times New Roman" w:hAnsi="Times New Roman" w:eastAsia="宋体" w:cs="Times New Roman"/>
          <w:kern w:val="0"/>
          <w:sz w:val="28"/>
          <w:szCs w:val="28"/>
          <w:lang w:val="en-US" w:eastAsia="zh-CN" w:bidi="ar"/>
        </w:rPr>
        <w:t>irections”</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 xml:space="preserve"> RELC J. 53,</w:t>
      </w:r>
      <w:r>
        <w:rPr>
          <w:rFonts w:hint="eastAsia" w:ascii="Times New Roman" w:hAnsi="Times New Roman" w:eastAsia="宋体" w:cs="Times New Roman"/>
          <w:kern w:val="0"/>
          <w:sz w:val="28"/>
          <w:szCs w:val="28"/>
          <w:lang w:val="en-US" w:eastAsia="zh-CN" w:bidi="ar"/>
        </w:rPr>
        <w:t xml:space="preserve"> pp.</w:t>
      </w:r>
      <w:r>
        <w:rPr>
          <w:rFonts w:hint="default" w:ascii="Times New Roman" w:hAnsi="Times New Roman" w:eastAsia="宋体" w:cs="Times New Roman"/>
          <w:kern w:val="0"/>
          <w:sz w:val="28"/>
          <w:szCs w:val="28"/>
          <w:lang w:val="en-US" w:eastAsia="zh-CN" w:bidi="ar"/>
        </w:rPr>
        <w:t xml:space="preserve"> 305–312. </w:t>
      </w:r>
      <w:r>
        <w:rPr>
          <w:rFonts w:hint="default" w:ascii="Times New Roman" w:hAnsi="Times New Roman" w:eastAsia="宋体" w:cs="Times New Roman"/>
          <w:color w:val="auto"/>
          <w:kern w:val="0"/>
          <w:sz w:val="28"/>
          <w:szCs w:val="28"/>
          <w:lang w:val="en-US" w:eastAsia="zh-CN" w:bidi="ar"/>
        </w:rPr>
        <w:t>Available at:</w:t>
      </w:r>
      <w:r>
        <w:rPr>
          <w:rFonts w:hint="default"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begin"/>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instrText xml:space="preserve"> HYPERLINK "https://doi.org/10.1177/00336882221114478" </w:instrTex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separate"/>
      </w:r>
      <w:r>
        <w:rPr>
          <w:rStyle w:val="10"/>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https://doi.org/</w:t>
      </w:r>
      <w:r>
        <w:rPr>
          <w:rStyle w:val="10"/>
          <w:rFonts w:hint="default" w:ascii="Times New Roman" w:hAnsi="Times New Roman" w:eastAsia="宋体" w:cs="Times New Roman"/>
          <w:kern w:val="0"/>
          <w:sz w:val="28"/>
          <w:szCs w:val="28"/>
          <w:lang w:val="en-US" w:eastAsia="zh-CN" w:bidi="ar"/>
        </w:rPr>
        <w:t>10.1177/00336882221114478</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end"/>
      </w:r>
    </w:p>
    <w:p>
      <w:pPr>
        <w:keepNext w:val="0"/>
        <w:keepLines w:val="0"/>
        <w:widowControl/>
        <w:suppressLineNumbers w:val="0"/>
        <w:jc w:val="both"/>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pPr>
      <w:r>
        <w:rPr>
          <w:rFonts w:hint="default" w:ascii="Times New Roman" w:hAnsi="Times New Roman" w:eastAsia="宋体" w:cs="Times New Roman"/>
          <w:color w:val="auto"/>
          <w:kern w:val="0"/>
          <w:sz w:val="28"/>
          <w:szCs w:val="28"/>
          <w:lang w:val="en-US" w:eastAsia="zh-CN" w:bidi="ar"/>
        </w:rPr>
        <w:t xml:space="preserve">Kachru, B. B., Kachru, Y., and Nelson, C. L. (2006). </w:t>
      </w:r>
      <w:r>
        <w:rPr>
          <w:rFonts w:hint="default" w:ascii="Times New Roman" w:hAnsi="Times New Roman" w:eastAsia="宋体" w:cs="Times New Roman"/>
          <w:i/>
          <w:iCs/>
          <w:color w:val="auto"/>
          <w:kern w:val="0"/>
          <w:sz w:val="28"/>
          <w:szCs w:val="28"/>
          <w:lang w:val="en-US" w:eastAsia="zh-CN" w:bidi="ar"/>
        </w:rPr>
        <w:t>The handbook of world Englishes</w:t>
      </w:r>
      <w:r>
        <w:rPr>
          <w:rFonts w:hint="default" w:ascii="Times New Roman" w:hAnsi="Times New Roman" w:eastAsia="宋体" w:cs="Times New Roman"/>
          <w:color w:val="auto"/>
          <w:kern w:val="0"/>
          <w:sz w:val="28"/>
          <w:szCs w:val="28"/>
          <w:lang w:val="en-US" w:eastAsia="zh-CN" w:bidi="ar"/>
        </w:rPr>
        <w:t>. 1st Edn</w:t>
      </w:r>
      <w:r>
        <w:rPr>
          <w:rFonts w:hint="eastAsia" w:ascii="Times New Roman" w:hAnsi="Times New Roman" w:eastAsia="宋体" w:cs="Times New Roman"/>
          <w:color w:val="auto"/>
          <w:kern w:val="0"/>
          <w:sz w:val="28"/>
          <w:szCs w:val="28"/>
          <w:lang w:val="en-US" w:eastAsia="zh-CN" w:bidi="ar"/>
        </w:rPr>
        <w:t xml:space="preserve">. </w:t>
      </w:r>
      <w:r>
        <w:rPr>
          <w:rFonts w:hint="default" w:ascii="Times New Roman" w:hAnsi="Times New Roman" w:eastAsia="宋体" w:cs="Times New Roman"/>
          <w:color w:val="auto"/>
          <w:kern w:val="0"/>
          <w:sz w:val="28"/>
          <w:szCs w:val="28"/>
          <w:lang w:val="en-US" w:eastAsia="zh-CN" w:bidi="ar"/>
        </w:rPr>
        <w:t> Hoboken: Wiley - Blackwell.</w:t>
      </w:r>
      <w:r>
        <w:rPr>
          <w:rFonts w:hint="default" w:ascii="Helvetica" w:hAnsi="Helvetica" w:eastAsia="Helvetica" w:cs="Helvetica"/>
          <w:i w:val="0"/>
          <w:iCs w:val="0"/>
          <w:caps w:val="0"/>
          <w:color w:val="3A3A3A"/>
          <w:spacing w:val="0"/>
          <w:sz w:val="11"/>
          <w:szCs w:val="11"/>
          <w:shd w:val="clear" w:fill="FFFFFF"/>
        </w:rPr>
        <w:t> </w:t>
      </w:r>
      <w:r>
        <w:rPr>
          <w:rFonts w:hint="default" w:ascii="Times New Roman" w:hAnsi="Times New Roman" w:eastAsia="宋体" w:cs="Times New Roman"/>
          <w:color w:val="auto"/>
          <w:kern w:val="0"/>
          <w:sz w:val="28"/>
          <w:szCs w:val="28"/>
          <w:lang w:val="en-US" w:eastAsia="zh-CN" w:bidi="ar"/>
        </w:rPr>
        <w:t xml:space="preserve"> </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Kemaloglu-Er, E. and Lowe, R.J. (2023) “Language Teacher Identity, World Englishes, and ELF: A Duoethnography Between a ‘Native Speaker’ Teacher and a ‘Non-Native Speaker’ Teacher”, </w:t>
      </w:r>
      <w:r>
        <w:rPr>
          <w:rFonts w:hint="default" w:ascii="Times New Roman" w:hAnsi="Times New Roman" w:eastAsia="宋体" w:cs="Times New Roman"/>
          <w:i/>
          <w:iCs/>
          <w:kern w:val="0"/>
          <w:sz w:val="28"/>
          <w:szCs w:val="28"/>
          <w:lang w:val="en-US" w:eastAsia="zh-CN" w:bidi="ar"/>
        </w:rPr>
        <w:t>Journal of language, identity, and education</w:t>
      </w:r>
      <w:r>
        <w:rPr>
          <w:rFonts w:hint="default" w:ascii="Times New Roman" w:hAnsi="Times New Roman" w:eastAsia="宋体" w:cs="Times New Roman"/>
          <w:kern w:val="0"/>
          <w:sz w:val="28"/>
          <w:szCs w:val="28"/>
          <w:lang w:val="en-US" w:eastAsia="zh-CN" w:bidi="ar"/>
        </w:rPr>
        <w:t xml:space="preserve">, 22(5), pp. 478–491.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"https://doi.org/10.1080/15348458.2022.2141244." </w:instrText>
      </w:r>
      <w:r>
        <w:rPr>
          <w:rFonts w:hint="default" w:ascii="Times New Roman" w:hAnsi="Times New Roman" w:eastAsia="宋体" w:cs="Times New Roman"/>
          <w:kern w:val="0"/>
          <w:sz w:val="28"/>
          <w:szCs w:val="28"/>
          <w:lang w:val="en-US" w:eastAsia="zh-CN" w:bidi="ar"/>
        </w:rPr>
        <w:fldChar w:fldCharType="separate"/>
      </w:r>
      <w:r>
        <w:rPr>
          <w:rStyle w:val="10"/>
          <w:rFonts w:hint="default" w:ascii="Times New Roman" w:hAnsi="Times New Roman" w:eastAsia="宋体" w:cs="Times New Roman"/>
          <w:kern w:val="0"/>
          <w:sz w:val="28"/>
          <w:szCs w:val="28"/>
          <w:lang w:val="en-US" w:eastAsia="zh-CN" w:bidi="ar"/>
        </w:rPr>
        <w:t>https://doi.org/10.1080/15348458.2022.2141244.</w:t>
      </w:r>
      <w:r>
        <w:rPr>
          <w:rFonts w:hint="default" w:ascii="Times New Roman" w:hAnsi="Times New Roman" w:eastAsia="宋体" w:cs="Times New Roman"/>
          <w:kern w:val="0"/>
          <w:sz w:val="28"/>
          <w:szCs w:val="28"/>
          <w:lang w:val="en-US" w:eastAsia="zh-CN" w:bidi="ar"/>
        </w:rPr>
        <w:fldChar w:fldCharType="end"/>
      </w:r>
    </w:p>
    <w:p>
      <w:pPr>
        <w:jc w:val="both"/>
        <w:rPr>
          <w:rFonts w:hint="default" w:ascii="Times New Roman" w:hAnsi="Times New Roman" w:eastAsia="宋体" w:cs="Times New Roman"/>
          <w:color w:val="auto"/>
          <w:kern w:val="0"/>
          <w:sz w:val="28"/>
          <w:szCs w:val="28"/>
          <w:lang w:val="en-US" w:eastAsia="zh-CN" w:bidi="ar"/>
        </w:rPr>
      </w:pPr>
      <w:r>
        <w:rPr>
          <w:rFonts w:hint="default" w:ascii="Times New Roman" w:hAnsi="Times New Roman" w:eastAsia="sans-serif" w:cs="Times New Roman"/>
          <w:i w:val="0"/>
          <w:iCs w:val="0"/>
          <w:caps w:val="0"/>
          <w:color w:val="auto"/>
          <w:spacing w:val="0"/>
          <w:sz w:val="28"/>
          <w:szCs w:val="28"/>
          <w:shd w:val="clear" w:fill="FFFFFF"/>
        </w:rPr>
        <w:t xml:space="preserve">Lasagabaster, D. and Sierra, J. M. (2002) </w:t>
      </w:r>
      <w:r>
        <w:rPr>
          <w:rFonts w:hint="default" w:ascii="Times New Roman" w:hAnsi="Times New Roman" w:eastAsia="宋体" w:cs="Times New Roman"/>
          <w:i w:val="0"/>
          <w:iCs w:val="0"/>
          <w:caps w:val="0"/>
          <w:color w:val="auto"/>
          <w:spacing w:val="0"/>
          <w:sz w:val="28"/>
          <w:szCs w:val="28"/>
          <w:shd w:val="clear" w:fill="FFFFFF"/>
          <w:lang w:val="en-US" w:eastAsia="zh-CN"/>
        </w:rPr>
        <w:t>“</w:t>
      </w:r>
      <w:r>
        <w:rPr>
          <w:rFonts w:hint="default" w:ascii="Times New Roman" w:hAnsi="Times New Roman" w:eastAsia="sans-serif" w:cs="Times New Roman"/>
          <w:i w:val="0"/>
          <w:iCs w:val="0"/>
          <w:caps w:val="0"/>
          <w:color w:val="auto"/>
          <w:spacing w:val="0"/>
          <w:sz w:val="28"/>
          <w:szCs w:val="28"/>
          <w:shd w:val="clear" w:fill="FFFFFF"/>
        </w:rPr>
        <w:t>University Students’ Perceptions of Native and Non-native Speaker Teachers of English</w:t>
      </w:r>
      <w:r>
        <w:rPr>
          <w:rFonts w:hint="default" w:ascii="Times New Roman" w:hAnsi="Times New Roman" w:eastAsia="宋体" w:cs="Times New Roman"/>
          <w:i w:val="0"/>
          <w:iCs w:val="0"/>
          <w:caps w:val="0"/>
          <w:color w:val="auto"/>
          <w:spacing w:val="0"/>
          <w:sz w:val="28"/>
          <w:szCs w:val="28"/>
          <w:shd w:val="clear" w:fill="FFFFFF"/>
          <w:lang w:val="en-US" w:eastAsia="zh-CN"/>
        </w:rPr>
        <w:t>”</w:t>
      </w:r>
      <w:r>
        <w:rPr>
          <w:rFonts w:hint="default" w:ascii="Times New Roman" w:hAnsi="Times New Roman" w:eastAsia="sans-serif" w:cs="Times New Roman"/>
          <w:i w:val="0"/>
          <w:iCs w:val="0"/>
          <w:caps w:val="0"/>
          <w:color w:val="auto"/>
          <w:spacing w:val="0"/>
          <w:sz w:val="28"/>
          <w:szCs w:val="28"/>
          <w:shd w:val="clear" w:fill="FFFFFF"/>
        </w:rPr>
        <w:t>, </w:t>
      </w:r>
      <w:r>
        <w:rPr>
          <w:rFonts w:hint="default" w:ascii="Times New Roman" w:hAnsi="Times New Roman" w:eastAsia="sans-serif" w:cs="Times New Roman"/>
          <w:i/>
          <w:iCs/>
          <w:caps w:val="0"/>
          <w:color w:val="auto"/>
          <w:spacing w:val="0"/>
          <w:sz w:val="28"/>
          <w:szCs w:val="28"/>
          <w:shd w:val="clear" w:fill="FFFFFF"/>
        </w:rPr>
        <w:t>Language Awareness</w:t>
      </w:r>
      <w:r>
        <w:rPr>
          <w:rFonts w:hint="default" w:ascii="Times New Roman" w:hAnsi="Times New Roman" w:eastAsia="sans-serif" w:cs="Times New Roman"/>
          <w:i w:val="0"/>
          <w:iCs w:val="0"/>
          <w:caps w:val="0"/>
          <w:color w:val="auto"/>
          <w:spacing w:val="0"/>
          <w:sz w:val="28"/>
          <w:szCs w:val="28"/>
          <w:shd w:val="clear" w:fill="FFFFFF"/>
        </w:rPr>
        <w:t>, 11(2), pp. 132–142.</w:t>
      </w:r>
      <w:r>
        <w:rPr>
          <w:rFonts w:hint="default" w:ascii="Times New Roman" w:hAnsi="Times New Roman" w:eastAsia="宋体" w:cs="Times New Roman"/>
          <w:color w:val="auto"/>
          <w:kern w:val="0"/>
          <w:sz w:val="28"/>
          <w:szCs w:val="28"/>
          <w:lang w:val="en-US" w:eastAsia="zh-CN" w:bidi="ar"/>
        </w:rPr>
        <w:t xml:space="preserve"> Available at:</w:t>
      </w:r>
      <w:r>
        <w:rPr>
          <w:rFonts w:hint="eastAsia" w:ascii="Times New Roman" w:hAnsi="Times New Roman" w:eastAsia="宋体" w:cs="Times New Roman"/>
          <w:color w:val="auto"/>
          <w:kern w:val="0"/>
          <w:sz w:val="28"/>
          <w:szCs w:val="28"/>
          <w:lang w:val="en-US" w:eastAsia="zh-CN" w:bidi="ar"/>
        </w:rPr>
        <w:t xml:space="preserve"> </w:t>
      </w:r>
      <w:r>
        <w:rPr>
          <w:rFonts w:hint="default" w:ascii="Times New Roman" w:hAnsi="Times New Roman" w:eastAsia="宋体" w:cs="Times New Roman"/>
          <w:color w:val="auto"/>
          <w:kern w:val="0"/>
          <w:sz w:val="28"/>
          <w:szCs w:val="28"/>
          <w:lang w:val="en-US" w:eastAsia="zh-CN" w:bidi="ar"/>
        </w:rPr>
        <w:fldChar w:fldCharType="begin"/>
      </w:r>
      <w:r>
        <w:rPr>
          <w:rFonts w:hint="default" w:ascii="Times New Roman" w:hAnsi="Times New Roman" w:eastAsia="宋体" w:cs="Times New Roman"/>
          <w:color w:val="auto"/>
          <w:kern w:val="0"/>
          <w:sz w:val="28"/>
          <w:szCs w:val="28"/>
          <w:lang w:val="en-US" w:eastAsia="zh-CN" w:bidi="ar"/>
        </w:rPr>
        <w:instrText xml:space="preserve"> HYPERLINK "https://doi.org/10.1080/09658410208667051." </w:instrText>
      </w:r>
      <w:r>
        <w:rPr>
          <w:rFonts w:hint="default" w:ascii="Times New Roman" w:hAnsi="Times New Roman" w:eastAsia="宋体" w:cs="Times New Roman"/>
          <w:color w:val="auto"/>
          <w:kern w:val="0"/>
          <w:sz w:val="28"/>
          <w:szCs w:val="28"/>
          <w:lang w:val="en-US" w:eastAsia="zh-CN" w:bidi="ar"/>
        </w:rPr>
        <w:fldChar w:fldCharType="separate"/>
      </w:r>
      <w:r>
        <w:rPr>
          <w:rStyle w:val="10"/>
          <w:rFonts w:hint="default" w:ascii="Times New Roman" w:hAnsi="Times New Roman" w:eastAsia="宋体" w:cs="Times New Roman"/>
          <w:kern w:val="0"/>
          <w:sz w:val="28"/>
          <w:szCs w:val="28"/>
          <w:lang w:val="en-US" w:eastAsia="zh-CN" w:bidi="ar"/>
        </w:rPr>
        <w:t>https://doi.org/</w:t>
      </w:r>
      <w:r>
        <w:rPr>
          <w:rStyle w:val="10"/>
          <w:rFonts w:hint="default" w:ascii="Times New Roman" w:hAnsi="Times New Roman" w:eastAsia="sans-serif" w:cs="Times New Roman"/>
          <w:i w:val="0"/>
          <w:iCs w:val="0"/>
          <w:caps w:val="0"/>
          <w:spacing w:val="0"/>
          <w:sz w:val="28"/>
          <w:szCs w:val="28"/>
          <w:shd w:val="clear" w:fill="FFFFFF"/>
        </w:rPr>
        <w:t>10.1080/09658410208667051.</w:t>
      </w:r>
      <w:r>
        <w:rPr>
          <w:rFonts w:hint="default" w:ascii="Times New Roman" w:hAnsi="Times New Roman" w:eastAsia="宋体" w:cs="Times New Roman"/>
          <w:color w:val="auto"/>
          <w:kern w:val="0"/>
          <w:sz w:val="28"/>
          <w:szCs w:val="28"/>
          <w:lang w:val="en-US" w:eastAsia="zh-CN" w:bidi="ar"/>
        </w:rPr>
        <w:fldChar w:fldCharType="end"/>
      </w:r>
    </w:p>
    <w:p>
      <w:pPr>
        <w:keepNext w:val="0"/>
        <w:keepLines w:val="0"/>
        <w:widowControl/>
        <w:suppressLineNumbers w:val="0"/>
        <w:jc w:val="both"/>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pPr>
      <w:r>
        <w:rPr>
          <w:rFonts w:hint="default" w:ascii="Times New Roman" w:hAnsi="Times New Roman" w:eastAsia="宋体" w:cs="Times New Roman"/>
          <w:color w:val="auto"/>
          <w:kern w:val="0"/>
          <w:sz w:val="28"/>
          <w:szCs w:val="28"/>
          <w:lang w:val="en-US" w:eastAsia="zh-CN" w:bidi="ar"/>
        </w:rPr>
        <w:t xml:space="preserve">Lauretta S. P. Cheng </w:t>
      </w:r>
      <w:r>
        <w:rPr>
          <w:rFonts w:hint="default" w:ascii="Times New Roman" w:hAnsi="Times New Roman" w:eastAsia="宋体" w:cs="Times New Roman"/>
          <w:i/>
          <w:iCs/>
          <w:color w:val="auto"/>
          <w:kern w:val="0"/>
          <w:sz w:val="28"/>
          <w:szCs w:val="28"/>
          <w:lang w:val="en-US" w:eastAsia="zh-CN" w:bidi="ar"/>
        </w:rPr>
        <w:t>et al.</w:t>
      </w:r>
      <w:r>
        <w:rPr>
          <w:rFonts w:hint="default" w:ascii="Times New Roman" w:hAnsi="Times New Roman" w:eastAsia="宋体" w:cs="Times New Roman"/>
          <w:color w:val="auto"/>
          <w:kern w:val="0"/>
          <w:sz w:val="28"/>
          <w:szCs w:val="28"/>
          <w:lang w:val="en-US" w:eastAsia="zh-CN" w:bidi="ar"/>
        </w:rPr>
        <w:t xml:space="preserve"> (2021) “The Problematic Concept of Native Speaker in Psycholinguistics: Replacing Vague and Harmful Terminology With Inclusive and Accurate Measures”, </w:t>
      </w:r>
      <w:r>
        <w:rPr>
          <w:rFonts w:hint="default" w:ascii="Times New Roman" w:hAnsi="Times New Roman" w:eastAsia="宋体" w:cs="Times New Roman"/>
          <w:i/>
          <w:iCs/>
          <w:color w:val="auto"/>
          <w:kern w:val="0"/>
          <w:sz w:val="28"/>
          <w:szCs w:val="28"/>
          <w:lang w:val="en-US" w:eastAsia="zh-CN" w:bidi="ar"/>
        </w:rPr>
        <w:t>Frontiers in psychology</w:t>
      </w:r>
      <w:r>
        <w:rPr>
          <w:rFonts w:hint="default" w:ascii="Times New Roman" w:hAnsi="Times New Roman" w:eastAsia="宋体" w:cs="Times New Roman"/>
          <w:color w:val="auto"/>
          <w:kern w:val="0"/>
          <w:sz w:val="28"/>
          <w:szCs w:val="28"/>
          <w:lang w:val="en-US" w:eastAsia="zh-CN" w:bidi="ar"/>
        </w:rPr>
        <w:t>, 12. Available at:</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 xml:space="preserve"> </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begin"/>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instrText xml:space="preserve"> HYPERLINK "https://doi.org/10.3389/fpsyg.2021.715843." </w:instrTex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separate"/>
      </w:r>
      <w:r>
        <w:rPr>
          <w:rStyle w:val="10"/>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https://doi.org/10.3389/fpsyg.2021.715843.</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end"/>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Lawrence, L. (2020) “The Discursive Construction of ‘Native’ and ‘Non-Native’ Speaker English Teacher Identities in Japan: A Linguistic Ethnographic Investigation”, </w:t>
      </w:r>
      <w:r>
        <w:rPr>
          <w:rFonts w:hint="default" w:ascii="Times New Roman" w:hAnsi="Times New Roman" w:eastAsia="宋体" w:cs="Times New Roman"/>
          <w:i/>
          <w:iCs/>
          <w:kern w:val="0"/>
          <w:sz w:val="28"/>
          <w:szCs w:val="28"/>
          <w:lang w:val="en-US" w:eastAsia="zh-CN" w:bidi="ar"/>
        </w:rPr>
        <w:t>International journal of society, culture &amp; language</w:t>
      </w:r>
      <w:r>
        <w:rPr>
          <w:rFonts w:hint="default" w:ascii="Times New Roman" w:hAnsi="Times New Roman" w:eastAsia="宋体" w:cs="Times New Roman"/>
          <w:kern w:val="0"/>
          <w:sz w:val="28"/>
          <w:szCs w:val="28"/>
          <w:lang w:val="en-US" w:eastAsia="zh-CN" w:bidi="ar"/>
        </w:rPr>
        <w:t>, 8(1), pp. 111–125.</w:t>
      </w:r>
    </w:p>
    <w:p>
      <w:pPr>
        <w:keepNext w:val="0"/>
        <w:keepLines w:val="0"/>
        <w:widowControl/>
        <w:suppressLineNumbers w:val="0"/>
        <w:jc w:val="both"/>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pPr>
      <w:r>
        <w:rPr>
          <w:rFonts w:hint="default" w:ascii="Times New Roman" w:hAnsi="Times New Roman" w:eastAsia="宋体" w:cs="Times New Roman"/>
          <w:color w:val="auto"/>
          <w:kern w:val="0"/>
          <w:sz w:val="28"/>
          <w:szCs w:val="28"/>
          <w:lang w:val="en-US" w:eastAsia="zh-CN" w:bidi="ar"/>
        </w:rPr>
        <w:t xml:space="preserve">Liwei Deng, Lawrence Jun Zhang and Naashia Mohamed (2023) “Exploring native and non-native English speaker teachers’ perceptions of English teacher qualities and their students’ responses,” </w:t>
      </w:r>
      <w:r>
        <w:rPr>
          <w:rFonts w:hint="default" w:ascii="Times New Roman" w:hAnsi="Times New Roman" w:eastAsia="宋体" w:cs="Times New Roman"/>
          <w:i/>
          <w:iCs/>
          <w:color w:val="auto"/>
          <w:kern w:val="0"/>
          <w:sz w:val="28"/>
          <w:szCs w:val="28"/>
          <w:lang w:val="en-US" w:eastAsia="zh-CN" w:bidi="ar"/>
        </w:rPr>
        <w:t>Frontiers in psychology</w:t>
      </w:r>
      <w:r>
        <w:rPr>
          <w:rFonts w:hint="default" w:ascii="Times New Roman" w:hAnsi="Times New Roman" w:eastAsia="宋体" w:cs="Times New Roman"/>
          <w:color w:val="auto"/>
          <w:kern w:val="0"/>
          <w:sz w:val="28"/>
          <w:szCs w:val="28"/>
          <w:lang w:val="en-US" w:eastAsia="zh-CN" w:bidi="ar"/>
        </w:rPr>
        <w:t xml:space="preserve">, 14. Available at: </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begin"/>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instrText xml:space="preserve"> HYPERLINK "https://doi.org/10.3389/fpsyg.2023.1175379." </w:instrTex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separate"/>
      </w:r>
      <w:r>
        <w:rPr>
          <w:rStyle w:val="10"/>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https://doi.org/10.3389/fpsyg.2023.1175379.</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end"/>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color w:val="000000"/>
          <w:kern w:val="0"/>
          <w:sz w:val="28"/>
          <w:szCs w:val="28"/>
          <w:lang w:val="en-US" w:eastAsia="zh-CN" w:bidi="ar"/>
        </w:rPr>
        <w:t xml:space="preserve">Norton, B. (2000). </w:t>
      </w:r>
      <w:r>
        <w:rPr>
          <w:rFonts w:hint="default" w:ascii="Times New Roman" w:hAnsi="Times New Roman" w:eastAsia="宋体" w:cs="Times New Roman"/>
          <w:i/>
          <w:iCs/>
          <w:color w:val="000000"/>
          <w:kern w:val="0"/>
          <w:sz w:val="28"/>
          <w:szCs w:val="28"/>
          <w:lang w:val="en-US" w:eastAsia="zh-CN" w:bidi="ar"/>
        </w:rPr>
        <w:t xml:space="preserve">Identity and language learning: Gender, ethnicity, and educational change. </w:t>
      </w:r>
      <w:r>
        <w:rPr>
          <w:rFonts w:hint="default" w:ascii="Times New Roman" w:hAnsi="Times New Roman" w:eastAsia="宋体" w:cs="Times New Roman"/>
          <w:color w:val="000000"/>
          <w:kern w:val="0"/>
          <w:sz w:val="28"/>
          <w:szCs w:val="28"/>
          <w:lang w:val="en-US" w:eastAsia="zh-CN" w:bidi="ar"/>
        </w:rPr>
        <w:t xml:space="preserve">London: Longman. </w:t>
      </w:r>
    </w:p>
    <w:p>
      <w:pPr>
        <w:keepNext w:val="0"/>
        <w:keepLines w:val="0"/>
        <w:widowControl/>
        <w:suppressLineNumbers w:val="0"/>
        <w:jc w:val="both"/>
        <w:rPr>
          <w:rFonts w:hint="default" w:ascii="Times New Roman" w:hAnsi="Times New Roman" w:eastAsia="宋体" w:cs="Times New Roman"/>
          <w:color w:val="000000"/>
          <w:kern w:val="0"/>
          <w:sz w:val="28"/>
          <w:szCs w:val="28"/>
          <w:lang w:val="en-US" w:eastAsia="zh-CN" w:bidi="ar"/>
        </w:rPr>
      </w:pPr>
      <w:r>
        <w:rPr>
          <w:rFonts w:hint="default" w:ascii="Times New Roman" w:hAnsi="Times New Roman" w:eastAsia="宋体" w:cs="Times New Roman"/>
          <w:color w:val="000000"/>
          <w:kern w:val="0"/>
          <w:sz w:val="28"/>
          <w:szCs w:val="28"/>
          <w:lang w:val="en-US" w:eastAsia="zh-CN" w:bidi="ar"/>
        </w:rPr>
        <w:t xml:space="preserve">Norton, B. (2013). </w:t>
      </w:r>
      <w:r>
        <w:rPr>
          <w:rFonts w:hint="default" w:ascii="Times New Roman" w:hAnsi="Times New Roman" w:eastAsia="宋体" w:cs="Times New Roman"/>
          <w:i/>
          <w:iCs/>
          <w:color w:val="000000"/>
          <w:kern w:val="0"/>
          <w:sz w:val="28"/>
          <w:szCs w:val="28"/>
          <w:lang w:val="en-US" w:eastAsia="zh-CN" w:bidi="ar"/>
        </w:rPr>
        <w:t xml:space="preserve">Identity and language learning. </w:t>
      </w:r>
      <w:r>
        <w:rPr>
          <w:rFonts w:hint="default" w:ascii="Times New Roman" w:hAnsi="Times New Roman" w:eastAsia="宋体" w:cs="Times New Roman"/>
          <w:color w:val="000000"/>
          <w:kern w:val="0"/>
          <w:sz w:val="28"/>
          <w:szCs w:val="28"/>
          <w:lang w:val="en-US" w:eastAsia="zh-CN" w:bidi="ar"/>
        </w:rPr>
        <w:t>Bristol: Multilingual Matters.</w:t>
      </w:r>
    </w:p>
    <w:p>
      <w:pPr>
        <w:jc w:val="both"/>
        <w:rPr>
          <w:rFonts w:hint="default" w:ascii="Times New Roman" w:hAnsi="Times New Roman" w:eastAsia="Helvetica" w:cs="Times New Roman"/>
          <w:i w:val="0"/>
          <w:iCs w:val="0"/>
          <w:caps w:val="0"/>
          <w:color w:val="006FB7"/>
          <w:spacing w:val="0"/>
          <w:sz w:val="28"/>
          <w:szCs w:val="28"/>
          <w:u w:val="none"/>
          <w:shd w:val="clear" w:fill="FFFFFF"/>
          <w:vertAlign w:val="baseline"/>
        </w:rPr>
      </w:pPr>
      <w:r>
        <w:rPr>
          <w:rFonts w:hint="default" w:ascii="Times New Roman" w:hAnsi="Times New Roman" w:eastAsia="Helvetica" w:cs="Times New Roman"/>
          <w:i w:val="0"/>
          <w:iCs w:val="0"/>
          <w:caps w:val="0"/>
          <w:color w:val="2A2A2A"/>
          <w:spacing w:val="0"/>
          <w:sz w:val="28"/>
          <w:szCs w:val="28"/>
          <w:shd w:val="clear" w:fill="FFFFFF"/>
        </w:rPr>
        <w:t>Medgyes,</w:t>
      </w:r>
      <w:r>
        <w:rPr>
          <w:rFonts w:hint="eastAsia" w:ascii="Times New Roman" w:hAnsi="Times New Roman" w:eastAsia="宋体" w:cs="Times New Roman"/>
          <w:i w:val="0"/>
          <w:iCs w:val="0"/>
          <w:caps w:val="0"/>
          <w:color w:val="2A2A2A"/>
          <w:spacing w:val="0"/>
          <w:sz w:val="28"/>
          <w:szCs w:val="28"/>
          <w:shd w:val="clear" w:fill="FFFFFF"/>
          <w:lang w:val="en-US" w:eastAsia="zh-CN"/>
        </w:rPr>
        <w:t xml:space="preserve"> P. (1992) </w:t>
      </w:r>
      <w:r>
        <w:rPr>
          <w:rFonts w:hint="default" w:ascii="Times New Roman" w:hAnsi="Times New Roman" w:eastAsia="宋体" w:cs="Times New Roman"/>
          <w:i w:val="0"/>
          <w:iCs w:val="0"/>
          <w:caps w:val="0"/>
          <w:color w:val="2A2A2A"/>
          <w:spacing w:val="0"/>
          <w:sz w:val="28"/>
          <w:szCs w:val="28"/>
          <w:shd w:val="clear" w:fill="FFFFFF"/>
          <w:lang w:val="en-US" w:eastAsia="zh-CN"/>
        </w:rPr>
        <w:t>“</w:t>
      </w:r>
      <w:r>
        <w:rPr>
          <w:rFonts w:hint="default" w:ascii="Times New Roman" w:hAnsi="Times New Roman" w:eastAsia="Helvetica" w:cs="Times New Roman"/>
          <w:i w:val="0"/>
          <w:iCs w:val="0"/>
          <w:caps w:val="0"/>
          <w:color w:val="2A2A2A"/>
          <w:spacing w:val="0"/>
          <w:sz w:val="28"/>
          <w:szCs w:val="28"/>
          <w:shd w:val="clear" w:fill="FFFFFF"/>
        </w:rPr>
        <w:t xml:space="preserve"> Native or non-native: who's worth more?</w:t>
      </w:r>
      <w:r>
        <w:rPr>
          <w:rFonts w:hint="default" w:ascii="Times New Roman" w:hAnsi="Times New Roman" w:eastAsia="宋体" w:cs="Times New Roman"/>
          <w:i w:val="0"/>
          <w:iCs w:val="0"/>
          <w:caps w:val="0"/>
          <w:color w:val="2A2A2A"/>
          <w:spacing w:val="0"/>
          <w:sz w:val="28"/>
          <w:szCs w:val="28"/>
          <w:shd w:val="clear" w:fill="FFFFFF"/>
          <w:lang w:val="en-US" w:eastAsia="zh-CN"/>
        </w:rPr>
        <w:t>”</w:t>
      </w:r>
      <w:r>
        <w:rPr>
          <w:rFonts w:hint="default" w:ascii="Times New Roman" w:hAnsi="Times New Roman" w:eastAsia="Helvetica" w:cs="Times New Roman"/>
          <w:i w:val="0"/>
          <w:iCs w:val="0"/>
          <w:caps w:val="0"/>
          <w:color w:val="2A2A2A"/>
          <w:spacing w:val="0"/>
          <w:sz w:val="28"/>
          <w:szCs w:val="28"/>
          <w:shd w:val="clear" w:fill="FFFFFF"/>
        </w:rPr>
        <w:t>, </w:t>
      </w:r>
      <w:r>
        <w:rPr>
          <w:rStyle w:val="9"/>
          <w:rFonts w:hint="default" w:ascii="Times New Roman" w:hAnsi="Times New Roman" w:eastAsia="Helvetica" w:cs="Times New Roman"/>
          <w:i/>
          <w:iCs/>
          <w:caps w:val="0"/>
          <w:color w:val="2A2A2A"/>
          <w:spacing w:val="0"/>
          <w:sz w:val="28"/>
          <w:szCs w:val="28"/>
          <w:shd w:val="clear" w:fill="FFFFFF"/>
          <w:vertAlign w:val="baseline"/>
        </w:rPr>
        <w:t>ELT Journal</w:t>
      </w:r>
      <w:r>
        <w:rPr>
          <w:rFonts w:hint="default" w:ascii="Times New Roman" w:hAnsi="Times New Roman" w:eastAsia="Helvetica" w:cs="Times New Roman"/>
          <w:i w:val="0"/>
          <w:iCs w:val="0"/>
          <w:caps w:val="0"/>
          <w:color w:val="2A2A2A"/>
          <w:spacing w:val="0"/>
          <w:sz w:val="28"/>
          <w:szCs w:val="28"/>
          <w:shd w:val="clear" w:fill="FFFFFF"/>
        </w:rPr>
        <w:t>, 46</w:t>
      </w:r>
      <w:r>
        <w:rPr>
          <w:rFonts w:hint="eastAsia" w:ascii="Times New Roman" w:hAnsi="Times New Roman" w:eastAsia="宋体" w:cs="Times New Roman"/>
          <w:i w:val="0"/>
          <w:iCs w:val="0"/>
          <w:caps w:val="0"/>
          <w:color w:val="2A2A2A"/>
          <w:spacing w:val="0"/>
          <w:sz w:val="28"/>
          <w:szCs w:val="28"/>
          <w:shd w:val="clear" w:fill="FFFFFF"/>
          <w:lang w:val="en-US" w:eastAsia="zh-CN"/>
        </w:rPr>
        <w:t>(</w:t>
      </w:r>
      <w:r>
        <w:rPr>
          <w:rFonts w:hint="default" w:ascii="Times New Roman" w:hAnsi="Times New Roman" w:eastAsia="Helvetica" w:cs="Times New Roman"/>
          <w:i w:val="0"/>
          <w:iCs w:val="0"/>
          <w:caps w:val="0"/>
          <w:color w:val="2A2A2A"/>
          <w:spacing w:val="0"/>
          <w:sz w:val="28"/>
          <w:szCs w:val="28"/>
          <w:shd w:val="clear" w:fill="FFFFFF"/>
        </w:rPr>
        <w:t>4</w:t>
      </w:r>
      <w:r>
        <w:rPr>
          <w:rFonts w:hint="eastAsia" w:ascii="Times New Roman" w:hAnsi="Times New Roman" w:eastAsia="宋体" w:cs="Times New Roman"/>
          <w:i w:val="0"/>
          <w:iCs w:val="0"/>
          <w:caps w:val="0"/>
          <w:color w:val="2A2A2A"/>
          <w:spacing w:val="0"/>
          <w:sz w:val="28"/>
          <w:szCs w:val="28"/>
          <w:shd w:val="clear" w:fill="FFFFFF"/>
          <w:lang w:val="en-US" w:eastAsia="zh-CN"/>
        </w:rPr>
        <w:t>)</w:t>
      </w:r>
      <w:r>
        <w:rPr>
          <w:rFonts w:hint="default" w:ascii="Times New Roman" w:hAnsi="Times New Roman" w:eastAsia="Helvetica" w:cs="Times New Roman"/>
          <w:i w:val="0"/>
          <w:iCs w:val="0"/>
          <w:caps w:val="0"/>
          <w:color w:val="2A2A2A"/>
          <w:spacing w:val="0"/>
          <w:sz w:val="28"/>
          <w:szCs w:val="28"/>
          <w:shd w:val="clear" w:fill="FFFFFF"/>
        </w:rPr>
        <w:t xml:space="preserve">, </w:t>
      </w:r>
      <w:r>
        <w:rPr>
          <w:rFonts w:hint="eastAsia" w:ascii="Times New Roman" w:hAnsi="Times New Roman" w:eastAsia="宋体" w:cs="Times New Roman"/>
          <w:i w:val="0"/>
          <w:iCs w:val="0"/>
          <w:caps w:val="0"/>
          <w:color w:val="2A2A2A"/>
          <w:spacing w:val="0"/>
          <w:sz w:val="28"/>
          <w:szCs w:val="28"/>
          <w:shd w:val="clear" w:fill="FFFFFF"/>
          <w:lang w:val="en-US" w:eastAsia="zh-CN"/>
        </w:rPr>
        <w:t xml:space="preserve">pp. </w:t>
      </w:r>
      <w:r>
        <w:rPr>
          <w:rFonts w:hint="default" w:ascii="Times New Roman" w:hAnsi="Times New Roman" w:eastAsia="Helvetica" w:cs="Times New Roman"/>
          <w:i w:val="0"/>
          <w:iCs w:val="0"/>
          <w:caps w:val="0"/>
          <w:color w:val="2A2A2A"/>
          <w:spacing w:val="0"/>
          <w:sz w:val="28"/>
          <w:szCs w:val="28"/>
          <w:shd w:val="clear" w:fill="FFFFFF"/>
        </w:rPr>
        <w:t>340–349, </w:t>
      </w:r>
      <w:r>
        <w:rPr>
          <w:rFonts w:hint="eastAsia" w:ascii="Times New Roman" w:hAnsi="Times New Roman" w:eastAsia="宋体" w:cs="Times New Roman"/>
          <w:i w:val="0"/>
          <w:iCs w:val="0"/>
          <w:caps w:val="0"/>
          <w:color w:val="2A2A2A"/>
          <w:spacing w:val="0"/>
          <w:sz w:val="28"/>
          <w:szCs w:val="28"/>
          <w:shd w:val="clear" w:fill="FFFFFF"/>
          <w:lang w:val="en-US" w:eastAsia="zh-CN"/>
        </w:rPr>
        <w:t xml:space="preserve">Available at : </w:t>
      </w:r>
      <w:r>
        <w:rPr>
          <w:rFonts w:hint="default" w:ascii="Times New Roman" w:hAnsi="Times New Roman" w:eastAsia="Helvetica" w:cs="Times New Roman"/>
          <w:i w:val="0"/>
          <w:iCs w:val="0"/>
          <w:caps w:val="0"/>
          <w:color w:val="006FB7"/>
          <w:spacing w:val="0"/>
          <w:sz w:val="28"/>
          <w:szCs w:val="28"/>
          <w:u w:val="single"/>
          <w:shd w:val="clear" w:fill="FFFFFF"/>
          <w:vertAlign w:val="baseline"/>
        </w:rPr>
        <w:fldChar w:fldCharType="begin"/>
      </w:r>
      <w:r>
        <w:rPr>
          <w:rFonts w:hint="default" w:ascii="Times New Roman" w:hAnsi="Times New Roman" w:eastAsia="Helvetica" w:cs="Times New Roman"/>
          <w:i w:val="0"/>
          <w:iCs w:val="0"/>
          <w:caps w:val="0"/>
          <w:color w:val="006FB7"/>
          <w:spacing w:val="0"/>
          <w:sz w:val="28"/>
          <w:szCs w:val="28"/>
          <w:u w:val="single"/>
          <w:shd w:val="clear" w:fill="FFFFFF"/>
          <w:vertAlign w:val="baseline"/>
        </w:rPr>
        <w:instrText xml:space="preserve"> HYPERLINK "https://doi.org/10.1093/elt/46.4.340" </w:instrText>
      </w:r>
      <w:r>
        <w:rPr>
          <w:rFonts w:hint="default" w:ascii="Times New Roman" w:hAnsi="Times New Roman" w:eastAsia="Helvetica" w:cs="Times New Roman"/>
          <w:i w:val="0"/>
          <w:iCs w:val="0"/>
          <w:caps w:val="0"/>
          <w:color w:val="006FB7"/>
          <w:spacing w:val="0"/>
          <w:sz w:val="28"/>
          <w:szCs w:val="28"/>
          <w:u w:val="single"/>
          <w:shd w:val="clear" w:fill="FFFFFF"/>
          <w:vertAlign w:val="baseline"/>
        </w:rPr>
        <w:fldChar w:fldCharType="separate"/>
      </w:r>
      <w:r>
        <w:rPr>
          <w:rStyle w:val="10"/>
          <w:rFonts w:hint="default" w:ascii="Times New Roman" w:hAnsi="Times New Roman" w:eastAsia="Helvetica" w:cs="Times New Roman"/>
          <w:i w:val="0"/>
          <w:iCs w:val="0"/>
          <w:caps w:val="0"/>
          <w:color w:val="006FB7"/>
          <w:spacing w:val="0"/>
          <w:sz w:val="28"/>
          <w:szCs w:val="28"/>
          <w:u w:val="single"/>
          <w:shd w:val="clear" w:fill="FFFFFF"/>
          <w:vertAlign w:val="baseline"/>
        </w:rPr>
        <w:t>https://doi.org/10.1093/elt/46.4.340</w:t>
      </w:r>
      <w:r>
        <w:rPr>
          <w:rFonts w:hint="default" w:ascii="Times New Roman" w:hAnsi="Times New Roman" w:eastAsia="Helvetica" w:cs="Times New Roman"/>
          <w:i w:val="0"/>
          <w:iCs w:val="0"/>
          <w:caps w:val="0"/>
          <w:color w:val="006FB7"/>
          <w:spacing w:val="0"/>
          <w:sz w:val="28"/>
          <w:szCs w:val="28"/>
          <w:u w:val="single"/>
          <w:shd w:val="clear" w:fill="FFFFFF"/>
          <w:vertAlign w:val="baseline"/>
        </w:rPr>
        <w:fldChar w:fldCharType="end"/>
      </w:r>
    </w:p>
    <w:p>
      <w:pPr>
        <w:keepNext w:val="0"/>
        <w:keepLines w:val="0"/>
        <w:widowControl/>
        <w:suppressLineNumbers w:val="0"/>
        <w:jc w:val="both"/>
        <w:rPr>
          <w:rFonts w:hint="default" w:ascii="Times New Roman" w:hAnsi="Times New Roman" w:eastAsia="宋体" w:cs="Times New Roman"/>
          <w:color w:val="000000"/>
          <w:kern w:val="0"/>
          <w:sz w:val="28"/>
          <w:szCs w:val="28"/>
          <w:lang w:val="en-US" w:eastAsia="zh-CN" w:bidi="ar"/>
        </w:rPr>
      </w:pPr>
      <w:r>
        <w:rPr>
          <w:rFonts w:hint="default" w:ascii="Times New Roman" w:hAnsi="Times New Roman" w:eastAsia="宋体" w:cs="Times New Roman"/>
          <w:color w:val="000000"/>
          <w:kern w:val="0"/>
          <w:sz w:val="28"/>
          <w:szCs w:val="28"/>
          <w:lang w:val="en-US" w:eastAsia="zh-CN" w:bidi="ar"/>
        </w:rPr>
        <w:t>Peirce, B. N. (1995). “Social identity, investment, and language learning”</w:t>
      </w:r>
      <w:r>
        <w:rPr>
          <w:rFonts w:hint="eastAsia" w:ascii="Times New Roman" w:hAnsi="Times New Roman" w:eastAsia="宋体" w:cs="Times New Roman"/>
          <w:color w:val="000000"/>
          <w:kern w:val="0"/>
          <w:sz w:val="28"/>
          <w:szCs w:val="28"/>
          <w:lang w:val="en-US" w:eastAsia="zh-CN" w:bidi="ar"/>
        </w:rPr>
        <w:t xml:space="preserve">, </w:t>
      </w:r>
      <w:r>
        <w:rPr>
          <w:rFonts w:hint="default" w:ascii="Times New Roman" w:hAnsi="Times New Roman" w:eastAsia="宋体" w:cs="Times New Roman"/>
          <w:i/>
          <w:iCs/>
          <w:color w:val="000000"/>
          <w:kern w:val="0"/>
          <w:sz w:val="28"/>
          <w:szCs w:val="28"/>
          <w:lang w:val="en-US" w:eastAsia="zh-CN" w:bidi="ar"/>
        </w:rPr>
        <w:t>TESOL Quarterly, 29(</w:t>
      </w:r>
      <w:r>
        <w:rPr>
          <w:rFonts w:hint="default" w:ascii="Times New Roman" w:hAnsi="Times New Roman" w:eastAsia="宋体" w:cs="Times New Roman"/>
          <w:color w:val="000000"/>
          <w:kern w:val="0"/>
          <w:sz w:val="28"/>
          <w:szCs w:val="28"/>
          <w:lang w:val="en-US" w:eastAsia="zh-CN" w:bidi="ar"/>
        </w:rPr>
        <w:t xml:space="preserve">1), </w:t>
      </w:r>
      <w:r>
        <w:rPr>
          <w:rFonts w:hint="eastAsia" w:ascii="Times New Roman" w:hAnsi="Times New Roman" w:eastAsia="宋体" w:cs="Times New Roman"/>
          <w:color w:val="000000"/>
          <w:kern w:val="0"/>
          <w:sz w:val="28"/>
          <w:szCs w:val="28"/>
          <w:lang w:val="en-US" w:eastAsia="zh-CN" w:bidi="ar"/>
        </w:rPr>
        <w:t>pp.</w:t>
      </w:r>
      <w:r>
        <w:rPr>
          <w:rFonts w:hint="default" w:ascii="Times New Roman" w:hAnsi="Times New Roman" w:eastAsia="宋体" w:cs="Times New Roman"/>
          <w:color w:val="000000"/>
          <w:kern w:val="0"/>
          <w:sz w:val="28"/>
          <w:szCs w:val="28"/>
          <w:lang w:val="en-US" w:eastAsia="zh-CN" w:bidi="ar"/>
        </w:rPr>
        <w:t>9-31.</w:t>
      </w:r>
    </w:p>
    <w:p>
      <w:pPr>
        <w:keepNext w:val="0"/>
        <w:keepLines w:val="0"/>
        <w:widowControl/>
        <w:suppressLineNumbers w:val="0"/>
        <w:jc w:val="both"/>
        <w:rPr>
          <w:rFonts w:hint="default" w:ascii="Times New Roman" w:hAnsi="Times New Roman" w:eastAsia="MinionPro-Regular" w:cs="Times New Roman"/>
          <w:color w:val="1B1C1B"/>
          <w:kern w:val="0"/>
          <w:sz w:val="28"/>
          <w:szCs w:val="28"/>
          <w:lang w:val="en-US" w:eastAsia="zh-CN" w:bidi="ar"/>
        </w:rPr>
      </w:pPr>
      <w:r>
        <w:rPr>
          <w:rFonts w:hint="default" w:ascii="Times New Roman" w:hAnsi="Times New Roman" w:eastAsia="MinionPro-Regular" w:cs="Times New Roman"/>
          <w:color w:val="1B1C1B"/>
          <w:kern w:val="0"/>
          <w:sz w:val="28"/>
          <w:szCs w:val="28"/>
          <w:lang w:val="en-US" w:eastAsia="zh-CN" w:bidi="ar"/>
        </w:rPr>
        <w:t>Selvi, A. F. (2014). “Myths and misconceptions about nonnative English speakers in the TESOL (NNEST) movement”</w:t>
      </w:r>
      <w:r>
        <w:rPr>
          <w:rFonts w:hint="eastAsia" w:ascii="Times New Roman" w:hAnsi="Times New Roman" w:eastAsia="MinionPro-Regular" w:cs="Times New Roman"/>
          <w:color w:val="1B1C1B"/>
          <w:kern w:val="0"/>
          <w:sz w:val="28"/>
          <w:szCs w:val="28"/>
          <w:lang w:val="en-US" w:eastAsia="zh-CN" w:bidi="ar"/>
        </w:rPr>
        <w:t xml:space="preserve">, </w:t>
      </w:r>
      <w:r>
        <w:rPr>
          <w:rFonts w:hint="default" w:ascii="Times New Roman" w:hAnsi="Times New Roman" w:eastAsia="MinionPro-Regular" w:cs="Times New Roman"/>
          <w:i/>
          <w:iCs/>
          <w:color w:val="1B1C1B"/>
          <w:kern w:val="0"/>
          <w:sz w:val="28"/>
          <w:szCs w:val="28"/>
          <w:lang w:val="en-US" w:eastAsia="zh-CN" w:bidi="ar"/>
        </w:rPr>
        <w:t>TESOL J</w:t>
      </w:r>
      <w:r>
        <w:rPr>
          <w:rFonts w:hint="default" w:ascii="Times New Roman" w:hAnsi="Times New Roman" w:eastAsia="MinionPro-Regular" w:cs="Times New Roman"/>
          <w:color w:val="1B1C1B"/>
          <w:kern w:val="0"/>
          <w:sz w:val="28"/>
          <w:szCs w:val="28"/>
          <w:lang w:val="en-US" w:eastAsia="zh-CN" w:bidi="ar"/>
        </w:rPr>
        <w:t xml:space="preserve">. 5, </w:t>
      </w:r>
      <w:r>
        <w:rPr>
          <w:rFonts w:hint="eastAsia" w:ascii="Times New Roman" w:hAnsi="Times New Roman" w:eastAsia="MinionPro-Regular" w:cs="Times New Roman"/>
          <w:color w:val="1B1C1B"/>
          <w:kern w:val="0"/>
          <w:sz w:val="28"/>
          <w:szCs w:val="28"/>
          <w:lang w:val="en-US" w:eastAsia="zh-CN" w:bidi="ar"/>
        </w:rPr>
        <w:t>pp.</w:t>
      </w:r>
      <w:r>
        <w:rPr>
          <w:rFonts w:hint="default" w:ascii="Times New Roman" w:hAnsi="Times New Roman" w:eastAsia="MinionPro-Regular" w:cs="Times New Roman"/>
          <w:color w:val="1B1C1B"/>
          <w:kern w:val="0"/>
          <w:sz w:val="28"/>
          <w:szCs w:val="28"/>
          <w:lang w:val="en-US" w:eastAsia="zh-CN" w:bidi="ar"/>
        </w:rPr>
        <w:t xml:space="preserve">573–611. </w:t>
      </w:r>
      <w:r>
        <w:rPr>
          <w:rFonts w:hint="eastAsia" w:ascii="Times New Roman" w:hAnsi="Times New Roman" w:eastAsia="宋体" w:cs="Times New Roman"/>
          <w:i w:val="0"/>
          <w:iCs w:val="0"/>
          <w:caps w:val="0"/>
          <w:color w:val="2A2A2A"/>
          <w:spacing w:val="0"/>
          <w:sz w:val="28"/>
          <w:szCs w:val="28"/>
          <w:shd w:val="clear" w:fill="FFFFFF"/>
          <w:lang w:val="en-US" w:eastAsia="zh-CN"/>
        </w:rPr>
        <w:t xml:space="preserve">Available at : </w: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begin"/>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instrText xml:space="preserve"> HYPERLINK "https://doi.org/10.1093/elt/46.4.340" </w:instrTex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separate"/>
      </w:r>
      <w:r>
        <w:rPr>
          <w:rStyle w:val="10"/>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t>https://doi.org/</w: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end"/>
      </w:r>
      <w:r>
        <w:rPr>
          <w:rFonts w:hint="default" w:ascii="Times New Roman" w:hAnsi="Times New Roman" w:eastAsia="MinionPro-Regular" w:cs="Times New Roman"/>
          <w:color w:val="4874CB" w:themeColor="accent1"/>
          <w:kern w:val="0"/>
          <w:sz w:val="28"/>
          <w:szCs w:val="28"/>
          <w:u w:val="single"/>
          <w:lang w:val="en-US" w:eastAsia="zh-CN" w:bidi="ar"/>
          <w14:textFill>
            <w14:solidFill>
              <w14:schemeClr w14:val="accent1"/>
            </w14:solidFill>
          </w14:textFill>
        </w:rPr>
        <w:t>10.1002/tesj.158</w:t>
      </w:r>
    </w:p>
    <w:p>
      <w:pPr>
        <w:keepNext w:val="0"/>
        <w:keepLines w:val="0"/>
        <w:widowControl/>
        <w:suppressLineNumbers w:val="0"/>
        <w:jc w:val="both"/>
        <w:rPr>
          <w:rFonts w:hint="default" w:ascii="Times New Roman" w:hAnsi="Times New Roman" w:eastAsia="宋体" w:cs="Times New Roman"/>
          <w:color w:val="000000"/>
          <w:kern w:val="0"/>
          <w:sz w:val="28"/>
          <w:szCs w:val="28"/>
          <w:lang w:val="en-US" w:eastAsia="zh-CN" w:bidi="ar"/>
        </w:rPr>
      </w:pPr>
      <w:r>
        <w:rPr>
          <w:rFonts w:hint="default" w:ascii="Times New Roman" w:hAnsi="Times New Roman" w:eastAsia="宋体" w:cs="Times New Roman"/>
          <w:b w:val="0"/>
          <w:bCs w:val="0"/>
          <w:color w:val="000000" w:themeColor="text1"/>
          <w:kern w:val="0"/>
          <w:sz w:val="28"/>
          <w:szCs w:val="28"/>
          <w:lang w:val="en-US" w:eastAsia="zh-CN" w:bidi="ar"/>
          <w14:textFill>
            <w14:solidFill>
              <w14:schemeClr w14:val="tx1"/>
            </w14:solidFill>
          </w14:textFill>
        </w:rPr>
        <w:t xml:space="preserve">Verdugo, D.R. (2006) “A Study of Intonation Awareness and Learning in Non-native Speakers of English”, </w:t>
      </w:r>
      <w:r>
        <w:rPr>
          <w:rFonts w:hint="default" w:ascii="Times New Roman" w:hAnsi="Times New Roman" w:eastAsia="宋体" w:cs="Times New Roman"/>
          <w:b w:val="0"/>
          <w:bCs w:val="0"/>
          <w:i/>
          <w:iCs/>
          <w:color w:val="000000" w:themeColor="text1"/>
          <w:kern w:val="0"/>
          <w:sz w:val="28"/>
          <w:szCs w:val="28"/>
          <w:lang w:val="en-US" w:eastAsia="zh-CN" w:bidi="ar"/>
          <w14:textFill>
            <w14:solidFill>
              <w14:schemeClr w14:val="tx1"/>
            </w14:solidFill>
          </w14:textFill>
        </w:rPr>
        <w:t>Language awareness</w:t>
      </w:r>
      <w:r>
        <w:rPr>
          <w:rFonts w:hint="default" w:ascii="Times New Roman" w:hAnsi="Times New Roman" w:eastAsia="宋体" w:cs="Times New Roman"/>
          <w:b w:val="0"/>
          <w:bCs w:val="0"/>
          <w:color w:val="000000" w:themeColor="text1"/>
          <w:kern w:val="0"/>
          <w:sz w:val="28"/>
          <w:szCs w:val="28"/>
          <w:lang w:val="en-US" w:eastAsia="zh-CN" w:bidi="ar"/>
          <w14:textFill>
            <w14:solidFill>
              <w14:schemeClr w14:val="tx1"/>
            </w14:solidFill>
          </w14:textFill>
        </w:rPr>
        <w:t>, 15(3), pp. 141–159. Available at:</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 xml:space="preserve"> </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begin"/>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instrText xml:space="preserve"> HYPERLINK "https://doi.org/10.2167/la404.0." </w:instrTex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separate"/>
      </w:r>
      <w:r>
        <w:rPr>
          <w:rStyle w:val="10"/>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t>https://doi.org/10.2167/la404.0.</w:t>
      </w:r>
      <w:r>
        <w:rPr>
          <w:rFonts w:hint="default" w:ascii="Times New Roman" w:hAnsi="Times New Roman" w:eastAsia="宋体" w:cs="Times New Roman"/>
          <w:color w:val="4874CB" w:themeColor="accent1"/>
          <w:kern w:val="0"/>
          <w:sz w:val="28"/>
          <w:szCs w:val="28"/>
          <w:lang w:val="en-US" w:eastAsia="zh-CN" w:bidi="ar"/>
          <w14:textFill>
            <w14:solidFill>
              <w14:schemeClr w14:val="accent1"/>
            </w14:solidFill>
          </w14:textFill>
        </w:rPr>
        <w:fldChar w:fldCharType="end"/>
      </w:r>
    </w:p>
    <w:p>
      <w:pPr>
        <w:keepNext w:val="0"/>
        <w:keepLines w:val="0"/>
        <w:widowControl/>
        <w:suppressLineNumbers w:val="0"/>
        <w:jc w:val="both"/>
        <w:rPr>
          <w:rFonts w:hint="default" w:ascii="Times New Roman" w:hAnsi="Times New Roman" w:eastAsia="宋体" w:cs="Times New Roman"/>
          <w:color w:val="auto"/>
          <w:kern w:val="0"/>
          <w:sz w:val="28"/>
          <w:szCs w:val="28"/>
          <w:lang w:val="en-US" w:eastAsia="zh-CN" w:bidi="ar"/>
        </w:rPr>
      </w:pPr>
      <w:r>
        <w:rPr>
          <w:rFonts w:hint="default" w:ascii="Times New Roman" w:hAnsi="Times New Roman" w:eastAsia="宋体" w:cs="Times New Roman"/>
          <w:color w:val="000000"/>
          <w:kern w:val="0"/>
          <w:sz w:val="28"/>
          <w:szCs w:val="28"/>
          <w:lang w:val="en-US" w:eastAsia="zh-CN" w:bidi="ar"/>
        </w:rPr>
        <w:t xml:space="preserve">Weedon, C. (1997). </w:t>
      </w:r>
      <w:r>
        <w:rPr>
          <w:rFonts w:hint="default" w:ascii="Times New Roman" w:hAnsi="Times New Roman" w:eastAsia="宋体" w:cs="Times New Roman"/>
          <w:i/>
          <w:iCs/>
          <w:color w:val="000000"/>
          <w:kern w:val="0"/>
          <w:sz w:val="28"/>
          <w:szCs w:val="28"/>
          <w:lang w:val="en-US" w:eastAsia="zh-CN" w:bidi="ar"/>
        </w:rPr>
        <w:t xml:space="preserve">Feminist practice and poststructuralist theory. </w:t>
      </w:r>
      <w:r>
        <w:rPr>
          <w:rFonts w:hint="default" w:ascii="Times New Roman" w:hAnsi="Times New Roman" w:eastAsia="宋体" w:cs="Times New Roman"/>
          <w:color w:val="000000"/>
          <w:kern w:val="0"/>
          <w:sz w:val="28"/>
          <w:szCs w:val="28"/>
          <w:lang w:val="en-US" w:eastAsia="zh-CN" w:bidi="ar"/>
        </w:rPr>
        <w:t>Malden: Blackwell Publishing.</w:t>
      </w:r>
    </w:p>
    <w:p>
      <w:pPr>
        <w:keepNext w:val="0"/>
        <w:keepLines w:val="0"/>
        <w:widowControl/>
        <w:suppressLineNumbers w:val="0"/>
        <w:jc w:val="both"/>
        <w:rPr>
          <w:rFonts w:hint="default" w:ascii="Times New Roman" w:hAnsi="Times New Roman" w:eastAsia="宋体" w:cs="Times New Roman"/>
          <w:color w:val="auto"/>
          <w:kern w:val="0"/>
          <w:sz w:val="28"/>
          <w:szCs w:val="28"/>
          <w:lang w:val="en-US" w:eastAsia="zh-CN" w:bidi="ar"/>
        </w:rPr>
      </w:pPr>
      <w:r>
        <w:rPr>
          <w:rFonts w:hint="default" w:ascii="Times New Roman" w:hAnsi="Times New Roman" w:eastAsia="宋体" w:cs="Times New Roman"/>
          <w:color w:val="auto"/>
          <w:kern w:val="0"/>
          <w:sz w:val="28"/>
          <w:szCs w:val="28"/>
          <w:lang w:val="en-US" w:eastAsia="zh-CN" w:bidi="ar"/>
        </w:rPr>
        <w:t>Zhang, F., and Zhan, J. (2014). “The knowledge base of non-native English-speaking teachers: perspectives of teachers and administrators”</w:t>
      </w:r>
      <w:r>
        <w:rPr>
          <w:rFonts w:hint="eastAsia" w:ascii="Times New Roman" w:hAnsi="Times New Roman" w:eastAsia="宋体" w:cs="Times New Roman"/>
          <w:color w:val="auto"/>
          <w:kern w:val="0"/>
          <w:sz w:val="28"/>
          <w:szCs w:val="28"/>
          <w:lang w:val="en-US" w:eastAsia="zh-CN" w:bidi="ar"/>
        </w:rPr>
        <w:t xml:space="preserve">, </w:t>
      </w:r>
      <w:r>
        <w:rPr>
          <w:rFonts w:hint="default" w:ascii="Times New Roman" w:hAnsi="Times New Roman" w:eastAsia="宋体" w:cs="Times New Roman"/>
          <w:i/>
          <w:iCs/>
          <w:color w:val="auto"/>
          <w:kern w:val="0"/>
          <w:sz w:val="28"/>
          <w:szCs w:val="28"/>
          <w:lang w:val="en-US" w:eastAsia="zh-CN" w:bidi="ar"/>
        </w:rPr>
        <w:t>Lang. educ</w:t>
      </w:r>
      <w:r>
        <w:rPr>
          <w:rFonts w:hint="default" w:ascii="Times New Roman" w:hAnsi="Times New Roman" w:eastAsia="宋体" w:cs="Times New Roman"/>
          <w:color w:val="auto"/>
          <w:kern w:val="0"/>
          <w:sz w:val="28"/>
          <w:szCs w:val="28"/>
          <w:lang w:val="en-US" w:eastAsia="zh-CN" w:bidi="ar"/>
        </w:rPr>
        <w:t xml:space="preserve">. 28, </w:t>
      </w:r>
      <w:r>
        <w:rPr>
          <w:rFonts w:hint="eastAsia" w:ascii="Times New Roman" w:hAnsi="Times New Roman" w:eastAsia="宋体" w:cs="Times New Roman"/>
          <w:color w:val="auto"/>
          <w:kern w:val="0"/>
          <w:sz w:val="28"/>
          <w:szCs w:val="28"/>
          <w:lang w:val="en-US" w:eastAsia="zh-CN" w:bidi="ar"/>
        </w:rPr>
        <w:t xml:space="preserve">pp. </w:t>
      </w:r>
      <w:r>
        <w:rPr>
          <w:rFonts w:hint="default" w:ascii="Times New Roman" w:hAnsi="Times New Roman" w:eastAsia="宋体" w:cs="Times New Roman"/>
          <w:color w:val="auto"/>
          <w:kern w:val="0"/>
          <w:sz w:val="28"/>
          <w:szCs w:val="28"/>
          <w:lang w:val="en-US" w:eastAsia="zh-CN" w:bidi="ar"/>
        </w:rPr>
        <w:t xml:space="preserve">568–582. </w:t>
      </w:r>
      <w:r>
        <w:rPr>
          <w:rFonts w:hint="eastAsia" w:ascii="Times New Roman" w:hAnsi="Times New Roman" w:eastAsia="宋体" w:cs="Times New Roman"/>
          <w:color w:val="auto"/>
          <w:kern w:val="0"/>
          <w:sz w:val="28"/>
          <w:szCs w:val="28"/>
          <w:lang w:val="en-US" w:eastAsia="zh-CN" w:bidi="ar"/>
        </w:rPr>
        <w:t>Available at</w:t>
      </w:r>
      <w:r>
        <w:rPr>
          <w:rFonts w:hint="default" w:ascii="Times New Roman" w:hAnsi="Times New Roman" w:eastAsia="宋体" w:cs="Times New Roman"/>
          <w:color w:val="auto"/>
          <w:kern w:val="0"/>
          <w:sz w:val="28"/>
          <w:szCs w:val="28"/>
          <w:lang w:val="en-US" w:eastAsia="zh-CN" w:bidi="ar"/>
        </w:rPr>
        <w:t xml:space="preserve">: </w: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begin"/>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instrText xml:space="preserve"> HYPERLINK "https://doi.org/10.1093/elt/46.4.340" </w:instrTex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separate"/>
      </w:r>
      <w:r>
        <w:rPr>
          <w:rStyle w:val="10"/>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t>https://doi.org/</w:t>
      </w:r>
      <w:r>
        <w:rPr>
          <w:rFonts w:hint="default" w:ascii="Times New Roman" w:hAnsi="Times New Roman" w:eastAsia="Helvetica" w:cs="Times New Roman"/>
          <w:i w:val="0"/>
          <w:iCs w:val="0"/>
          <w:caps w:val="0"/>
          <w:color w:val="4874CB" w:themeColor="accent1"/>
          <w:spacing w:val="0"/>
          <w:sz w:val="28"/>
          <w:szCs w:val="28"/>
          <w:u w:val="single"/>
          <w:shd w:val="clear" w:fill="FFFFFF"/>
          <w:vertAlign w:val="baseline"/>
          <w14:textFill>
            <w14:solidFill>
              <w14:schemeClr w14:val="accent1"/>
            </w14:solidFill>
          </w14:textFill>
        </w:rPr>
        <w:fldChar w:fldCharType="end"/>
      </w:r>
      <w:r>
        <w:rPr>
          <w:rFonts w:hint="default" w:ascii="Times New Roman" w:hAnsi="Times New Roman" w:eastAsia="宋体" w:cs="Times New Roman"/>
          <w:color w:val="4874CB" w:themeColor="accent1"/>
          <w:kern w:val="0"/>
          <w:sz w:val="28"/>
          <w:szCs w:val="28"/>
          <w:u w:val="single"/>
          <w:lang w:val="en-US" w:eastAsia="zh-CN" w:bidi="ar"/>
          <w14:textFill>
            <w14:solidFill>
              <w14:schemeClr w14:val="accent1"/>
            </w14:solidFill>
          </w14:textFill>
        </w:rPr>
        <w:t>10.1080/09500782.2014.921193</w:t>
      </w:r>
    </w:p>
    <w:p>
      <w:pPr>
        <w:rPr>
          <w:rFonts w:hint="default" w:ascii="Times New Roman" w:hAnsi="Times New Roman" w:eastAsia="宋体" w:cs="Times New Roman"/>
          <w:b/>
          <w:bCs/>
          <w:i w:val="0"/>
          <w:iCs w:val="0"/>
          <w:caps w:val="0"/>
          <w:spacing w:val="0"/>
          <w:sz w:val="28"/>
          <w:szCs w:val="28"/>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MinionPro-Regular">
    <w:altName w:val="Segoe Print"/>
    <w:panose1 w:val="00000000000000000000"/>
    <w:charset w:val="00"/>
    <w:family w:val="auto"/>
    <w:pitch w:val="default"/>
    <w:sig w:usb0="00000000" w:usb1="00000000" w:usb2="00000000" w:usb3="00000000" w:csb0="00000000" w:csb1="00000000"/>
  </w:font>
  <w:font w:name="MinionPro-It">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054853E7"/>
    <w:rsid w:val="054853E7"/>
    <w:rsid w:val="5CB52183"/>
    <w:rsid w:val="781A35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autoRedefine/>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7">
    <w:name w:val="Normal Table"/>
    <w:autoRedefine/>
    <w:semiHidden/>
    <w:qFormat/>
    <w:uiPriority w:val="0"/>
    <w:tblPr>
      <w:tblCellMar>
        <w:top w:w="0" w:type="dxa"/>
        <w:left w:w="108" w:type="dxa"/>
        <w:bottom w:w="0" w:type="dxa"/>
        <w:right w:w="108" w:type="dxa"/>
      </w:tblCellMar>
    </w:tblPr>
  </w:style>
  <w:style w:type="paragraph" w:styleId="4">
    <w:name w:val="footer"/>
    <w:basedOn w:val="1"/>
    <w:autoRedefine/>
    <w:qFormat/>
    <w:uiPriority w:val="0"/>
    <w:pPr>
      <w:tabs>
        <w:tab w:val="center" w:pos="4153"/>
        <w:tab w:val="right" w:pos="8306"/>
      </w:tabs>
      <w:snapToGrid w:val="0"/>
      <w:jc w:val="left"/>
    </w:pPr>
    <w:rPr>
      <w:sz w:val="18"/>
    </w:rPr>
  </w:style>
  <w:style w:type="paragraph" w:styleId="5">
    <w:name w:val="header"/>
    <w:basedOn w:val="1"/>
    <w:autoRedefine/>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9">
    <w:name w:val="Emphasis"/>
    <w:basedOn w:val="8"/>
    <w:autoRedefine/>
    <w:qFormat/>
    <w:uiPriority w:val="0"/>
    <w:rPr>
      <w:i/>
    </w:rPr>
  </w:style>
  <w:style w:type="character" w:styleId="10">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2024-04-14T13:18:00Z</dcterms:created>
  <dc:creator>晨跑的小猪</dc:creator>
  <cp:lastModifiedBy>晨跑的小猪</cp:lastModifiedBy>
  <dcterms:modified xsi:type="dcterms:W3CDTF">2024-04-15T12:46:19Z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3096DBCBEF1249308E178EC8C912F239_13</vt:lpwstr>
  </property>
</Properties>
</file>