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083105D2" wp14:textId="7725206A">
      <w:r w:rsidR="1A238AF3">
        <w:rPr/>
        <w:t xml:space="preserve">  Within this advisory notice it will consider while using various case law the aspects that could be used in a case against both your employer and the GP surgery. The first half will be focused on your employer, it will consider duty of care, negligence and the defenses that could be used against you if you wish to </w:t>
      </w:r>
      <w:r w:rsidR="1A238AF3">
        <w:rPr/>
        <w:t>proceed</w:t>
      </w:r>
      <w:r w:rsidR="1A238AF3">
        <w:rPr/>
        <w:t xml:space="preserve"> further. The second half will be focused on the GP surgery and </w:t>
      </w:r>
      <w:r w:rsidR="501BEF90">
        <w:rPr/>
        <w:t>covering</w:t>
      </w:r>
      <w:r w:rsidR="1A238AF3">
        <w:rPr/>
        <w:t xml:space="preserve"> duty of care and causation. </w:t>
      </w:r>
    </w:p>
    <w:p xmlns:wp14="http://schemas.microsoft.com/office/word/2010/wordml" w:rsidP="74D35759" wp14:paraId="317C8934" wp14:textId="6B2D2861">
      <w:pPr>
        <w:pStyle w:val="Normal"/>
      </w:pPr>
      <w:r w:rsidR="1A238AF3">
        <w:rPr/>
        <w:t xml:space="preserve"> </w:t>
      </w:r>
    </w:p>
    <w:p xmlns:wp14="http://schemas.microsoft.com/office/word/2010/wordml" w:rsidP="74D35759" wp14:paraId="349366FE" wp14:textId="7A6F3D8E">
      <w:pPr>
        <w:pStyle w:val="Normal"/>
      </w:pPr>
      <w:r w:rsidR="1A238AF3">
        <w:rPr/>
        <w:t xml:space="preserve">  Within this case the claimant's employer has a duty of care to ensure the workplace environment is safe from any foreseeable harm. When it comes to the duty of care to prove that this has not occurred the claimant must prove that negligence has occurred. </w:t>
      </w:r>
      <w:r w:rsidR="1A238AF3">
        <w:rPr/>
        <w:t>When it comes to this there is no automatic liability, the claimant must first prove that a duty of care was owed to them.</w:t>
      </w:r>
      <w:r w:rsidR="1A238AF3">
        <w:rPr/>
        <w:t xml:space="preserve"> An example of this can be seen in the case (Darnley v Croydon Health Services NHS Trust (2019).  </w:t>
      </w:r>
      <w:r w:rsidR="55313FB6">
        <w:rPr/>
        <w:t xml:space="preserve">The NHS receptionist failed in this case by giving incorrect information about the waiting times within A and E. </w:t>
      </w:r>
      <w:r w:rsidR="55313FB6">
        <w:rPr/>
        <w:t>Following this, there</w:t>
      </w:r>
      <w:r w:rsidR="55313FB6">
        <w:rPr/>
        <w:t xml:space="preserve"> is also statutory duty of care which considers employers' duty to employees.</w:t>
      </w:r>
      <w:r w:rsidR="1A238AF3">
        <w:rPr/>
        <w:t xml:space="preserve"> This is </w:t>
      </w:r>
      <w:r w:rsidR="086F740E">
        <w:rPr/>
        <w:t>regarding</w:t>
      </w:r>
      <w:r w:rsidR="1A238AF3">
        <w:rPr/>
        <w:t xml:space="preserve"> work environment and </w:t>
      </w:r>
      <w:r w:rsidR="2B7E51FD">
        <w:rPr/>
        <w:t>customs;</w:t>
      </w:r>
      <w:r w:rsidR="1A238AF3">
        <w:rPr/>
        <w:t xml:space="preserve"> it is imperative that employers ensure the work environment is safe. An example of this is the case McSherry v British Telecommunications plc (1992) in this case the claimant developed a repetitive strain injury that developed into her arm and neck area. The result of this case was that her employers were found liable, as they had failed in their duty of care to ensure work posture </w:t>
      </w:r>
      <w:r w:rsidR="36A65659">
        <w:rPr/>
        <w:t>was</w:t>
      </w:r>
      <w:r w:rsidR="1A238AF3">
        <w:rPr/>
        <w:t xml:space="preserve"> better taken care of. In this case it was </w:t>
      </w:r>
      <w:r w:rsidR="1A3CBB4C">
        <w:rPr/>
        <w:t>foreseeable</w:t>
      </w:r>
      <w:r w:rsidR="1A238AF3">
        <w:rPr/>
        <w:t xml:space="preserve"> that poor posture could develop into injuries </w:t>
      </w:r>
      <w:r w:rsidR="5B97D61A">
        <w:rPr/>
        <w:t>to</w:t>
      </w:r>
      <w:r w:rsidR="1A238AF3">
        <w:rPr/>
        <w:t xml:space="preserve"> employees. Moving on from this many of the rules and regulations surrounding this area of tort law can be found within the compensation act 2006. This relates to duty of care, </w:t>
      </w:r>
      <w:r w:rsidR="336B510A">
        <w:rPr/>
        <w:t>occupiers'</w:t>
      </w:r>
      <w:r w:rsidR="1A238AF3">
        <w:rPr/>
        <w:t xml:space="preserve"> liability. </w:t>
      </w:r>
    </w:p>
    <w:p xmlns:wp14="http://schemas.microsoft.com/office/word/2010/wordml" w:rsidP="74D35759" wp14:paraId="6B158029" wp14:textId="2665C0C1">
      <w:pPr>
        <w:pStyle w:val="Normal"/>
      </w:pPr>
      <w:r w:rsidR="1A238AF3">
        <w:rPr/>
        <w:t xml:space="preserve"> </w:t>
      </w:r>
    </w:p>
    <w:p xmlns:wp14="http://schemas.microsoft.com/office/word/2010/wordml" w:rsidP="74D35759" wp14:paraId="23CA664D" wp14:textId="35469117">
      <w:pPr>
        <w:pStyle w:val="Normal"/>
      </w:pPr>
      <w:r w:rsidR="1A238AF3">
        <w:rPr/>
        <w:t>Next will be focusing on this current case, and to start by examining if there is any duty of care between you and your employers.</w:t>
      </w:r>
      <w:r w:rsidR="1A238AF3">
        <w:rPr/>
        <w:t xml:space="preserve"> There are multiple ways to consider this fact, firstly is the proximity to the </w:t>
      </w:r>
      <w:r w:rsidR="522ABAE3">
        <w:rPr/>
        <w:t>defendant employers</w:t>
      </w:r>
      <w:r w:rsidR="1A238AF3">
        <w:rPr/>
        <w:t xml:space="preserve">. Due to being employed by them the claimant is eligible for a statutory duty of care. In cases such as Caparo Industries </w:t>
      </w:r>
      <w:r w:rsidR="1A238AF3">
        <w:rPr/>
        <w:t>pIc</w:t>
      </w:r>
      <w:r w:rsidR="1A238AF3">
        <w:rPr/>
        <w:t xml:space="preserve"> v Dickman (1990) and Yates v national trust (2014) lack of a clear proximity, the defendants negated any claims to a duty of care. Following on from this as seen in the case COX v. H.C.B. ANGUS LTD. (1981) this duty of care is extended to all areas of employment, this was shown that even the inside of fire engines can be considered a work area. Following on </w:t>
      </w:r>
      <w:r w:rsidR="50FE9B6D">
        <w:rPr/>
        <w:t>regarding</w:t>
      </w:r>
      <w:r w:rsidR="1A238AF3">
        <w:rPr/>
        <w:t xml:space="preserve"> contract law, as seen in this case Newton-Sealey v ArmorGroup Services Ltd (2008) just having a contract with employers grants a level of duty of care. From employer to employee. Through examining those cases it is clear a duty of care is owed </w:t>
      </w:r>
      <w:r w:rsidR="494288BC">
        <w:rPr/>
        <w:t>to</w:t>
      </w:r>
      <w:r w:rsidR="1A238AF3">
        <w:rPr/>
        <w:t xml:space="preserve"> the claimant. </w:t>
      </w:r>
    </w:p>
    <w:p xmlns:wp14="http://schemas.microsoft.com/office/word/2010/wordml" w:rsidP="74D35759" wp14:paraId="1068E427" wp14:textId="7B6CE979">
      <w:pPr>
        <w:pStyle w:val="Normal"/>
      </w:pPr>
      <w:r w:rsidR="1A238AF3">
        <w:rPr/>
        <w:t xml:space="preserve"> </w:t>
      </w:r>
    </w:p>
    <w:p xmlns:wp14="http://schemas.microsoft.com/office/word/2010/wordml" w:rsidP="74D35759" wp14:paraId="0F8FD397" wp14:textId="46DC42D8">
      <w:pPr>
        <w:pStyle w:val="Normal"/>
      </w:pPr>
      <w:r w:rsidR="1A238AF3">
        <w:rPr/>
        <w:t xml:space="preserve">The hazard within this case being left out boxes, it can be considered negligence. </w:t>
      </w:r>
      <w:r w:rsidR="2FC11592">
        <w:rPr/>
        <w:t>Negligence</w:t>
      </w:r>
      <w:r w:rsidR="1A238AF3">
        <w:rPr/>
        <w:t xml:space="preserve"> is an act or an omission of an act that can cause foreseeable harm to yourself or others. An example of this can be seen in this case Staveley Iron &amp; Chemical Co Ltd v Jones (1956). Within this case the negligent action was the handling of the crane. Rather than stopping while using the crane to ensure that the fork was centered the controller continued to use it. This resulted in foreseeable harm to the claimant of that case. </w:t>
      </w:r>
      <w:r w:rsidR="7AF3F3F0">
        <w:rPr/>
        <w:t>About</w:t>
      </w:r>
      <w:r w:rsidR="1A238AF3">
        <w:rPr/>
        <w:t xml:space="preserve"> the current case the boxes being left out in the open can be considered a tripping </w:t>
      </w:r>
      <w:r w:rsidR="632B97E0">
        <w:rPr/>
        <w:t>hazard and</w:t>
      </w:r>
      <w:r w:rsidR="1A238AF3">
        <w:rPr/>
        <w:t xml:space="preserve"> can foreseeably result in harm to others. </w:t>
      </w:r>
    </w:p>
    <w:p xmlns:wp14="http://schemas.microsoft.com/office/word/2010/wordml" w:rsidP="74D35759" wp14:paraId="294F9E7B" wp14:textId="6C6E83B4">
      <w:pPr>
        <w:pStyle w:val="Normal"/>
      </w:pPr>
      <w:r w:rsidR="1A238AF3">
        <w:rPr/>
        <w:t xml:space="preserve"> </w:t>
      </w:r>
    </w:p>
    <w:p xmlns:wp14="http://schemas.microsoft.com/office/word/2010/wordml" w:rsidP="74D35759" wp14:paraId="32BC8852" wp14:textId="5005BE33">
      <w:pPr>
        <w:pStyle w:val="Normal"/>
      </w:pPr>
      <w:r w:rsidR="1A238AF3">
        <w:rPr/>
        <w:t xml:space="preserve">Next Will be looking at mitigating factors and defenses, these are ways in which the employers can remove liability or face less punishment. To begin a </w:t>
      </w:r>
      <w:r w:rsidR="387112F9">
        <w:rPr/>
        <w:t>large</w:t>
      </w:r>
      <w:r w:rsidR="1A238AF3">
        <w:rPr/>
        <w:t xml:space="preserve"> part of this case is the sign that was placed to inform workers of the pile of boxes. It could be argued that a reasonable man when walking would be able to read a sign warning of obstruction. This type of incident can be seen in the case Blyth v. Birmingham Waterworks Co (1856) in which the defendant installed water pipes, 25 years later an issue occurred with them after historically cold temperatures. The defendant was found not liable as a reasonable man could not have foreseen the events that happened. The relation of that to this case </w:t>
      </w:r>
      <w:r w:rsidR="08AD51C8">
        <w:rPr/>
        <w:t>is</w:t>
      </w:r>
      <w:r w:rsidR="1A238AF3">
        <w:rPr/>
        <w:t xml:space="preserve"> just like that the defendant </w:t>
      </w:r>
      <w:r w:rsidR="09C6AF17">
        <w:rPr/>
        <w:t>could not</w:t>
      </w:r>
      <w:r w:rsidR="1A238AF3">
        <w:rPr/>
        <w:t xml:space="preserve"> have known about the cold weather's effect on the pipes. In this current case it can be reasonable to expect an adult in a place of work </w:t>
      </w:r>
      <w:r w:rsidR="36BCA707">
        <w:rPr/>
        <w:t>to read</w:t>
      </w:r>
      <w:r w:rsidR="1A238AF3">
        <w:rPr/>
        <w:t xml:space="preserve"> a sign. Following on from this another case that can be considered applicable to this is Orchard v Lee (2009). In this case a lunch lady was knocked over by a </w:t>
      </w:r>
      <w:r w:rsidR="25B3144C">
        <w:rPr/>
        <w:t>13-year-old</w:t>
      </w:r>
      <w:r w:rsidR="1A238AF3">
        <w:rPr/>
        <w:t xml:space="preserve"> boy who was running backwards. She tried to claim negligence against the defendant. The boy was not found liable due to the court </w:t>
      </w:r>
      <w:r w:rsidR="4002E276">
        <w:rPr/>
        <w:t>ruling that</w:t>
      </w:r>
      <w:r w:rsidR="1A238AF3">
        <w:rPr/>
        <w:t xml:space="preserve"> you can treat children with the same standard as adults. This relates to the current case as it shows how for a claim to go through the claimant needs to prove negligence. For the claimant in </w:t>
      </w:r>
      <w:r w:rsidR="61FE6C7E">
        <w:rPr/>
        <w:t>Orchard,</w:t>
      </w:r>
      <w:r w:rsidR="1A238AF3">
        <w:rPr/>
        <w:t xml:space="preserve"> she was unable to prove this as the defendant was a </w:t>
      </w:r>
      <w:r w:rsidR="5E672E06">
        <w:rPr/>
        <w:t>13-year-old</w:t>
      </w:r>
      <w:r w:rsidR="1A238AF3">
        <w:rPr/>
        <w:t xml:space="preserve">. For this current </w:t>
      </w:r>
      <w:r w:rsidR="3EF84204">
        <w:rPr/>
        <w:t>case,</w:t>
      </w:r>
      <w:r w:rsidR="1A238AF3">
        <w:rPr/>
        <w:t xml:space="preserve"> a big issue with proving negligence is the sign placed up to warn others of the sign. </w:t>
      </w:r>
    </w:p>
    <w:p xmlns:wp14="http://schemas.microsoft.com/office/word/2010/wordml" w:rsidP="74D35759" wp14:paraId="01BFE808" wp14:textId="41484EF6">
      <w:pPr>
        <w:pStyle w:val="Normal"/>
      </w:pPr>
      <w:r w:rsidR="1A238AF3">
        <w:rPr/>
        <w:t xml:space="preserve"> </w:t>
      </w:r>
    </w:p>
    <w:p xmlns:wp14="http://schemas.microsoft.com/office/word/2010/wordml" w:rsidP="74D35759" wp14:paraId="3BC40B5A" wp14:textId="280ADFCE">
      <w:pPr>
        <w:pStyle w:val="Normal"/>
      </w:pPr>
      <w:r w:rsidR="1A238AF3">
        <w:rPr/>
        <w:t xml:space="preserve">The final aspect in relation to the employer relates to an act called the Law reform (contributory negligence) act 1945. This act lays out the concept of a defense to negligence on part of the claimant, not just defendant. A clear example of this in practice is in the case Pitts v Hunt (1991). </w:t>
      </w:r>
      <w:r w:rsidR="78D723C9">
        <w:rPr/>
        <w:t>In this case, the claimant and defendant were drunk driving on a motorbike, resulting in crashing the bike.</w:t>
      </w:r>
      <w:r w:rsidR="1A238AF3">
        <w:rPr/>
        <w:t xml:space="preserve"> </w:t>
      </w:r>
      <w:r w:rsidR="6B56E081">
        <w:rPr/>
        <w:t>The claimant was unsuccessful when claiming because while drunk driving, he repeatedly told the driver to go faster.</w:t>
      </w:r>
      <w:r w:rsidR="1A238AF3">
        <w:rPr/>
        <w:t xml:space="preserve"> </w:t>
      </w:r>
      <w:r w:rsidR="4049936A">
        <w:rPr/>
        <w:t>Which showed the claimant was part of an illegal act too and therefore not applicable to claim damages.</w:t>
      </w:r>
      <w:r w:rsidR="1A238AF3">
        <w:rPr/>
        <w:t xml:space="preserve"> To reiterate, due to the </w:t>
      </w:r>
      <w:r w:rsidR="3C6CFF5D">
        <w:rPr/>
        <w:t>claimants'</w:t>
      </w:r>
      <w:r w:rsidR="1A238AF3">
        <w:rPr/>
        <w:t xml:space="preserve"> own negligent action, they were not entitled to any claims that could have foreseeably been granted. Following on from this </w:t>
      </w:r>
      <w:r w:rsidR="0FDCF04C">
        <w:rPr/>
        <w:t>regarding</w:t>
      </w:r>
      <w:r w:rsidR="1A238AF3">
        <w:rPr/>
        <w:t xml:space="preserve"> minimizing claims through contributory </w:t>
      </w:r>
      <w:r w:rsidR="32CCE254">
        <w:rPr/>
        <w:t>negligence,</w:t>
      </w:r>
      <w:r w:rsidR="1A238AF3">
        <w:rPr/>
        <w:t xml:space="preserve"> a good example of this in practice is the case Platform Home Loans Ltd v Oyston Shipways Ltd (1999). Within this case because of the actions of the plaintiff despite an appeal it was ruled that the actions of said plaintiff contributed to part of the financial harm. While unlike the </w:t>
      </w:r>
      <w:r w:rsidR="1A238AF3">
        <w:rPr/>
        <w:t>previous</w:t>
      </w:r>
      <w:r w:rsidR="1A238AF3">
        <w:rPr/>
        <w:t xml:space="preserve"> case the plaintiff was provided some monetary rewards, it was less than could have been gained. The action that caused this was negligently going along with the defendants and giving loans that were vastly over what they should be. This is an issue in your case due to the fact that when the incident occurred you were on your phone, this could be considered to be contributory negligence, just like in this case Walker v </w:t>
      </w:r>
      <w:r w:rsidR="1A238AF3">
        <w:rPr/>
        <w:t>Chruszcz</w:t>
      </w:r>
      <w:r w:rsidR="1A238AF3">
        <w:rPr/>
        <w:t xml:space="preserve"> and another (2006). The result of this issue in the case was </w:t>
      </w:r>
      <w:r w:rsidR="74566916">
        <w:rPr/>
        <w:t>the plaintiff</w:t>
      </w:r>
      <w:r w:rsidR="1A238AF3">
        <w:rPr/>
        <w:t xml:space="preserve"> being </w:t>
      </w:r>
      <w:r w:rsidR="1A238AF3">
        <w:rPr/>
        <w:t>advised to take</w:t>
      </w:r>
      <w:r w:rsidR="1A238AF3">
        <w:rPr/>
        <w:t xml:space="preserve"> a settlement and drop claims, as it was </w:t>
      </w:r>
      <w:r w:rsidR="43748227">
        <w:rPr/>
        <w:t>highly likely</w:t>
      </w:r>
      <w:r w:rsidR="1A238AF3">
        <w:rPr/>
        <w:t xml:space="preserve"> that contributory negligence could negatively affect the case. </w:t>
      </w:r>
    </w:p>
    <w:p xmlns:wp14="http://schemas.microsoft.com/office/word/2010/wordml" w:rsidP="74D35759" wp14:paraId="6C0BAD60" wp14:textId="73941A60">
      <w:pPr>
        <w:pStyle w:val="Normal"/>
      </w:pPr>
      <w:r w:rsidR="1A238AF3">
        <w:rPr/>
        <w:t xml:space="preserve"> </w:t>
      </w:r>
    </w:p>
    <w:p xmlns:wp14="http://schemas.microsoft.com/office/word/2010/wordml" w:rsidP="74D35759" wp14:paraId="70886BCE" wp14:textId="4FE1CE89">
      <w:pPr>
        <w:pStyle w:val="Normal"/>
      </w:pPr>
      <w:r w:rsidR="1A238AF3">
        <w:rPr/>
        <w:t xml:space="preserve">To conclude </w:t>
      </w:r>
      <w:r w:rsidR="6594A930">
        <w:rPr/>
        <w:t>about</w:t>
      </w:r>
      <w:r w:rsidR="1A238AF3">
        <w:rPr/>
        <w:t xml:space="preserve"> the employer through precedents set in </w:t>
      </w:r>
      <w:r w:rsidR="1A238AF3">
        <w:rPr/>
        <w:t>previous</w:t>
      </w:r>
      <w:r w:rsidR="1A238AF3">
        <w:rPr/>
        <w:t xml:space="preserve"> cases such as McSherry v British Telecommunications plc (1992). Due to being employed by them it is clear they owe a duty of care to you. The boxes being left out in the open </w:t>
      </w:r>
      <w:r w:rsidR="75F5154F">
        <w:rPr/>
        <w:t>hallway</w:t>
      </w:r>
      <w:r w:rsidR="1A238AF3">
        <w:rPr/>
        <w:t xml:space="preserve"> can also be considered negligent due to the foreseeable harm that did occur as seen in the case Staveley Iron &amp; Chemical Co Ltd v Jones (1956). </w:t>
      </w:r>
      <w:r w:rsidR="27920F20">
        <w:rPr/>
        <w:t>However,</w:t>
      </w:r>
      <w:r w:rsidR="1A238AF3">
        <w:rPr/>
        <w:t xml:space="preserve"> two defenses that could be used if you wish to make a claim are that firstly there was a sign placed in the hallway. </w:t>
      </w:r>
      <w:r w:rsidR="16A112D9">
        <w:rPr/>
        <w:t xml:space="preserve">As </w:t>
      </w:r>
      <w:r w:rsidR="16A112D9">
        <w:rPr/>
        <w:t>stated</w:t>
      </w:r>
      <w:r w:rsidR="16A112D9">
        <w:rPr/>
        <w:t xml:space="preserve">, like in the case Orchard v Lee (2009), proving negligence in that, even if it </w:t>
      </w:r>
      <w:r w:rsidR="0880250E">
        <w:rPr/>
        <w:t>does not</w:t>
      </w:r>
      <w:r w:rsidR="16A112D9">
        <w:rPr/>
        <w:t xml:space="preserve"> remove full legal liability, it could negatively affect your claim.</w:t>
      </w:r>
      <w:r w:rsidR="1A238AF3">
        <w:rPr/>
        <w:t xml:space="preserve"> </w:t>
      </w:r>
      <w:r w:rsidR="7398F74A">
        <w:rPr/>
        <w:t xml:space="preserve">Secondly, the issue with contributory negligence, </w:t>
      </w:r>
      <w:r w:rsidR="7398F74A">
        <w:rPr/>
        <w:t>regarding</w:t>
      </w:r>
      <w:r w:rsidR="7398F74A">
        <w:rPr/>
        <w:t xml:space="preserve"> being on your phone, could further negatively affect your claim.</w:t>
      </w:r>
      <w:r w:rsidR="1A238AF3">
        <w:rPr/>
        <w:t xml:space="preserve"> So overall </w:t>
      </w:r>
      <w:r w:rsidR="04CCA7FE">
        <w:rPr/>
        <w:t>regarding</w:t>
      </w:r>
      <w:r w:rsidR="1A238AF3">
        <w:rPr/>
        <w:t xml:space="preserve"> this case, my professional opinion is in line with </w:t>
      </w:r>
      <w:r w:rsidR="4D9A72DF">
        <w:rPr/>
        <w:t>the</w:t>
      </w:r>
      <w:r w:rsidR="4798C1E1">
        <w:rPr/>
        <w:t xml:space="preserve"> Walker</w:t>
      </w:r>
      <w:r w:rsidR="1A238AF3">
        <w:rPr/>
        <w:t xml:space="preserve"> v </w:t>
      </w:r>
      <w:r w:rsidR="1A238AF3">
        <w:rPr/>
        <w:t>Chruszcz</w:t>
      </w:r>
      <w:r w:rsidR="1A238AF3">
        <w:rPr/>
        <w:t xml:space="preserve"> </w:t>
      </w:r>
      <w:r w:rsidR="7A9BD463">
        <w:rPr/>
        <w:t>case</w:t>
      </w:r>
      <w:r w:rsidR="1A238AF3">
        <w:rPr/>
        <w:t xml:space="preserve"> (2006), the best course of action is not to claim damages. </w:t>
      </w:r>
    </w:p>
    <w:p xmlns:wp14="http://schemas.microsoft.com/office/word/2010/wordml" w:rsidP="74D35759" wp14:paraId="0B2E87D0" wp14:textId="4CAB69C9">
      <w:pPr>
        <w:pStyle w:val="Normal"/>
      </w:pPr>
      <w:r w:rsidR="1A238AF3">
        <w:rPr/>
        <w:t xml:space="preserve"> </w:t>
      </w:r>
    </w:p>
    <w:p xmlns:wp14="http://schemas.microsoft.com/office/word/2010/wordml" w:rsidP="74D35759" wp14:paraId="40A1CF34" wp14:textId="37895D9C">
      <w:pPr>
        <w:pStyle w:val="Normal"/>
      </w:pPr>
      <w:r w:rsidR="1A238AF3">
        <w:rPr/>
        <w:t xml:space="preserve"> </w:t>
      </w:r>
    </w:p>
    <w:p xmlns:wp14="http://schemas.microsoft.com/office/word/2010/wordml" w:rsidP="74D35759" wp14:paraId="6602EA88" wp14:textId="2756D9B9">
      <w:pPr>
        <w:pStyle w:val="Normal"/>
      </w:pPr>
      <w:r w:rsidR="1A238AF3">
        <w:rPr/>
        <w:t xml:space="preserve"> </w:t>
      </w:r>
    </w:p>
    <w:p xmlns:wp14="http://schemas.microsoft.com/office/word/2010/wordml" w:rsidP="74D35759" wp14:paraId="40CBED57" wp14:textId="1AF79415">
      <w:pPr>
        <w:pStyle w:val="Normal"/>
      </w:pPr>
      <w:r w:rsidR="1A238AF3">
        <w:rPr/>
        <w:t xml:space="preserve"> </w:t>
      </w:r>
    </w:p>
    <w:p xmlns:wp14="http://schemas.microsoft.com/office/word/2010/wordml" w:rsidP="74D35759" wp14:paraId="527593F7" wp14:textId="07361776">
      <w:pPr>
        <w:pStyle w:val="Normal"/>
      </w:pPr>
      <w:r w:rsidR="1A238AF3">
        <w:rPr/>
        <w:t xml:space="preserve"> </w:t>
      </w:r>
    </w:p>
    <w:p xmlns:wp14="http://schemas.microsoft.com/office/word/2010/wordml" w:rsidP="74D35759" wp14:paraId="45F74472" wp14:textId="50AD2C7F">
      <w:pPr>
        <w:pStyle w:val="Normal"/>
      </w:pPr>
      <w:r w:rsidR="015C0DE2">
        <w:rPr/>
        <w:t>To begin with, duty of care is important when considering liability in the hospital.</w:t>
      </w:r>
      <w:r w:rsidR="1A238AF3">
        <w:rPr/>
        <w:t xml:space="preserve"> </w:t>
      </w:r>
      <w:r w:rsidR="3872C894">
        <w:rPr/>
        <w:t xml:space="preserve">Unlike previously when considering duty of care </w:t>
      </w:r>
      <w:r w:rsidR="3872C894">
        <w:rPr/>
        <w:t>regarding</w:t>
      </w:r>
      <w:r w:rsidR="3872C894">
        <w:rPr/>
        <w:t xml:space="preserve"> a doctor, it is a higher standard.</w:t>
      </w:r>
      <w:r w:rsidR="1A238AF3">
        <w:rPr/>
        <w:t xml:space="preserve"> Unlike before where it was a reasonable man, for the doctor the position is </w:t>
      </w:r>
      <w:r w:rsidR="4F72B84D">
        <w:rPr/>
        <w:t>professional</w:t>
      </w:r>
      <w:r w:rsidR="1A238AF3">
        <w:rPr/>
        <w:t xml:space="preserve">, as this is an educated figure. An example of this is in the case Bolam v Friern Hospital Management Committee (1957) In that case a mentally impaired man went to the doctor for treatment, however the doctor refused to strap the man in and give him certain painkillers resulting in harm. The doctor was not found liable, as at the time the treatment in question was hotly debated by many professionals, therefore the case hinged on the idea of reasonable professionals. </w:t>
      </w:r>
      <w:r w:rsidR="0223D984">
        <w:rPr/>
        <w:t>Therefore,</w:t>
      </w:r>
      <w:r w:rsidR="1A238AF3">
        <w:rPr/>
        <w:t xml:space="preserve"> in that </w:t>
      </w:r>
      <w:r w:rsidR="178A5F67">
        <w:rPr/>
        <w:t>aspect,</w:t>
      </w:r>
      <w:r w:rsidR="1A238AF3">
        <w:rPr/>
        <w:t xml:space="preserve"> as the treatment was uncertain the defendant did what he believed correct. </w:t>
      </w:r>
      <w:r w:rsidR="4C6FBAFB">
        <w:rPr/>
        <w:t xml:space="preserve">In the current case, there is a clear duty of care </w:t>
      </w:r>
      <w:r w:rsidR="4C6FBAFB">
        <w:rPr/>
        <w:t>regarding</w:t>
      </w:r>
      <w:r w:rsidR="4C6FBAFB">
        <w:rPr/>
        <w:t xml:space="preserve"> the wound.</w:t>
      </w:r>
      <w:r w:rsidR="1A238AF3">
        <w:rPr/>
        <w:t xml:space="preserve"> </w:t>
      </w:r>
      <w:r w:rsidR="076CA16E">
        <w:rPr/>
        <w:t>Since</w:t>
      </w:r>
      <w:r w:rsidR="1A238AF3">
        <w:rPr/>
        <w:t xml:space="preserve"> the wound was ‘purple and black’ and ‘beginning to smell</w:t>
      </w:r>
      <w:r w:rsidR="722ECF86">
        <w:rPr/>
        <w:t>,’</w:t>
      </w:r>
      <w:r w:rsidR="1A238AF3">
        <w:rPr/>
        <w:t xml:space="preserve"> those are clear aspects that should be looked at. Cases such as Darnley v Croydon Health Services NHS Trust (2018) and Gouldsmith v Mid Staffordshire General Hospitals NHS Trust (2007) display how hospitals need to treat patients carefully. The first case displays how even receptionists owe a duty of care to patients, and just like in this case it can violate a duty of care to give incorrect information. Following on from that the second case provided is about a claimant who went to a hospital that was unprepared for her affliction, rather than sending her to a specialist location they left her which caused her affliction to grow worse. This resulted in an amputation. In </w:t>
      </w:r>
      <w:r w:rsidR="511C93CC">
        <w:rPr/>
        <w:t>both</w:t>
      </w:r>
      <w:r w:rsidR="1A238AF3">
        <w:rPr/>
        <w:t xml:space="preserve"> cases the hospital was found liable </w:t>
      </w:r>
    </w:p>
    <w:p xmlns:wp14="http://schemas.microsoft.com/office/word/2010/wordml" w:rsidP="74D35759" wp14:paraId="46A796F3" wp14:textId="5CE71BA1">
      <w:pPr>
        <w:pStyle w:val="Normal"/>
      </w:pPr>
      <w:r w:rsidR="1A238AF3">
        <w:rPr/>
        <w:t xml:space="preserve"> </w:t>
      </w:r>
    </w:p>
    <w:p xmlns:wp14="http://schemas.microsoft.com/office/word/2010/wordml" w:rsidP="74D35759" wp14:paraId="61F91FBF" wp14:textId="79B7A665">
      <w:pPr>
        <w:pStyle w:val="Normal"/>
      </w:pPr>
      <w:r w:rsidR="1A238AF3">
        <w:rPr/>
        <w:t xml:space="preserve">Following on from this is the concept of causation. This is </w:t>
      </w:r>
      <w:r w:rsidR="5F4836E1">
        <w:rPr/>
        <w:t>particularly important</w:t>
      </w:r>
      <w:r w:rsidR="1A238AF3">
        <w:rPr/>
        <w:t xml:space="preserve"> as it shows a line of liability. If we are unable to prove that the hospital broke the chain of causation, they are unable to be liable for damages, as they </w:t>
      </w:r>
      <w:r w:rsidR="6872B1E4">
        <w:rPr/>
        <w:t>cannot</w:t>
      </w:r>
      <w:r w:rsidR="1A238AF3">
        <w:rPr/>
        <w:t xml:space="preserve"> be liable for doing nothing wrong.  There are tests for causation one such test is the but for test that arose from the case R v White (1839). The but for test conveys the idea of ‘but for X, Y would not have happened</w:t>
      </w:r>
      <w:r w:rsidR="680F0C30">
        <w:rPr/>
        <w:t>.’</w:t>
      </w:r>
      <w:r w:rsidR="1A238AF3">
        <w:rPr/>
        <w:t xml:space="preserve"> An example of this in a relevant case is Barnett v Chelsea and Kensington Hospital Management Committee (1969). In this case a night </w:t>
      </w:r>
      <w:r w:rsidR="1A238AF3">
        <w:rPr/>
        <w:t>watchman</w:t>
      </w:r>
      <w:r w:rsidR="1A238AF3">
        <w:rPr/>
        <w:t xml:space="preserve"> went to the hospital with chest pains. He was sent home and told to contact the GP in the morning, however he died 5 hours later due to arsenic poisoning. Due to the but for test the hospital could not be held liable as even if they had examined </w:t>
      </w:r>
      <w:r w:rsidR="474A2DAF">
        <w:rPr/>
        <w:t>him,</w:t>
      </w:r>
      <w:r w:rsidR="1A238AF3">
        <w:rPr/>
        <w:t xml:space="preserve"> he still would have passed away. </w:t>
      </w:r>
      <w:r w:rsidR="135E469A">
        <w:rPr/>
        <w:t>Regarding</w:t>
      </w:r>
      <w:r w:rsidR="1A238AF3">
        <w:rPr/>
        <w:t xml:space="preserve"> the contemporary case, it could be argued that just like in the case Gouldsmith v Mid Staffordshire General Hospitals NHS Trust (2007) the hospital's misdiagnosis, or negligence could have </w:t>
      </w:r>
      <w:r w:rsidR="1A238AF3">
        <w:rPr/>
        <w:t>exacerbated</w:t>
      </w:r>
      <w:r w:rsidR="1A238AF3">
        <w:rPr/>
        <w:t xml:space="preserve"> the issue leading to an operation. </w:t>
      </w:r>
      <w:r w:rsidR="4597A666">
        <w:rPr/>
        <w:t>However,</w:t>
      </w:r>
      <w:r w:rsidR="1A238AF3">
        <w:rPr/>
        <w:t xml:space="preserve"> there is precedence for hospitals not being liable in this type of case as seen in Williams v Bermuda Hospitals Board (NHS Litigation Authority intervening) (2016). In this case the claimants' symptoms </w:t>
      </w:r>
      <w:r w:rsidR="1A238AF3">
        <w:rPr/>
        <w:t>exacerbated</w:t>
      </w:r>
      <w:r w:rsidR="1A238AF3">
        <w:rPr/>
        <w:t xml:space="preserve"> during the 6 hours prior to the operation. The perceived liability was due to the operation being delayed for </w:t>
      </w:r>
      <w:r w:rsidR="506EC4D9">
        <w:rPr/>
        <w:t>140 minutes (about 2 and a half hours)</w:t>
      </w:r>
      <w:r w:rsidR="1A238AF3">
        <w:rPr/>
        <w:t xml:space="preserve">, however due to the claimant not being able to prove that, that </w:t>
      </w:r>
      <w:r w:rsidR="3E9AA97A">
        <w:rPr/>
        <w:t>period</w:t>
      </w:r>
      <w:r w:rsidR="1A238AF3">
        <w:rPr/>
        <w:t xml:space="preserve"> caused the issue the hospital was not found liable. </w:t>
      </w:r>
    </w:p>
    <w:p xmlns:wp14="http://schemas.microsoft.com/office/word/2010/wordml" w:rsidP="74D35759" wp14:paraId="3EE7C655" wp14:textId="402D3E9E">
      <w:pPr>
        <w:pStyle w:val="Normal"/>
      </w:pPr>
      <w:r w:rsidR="1A238AF3">
        <w:rPr/>
        <w:t xml:space="preserve"> </w:t>
      </w:r>
    </w:p>
    <w:p xmlns:wp14="http://schemas.microsoft.com/office/word/2010/wordml" w:rsidP="74D35759" wp14:paraId="3219386A" wp14:textId="15EE479E">
      <w:pPr>
        <w:pStyle w:val="Normal"/>
      </w:pPr>
      <w:r w:rsidR="2AF592DC">
        <w:rPr/>
        <w:t>In conclusion, for the hospital's liability, they owe a duty of care to you as seen in this case Darnley v Croydon Health Services NHS Trust (2018).</w:t>
      </w:r>
      <w:r w:rsidR="1A238AF3">
        <w:rPr/>
        <w:t xml:space="preserve"> </w:t>
      </w:r>
      <w:r w:rsidR="43DD064A">
        <w:rPr/>
        <w:t>Regarding</w:t>
      </w:r>
      <w:r w:rsidR="1A238AF3">
        <w:rPr/>
        <w:t xml:space="preserve"> </w:t>
      </w:r>
      <w:r w:rsidR="7E4700FA">
        <w:rPr/>
        <w:t>causation,</w:t>
      </w:r>
      <w:r w:rsidR="1A238AF3">
        <w:rPr/>
        <w:t xml:space="preserve"> I believe they have done enough to be liable, as seen in Gouldsmith v Mid Staffordshire General Hospitals NHS Trust (2007). Due to these factors, </w:t>
      </w:r>
      <w:r w:rsidR="08237366">
        <w:rPr/>
        <w:t>there</w:t>
      </w:r>
      <w:r w:rsidR="1A238AF3">
        <w:rPr/>
        <w:t xml:space="preserve"> is a case here if you wish to </w:t>
      </w:r>
      <w:r w:rsidR="1A238AF3">
        <w:rPr/>
        <w:t>proceed</w:t>
      </w:r>
      <w:r w:rsidR="1A238AF3">
        <w:rPr/>
        <w:t xml:space="preserve">. </w:t>
      </w:r>
    </w:p>
    <w:p xmlns:wp14="http://schemas.microsoft.com/office/word/2010/wordml" w:rsidP="74D35759" wp14:paraId="710BCA78" wp14:textId="1CB724D6">
      <w:pPr>
        <w:pStyle w:val="Normal"/>
      </w:pPr>
      <w:r w:rsidR="1A238AF3">
        <w:rPr/>
        <w:t xml:space="preserve"> </w:t>
      </w:r>
    </w:p>
    <w:p xmlns:wp14="http://schemas.microsoft.com/office/word/2010/wordml" w:rsidP="74D35759" wp14:paraId="3B939DBC" wp14:textId="4B944CC3">
      <w:pPr>
        <w:pStyle w:val="Normal"/>
      </w:pPr>
      <w:r w:rsidR="1A238AF3">
        <w:rPr/>
        <w:t xml:space="preserve"> </w:t>
      </w:r>
    </w:p>
    <w:p xmlns:wp14="http://schemas.microsoft.com/office/word/2010/wordml" w:rsidP="74D35759" wp14:paraId="2F7EED25" wp14:textId="5BB3B319">
      <w:pPr>
        <w:pStyle w:val="Normal"/>
      </w:pPr>
      <w:r w:rsidR="1A238AF3">
        <w:rPr/>
        <w:t xml:space="preserve"> </w:t>
      </w:r>
    </w:p>
    <w:p xmlns:wp14="http://schemas.microsoft.com/office/word/2010/wordml" w:rsidP="74D35759" wp14:paraId="3027A507" wp14:textId="47C39BB0">
      <w:pPr>
        <w:pStyle w:val="Normal"/>
      </w:pPr>
      <w:r w:rsidR="1A238AF3">
        <w:rPr/>
        <w:t xml:space="preserve"> </w:t>
      </w:r>
    </w:p>
    <w:p xmlns:wp14="http://schemas.microsoft.com/office/word/2010/wordml" w:rsidP="74D35759" wp14:paraId="377AEF6E" wp14:textId="08A32B10">
      <w:pPr>
        <w:pStyle w:val="Normal"/>
        <w:rPr>
          <w:u w:val="single"/>
        </w:rPr>
      </w:pPr>
      <w:r w:rsidRPr="74D35759" w:rsidR="67E25028">
        <w:rPr>
          <w:u w:val="single"/>
        </w:rPr>
        <w:t>Bibliography</w:t>
      </w:r>
      <w:r w:rsidRPr="74D35759" w:rsidR="1A238AF3">
        <w:rPr>
          <w:u w:val="single"/>
        </w:rPr>
        <w:t xml:space="preserve"> </w:t>
      </w:r>
    </w:p>
    <w:p xmlns:wp14="http://schemas.microsoft.com/office/word/2010/wordml" w:rsidP="74D35759" wp14:paraId="5075FDFF" wp14:textId="5B3051CB">
      <w:pPr>
        <w:pStyle w:val="Normal"/>
      </w:pPr>
      <w:r w:rsidR="1A238AF3">
        <w:rPr/>
        <w:t xml:space="preserve"> </w:t>
      </w:r>
    </w:p>
    <w:p xmlns:wp14="http://schemas.microsoft.com/office/word/2010/wordml" w:rsidP="74D35759" wp14:paraId="08644D40" wp14:textId="16F0EF57">
      <w:pPr>
        <w:pStyle w:val="Normal"/>
      </w:pPr>
      <w:r w:rsidR="1A238AF3">
        <w:rPr/>
        <w:t xml:space="preserve">Darnley v Croydon Health Services NHS Trust [2018] UKSC 50, [2019] AC 831 [Accessed 25 January 2024] </w:t>
      </w:r>
    </w:p>
    <w:p xmlns:wp14="http://schemas.microsoft.com/office/word/2010/wordml" w:rsidP="74D35759" wp14:paraId="1734A6AA" wp14:textId="7AD4437A">
      <w:pPr>
        <w:pStyle w:val="Normal"/>
      </w:pPr>
      <w:r w:rsidR="1A238AF3">
        <w:rPr/>
        <w:t xml:space="preserve">McSherry v British Telecommunications plc [1992] 3 Med LR 129 [Accessed 25 January 2024] </w:t>
      </w:r>
    </w:p>
    <w:p xmlns:wp14="http://schemas.microsoft.com/office/word/2010/wordml" w:rsidP="74D35759" wp14:paraId="55124DD4" wp14:textId="575197AB">
      <w:pPr>
        <w:pStyle w:val="Normal"/>
      </w:pPr>
      <w:r w:rsidR="1A238AF3">
        <w:rPr/>
        <w:t xml:space="preserve">Caparo Industries </w:t>
      </w:r>
      <w:r w:rsidR="1A238AF3">
        <w:rPr/>
        <w:t>pIc</w:t>
      </w:r>
      <w:r w:rsidR="1A238AF3">
        <w:rPr/>
        <w:t xml:space="preserve"> v Dickman [1990] 2 AC </w:t>
      </w:r>
      <w:r w:rsidR="009339FD">
        <w:rPr/>
        <w:t>605 House</w:t>
      </w:r>
      <w:r w:rsidR="1A238AF3">
        <w:rPr/>
        <w:t xml:space="preserve"> of Lords) [Accessed 25 January 2024] </w:t>
      </w:r>
    </w:p>
    <w:p xmlns:wp14="http://schemas.microsoft.com/office/word/2010/wordml" w:rsidP="74D35759" wp14:paraId="4A187536" wp14:textId="096AEAF0">
      <w:pPr>
        <w:pStyle w:val="Normal"/>
      </w:pPr>
      <w:r w:rsidR="1A238AF3">
        <w:rPr/>
        <w:t xml:space="preserve">Yates v National Trust [2014] EWHC 222 (QB), HQ11X03476, (Transcript) [Accessed 25 January 2024] </w:t>
      </w:r>
    </w:p>
    <w:p xmlns:wp14="http://schemas.microsoft.com/office/word/2010/wordml" w:rsidP="74D35759" wp14:paraId="39059AB7" wp14:textId="56127CB6">
      <w:pPr>
        <w:pStyle w:val="Normal"/>
      </w:pPr>
      <w:r w:rsidR="1A238AF3">
        <w:rPr/>
        <w:t xml:space="preserve">COX v. H.C.B. ANGUS LTD. [1981] ICR 683 [Accessed 25 January 2024] </w:t>
      </w:r>
    </w:p>
    <w:p xmlns:wp14="http://schemas.microsoft.com/office/word/2010/wordml" w:rsidP="74D35759" wp14:paraId="7CDB6A79" wp14:textId="6E824C64">
      <w:pPr>
        <w:pStyle w:val="Normal"/>
      </w:pPr>
      <w:r w:rsidR="1A238AF3">
        <w:rPr/>
        <w:t xml:space="preserve">Newton-Sealey v ArmorGroup Services Ltd [2008] EWHC 233 (QB), [2008] All ER (D) 195 (Feb) [Accessed 25 January 2024] </w:t>
      </w:r>
    </w:p>
    <w:p xmlns:wp14="http://schemas.microsoft.com/office/word/2010/wordml" w:rsidP="74D35759" wp14:paraId="401C0F9A" wp14:textId="27C36C3F">
      <w:pPr>
        <w:pStyle w:val="Normal"/>
      </w:pPr>
      <w:r w:rsidR="1A238AF3">
        <w:rPr/>
        <w:t xml:space="preserve">Staveley Iron &amp; Chemical Co Ltd v Jones [1956] 1 All ER 403 [Accessed 25 January 2024] </w:t>
      </w:r>
    </w:p>
    <w:p xmlns:wp14="http://schemas.microsoft.com/office/word/2010/wordml" w:rsidP="74D35759" wp14:paraId="1AFA54E3" wp14:textId="613F6151">
      <w:pPr>
        <w:pStyle w:val="Normal"/>
      </w:pPr>
      <w:r w:rsidR="1A238AF3">
        <w:rPr/>
        <w:t>Blyth v Birmingham Waterworks Co (1856) 20 JP 247, 25 LJ Ex 212, 11 Exch 781, 2 Jur NS 333, 4 WR 294, 156 ER 1047, [1843-60] All ER Rep 478, 26 LTOS 261</w:t>
      </w:r>
    </w:p>
    <w:p xmlns:wp14="http://schemas.microsoft.com/office/word/2010/wordml" w:rsidP="74D35759" wp14:paraId="415C244F" wp14:textId="59A3A53F">
      <w:pPr>
        <w:pStyle w:val="Normal"/>
      </w:pPr>
      <w:r w:rsidR="1A238AF3">
        <w:rPr/>
        <w:t xml:space="preserve">Orchard v Lee [2009] EWCA 295 [Accessed 25 January 2024] </w:t>
      </w:r>
    </w:p>
    <w:p xmlns:wp14="http://schemas.microsoft.com/office/word/2010/wordml" w:rsidP="74D35759" wp14:paraId="41A10D99" wp14:textId="71810F92">
      <w:pPr>
        <w:pStyle w:val="Normal"/>
      </w:pPr>
      <w:r w:rsidR="1A238AF3">
        <w:rPr/>
        <w:t xml:space="preserve">Pitts v Hunt [1991] 1 QB 24, [1990] 3 All ER 344, [1990] 3 WLR 542, [1990] RTR 290, 134 Sol Jo 834, [1990] 27 LS Gaz R 43, (1990) Times, 13 April [Accessed 25 January 2024] </w:t>
      </w:r>
    </w:p>
    <w:p xmlns:wp14="http://schemas.microsoft.com/office/word/2010/wordml" w:rsidP="74D35759" wp14:paraId="4E97A894" wp14:textId="7FC90BAF">
      <w:pPr>
        <w:pStyle w:val="Normal"/>
      </w:pPr>
      <w:r w:rsidR="1A238AF3">
        <w:rPr/>
        <w:t xml:space="preserve">Platform Home Loans Ltd v Oyston Shipways Ltd [2000] 2 AC 190, [1999] 1 All ER 833, [1999] 2 WLR 518, [1999] 1 EGLR 77, [1999] NLJR 283, [1999] 13 EG 119, [1999] EGCS 26, (1999) Times, 19 February, 143 Sol Jo LB 65, [1999] All ER (D) 165 [Accessed 25 January 2024] </w:t>
      </w:r>
    </w:p>
    <w:p xmlns:wp14="http://schemas.microsoft.com/office/word/2010/wordml" w:rsidP="74D35759" wp14:paraId="03060441" wp14:textId="2152415E">
      <w:pPr>
        <w:pStyle w:val="Normal"/>
      </w:pPr>
      <w:r w:rsidR="1A238AF3">
        <w:rPr/>
        <w:t xml:space="preserve">Walker v Chruszcz and another DIG_06D224jan[2006] All ER (D) 224 (Jan)[2006] EWHC 64 (QB) [Accessed 25 January 2024] </w:t>
      </w:r>
    </w:p>
    <w:p xmlns:wp14="http://schemas.microsoft.com/office/word/2010/wordml" w:rsidP="74D35759" wp14:paraId="49250B6D" wp14:textId="3AEDD7C9">
      <w:pPr>
        <w:pStyle w:val="Normal"/>
      </w:pPr>
      <w:r w:rsidR="1A238AF3">
        <w:rPr/>
        <w:t xml:space="preserve">Staveley Iron &amp; Chemical Co Ltd v Jones [1956] 1 All ER 403 [Accessed 25 January 2024] </w:t>
      </w:r>
    </w:p>
    <w:p xmlns:wp14="http://schemas.microsoft.com/office/word/2010/wordml" w:rsidP="74D35759" wp14:paraId="199D6077" wp14:textId="2361A072">
      <w:pPr>
        <w:pStyle w:val="Normal"/>
      </w:pPr>
      <w:r w:rsidR="1A238AF3">
        <w:rPr/>
        <w:t>Bolam v Friern Hospital Management Committee [1957] 2 All ER 118, [1957] 1 WLR 582, 101 Sol Jo 357, 1 BMLR 1</w:t>
      </w:r>
    </w:p>
    <w:p xmlns:wp14="http://schemas.microsoft.com/office/word/2010/wordml" w:rsidP="74D35759" wp14:paraId="0FA9B89F" wp14:textId="76A83BDE">
      <w:pPr>
        <w:pStyle w:val="Normal"/>
      </w:pPr>
      <w:r w:rsidR="1A238AF3">
        <w:rPr/>
        <w:t>Darnley v Croydon Health Services NHS Trust [2018] UKSC 50, [2019] AC 831</w:t>
      </w:r>
    </w:p>
    <w:p xmlns:wp14="http://schemas.microsoft.com/office/word/2010/wordml" w:rsidP="74D35759" wp14:paraId="1A3C8778" wp14:textId="5C53D813">
      <w:pPr>
        <w:pStyle w:val="Normal"/>
      </w:pPr>
      <w:r w:rsidR="1A238AF3">
        <w:rPr/>
        <w:t>Gouldsmith v Mid Staffordshire General Hospitals NHS Trust [2007] EWCA Civ 397, [2007] All ER (D) 257 (Apr)</w:t>
      </w:r>
    </w:p>
    <w:p xmlns:wp14="http://schemas.microsoft.com/office/word/2010/wordml" w:rsidP="74D35759" wp14:paraId="1BFE0445" wp14:textId="7C58EDAD">
      <w:pPr>
        <w:pStyle w:val="Normal"/>
      </w:pPr>
      <w:r w:rsidR="1A238AF3">
        <w:rPr/>
        <w:t>R v White (1839) 8 C &amp; P 742, 2 Mood CC 91, 169 ER 36, 173 ER 698</w:t>
      </w:r>
    </w:p>
    <w:p xmlns:wp14="http://schemas.microsoft.com/office/word/2010/wordml" w:rsidP="74D35759" wp14:paraId="2D4D43E8" wp14:textId="11D64364">
      <w:pPr>
        <w:pStyle w:val="Normal"/>
      </w:pPr>
      <w:r w:rsidR="1A238AF3">
        <w:rPr/>
        <w:t>Barnett v Chelsea and Kensington Hospital Management Committee [1969] 1 QB 428, [1968] 1 All ER 1068, [1968] 2 WLR 422, 111 Sol Jo 912.</w:t>
      </w:r>
    </w:p>
    <w:p xmlns:wp14="http://schemas.microsoft.com/office/word/2010/wordml" w:rsidP="74D35759" wp14:paraId="37FB6992" wp14:textId="0336AEDE">
      <w:pPr>
        <w:pStyle w:val="Normal"/>
      </w:pPr>
      <w:r w:rsidR="1A238AF3">
        <w:rPr/>
        <w:t>Williams v Bermuda Hospitals Board (NHS Litigation Authority intervening) [2016] AC 888</w:t>
      </w:r>
    </w:p>
    <w:p xmlns:wp14="http://schemas.microsoft.com/office/word/2010/wordml" w:rsidP="74D35759" wp14:paraId="2C6DAB1D" wp14:textId="5D5C329F">
      <w:pPr>
        <w:pStyle w:val="Normal"/>
      </w:pPr>
      <w:r w:rsidR="1A238AF3">
        <w:rPr/>
        <w:t xml:space="preserve">Uwtsd.ac.uk. (2024). Available at: </w:t>
      </w:r>
      <w:r w:rsidR="1A238AF3">
        <w:rPr/>
        <w:t>https://plus-lexis-com.ezproxy.uwtsd.ac.uk/uk/analytical-materials-uk/confined-spaces_2?crid=b364265c-0b10-45b2-9136-2226fe69ffce</w:t>
      </w:r>
      <w:r w:rsidR="1A238AF3">
        <w:rPr/>
        <w:t xml:space="preserve"> [Accessed 26 Jan. 2024].</w:t>
      </w:r>
    </w:p>
    <w:p xmlns:wp14="http://schemas.microsoft.com/office/word/2010/wordml" w:rsidP="74D35759" wp14:paraId="5E66F728" wp14:textId="07ADCDB4">
      <w:pPr>
        <w:pStyle w:val="Normal"/>
      </w:pPr>
      <w:r w:rsidR="1A238AF3">
        <w:rPr/>
        <w:t xml:space="preserve">Legislation.gov.uk. (2021). Compensation Act 2006. [online] Available at: </w:t>
      </w:r>
      <w:r w:rsidR="1A238AF3">
        <w:rPr/>
        <w:t>https://www.legislation.gov.uk/ukpga/2006/29/contents</w:t>
      </w:r>
      <w:r w:rsidR="1A238AF3">
        <w:rPr/>
        <w:t>.</w:t>
      </w:r>
    </w:p>
    <w:p xmlns:wp14="http://schemas.microsoft.com/office/word/2010/wordml" w:rsidP="74D35759" wp14:paraId="1F8FB7EA" wp14:textId="54D0161C">
      <w:pPr>
        <w:pStyle w:val="Normal"/>
      </w:pPr>
      <w:r w:rsidR="1A238AF3">
        <w:rPr/>
        <w:t xml:space="preserve">UK Government (2019). Law Reform (Contributory Negligence) Act 1945. [online] Legislation.gov.uk. Available at: </w:t>
      </w:r>
      <w:r w:rsidR="1A238AF3">
        <w:rPr/>
        <w:t>https://www.legislation.gov.uk/ukpga/Geo6/8-9/28/contents</w:t>
      </w:r>
      <w:r w:rsidR="1A238AF3">
        <w:rPr/>
        <w:t>.</w:t>
      </w:r>
    </w:p>
    <w:p xmlns:wp14="http://schemas.microsoft.com/office/word/2010/wordml" w:rsidP="74D35759" wp14:paraId="2C078E63" wp14:textId="7DA82B5D">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D66865"/>
    <w:rsid w:val="009339FD"/>
    <w:rsid w:val="015C0DE2"/>
    <w:rsid w:val="0223D984"/>
    <w:rsid w:val="04CCA7FE"/>
    <w:rsid w:val="076CA16E"/>
    <w:rsid w:val="08237366"/>
    <w:rsid w:val="086F740E"/>
    <w:rsid w:val="0880250E"/>
    <w:rsid w:val="08AD51C8"/>
    <w:rsid w:val="09320506"/>
    <w:rsid w:val="09C6AF17"/>
    <w:rsid w:val="0FD66865"/>
    <w:rsid w:val="0FDCF04C"/>
    <w:rsid w:val="135E469A"/>
    <w:rsid w:val="16A112D9"/>
    <w:rsid w:val="178A5F67"/>
    <w:rsid w:val="1A238AF3"/>
    <w:rsid w:val="1A3CBB4C"/>
    <w:rsid w:val="1EF6FC16"/>
    <w:rsid w:val="25663D9A"/>
    <w:rsid w:val="25B3144C"/>
    <w:rsid w:val="267328EA"/>
    <w:rsid w:val="27020DFB"/>
    <w:rsid w:val="27920F20"/>
    <w:rsid w:val="2AF592DC"/>
    <w:rsid w:val="2B7E51FD"/>
    <w:rsid w:val="2FC11592"/>
    <w:rsid w:val="32CCE254"/>
    <w:rsid w:val="336B510A"/>
    <w:rsid w:val="36A65659"/>
    <w:rsid w:val="36BCA707"/>
    <w:rsid w:val="387112F9"/>
    <w:rsid w:val="3872C894"/>
    <w:rsid w:val="3C6CFF5D"/>
    <w:rsid w:val="3E9AA97A"/>
    <w:rsid w:val="3EF84204"/>
    <w:rsid w:val="4002E276"/>
    <w:rsid w:val="4049936A"/>
    <w:rsid w:val="43748227"/>
    <w:rsid w:val="43DD064A"/>
    <w:rsid w:val="440714B4"/>
    <w:rsid w:val="4597A666"/>
    <w:rsid w:val="474A2DAF"/>
    <w:rsid w:val="4798C1E1"/>
    <w:rsid w:val="494288BC"/>
    <w:rsid w:val="4B487E6D"/>
    <w:rsid w:val="4C6FBAFB"/>
    <w:rsid w:val="4D9A72DF"/>
    <w:rsid w:val="4E801F2F"/>
    <w:rsid w:val="4F72B84D"/>
    <w:rsid w:val="501BEF90"/>
    <w:rsid w:val="506EC4D9"/>
    <w:rsid w:val="50FE9B6D"/>
    <w:rsid w:val="511C93CC"/>
    <w:rsid w:val="522ABAE3"/>
    <w:rsid w:val="55313FB6"/>
    <w:rsid w:val="5B97D61A"/>
    <w:rsid w:val="5E672E06"/>
    <w:rsid w:val="5F4836E1"/>
    <w:rsid w:val="61FE6C7E"/>
    <w:rsid w:val="632B97E0"/>
    <w:rsid w:val="6594A930"/>
    <w:rsid w:val="67E25028"/>
    <w:rsid w:val="680F0C30"/>
    <w:rsid w:val="6872B1E4"/>
    <w:rsid w:val="6B56E081"/>
    <w:rsid w:val="722ECF86"/>
    <w:rsid w:val="7398F74A"/>
    <w:rsid w:val="74566916"/>
    <w:rsid w:val="74D35759"/>
    <w:rsid w:val="75F5154F"/>
    <w:rsid w:val="779A00C4"/>
    <w:rsid w:val="78D723C9"/>
    <w:rsid w:val="798F2DE4"/>
    <w:rsid w:val="7A9BD463"/>
    <w:rsid w:val="7AF3F3F0"/>
    <w:rsid w:val="7E4700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D4567"/>
  <w15:chartTrackingRefBased/>
  <w15:docId w15:val="{66F04671-6034-4A5C-A198-073ED9C966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2024-01-26T22:48:08.0527692Z</dcterms:created>
  <dcterms:modified xsi:type="dcterms:W3CDTF">2024-01-26T22:54:52.6120735Z</dcterms:modified>
  <dc:creator>George Jones (2114229)</dc:creator>
  <lastModifiedBy>George Jones (2114229)</lastModifiedBy>
</coreProperties>
</file>