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E93B73" w14:textId="77777777" w:rsidR="00697493" w:rsidRPr="00F746CD" w:rsidRDefault="00697493"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r w:rsidRPr="00F746CD">
        <w:rPr>
          <w:rFonts w:ascii="Arial" w:eastAsia="Times New Roman" w:hAnsi="Arial" w:cs="Arial"/>
          <w:b/>
          <w:bCs/>
          <w:kern w:val="36"/>
          <w:sz w:val="22"/>
          <w:szCs w:val="22"/>
          <w14:ligatures w14:val="none"/>
        </w:rPr>
        <w:t>Title Page</w:t>
      </w:r>
    </w:p>
    <w:p w14:paraId="3E9AB0AD" w14:textId="0492F4B2" w:rsidR="00697493" w:rsidRPr="00F746CD" w:rsidRDefault="00697493" w:rsidP="00697493">
      <w:pPr>
        <w:spacing w:before="100" w:beforeAutospacing="1" w:after="100" w:afterAutospacing="1" w:line="240" w:lineRule="auto"/>
        <w:rPr>
          <w:rFonts w:ascii="Arial" w:hAnsi="Arial" w:cs="Arial"/>
          <w:kern w:val="0"/>
          <w:sz w:val="22"/>
          <w:szCs w:val="22"/>
          <w14:ligatures w14:val="none"/>
        </w:rPr>
      </w:pPr>
      <w:r w:rsidRPr="00F746CD">
        <w:rPr>
          <w:rFonts w:ascii="Arial" w:hAnsi="Arial" w:cs="Arial"/>
          <w:b/>
          <w:bCs/>
          <w:kern w:val="0"/>
          <w:sz w:val="22"/>
          <w:szCs w:val="22"/>
          <w14:ligatures w14:val="none"/>
        </w:rPr>
        <w:t>Programme:</w:t>
      </w:r>
      <w:r w:rsidRPr="00F746CD">
        <w:rPr>
          <w:rFonts w:ascii="Arial" w:hAnsi="Arial" w:cs="Arial"/>
          <w:kern w:val="0"/>
          <w:sz w:val="22"/>
          <w:szCs w:val="22"/>
          <w14:ligatures w14:val="none"/>
        </w:rPr>
        <w:t xml:space="preserve"> BSc Health and Social Care</w:t>
      </w:r>
      <w:r w:rsidRPr="00F746CD">
        <w:rPr>
          <w:rFonts w:ascii="Arial" w:hAnsi="Arial" w:cs="Arial"/>
          <w:kern w:val="0"/>
          <w:sz w:val="22"/>
          <w:szCs w:val="22"/>
          <w14:ligatures w14:val="none"/>
        </w:rPr>
        <w:br/>
      </w:r>
      <w:r w:rsidRPr="00F746CD">
        <w:rPr>
          <w:rFonts w:ascii="Arial" w:hAnsi="Arial" w:cs="Arial"/>
          <w:b/>
          <w:bCs/>
          <w:kern w:val="0"/>
          <w:sz w:val="22"/>
          <w:szCs w:val="22"/>
          <w14:ligatures w14:val="none"/>
        </w:rPr>
        <w:t>Module:</w:t>
      </w:r>
      <w:r w:rsidRPr="00F746CD">
        <w:rPr>
          <w:rFonts w:ascii="Arial" w:hAnsi="Arial" w:cs="Arial"/>
          <w:kern w:val="0"/>
          <w:sz w:val="22"/>
          <w:szCs w:val="22"/>
          <w14:ligatures w14:val="none"/>
        </w:rPr>
        <w:t xml:space="preserve"> Introduction to Independent Research Skills</w:t>
      </w:r>
      <w:r w:rsidRPr="00F746CD">
        <w:rPr>
          <w:rFonts w:ascii="Arial" w:hAnsi="Arial" w:cs="Arial"/>
          <w:kern w:val="0"/>
          <w:sz w:val="22"/>
          <w:szCs w:val="22"/>
          <w14:ligatures w14:val="none"/>
        </w:rPr>
        <w:br/>
      </w:r>
      <w:r w:rsidRPr="00F746CD">
        <w:rPr>
          <w:rFonts w:ascii="Arial" w:hAnsi="Arial" w:cs="Arial"/>
          <w:b/>
          <w:bCs/>
          <w:kern w:val="0"/>
          <w:sz w:val="22"/>
          <w:szCs w:val="22"/>
          <w14:ligatures w14:val="none"/>
        </w:rPr>
        <w:t>Module Code:</w:t>
      </w:r>
      <w:r w:rsidRPr="00F746CD">
        <w:rPr>
          <w:rFonts w:ascii="Arial" w:hAnsi="Arial" w:cs="Arial"/>
          <w:kern w:val="0"/>
          <w:sz w:val="22"/>
          <w:szCs w:val="22"/>
          <w14:ligatures w14:val="none"/>
        </w:rPr>
        <w:t xml:space="preserve"> BMHP5019</w:t>
      </w:r>
      <w:r w:rsidRPr="00F746CD">
        <w:rPr>
          <w:rFonts w:ascii="Arial" w:hAnsi="Arial" w:cs="Arial"/>
          <w:kern w:val="0"/>
          <w:sz w:val="22"/>
          <w:szCs w:val="22"/>
          <w14:ligatures w14:val="none"/>
        </w:rPr>
        <w:br/>
      </w:r>
      <w:r w:rsidRPr="00F746CD">
        <w:rPr>
          <w:rFonts w:ascii="Arial" w:hAnsi="Arial" w:cs="Arial"/>
          <w:b/>
          <w:bCs/>
          <w:kern w:val="0"/>
          <w:sz w:val="22"/>
          <w:szCs w:val="22"/>
          <w14:ligatures w14:val="none"/>
        </w:rPr>
        <w:t>Assignment:</w:t>
      </w:r>
      <w:r w:rsidRPr="00F746CD">
        <w:rPr>
          <w:rFonts w:ascii="Arial" w:hAnsi="Arial" w:cs="Arial"/>
          <w:kern w:val="0"/>
          <w:sz w:val="22"/>
          <w:szCs w:val="22"/>
          <w14:ligatures w14:val="none"/>
        </w:rPr>
        <w:t xml:space="preserve"> Component 1 – Written Assignment (Research Proposal)</w:t>
      </w:r>
      <w:r w:rsidRPr="00F746CD">
        <w:rPr>
          <w:rFonts w:ascii="Arial" w:hAnsi="Arial" w:cs="Arial"/>
          <w:kern w:val="0"/>
          <w:sz w:val="22"/>
          <w:szCs w:val="22"/>
          <w14:ligatures w14:val="none"/>
        </w:rPr>
        <w:br/>
      </w:r>
      <w:r w:rsidRPr="00F746CD">
        <w:rPr>
          <w:rFonts w:ascii="Arial" w:hAnsi="Arial" w:cs="Arial"/>
          <w:b/>
          <w:bCs/>
          <w:kern w:val="0"/>
          <w:sz w:val="22"/>
          <w:szCs w:val="22"/>
          <w14:ligatures w14:val="none"/>
        </w:rPr>
        <w:t>Student Name:</w:t>
      </w:r>
      <w:r w:rsidRPr="00F746CD">
        <w:rPr>
          <w:rFonts w:ascii="Arial" w:hAnsi="Arial" w:cs="Arial"/>
          <w:kern w:val="0"/>
          <w:sz w:val="22"/>
          <w:szCs w:val="22"/>
          <w14:ligatures w14:val="none"/>
        </w:rPr>
        <w:t xml:space="preserve"> Norin Mahmood</w:t>
      </w:r>
      <w:r w:rsidRPr="00F746CD">
        <w:rPr>
          <w:rFonts w:ascii="Arial" w:hAnsi="Arial" w:cs="Arial"/>
          <w:kern w:val="0"/>
          <w:sz w:val="22"/>
          <w:szCs w:val="22"/>
          <w14:ligatures w14:val="none"/>
        </w:rPr>
        <w:br/>
      </w:r>
      <w:r w:rsidRPr="00F746CD">
        <w:rPr>
          <w:rFonts w:ascii="Arial" w:hAnsi="Arial" w:cs="Arial"/>
          <w:b/>
          <w:bCs/>
          <w:kern w:val="0"/>
          <w:sz w:val="22"/>
          <w:szCs w:val="22"/>
          <w14:ligatures w14:val="none"/>
        </w:rPr>
        <w:t>Student Number:</w:t>
      </w:r>
      <w:r w:rsidRPr="00F746CD">
        <w:rPr>
          <w:rFonts w:ascii="Arial" w:hAnsi="Arial" w:cs="Arial"/>
          <w:kern w:val="0"/>
          <w:sz w:val="22"/>
          <w:szCs w:val="22"/>
          <w14:ligatures w14:val="none"/>
        </w:rPr>
        <w:t xml:space="preserve"> 2411895</w:t>
      </w:r>
    </w:p>
    <w:p w14:paraId="4F78A71A" w14:textId="77777777" w:rsidR="00697493" w:rsidRPr="00F746CD" w:rsidRDefault="00697493" w:rsidP="00697493">
      <w:pPr>
        <w:spacing w:after="0" w:line="240" w:lineRule="auto"/>
        <w:rPr>
          <w:rFonts w:ascii="Arial" w:eastAsia="Times New Roman" w:hAnsi="Arial" w:cs="Arial"/>
          <w:kern w:val="0"/>
          <w:sz w:val="22"/>
          <w:szCs w:val="22"/>
          <w14:ligatures w14:val="none"/>
        </w:rPr>
      </w:pPr>
      <w:r w:rsidRPr="00F746CD">
        <w:rPr>
          <w:rFonts w:ascii="Arial" w:eastAsia="Times New Roman" w:hAnsi="Arial" w:cs="Arial"/>
          <w:noProof/>
          <w:kern w:val="0"/>
          <w:sz w:val="22"/>
          <w:szCs w:val="22"/>
          <w14:ligatures w14:val="none"/>
        </w:rPr>
        <mc:AlternateContent>
          <mc:Choice Requires="wps">
            <w:drawing>
              <wp:inline distT="0" distB="0" distL="0" distR="0" wp14:anchorId="646EBEDA" wp14:editId="079C9BBF">
                <wp:extent cx="5731510" cy="1270"/>
                <wp:effectExtent l="0" t="31750" r="0" b="36830"/>
                <wp:docPr id="47576211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1E233B3"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A15CDA7"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2C3E668"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6DDA87E"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045FED37"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FCD3E92"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BC77247"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B9C47EC"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8DEAADE"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7FF7B29"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02C344F"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F77769C"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EBCE70E"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2E3759C" w14:textId="4B6D9314"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2C0FA93"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D4C570A"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6159EDE"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7B8FE9B"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C5D8243"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736BEA3"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2802D123" w14:textId="77777777" w:rsidR="003A1684" w:rsidRPr="00F746CD" w:rsidRDefault="003A1684" w:rsidP="00697493">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2AF6A82" w14:textId="6A3C57D7" w:rsidR="00697493" w:rsidRPr="00F746CD" w:rsidRDefault="00697493" w:rsidP="00697493">
      <w:pPr>
        <w:spacing w:before="100" w:beforeAutospacing="1" w:after="100" w:afterAutospacing="1" w:line="240" w:lineRule="auto"/>
        <w:outlineLvl w:val="0"/>
        <w:rPr>
          <w:rFonts w:ascii="Arial" w:hAnsi="Arial" w:cs="Arial"/>
          <w:b/>
          <w:bCs/>
          <w:kern w:val="36"/>
          <w:sz w:val="22"/>
          <w:szCs w:val="22"/>
          <w14:ligatures w14:val="none"/>
        </w:rPr>
      </w:pPr>
      <w:r w:rsidRPr="00F746CD">
        <w:rPr>
          <w:rFonts w:ascii="Arial" w:eastAsia="Times New Roman" w:hAnsi="Arial" w:cs="Arial"/>
          <w:b/>
          <w:bCs/>
          <w:kern w:val="36"/>
          <w:sz w:val="22"/>
          <w:szCs w:val="22"/>
          <w14:ligatures w14:val="none"/>
        </w:rPr>
        <w:t>Research Proposal: Challenges Faced by Health and Social Care Professionals in Supporting People Living with Dementia in the UK</w:t>
      </w:r>
    </w:p>
    <w:p w14:paraId="7E95E3CD" w14:textId="77777777" w:rsidR="00697493" w:rsidRPr="00F746CD" w:rsidRDefault="00697493" w:rsidP="00697493">
      <w:pPr>
        <w:spacing w:before="100" w:beforeAutospacing="1" w:after="100" w:afterAutospacing="1" w:line="240" w:lineRule="auto"/>
        <w:outlineLvl w:val="1"/>
        <w:rPr>
          <w:rFonts w:ascii="Arial" w:eastAsia="Times New Roman" w:hAnsi="Arial" w:cs="Arial"/>
          <w:b/>
          <w:bCs/>
          <w:kern w:val="0"/>
          <w:sz w:val="22"/>
          <w:szCs w:val="22"/>
          <w14:ligatures w14:val="none"/>
        </w:rPr>
      </w:pPr>
      <w:r w:rsidRPr="00F746CD">
        <w:rPr>
          <w:rFonts w:ascii="Arial" w:eastAsia="Times New Roman" w:hAnsi="Arial" w:cs="Arial"/>
          <w:b/>
          <w:bCs/>
          <w:kern w:val="0"/>
          <w:sz w:val="22"/>
          <w:szCs w:val="22"/>
          <w14:ligatures w14:val="none"/>
        </w:rPr>
        <w:t>Review question and objectives</w:t>
      </w:r>
    </w:p>
    <w:p w14:paraId="575122DC" w14:textId="77777777" w:rsidR="00697493" w:rsidRPr="00F746CD" w:rsidRDefault="00697493" w:rsidP="00697493">
      <w:pPr>
        <w:spacing w:before="100" w:beforeAutospacing="1" w:after="100" w:afterAutospacing="1" w:line="240" w:lineRule="auto"/>
        <w:rPr>
          <w:rFonts w:ascii="Arial" w:hAnsi="Arial" w:cs="Arial"/>
          <w:kern w:val="0"/>
          <w:sz w:val="22"/>
          <w:szCs w:val="22"/>
          <w14:ligatures w14:val="none"/>
        </w:rPr>
      </w:pPr>
      <w:r w:rsidRPr="00F746CD">
        <w:rPr>
          <w:rFonts w:ascii="Arial" w:hAnsi="Arial" w:cs="Arial"/>
          <w:b/>
          <w:bCs/>
          <w:kern w:val="0"/>
          <w:sz w:val="22"/>
          <w:szCs w:val="22"/>
          <w14:ligatures w14:val="none"/>
        </w:rPr>
        <w:t>Review question:</w:t>
      </w:r>
      <w:r w:rsidRPr="00F746CD">
        <w:rPr>
          <w:rFonts w:ascii="Arial" w:hAnsi="Arial" w:cs="Arial"/>
          <w:kern w:val="0"/>
          <w:sz w:val="22"/>
          <w:szCs w:val="22"/>
          <w14:ligatures w14:val="none"/>
        </w:rPr>
        <w:t xml:space="preserve"> What challenges do health and social care professionals experience when supporting people living with dementia in the UK?</w:t>
      </w:r>
    </w:p>
    <w:p w14:paraId="5EB347A2" w14:textId="77777777" w:rsidR="00697493" w:rsidRPr="00F746CD" w:rsidRDefault="00697493" w:rsidP="00697493">
      <w:pPr>
        <w:spacing w:before="100" w:beforeAutospacing="1" w:after="100" w:afterAutospacing="1" w:line="240" w:lineRule="auto"/>
        <w:rPr>
          <w:rFonts w:ascii="Arial" w:hAnsi="Arial" w:cs="Arial"/>
          <w:kern w:val="0"/>
          <w:sz w:val="22"/>
          <w:szCs w:val="22"/>
          <w14:ligatures w14:val="none"/>
        </w:rPr>
      </w:pPr>
      <w:r w:rsidRPr="00F746CD">
        <w:rPr>
          <w:rFonts w:ascii="Arial" w:hAnsi="Arial" w:cs="Arial"/>
          <w:kern w:val="0"/>
          <w:sz w:val="22"/>
          <w:szCs w:val="22"/>
          <w14:ligatures w14:val="none"/>
        </w:rPr>
        <w:t xml:space="preserve">The objectives are to identify professional and organisational barriers, explore how training and </w:t>
      </w:r>
      <w:proofErr w:type="spellStart"/>
      <w:r w:rsidRPr="00F746CD">
        <w:rPr>
          <w:rFonts w:ascii="Arial" w:hAnsi="Arial" w:cs="Arial"/>
          <w:kern w:val="0"/>
          <w:sz w:val="22"/>
          <w:szCs w:val="22"/>
          <w14:ligatures w14:val="none"/>
        </w:rPr>
        <w:t>interprofessional</w:t>
      </w:r>
      <w:proofErr w:type="spellEnd"/>
      <w:r w:rsidRPr="00F746CD">
        <w:rPr>
          <w:rFonts w:ascii="Arial" w:hAnsi="Arial" w:cs="Arial"/>
          <w:kern w:val="0"/>
          <w:sz w:val="22"/>
          <w:szCs w:val="22"/>
          <w14:ligatures w14:val="none"/>
        </w:rPr>
        <w:t xml:space="preserve"> collaboration influence care, and identify opportunities to improve person-centred support.</w:t>
      </w:r>
    </w:p>
    <w:p w14:paraId="1ECFF968" w14:textId="77777777" w:rsidR="00697493" w:rsidRPr="00F746CD" w:rsidRDefault="00697493" w:rsidP="00697493">
      <w:pPr>
        <w:spacing w:before="100" w:beforeAutospacing="1" w:after="100" w:afterAutospacing="1" w:line="240" w:lineRule="auto"/>
        <w:outlineLvl w:val="1"/>
        <w:rPr>
          <w:rFonts w:ascii="Arial" w:eastAsia="Times New Roman" w:hAnsi="Arial" w:cs="Arial"/>
          <w:b/>
          <w:bCs/>
          <w:kern w:val="0"/>
          <w:sz w:val="22"/>
          <w:szCs w:val="22"/>
          <w14:ligatures w14:val="none"/>
        </w:rPr>
      </w:pPr>
      <w:r w:rsidRPr="00F746CD">
        <w:rPr>
          <w:rFonts w:ascii="Arial" w:eastAsia="Times New Roman" w:hAnsi="Arial" w:cs="Arial"/>
          <w:b/>
          <w:bCs/>
          <w:kern w:val="0"/>
          <w:sz w:val="22"/>
          <w:szCs w:val="22"/>
          <w14:ligatures w14:val="none"/>
        </w:rPr>
        <w:t>Rationale</w:t>
      </w:r>
    </w:p>
    <w:p w14:paraId="6ECD8F34" w14:textId="77777777" w:rsidR="0033400E" w:rsidRPr="00F746CD" w:rsidRDefault="00697493">
      <w:pPr>
        <w:pStyle w:val="p1"/>
        <w:rPr>
          <w:rFonts w:ascii="Arial" w:hAnsi="Arial" w:cs="Arial"/>
          <w:color w:val="0D0D0D"/>
          <w:sz w:val="22"/>
          <w:szCs w:val="22"/>
        </w:rPr>
      </w:pPr>
      <w:r w:rsidRPr="00F746CD">
        <w:rPr>
          <w:rFonts w:ascii="Arial" w:hAnsi="Arial" w:cs="Arial"/>
          <w:sz w:val="22"/>
          <w:szCs w:val="22"/>
        </w:rPr>
        <w:t xml:space="preserve">Dementia can affect memory, communication, independence and everyday functioning, requiring professionals to provide individualised and coordinated support. However, inadequate training, communication difficulties and pressures on care services may hinder effective </w:t>
      </w:r>
      <w:r w:rsidR="00B53AB8" w:rsidRPr="00F746CD">
        <w:rPr>
          <w:rFonts w:ascii="Arial" w:hAnsi="Arial" w:cs="Arial"/>
          <w:sz w:val="22"/>
          <w:szCs w:val="22"/>
        </w:rPr>
        <w:t>practice</w:t>
      </w:r>
      <w:r w:rsidR="00B53AB8" w:rsidRPr="00F746CD">
        <w:rPr>
          <w:rStyle w:val="apple-converted-space"/>
          <w:rFonts w:ascii="Arial" w:hAnsi="Arial" w:cs="Arial"/>
          <w:sz w:val="22"/>
          <w:szCs w:val="22"/>
        </w:rPr>
        <w:t xml:space="preserve"> (</w:t>
      </w:r>
      <w:proofErr w:type="spellStart"/>
      <w:r w:rsidR="00102BEE" w:rsidRPr="00F746CD">
        <w:rPr>
          <w:rStyle w:val="s1"/>
          <w:rFonts w:ascii="Arial" w:hAnsi="Arial" w:cs="Arial"/>
          <w:sz w:val="22"/>
          <w:szCs w:val="22"/>
        </w:rPr>
        <w:t>Moenke</w:t>
      </w:r>
      <w:proofErr w:type="spellEnd"/>
      <w:r w:rsidR="00102BEE" w:rsidRPr="00F746CD">
        <w:rPr>
          <w:rStyle w:val="s1"/>
          <w:rFonts w:ascii="Arial" w:hAnsi="Arial" w:cs="Arial"/>
          <w:sz w:val="22"/>
          <w:szCs w:val="22"/>
        </w:rPr>
        <w:t>, Handley and Goodman, 2023)</w:t>
      </w:r>
      <w:r w:rsidRPr="00F746CD">
        <w:rPr>
          <w:rFonts w:ascii="Arial" w:hAnsi="Arial" w:cs="Arial"/>
          <w:sz w:val="22"/>
          <w:szCs w:val="22"/>
        </w:rPr>
        <w:t xml:space="preserve">. </w:t>
      </w:r>
      <w:proofErr w:type="spellStart"/>
      <w:r w:rsidR="0033400E" w:rsidRPr="00F746CD">
        <w:rPr>
          <w:rFonts w:ascii="Arial" w:hAnsi="Arial" w:cs="Arial"/>
          <w:color w:val="0D0D0D"/>
          <w:position w:val="3"/>
          <w:sz w:val="22"/>
          <w:szCs w:val="22"/>
        </w:rPr>
        <w:t>Backhouse</w:t>
      </w:r>
      <w:proofErr w:type="spellEnd"/>
      <w:r w:rsidR="0033400E" w:rsidRPr="00F746CD">
        <w:rPr>
          <w:rFonts w:ascii="Arial" w:hAnsi="Arial" w:cs="Arial"/>
          <w:color w:val="0D0D0D"/>
          <w:position w:val="3"/>
          <w:sz w:val="22"/>
          <w:szCs w:val="22"/>
        </w:rPr>
        <w:t xml:space="preserve"> et al. (2016) explored the use of non-pharmacological interventions to address dementia-related behaviours in care homes.</w:t>
      </w:r>
    </w:p>
    <w:p w14:paraId="506EDFC2" w14:textId="5EFBC2BD" w:rsidR="007976C4" w:rsidRPr="00F746CD" w:rsidRDefault="007976C4">
      <w:pPr>
        <w:pStyle w:val="p1"/>
        <w:rPr>
          <w:rFonts w:ascii="Arial" w:hAnsi="Arial" w:cs="Arial"/>
          <w:sz w:val="22"/>
          <w:szCs w:val="22"/>
        </w:rPr>
      </w:pPr>
    </w:p>
    <w:p w14:paraId="5084195D" w14:textId="3B23C43A" w:rsidR="00A579D7" w:rsidRPr="00F746CD" w:rsidRDefault="007976C4">
      <w:pPr>
        <w:pStyle w:val="p1"/>
        <w:rPr>
          <w:rFonts w:ascii="Arial" w:hAnsi="Arial" w:cs="Arial"/>
          <w:sz w:val="22"/>
          <w:szCs w:val="22"/>
        </w:rPr>
      </w:pPr>
      <w:r w:rsidRPr="00F746CD">
        <w:rPr>
          <w:rStyle w:val="s1"/>
          <w:rFonts w:ascii="Arial" w:hAnsi="Arial" w:cs="Arial"/>
          <w:sz w:val="22"/>
          <w:szCs w:val="22"/>
        </w:rPr>
        <w:t xml:space="preserve"> </w:t>
      </w:r>
      <w:r w:rsidR="00397F5D" w:rsidRPr="00F746CD">
        <w:rPr>
          <w:rStyle w:val="s1"/>
          <w:rFonts w:ascii="Arial" w:hAnsi="Arial" w:cs="Arial"/>
          <w:sz w:val="22"/>
          <w:szCs w:val="22"/>
        </w:rPr>
        <w:t xml:space="preserve">  </w:t>
      </w:r>
      <w:r w:rsidR="00697493" w:rsidRPr="00F746CD">
        <w:rPr>
          <w:rFonts w:ascii="Arial" w:hAnsi="Arial" w:cs="Arial"/>
          <w:sz w:val="22"/>
          <w:szCs w:val="22"/>
        </w:rPr>
        <w:t>Alzheimer’s Society (2024) highlights the importance of quality dementia training for the social care workforce</w:t>
      </w:r>
      <w:r w:rsidR="00A579D7" w:rsidRPr="00F746CD">
        <w:rPr>
          <w:rFonts w:ascii="Arial" w:hAnsi="Arial" w:cs="Arial"/>
          <w:sz w:val="22"/>
          <w:szCs w:val="22"/>
        </w:rPr>
        <w:t xml:space="preserve">, </w:t>
      </w:r>
      <w:r w:rsidR="00A579D7" w:rsidRPr="00F746CD">
        <w:rPr>
          <w:rStyle w:val="s1"/>
          <w:rFonts w:ascii="Arial" w:hAnsi="Arial" w:cs="Arial"/>
          <w:sz w:val="22"/>
          <w:szCs w:val="22"/>
        </w:rPr>
        <w:t>while research has examined the effectiveness of educational interventions in promoting person-centred dementia care (</w:t>
      </w:r>
      <w:proofErr w:type="spellStart"/>
      <w:r w:rsidR="00A579D7" w:rsidRPr="00F746CD">
        <w:rPr>
          <w:rStyle w:val="s1"/>
          <w:rFonts w:ascii="Arial" w:hAnsi="Arial" w:cs="Arial"/>
          <w:sz w:val="22"/>
          <w:szCs w:val="22"/>
        </w:rPr>
        <w:t>Carparelli</w:t>
      </w:r>
      <w:proofErr w:type="spellEnd"/>
      <w:r w:rsidR="00A579D7" w:rsidRPr="00F746CD">
        <w:rPr>
          <w:rStyle w:val="s1"/>
          <w:rFonts w:ascii="Arial" w:hAnsi="Arial" w:cs="Arial"/>
          <w:sz w:val="22"/>
          <w:szCs w:val="22"/>
        </w:rPr>
        <w:t xml:space="preserve"> et al., 2024).</w:t>
      </w:r>
    </w:p>
    <w:p w14:paraId="5039759E" w14:textId="4C428964" w:rsidR="00A8648A" w:rsidRPr="00F746CD" w:rsidRDefault="00697493">
      <w:pPr>
        <w:pStyle w:val="p1"/>
        <w:rPr>
          <w:rFonts w:ascii="Arial" w:hAnsi="Arial" w:cs="Arial"/>
          <w:sz w:val="22"/>
          <w:szCs w:val="22"/>
        </w:rPr>
      </w:pPr>
      <w:r w:rsidRPr="00F746CD">
        <w:rPr>
          <w:rFonts w:ascii="Arial" w:hAnsi="Arial" w:cs="Arial"/>
          <w:sz w:val="22"/>
          <w:szCs w:val="22"/>
        </w:rPr>
        <w:t>NICE (2018) also recommends person-centred staff training and coordinated care, demonstrating the practical importance of addressing these challenges. Examining professionals’ experiences may help identify gaps between recommended standards and care delivery. A scoping review is appropriate because it can map evidence from different</w:t>
      </w:r>
      <w:r w:rsidR="00A8648A" w:rsidRPr="00F746CD">
        <w:rPr>
          <w:rFonts w:ascii="Arial" w:hAnsi="Arial" w:cs="Arial"/>
          <w:sz w:val="22"/>
          <w:szCs w:val="22"/>
        </w:rPr>
        <w:t xml:space="preserve"> </w:t>
      </w:r>
      <w:r w:rsidRPr="00F746CD">
        <w:rPr>
          <w:rFonts w:ascii="Arial" w:hAnsi="Arial" w:cs="Arial"/>
          <w:sz w:val="22"/>
          <w:szCs w:val="22"/>
        </w:rPr>
        <w:t xml:space="preserve">research designs and identify knowledge gaps without restricting the review to one type of study (Peters </w:t>
      </w:r>
      <w:r w:rsidRPr="00F746CD">
        <w:rPr>
          <w:rFonts w:ascii="Arial" w:hAnsi="Arial" w:cs="Arial"/>
          <w:i/>
          <w:iCs/>
          <w:sz w:val="22"/>
          <w:szCs w:val="22"/>
        </w:rPr>
        <w:t>et al</w:t>
      </w:r>
      <w:r w:rsidRPr="00F746CD">
        <w:rPr>
          <w:rFonts w:ascii="Arial" w:hAnsi="Arial" w:cs="Arial"/>
          <w:sz w:val="22"/>
          <w:szCs w:val="22"/>
        </w:rPr>
        <w:t>., 2020).</w:t>
      </w:r>
      <w:r w:rsidR="004C26B9" w:rsidRPr="00F746CD">
        <w:rPr>
          <w:rFonts w:ascii="Arial" w:hAnsi="Arial" w:cs="Arial"/>
          <w:sz w:val="22"/>
          <w:szCs w:val="22"/>
        </w:rPr>
        <w:t xml:space="preserve"> </w:t>
      </w:r>
      <w:r w:rsidR="00A8648A" w:rsidRPr="00F746CD">
        <w:rPr>
          <w:rFonts w:ascii="Arial" w:hAnsi="Arial" w:cs="Arial"/>
          <w:sz w:val="22"/>
          <w:szCs w:val="22"/>
        </w:rPr>
        <w:t>This review will identify common barriers and gaps in UK research to help inform improvements in dementia care.</w:t>
      </w:r>
    </w:p>
    <w:p w14:paraId="2B9FBF4F" w14:textId="47620C82" w:rsidR="00697493" w:rsidRPr="00F746CD" w:rsidRDefault="00697493" w:rsidP="00397F5D">
      <w:pPr>
        <w:pStyle w:val="p1"/>
        <w:rPr>
          <w:rFonts w:ascii="Arial" w:hAnsi="Arial" w:cs="Arial"/>
          <w:sz w:val="22"/>
          <w:szCs w:val="22"/>
        </w:rPr>
      </w:pPr>
    </w:p>
    <w:p w14:paraId="4DE46739" w14:textId="77777777" w:rsidR="00F22D8A" w:rsidRPr="00F746CD" w:rsidRDefault="00F22D8A" w:rsidP="00397F5D">
      <w:pPr>
        <w:pStyle w:val="p1"/>
        <w:rPr>
          <w:rFonts w:ascii="Arial" w:hAnsi="Arial" w:cs="Arial"/>
          <w:sz w:val="22"/>
          <w:szCs w:val="22"/>
        </w:rPr>
      </w:pPr>
    </w:p>
    <w:p w14:paraId="6B2C755B" w14:textId="77777777" w:rsidR="00F22D8A" w:rsidRPr="00F746CD" w:rsidRDefault="00F22D8A" w:rsidP="00397F5D">
      <w:pPr>
        <w:pStyle w:val="p1"/>
        <w:rPr>
          <w:rFonts w:ascii="Arial" w:hAnsi="Arial" w:cs="Arial"/>
          <w:sz w:val="22"/>
          <w:szCs w:val="22"/>
        </w:rPr>
      </w:pPr>
    </w:p>
    <w:p w14:paraId="178C46FB" w14:textId="77777777" w:rsidR="003E14D1" w:rsidRPr="00F746CD" w:rsidRDefault="003E14D1" w:rsidP="00397F5D">
      <w:pPr>
        <w:pStyle w:val="p1"/>
        <w:rPr>
          <w:rFonts w:ascii="Arial" w:hAnsi="Arial" w:cs="Arial"/>
          <w:sz w:val="22"/>
          <w:szCs w:val="22"/>
        </w:rPr>
      </w:pPr>
    </w:p>
    <w:p w14:paraId="3CD31769" w14:textId="77777777" w:rsidR="003E14D1" w:rsidRPr="00F746CD" w:rsidRDefault="003E14D1" w:rsidP="00397F5D">
      <w:pPr>
        <w:pStyle w:val="p1"/>
        <w:rPr>
          <w:rFonts w:ascii="Arial" w:hAnsi="Arial" w:cs="Arial"/>
          <w:sz w:val="22"/>
          <w:szCs w:val="22"/>
        </w:rPr>
      </w:pPr>
    </w:p>
    <w:p w14:paraId="73769BB8" w14:textId="77777777" w:rsidR="003E14D1" w:rsidRPr="00F746CD" w:rsidRDefault="003E14D1" w:rsidP="00397F5D">
      <w:pPr>
        <w:pStyle w:val="p1"/>
        <w:rPr>
          <w:rFonts w:ascii="Arial" w:hAnsi="Arial" w:cs="Arial"/>
          <w:sz w:val="22"/>
          <w:szCs w:val="22"/>
        </w:rPr>
      </w:pPr>
    </w:p>
    <w:p w14:paraId="5A554D50" w14:textId="77777777" w:rsidR="003E14D1" w:rsidRPr="00F746CD" w:rsidRDefault="003E14D1" w:rsidP="00397F5D">
      <w:pPr>
        <w:pStyle w:val="p1"/>
        <w:rPr>
          <w:rFonts w:ascii="Arial" w:hAnsi="Arial" w:cs="Arial"/>
          <w:sz w:val="22"/>
          <w:szCs w:val="22"/>
        </w:rPr>
      </w:pPr>
    </w:p>
    <w:p w14:paraId="1CB404D5" w14:textId="77777777" w:rsidR="003E14D1" w:rsidRPr="00F746CD" w:rsidRDefault="003E14D1" w:rsidP="00397F5D">
      <w:pPr>
        <w:pStyle w:val="p1"/>
        <w:rPr>
          <w:rFonts w:ascii="Arial" w:hAnsi="Arial" w:cs="Arial"/>
          <w:sz w:val="22"/>
          <w:szCs w:val="22"/>
        </w:rPr>
      </w:pPr>
    </w:p>
    <w:p w14:paraId="05C6315F" w14:textId="77777777" w:rsidR="003E14D1" w:rsidRPr="00F746CD" w:rsidRDefault="003E14D1" w:rsidP="00397F5D">
      <w:pPr>
        <w:pStyle w:val="p1"/>
        <w:rPr>
          <w:rFonts w:ascii="Arial" w:hAnsi="Arial" w:cs="Arial"/>
          <w:sz w:val="22"/>
          <w:szCs w:val="22"/>
        </w:rPr>
      </w:pPr>
    </w:p>
    <w:p w14:paraId="2A7AF9D7" w14:textId="77777777" w:rsidR="00697493" w:rsidRPr="00F746CD" w:rsidRDefault="00697493" w:rsidP="00697493">
      <w:pPr>
        <w:spacing w:before="100" w:beforeAutospacing="1" w:after="100" w:afterAutospacing="1" w:line="240" w:lineRule="auto"/>
        <w:outlineLvl w:val="1"/>
        <w:rPr>
          <w:rFonts w:ascii="Arial" w:eastAsia="Times New Roman" w:hAnsi="Arial" w:cs="Arial"/>
          <w:b/>
          <w:bCs/>
          <w:kern w:val="0"/>
          <w:sz w:val="22"/>
          <w:szCs w:val="22"/>
          <w14:ligatures w14:val="none"/>
        </w:rPr>
      </w:pPr>
      <w:r w:rsidRPr="00F746CD">
        <w:rPr>
          <w:rFonts w:ascii="Arial" w:eastAsia="Times New Roman" w:hAnsi="Arial" w:cs="Arial"/>
          <w:b/>
          <w:bCs/>
          <w:kern w:val="0"/>
          <w:sz w:val="22"/>
          <w:szCs w:val="22"/>
          <w14:ligatures w14:val="none"/>
        </w:rPr>
        <w:lastRenderedPageBreak/>
        <w:t>Proposed methods</w:t>
      </w:r>
    </w:p>
    <w:p w14:paraId="4ACF732A" w14:textId="16BDE6F7" w:rsidR="00697493" w:rsidRPr="00F746CD" w:rsidRDefault="00697493" w:rsidP="00755E96">
      <w:pPr>
        <w:pStyle w:val="p1"/>
        <w:rPr>
          <w:rFonts w:ascii="Arial" w:hAnsi="Arial" w:cs="Arial"/>
          <w:sz w:val="22"/>
          <w:szCs w:val="22"/>
        </w:rPr>
      </w:pPr>
      <w:r w:rsidRPr="00F746CD">
        <w:rPr>
          <w:rFonts w:ascii="Arial" w:hAnsi="Arial" w:cs="Arial"/>
          <w:sz w:val="22"/>
          <w:szCs w:val="22"/>
        </w:rPr>
        <w:t xml:space="preserve">The review will follow the Joanna Briggs Institute’s scoping-review methodology (Peters </w:t>
      </w:r>
      <w:r w:rsidRPr="00F746CD">
        <w:rPr>
          <w:rFonts w:ascii="Arial" w:hAnsi="Arial" w:cs="Arial"/>
          <w:i/>
          <w:iCs/>
          <w:sz w:val="22"/>
          <w:szCs w:val="22"/>
        </w:rPr>
        <w:t>et al</w:t>
      </w:r>
      <w:r w:rsidRPr="00F746CD">
        <w:rPr>
          <w:rFonts w:ascii="Arial" w:hAnsi="Arial" w:cs="Arial"/>
          <w:sz w:val="22"/>
          <w:szCs w:val="22"/>
        </w:rPr>
        <w:t>., 2020), with reporting guided by PRISMA-ScR (</w:t>
      </w:r>
      <w:proofErr w:type="spellStart"/>
      <w:r w:rsidRPr="00F746CD">
        <w:rPr>
          <w:rFonts w:ascii="Arial" w:hAnsi="Arial" w:cs="Arial"/>
          <w:sz w:val="22"/>
          <w:szCs w:val="22"/>
        </w:rPr>
        <w:t>Tricco</w:t>
      </w:r>
      <w:proofErr w:type="spellEnd"/>
      <w:r w:rsidRPr="00F746CD">
        <w:rPr>
          <w:rFonts w:ascii="Arial" w:hAnsi="Arial" w:cs="Arial"/>
          <w:sz w:val="22"/>
          <w:szCs w:val="22"/>
        </w:rPr>
        <w:t xml:space="preserve"> </w:t>
      </w:r>
      <w:r w:rsidRPr="00F746CD">
        <w:rPr>
          <w:rFonts w:ascii="Arial" w:hAnsi="Arial" w:cs="Arial"/>
          <w:i/>
          <w:iCs/>
          <w:sz w:val="22"/>
          <w:szCs w:val="22"/>
        </w:rPr>
        <w:t>et al</w:t>
      </w:r>
      <w:r w:rsidRPr="00F746CD">
        <w:rPr>
          <w:rFonts w:ascii="Arial" w:hAnsi="Arial" w:cs="Arial"/>
          <w:sz w:val="22"/>
          <w:szCs w:val="22"/>
        </w:rPr>
        <w:t xml:space="preserve">., 2018). Searches will be conducted in CINAHL, </w:t>
      </w:r>
      <w:proofErr w:type="spellStart"/>
      <w:r w:rsidRPr="00F746CD">
        <w:rPr>
          <w:rFonts w:ascii="Arial" w:hAnsi="Arial" w:cs="Arial"/>
          <w:sz w:val="22"/>
          <w:szCs w:val="22"/>
        </w:rPr>
        <w:t>MEDLINE</w:t>
      </w:r>
      <w:proofErr w:type="spellEnd"/>
      <w:r w:rsidRPr="00F746CD">
        <w:rPr>
          <w:rFonts w:ascii="Arial" w:hAnsi="Arial" w:cs="Arial"/>
          <w:sz w:val="22"/>
          <w:szCs w:val="22"/>
        </w:rPr>
        <w:t xml:space="preserve"> and PubMed, supplemented by relevant UK policy documents. </w:t>
      </w:r>
      <w:r w:rsidR="00755E96" w:rsidRPr="00F746CD">
        <w:rPr>
          <w:rFonts w:ascii="Arial" w:hAnsi="Arial" w:cs="Arial"/>
          <w:sz w:val="22"/>
          <w:szCs w:val="22"/>
        </w:rPr>
        <w:t>Search terms will include “dementia”, “healthcare professionals”, “social care”, “barriers”, “challenges”, “training”, “collaboration” and “United Kingdom”, combined using Boolean operators.</w:t>
      </w:r>
    </w:p>
    <w:p w14:paraId="1381E5BB" w14:textId="481E8E92" w:rsidR="00697493" w:rsidRPr="00F746CD" w:rsidRDefault="005B2299" w:rsidP="009E76E3">
      <w:pPr>
        <w:pStyle w:val="p1"/>
        <w:rPr>
          <w:rFonts w:ascii="Arial" w:hAnsi="Arial" w:cs="Arial"/>
          <w:sz w:val="22"/>
          <w:szCs w:val="22"/>
        </w:rPr>
      </w:pPr>
      <w:r w:rsidRPr="00F746CD">
        <w:rPr>
          <w:rFonts w:ascii="Arial" w:hAnsi="Arial" w:cs="Arial"/>
          <w:sz w:val="22"/>
          <w:szCs w:val="22"/>
        </w:rPr>
        <w:t xml:space="preserve">Eligible sources will include English-language studies published between 2021 and 2026 concerning professionals supporting people with dementia in UK health or social care settings. </w:t>
      </w:r>
      <w:r w:rsidR="00756658" w:rsidRPr="00F746CD">
        <w:rPr>
          <w:rFonts w:ascii="Arial" w:hAnsi="Arial" w:cs="Arial"/>
          <w:sz w:val="22"/>
          <w:szCs w:val="22"/>
        </w:rPr>
        <w:t xml:space="preserve">Earlier research and authoritative guidance will be included where relevant. </w:t>
      </w:r>
      <w:r w:rsidR="00697493" w:rsidRPr="00F746CD">
        <w:rPr>
          <w:rFonts w:ascii="Arial" w:hAnsi="Arial" w:cs="Arial"/>
          <w:sz w:val="22"/>
          <w:szCs w:val="22"/>
        </w:rPr>
        <w:t>Studies conducted exclusively outside the UK will be excluded. Titles, abstracts and full texts will be screened against predefined criteria.</w:t>
      </w:r>
      <w:r w:rsidR="009E76E3" w:rsidRPr="00F746CD">
        <w:rPr>
          <w:rFonts w:ascii="Arial" w:hAnsi="Arial" w:cs="Arial"/>
          <w:sz w:val="22"/>
          <w:szCs w:val="22"/>
        </w:rPr>
        <w:t xml:space="preserve"> Relevant studies will then be selected for data extraction, and their findings will be organised into themes to identify common challenges and gaps in the evidence. </w:t>
      </w:r>
      <w:r w:rsidR="001835DA" w:rsidRPr="00F746CD">
        <w:rPr>
          <w:rFonts w:ascii="Arial" w:hAnsi="Arial" w:cs="Arial"/>
          <w:color w:val="1A1A1A" w:themeColor="background1" w:themeShade="1A"/>
          <w:position w:val="3"/>
          <w:sz w:val="22"/>
          <w:szCs w:val="22"/>
        </w:rPr>
        <w:t>Data will be charted by publication, setting, professional group, challenges and suggested improvements.</w:t>
      </w:r>
      <w:r w:rsidR="0080141A" w:rsidRPr="00F746CD">
        <w:rPr>
          <w:rFonts w:ascii="Arial" w:hAnsi="Arial" w:cs="Arial"/>
          <w:color w:val="1A1A1A" w:themeColor="background1" w:themeShade="1A"/>
          <w:sz w:val="22"/>
          <w:szCs w:val="22"/>
        </w:rPr>
        <w:t xml:space="preserve"> </w:t>
      </w:r>
      <w:r w:rsidR="00697493" w:rsidRPr="00F746CD">
        <w:rPr>
          <w:rFonts w:ascii="Arial" w:hAnsi="Arial" w:cs="Arial"/>
          <w:color w:val="1A1A1A" w:themeColor="background1" w:themeShade="1A"/>
          <w:sz w:val="22"/>
          <w:szCs w:val="22"/>
        </w:rPr>
        <w:t>The revie</w:t>
      </w:r>
      <w:r w:rsidR="00697493" w:rsidRPr="00F746CD">
        <w:rPr>
          <w:rFonts w:ascii="Arial" w:hAnsi="Arial" w:cs="Arial"/>
          <w:sz w:val="22"/>
          <w:szCs w:val="22"/>
        </w:rPr>
        <w:t>w will map available evidence rather than assume that experiences are uniform across the UK.</w:t>
      </w:r>
    </w:p>
    <w:p w14:paraId="4D929048" w14:textId="77777777" w:rsidR="001E2749" w:rsidRPr="00F746CD" w:rsidRDefault="001E2749" w:rsidP="009E76E3">
      <w:pPr>
        <w:pStyle w:val="p1"/>
        <w:rPr>
          <w:rFonts w:ascii="Arial" w:hAnsi="Arial" w:cs="Arial"/>
          <w:sz w:val="22"/>
          <w:szCs w:val="22"/>
        </w:rPr>
      </w:pPr>
    </w:p>
    <w:p w14:paraId="7956F7BE" w14:textId="77777777" w:rsidR="00697493" w:rsidRPr="00F746CD" w:rsidRDefault="00697493" w:rsidP="00697493">
      <w:pPr>
        <w:spacing w:before="100" w:beforeAutospacing="1" w:after="100" w:afterAutospacing="1" w:line="240" w:lineRule="auto"/>
        <w:outlineLvl w:val="1"/>
        <w:rPr>
          <w:rFonts w:ascii="Arial" w:eastAsia="Times New Roman" w:hAnsi="Arial" w:cs="Arial"/>
          <w:b/>
          <w:bCs/>
          <w:kern w:val="0"/>
          <w:sz w:val="22"/>
          <w:szCs w:val="22"/>
          <w14:ligatures w14:val="none"/>
        </w:rPr>
      </w:pPr>
      <w:r w:rsidRPr="00F746CD">
        <w:rPr>
          <w:rFonts w:ascii="Arial" w:eastAsia="Times New Roman" w:hAnsi="Arial" w:cs="Arial"/>
          <w:b/>
          <w:bCs/>
          <w:kern w:val="0"/>
          <w:sz w:val="22"/>
          <w:szCs w:val="22"/>
          <w14:ligatures w14:val="none"/>
        </w:rPr>
        <w:t>Ethical considerations</w:t>
      </w:r>
    </w:p>
    <w:p w14:paraId="186B38CD" w14:textId="77777777" w:rsidR="00697493" w:rsidRPr="00F746CD" w:rsidRDefault="00697493" w:rsidP="00697493">
      <w:pPr>
        <w:spacing w:before="100" w:beforeAutospacing="1" w:after="100" w:afterAutospacing="1" w:line="240" w:lineRule="auto"/>
        <w:rPr>
          <w:rFonts w:ascii="Arial" w:hAnsi="Arial" w:cs="Arial"/>
          <w:kern w:val="0"/>
          <w:sz w:val="22"/>
          <w:szCs w:val="22"/>
          <w14:ligatures w14:val="none"/>
        </w:rPr>
      </w:pPr>
      <w:r w:rsidRPr="00F746CD">
        <w:rPr>
          <w:rFonts w:ascii="Arial" w:hAnsi="Arial" w:cs="Arial"/>
          <w:kern w:val="0"/>
          <w:sz w:val="22"/>
          <w:szCs w:val="22"/>
          <w14:ligatures w14:val="none"/>
        </w:rPr>
        <w:t>As this is secondary research using published material, direct participant recruitment and consent are not anticipated. Nevertheless, academic integrity will be maintained through accurate referencing, transparent selection procedures and faithful interpretation of findings. The review will respect the dignity of people living with dementia and avoid generalisations about professionals or care recipients. Differences in evidence quality and gaps in research will be acknowledged.</w:t>
      </w:r>
    </w:p>
    <w:p w14:paraId="0B2AB081" w14:textId="77777777" w:rsidR="00697493" w:rsidRPr="00F746CD" w:rsidRDefault="00697493">
      <w:pPr>
        <w:rPr>
          <w:rFonts w:ascii="Arial" w:hAnsi="Arial" w:cs="Arial"/>
          <w:sz w:val="22"/>
          <w:szCs w:val="22"/>
        </w:rPr>
      </w:pPr>
    </w:p>
    <w:p w14:paraId="4113995C" w14:textId="77777777" w:rsidR="00C3673B" w:rsidRPr="00F746CD" w:rsidRDefault="00C3673B">
      <w:pPr>
        <w:rPr>
          <w:rFonts w:ascii="Arial" w:hAnsi="Arial" w:cs="Arial"/>
          <w:sz w:val="22"/>
          <w:szCs w:val="22"/>
        </w:rPr>
      </w:pPr>
    </w:p>
    <w:p w14:paraId="1E70DDF9" w14:textId="77777777" w:rsidR="00C3673B" w:rsidRPr="00F746CD" w:rsidRDefault="00C3673B">
      <w:pPr>
        <w:rPr>
          <w:rFonts w:ascii="Arial" w:hAnsi="Arial" w:cs="Arial"/>
          <w:sz w:val="22"/>
          <w:szCs w:val="22"/>
        </w:rPr>
      </w:pPr>
    </w:p>
    <w:p w14:paraId="07128D4D" w14:textId="77777777" w:rsidR="00C3673B" w:rsidRPr="00F746CD" w:rsidRDefault="00C3673B">
      <w:pPr>
        <w:rPr>
          <w:rFonts w:ascii="Arial" w:hAnsi="Arial" w:cs="Arial"/>
          <w:sz w:val="22"/>
          <w:szCs w:val="22"/>
        </w:rPr>
      </w:pPr>
    </w:p>
    <w:p w14:paraId="26D2630B" w14:textId="77777777" w:rsidR="00F22D8A" w:rsidRPr="00F746CD" w:rsidRDefault="00F22D8A">
      <w:pPr>
        <w:rPr>
          <w:rFonts w:ascii="Arial" w:hAnsi="Arial" w:cs="Arial"/>
          <w:sz w:val="22"/>
          <w:szCs w:val="22"/>
        </w:rPr>
      </w:pPr>
    </w:p>
    <w:p w14:paraId="3EA942E9" w14:textId="77777777" w:rsidR="00F22D8A" w:rsidRPr="00F746CD" w:rsidRDefault="00F22D8A">
      <w:pPr>
        <w:rPr>
          <w:rFonts w:ascii="Arial" w:hAnsi="Arial" w:cs="Arial"/>
          <w:sz w:val="22"/>
          <w:szCs w:val="22"/>
        </w:rPr>
      </w:pPr>
    </w:p>
    <w:p w14:paraId="781C7922" w14:textId="77777777" w:rsidR="00F22D8A" w:rsidRPr="00F746CD" w:rsidRDefault="00F22D8A">
      <w:pPr>
        <w:rPr>
          <w:rFonts w:ascii="Arial" w:hAnsi="Arial" w:cs="Arial"/>
          <w:sz w:val="22"/>
          <w:szCs w:val="22"/>
        </w:rPr>
      </w:pPr>
    </w:p>
    <w:p w14:paraId="36EFC0A2" w14:textId="77777777" w:rsidR="00F22D8A" w:rsidRPr="00F746CD" w:rsidRDefault="00F22D8A">
      <w:pPr>
        <w:rPr>
          <w:rFonts w:ascii="Arial" w:hAnsi="Arial" w:cs="Arial"/>
          <w:sz w:val="22"/>
          <w:szCs w:val="22"/>
        </w:rPr>
      </w:pPr>
    </w:p>
    <w:p w14:paraId="5B3F908B" w14:textId="77777777" w:rsidR="00F22D8A" w:rsidRPr="00F746CD" w:rsidRDefault="00F22D8A">
      <w:pPr>
        <w:rPr>
          <w:rFonts w:ascii="Arial" w:hAnsi="Arial" w:cs="Arial"/>
          <w:sz w:val="22"/>
          <w:szCs w:val="22"/>
        </w:rPr>
      </w:pPr>
    </w:p>
    <w:p w14:paraId="7AAC6087" w14:textId="77777777" w:rsidR="00F22D8A" w:rsidRPr="00F746CD" w:rsidRDefault="00F22D8A">
      <w:pPr>
        <w:rPr>
          <w:rFonts w:ascii="Arial" w:hAnsi="Arial" w:cs="Arial"/>
          <w:sz w:val="22"/>
          <w:szCs w:val="22"/>
        </w:rPr>
      </w:pPr>
    </w:p>
    <w:p w14:paraId="198F4CB9" w14:textId="77777777" w:rsidR="00F22D8A" w:rsidRPr="00F746CD" w:rsidRDefault="00F22D8A">
      <w:pPr>
        <w:rPr>
          <w:rFonts w:ascii="Arial" w:hAnsi="Arial" w:cs="Arial"/>
          <w:sz w:val="22"/>
          <w:szCs w:val="22"/>
        </w:rPr>
      </w:pPr>
    </w:p>
    <w:p w14:paraId="09FE4D6E" w14:textId="77777777" w:rsidR="00F22D8A" w:rsidRPr="00F746CD" w:rsidRDefault="00F22D8A">
      <w:pPr>
        <w:rPr>
          <w:rFonts w:ascii="Arial" w:hAnsi="Arial" w:cs="Arial"/>
          <w:sz w:val="22"/>
          <w:szCs w:val="22"/>
        </w:rPr>
      </w:pPr>
    </w:p>
    <w:p w14:paraId="55183824" w14:textId="77777777" w:rsidR="00F22D8A" w:rsidRPr="00F746CD" w:rsidRDefault="00F22D8A">
      <w:pPr>
        <w:rPr>
          <w:rFonts w:ascii="Arial" w:hAnsi="Arial" w:cs="Arial"/>
          <w:sz w:val="22"/>
          <w:szCs w:val="22"/>
        </w:rPr>
      </w:pPr>
    </w:p>
    <w:p w14:paraId="7CEEFF1A" w14:textId="77777777" w:rsidR="00C3673B" w:rsidRPr="00F746CD" w:rsidRDefault="00C3673B">
      <w:pPr>
        <w:rPr>
          <w:rFonts w:ascii="Arial" w:hAnsi="Arial" w:cs="Arial"/>
          <w:sz w:val="22"/>
          <w:szCs w:val="22"/>
        </w:rPr>
      </w:pPr>
    </w:p>
    <w:p w14:paraId="6AA9A1BB" w14:textId="77777777" w:rsidR="00C3673B" w:rsidRPr="00F746CD" w:rsidRDefault="00C3673B" w:rsidP="00C3673B">
      <w:pPr>
        <w:spacing w:before="100" w:beforeAutospacing="1" w:after="100" w:afterAutospacing="1" w:line="240" w:lineRule="auto"/>
        <w:outlineLvl w:val="1"/>
        <w:rPr>
          <w:rFonts w:ascii="Arial" w:eastAsia="Times New Roman" w:hAnsi="Arial" w:cs="Arial"/>
          <w:b/>
          <w:bCs/>
          <w:kern w:val="0"/>
          <w:sz w:val="22"/>
          <w:szCs w:val="22"/>
          <w14:ligatures w14:val="none"/>
        </w:rPr>
      </w:pPr>
      <w:r w:rsidRPr="00F746CD">
        <w:rPr>
          <w:rFonts w:ascii="Arial" w:eastAsia="Times New Roman" w:hAnsi="Arial" w:cs="Arial"/>
          <w:b/>
          <w:bCs/>
          <w:kern w:val="0"/>
          <w:sz w:val="22"/>
          <w:szCs w:val="22"/>
          <w14:ligatures w14:val="none"/>
        </w:rPr>
        <w:lastRenderedPageBreak/>
        <w:t>Reference List</w:t>
      </w:r>
    </w:p>
    <w:p w14:paraId="059905F5" w14:textId="0310AFA3" w:rsidR="00CF4A3F" w:rsidRPr="00F746CD" w:rsidRDefault="00A62395">
      <w:pPr>
        <w:pStyle w:val="p1"/>
        <w:rPr>
          <w:rStyle w:val="s1"/>
          <w:rFonts w:ascii="Arial" w:hAnsi="Arial" w:cs="Arial"/>
          <w:sz w:val="22"/>
          <w:szCs w:val="22"/>
        </w:rPr>
      </w:pPr>
      <w:r w:rsidRPr="00F746CD">
        <w:rPr>
          <w:rFonts w:ascii="Arial" w:hAnsi="Arial" w:cs="Arial"/>
          <w:sz w:val="22"/>
          <w:szCs w:val="22"/>
        </w:rPr>
        <w:t xml:space="preserve">Alzheimer’s Society (2024) </w:t>
      </w:r>
      <w:r w:rsidRPr="00F746CD">
        <w:rPr>
          <w:rStyle w:val="s2"/>
          <w:rFonts w:ascii="Arial" w:hAnsi="Arial" w:cs="Arial"/>
          <w:i/>
          <w:iCs/>
          <w:sz w:val="22"/>
          <w:szCs w:val="22"/>
        </w:rPr>
        <w:t>Because we’re human too: Why dementia training for care workers matters, and how to deliver it.</w:t>
      </w:r>
      <w:r w:rsidRPr="00F746CD">
        <w:rPr>
          <w:rStyle w:val="s1"/>
          <w:rFonts w:ascii="Arial" w:hAnsi="Arial" w:cs="Arial"/>
          <w:sz w:val="22"/>
          <w:szCs w:val="22"/>
        </w:rPr>
        <w:t xml:space="preserve"> Available at: https://www.alzheimers.org.uk/what-we-do/policy-and-influencing/dementia-training-for-care-workers-how-to-deliver-it (Accessed: 15 October 2026).</w:t>
      </w:r>
    </w:p>
    <w:p w14:paraId="45069B18" w14:textId="77777777" w:rsidR="00A62395" w:rsidRPr="00F746CD" w:rsidRDefault="00A62395">
      <w:pPr>
        <w:pStyle w:val="p1"/>
        <w:rPr>
          <w:rFonts w:ascii="Arial" w:hAnsi="Arial" w:cs="Arial"/>
          <w:sz w:val="22"/>
          <w:szCs w:val="22"/>
        </w:rPr>
      </w:pPr>
    </w:p>
    <w:p w14:paraId="4218E6EE" w14:textId="6742B7FB" w:rsidR="00167854" w:rsidRPr="00F746CD" w:rsidRDefault="00167854">
      <w:pPr>
        <w:pStyle w:val="p1"/>
        <w:rPr>
          <w:rStyle w:val="s1"/>
          <w:rFonts w:ascii="Arial" w:hAnsi="Arial" w:cs="Arial"/>
          <w:sz w:val="22"/>
          <w:szCs w:val="22"/>
        </w:rPr>
      </w:pPr>
      <w:proofErr w:type="spellStart"/>
      <w:r w:rsidRPr="00F746CD">
        <w:rPr>
          <w:rFonts w:ascii="Arial" w:hAnsi="Arial" w:cs="Arial"/>
          <w:sz w:val="22"/>
          <w:szCs w:val="22"/>
        </w:rPr>
        <w:t>Backhouse</w:t>
      </w:r>
      <w:proofErr w:type="spellEnd"/>
      <w:r w:rsidRPr="00F746CD">
        <w:rPr>
          <w:rFonts w:ascii="Arial" w:hAnsi="Arial" w:cs="Arial"/>
          <w:sz w:val="22"/>
          <w:szCs w:val="22"/>
        </w:rPr>
        <w:t xml:space="preserve">, T., </w:t>
      </w:r>
      <w:proofErr w:type="spellStart"/>
      <w:r w:rsidRPr="00F746CD">
        <w:rPr>
          <w:rFonts w:ascii="Arial" w:hAnsi="Arial" w:cs="Arial"/>
          <w:sz w:val="22"/>
          <w:szCs w:val="22"/>
        </w:rPr>
        <w:t>Killett</w:t>
      </w:r>
      <w:proofErr w:type="spellEnd"/>
      <w:r w:rsidRPr="00F746CD">
        <w:rPr>
          <w:rFonts w:ascii="Arial" w:hAnsi="Arial" w:cs="Arial"/>
          <w:sz w:val="22"/>
          <w:szCs w:val="22"/>
        </w:rPr>
        <w:t xml:space="preserve">, A., </w:t>
      </w:r>
      <w:proofErr w:type="spellStart"/>
      <w:r w:rsidRPr="00F746CD">
        <w:rPr>
          <w:rFonts w:ascii="Arial" w:hAnsi="Arial" w:cs="Arial"/>
          <w:sz w:val="22"/>
          <w:szCs w:val="22"/>
        </w:rPr>
        <w:t>Penhale</w:t>
      </w:r>
      <w:proofErr w:type="spellEnd"/>
      <w:r w:rsidRPr="00F746CD">
        <w:rPr>
          <w:rFonts w:ascii="Arial" w:hAnsi="Arial" w:cs="Arial"/>
          <w:sz w:val="22"/>
          <w:szCs w:val="22"/>
        </w:rPr>
        <w:t xml:space="preserve">, B. and </w:t>
      </w:r>
      <w:proofErr w:type="spellStart"/>
      <w:r w:rsidRPr="00F746CD">
        <w:rPr>
          <w:rFonts w:ascii="Arial" w:hAnsi="Arial" w:cs="Arial"/>
          <w:sz w:val="22"/>
          <w:szCs w:val="22"/>
        </w:rPr>
        <w:t>Gray</w:t>
      </w:r>
      <w:proofErr w:type="spellEnd"/>
      <w:r w:rsidRPr="00F746CD">
        <w:rPr>
          <w:rFonts w:ascii="Arial" w:hAnsi="Arial" w:cs="Arial"/>
          <w:sz w:val="22"/>
          <w:szCs w:val="22"/>
        </w:rPr>
        <w:t xml:space="preserve">, R. (2016) ‘The use of non-pharmacological interventions for dementia behaviours in care homes: findings from four in-depth, ethnographic case studies’, </w:t>
      </w:r>
      <w:r w:rsidRPr="00F746CD">
        <w:rPr>
          <w:rStyle w:val="s2"/>
          <w:rFonts w:ascii="Arial" w:hAnsi="Arial" w:cs="Arial"/>
          <w:i/>
          <w:iCs/>
          <w:sz w:val="22"/>
          <w:szCs w:val="22"/>
        </w:rPr>
        <w:t>Age and Ageing</w:t>
      </w:r>
      <w:r w:rsidRPr="00F746CD">
        <w:rPr>
          <w:rStyle w:val="s1"/>
          <w:rFonts w:ascii="Arial" w:hAnsi="Arial" w:cs="Arial"/>
          <w:sz w:val="22"/>
          <w:szCs w:val="22"/>
        </w:rPr>
        <w:t>, 45(6), pp. 856–863. Available at: https://doi.org/10.1093/ageing/afw136 (Accessed: 15 October 2026).</w:t>
      </w:r>
    </w:p>
    <w:p w14:paraId="7D94BED0" w14:textId="061A5179" w:rsidR="00EA3D05" w:rsidRPr="00F746CD" w:rsidRDefault="00EA3D05">
      <w:pPr>
        <w:pStyle w:val="p1"/>
        <w:rPr>
          <w:rStyle w:val="s1"/>
          <w:rFonts w:ascii="Arial" w:hAnsi="Arial" w:cs="Arial"/>
          <w:sz w:val="22"/>
          <w:szCs w:val="22"/>
        </w:rPr>
      </w:pPr>
      <w:proofErr w:type="spellStart"/>
      <w:r w:rsidRPr="00F746CD">
        <w:rPr>
          <w:rStyle w:val="s1"/>
          <w:rFonts w:ascii="Arial" w:hAnsi="Arial" w:cs="Arial"/>
          <w:sz w:val="22"/>
          <w:szCs w:val="22"/>
        </w:rPr>
        <w:t>Carparelli</w:t>
      </w:r>
      <w:proofErr w:type="spellEnd"/>
      <w:r w:rsidRPr="00F746CD">
        <w:rPr>
          <w:rStyle w:val="s1"/>
          <w:rFonts w:ascii="Arial" w:hAnsi="Arial" w:cs="Arial"/>
          <w:sz w:val="22"/>
          <w:szCs w:val="22"/>
        </w:rPr>
        <w:t xml:space="preserve">, C., Jones, C., </w:t>
      </w:r>
      <w:proofErr w:type="spellStart"/>
      <w:r w:rsidRPr="00F746CD">
        <w:rPr>
          <w:rStyle w:val="s1"/>
          <w:rFonts w:ascii="Arial" w:hAnsi="Arial" w:cs="Arial"/>
          <w:sz w:val="22"/>
          <w:szCs w:val="22"/>
        </w:rPr>
        <w:t>Oyebode</w:t>
      </w:r>
      <w:proofErr w:type="spellEnd"/>
      <w:r w:rsidRPr="00F746CD">
        <w:rPr>
          <w:rStyle w:val="s1"/>
          <w:rFonts w:ascii="Arial" w:hAnsi="Arial" w:cs="Arial"/>
          <w:sz w:val="22"/>
          <w:szCs w:val="22"/>
        </w:rPr>
        <w:t xml:space="preserve">, J.R. and Riley, G.A. (2024) ‘A systematic review of the effectiveness of educational interventions in promoting person-centred care in dementia services’, Clinical Gerontologist, 47(5), pp. 665–683. Available at: </w:t>
      </w:r>
      <w:hyperlink r:id="rId6" w:history="1">
        <w:r w:rsidRPr="00F746CD">
          <w:rPr>
            <w:rStyle w:val="Hyperlink"/>
            <w:rFonts w:ascii="Arial" w:hAnsi="Arial" w:cs="Arial"/>
            <w:sz w:val="22"/>
            <w:szCs w:val="22"/>
          </w:rPr>
          <w:t>https://doi.org/10.1080/07317115.2022.2152515</w:t>
        </w:r>
      </w:hyperlink>
    </w:p>
    <w:p w14:paraId="3532A297" w14:textId="391BC0DE" w:rsidR="00EA3D05" w:rsidRPr="00F746CD" w:rsidRDefault="002E723D">
      <w:pPr>
        <w:pStyle w:val="p1"/>
        <w:rPr>
          <w:rStyle w:val="s1"/>
          <w:rFonts w:ascii="Arial" w:hAnsi="Arial" w:cs="Arial"/>
          <w:sz w:val="22"/>
          <w:szCs w:val="22"/>
        </w:rPr>
      </w:pPr>
      <w:proofErr w:type="spellStart"/>
      <w:r w:rsidRPr="00F746CD">
        <w:rPr>
          <w:rStyle w:val="s1"/>
          <w:rFonts w:ascii="Arial" w:hAnsi="Arial" w:cs="Arial"/>
          <w:sz w:val="22"/>
          <w:szCs w:val="22"/>
        </w:rPr>
        <w:t>Moenke</w:t>
      </w:r>
      <w:proofErr w:type="spellEnd"/>
      <w:r w:rsidRPr="00F746CD">
        <w:rPr>
          <w:rStyle w:val="s1"/>
          <w:rFonts w:ascii="Arial" w:hAnsi="Arial" w:cs="Arial"/>
          <w:sz w:val="22"/>
          <w:szCs w:val="22"/>
        </w:rPr>
        <w:t>, L., Handley, M. and Goodman, C. (2023) ‘The influence of care home managers’ leadership on the delivery of person-centred care for people living with dementia: a systematic review’, Journal of Nursing Management, 2023, Article ID 9872272. Available at: https://doi.org/10.1155/2023/9872272</w:t>
      </w:r>
    </w:p>
    <w:p w14:paraId="2554DC27" w14:textId="4B886C97" w:rsidR="00C3673B" w:rsidRPr="00F746CD" w:rsidRDefault="00C3673B" w:rsidP="00C3673B">
      <w:pPr>
        <w:spacing w:before="100" w:beforeAutospacing="1" w:after="100" w:afterAutospacing="1" w:line="240" w:lineRule="auto"/>
        <w:rPr>
          <w:rFonts w:ascii="Arial" w:hAnsi="Arial" w:cs="Arial"/>
          <w:kern w:val="0"/>
          <w:sz w:val="22"/>
          <w:szCs w:val="22"/>
          <w14:ligatures w14:val="none"/>
        </w:rPr>
      </w:pPr>
    </w:p>
    <w:p w14:paraId="438E96F7" w14:textId="77777777" w:rsidR="00C3673B" w:rsidRPr="00F746CD" w:rsidRDefault="00C3673B" w:rsidP="00C3673B">
      <w:pPr>
        <w:spacing w:before="100" w:beforeAutospacing="1" w:after="100" w:afterAutospacing="1" w:line="240" w:lineRule="auto"/>
        <w:rPr>
          <w:rFonts w:ascii="Arial" w:hAnsi="Arial" w:cs="Arial"/>
          <w:kern w:val="0"/>
          <w:sz w:val="22"/>
          <w:szCs w:val="22"/>
          <w14:ligatures w14:val="none"/>
        </w:rPr>
      </w:pPr>
      <w:r w:rsidRPr="00F746CD">
        <w:rPr>
          <w:rFonts w:ascii="Arial" w:hAnsi="Arial" w:cs="Arial"/>
          <w:kern w:val="0"/>
          <w:sz w:val="22"/>
          <w:szCs w:val="22"/>
          <w14:ligatures w14:val="none"/>
        </w:rPr>
        <w:t xml:space="preserve">National Institute for Health and Care Excellence (NICE) (2018) </w:t>
      </w:r>
      <w:r w:rsidRPr="00F746CD">
        <w:rPr>
          <w:rFonts w:ascii="Arial" w:hAnsi="Arial" w:cs="Arial"/>
          <w:i/>
          <w:iCs/>
          <w:kern w:val="0"/>
          <w:sz w:val="22"/>
          <w:szCs w:val="22"/>
          <w14:ligatures w14:val="none"/>
        </w:rPr>
        <w:t>Dementia: assessment, management and support for people living with dementia and their carers</w:t>
      </w:r>
      <w:r w:rsidRPr="00F746CD">
        <w:rPr>
          <w:rFonts w:ascii="Arial" w:hAnsi="Arial" w:cs="Arial"/>
          <w:kern w:val="0"/>
          <w:sz w:val="22"/>
          <w:szCs w:val="22"/>
          <w14:ligatures w14:val="none"/>
        </w:rPr>
        <w:t>. NICE guideline NG97. Available at: https://www.nice.org.uk/guidance/ng97 (Accessed: 15 October 2026).</w:t>
      </w:r>
    </w:p>
    <w:p w14:paraId="5042508E" w14:textId="77777777" w:rsidR="00C3673B" w:rsidRPr="00F746CD" w:rsidRDefault="00C3673B" w:rsidP="00C3673B">
      <w:pPr>
        <w:spacing w:before="100" w:beforeAutospacing="1" w:after="100" w:afterAutospacing="1" w:line="240" w:lineRule="auto"/>
        <w:rPr>
          <w:rFonts w:ascii="Arial" w:hAnsi="Arial" w:cs="Arial"/>
          <w:kern w:val="0"/>
          <w:sz w:val="22"/>
          <w:szCs w:val="22"/>
          <w14:ligatures w14:val="none"/>
        </w:rPr>
      </w:pPr>
      <w:r w:rsidRPr="00F746CD">
        <w:rPr>
          <w:rFonts w:ascii="Arial" w:hAnsi="Arial" w:cs="Arial"/>
          <w:kern w:val="0"/>
          <w:sz w:val="22"/>
          <w:szCs w:val="22"/>
          <w14:ligatures w14:val="none"/>
        </w:rPr>
        <w:t xml:space="preserve">Peters, M.D.J., Marnie, C., </w:t>
      </w:r>
      <w:proofErr w:type="spellStart"/>
      <w:r w:rsidRPr="00F746CD">
        <w:rPr>
          <w:rFonts w:ascii="Arial" w:hAnsi="Arial" w:cs="Arial"/>
          <w:kern w:val="0"/>
          <w:sz w:val="22"/>
          <w:szCs w:val="22"/>
          <w14:ligatures w14:val="none"/>
        </w:rPr>
        <w:t>Tricco</w:t>
      </w:r>
      <w:proofErr w:type="spellEnd"/>
      <w:r w:rsidRPr="00F746CD">
        <w:rPr>
          <w:rFonts w:ascii="Arial" w:hAnsi="Arial" w:cs="Arial"/>
          <w:kern w:val="0"/>
          <w:sz w:val="22"/>
          <w:szCs w:val="22"/>
          <w14:ligatures w14:val="none"/>
        </w:rPr>
        <w:t xml:space="preserve">, A.C., Pollock, D., </w:t>
      </w:r>
      <w:proofErr w:type="spellStart"/>
      <w:r w:rsidRPr="00F746CD">
        <w:rPr>
          <w:rFonts w:ascii="Arial" w:hAnsi="Arial" w:cs="Arial"/>
          <w:kern w:val="0"/>
          <w:sz w:val="22"/>
          <w:szCs w:val="22"/>
          <w14:ligatures w14:val="none"/>
        </w:rPr>
        <w:t>Munn</w:t>
      </w:r>
      <w:proofErr w:type="spellEnd"/>
      <w:r w:rsidRPr="00F746CD">
        <w:rPr>
          <w:rFonts w:ascii="Arial" w:hAnsi="Arial" w:cs="Arial"/>
          <w:kern w:val="0"/>
          <w:sz w:val="22"/>
          <w:szCs w:val="22"/>
          <w14:ligatures w14:val="none"/>
        </w:rPr>
        <w:t xml:space="preserve">, Z., Alexander, L., </w:t>
      </w:r>
      <w:proofErr w:type="spellStart"/>
      <w:r w:rsidRPr="00F746CD">
        <w:rPr>
          <w:rFonts w:ascii="Arial" w:hAnsi="Arial" w:cs="Arial"/>
          <w:kern w:val="0"/>
          <w:sz w:val="22"/>
          <w:szCs w:val="22"/>
          <w14:ligatures w14:val="none"/>
        </w:rPr>
        <w:t>McInerney</w:t>
      </w:r>
      <w:proofErr w:type="spellEnd"/>
      <w:r w:rsidRPr="00F746CD">
        <w:rPr>
          <w:rFonts w:ascii="Arial" w:hAnsi="Arial" w:cs="Arial"/>
          <w:kern w:val="0"/>
          <w:sz w:val="22"/>
          <w:szCs w:val="22"/>
          <w14:ligatures w14:val="none"/>
        </w:rPr>
        <w:t xml:space="preserve">, P., Godfrey, C.M. and Khalil, H. (2020) ‘Updated methodological guidance for the conduct of scoping reviews’, </w:t>
      </w:r>
      <w:r w:rsidRPr="00F746CD">
        <w:rPr>
          <w:rFonts w:ascii="Arial" w:hAnsi="Arial" w:cs="Arial"/>
          <w:i/>
          <w:iCs/>
          <w:kern w:val="0"/>
          <w:sz w:val="22"/>
          <w:szCs w:val="22"/>
          <w14:ligatures w14:val="none"/>
        </w:rPr>
        <w:t>JBI Evidence Synthesis</w:t>
      </w:r>
      <w:r w:rsidRPr="00F746CD">
        <w:rPr>
          <w:rFonts w:ascii="Arial" w:hAnsi="Arial" w:cs="Arial"/>
          <w:kern w:val="0"/>
          <w:sz w:val="22"/>
          <w:szCs w:val="22"/>
          <w14:ligatures w14:val="none"/>
        </w:rPr>
        <w:t>, 18(10), pp. 2119–2126. Available at: https://doi.org/10.11124/JBIES-20-00167.</w:t>
      </w:r>
    </w:p>
    <w:p w14:paraId="1B1934B9" w14:textId="55811517" w:rsidR="00C3673B" w:rsidRPr="00F746CD" w:rsidRDefault="00C3673B" w:rsidP="00C3673B">
      <w:pPr>
        <w:spacing w:before="100" w:beforeAutospacing="1" w:after="100" w:afterAutospacing="1" w:line="240" w:lineRule="auto"/>
        <w:rPr>
          <w:rFonts w:ascii="Arial" w:hAnsi="Arial" w:cs="Arial"/>
          <w:kern w:val="0"/>
          <w:sz w:val="22"/>
          <w:szCs w:val="22"/>
          <w14:ligatures w14:val="none"/>
        </w:rPr>
      </w:pPr>
      <w:proofErr w:type="spellStart"/>
      <w:r w:rsidRPr="00F746CD">
        <w:rPr>
          <w:rFonts w:ascii="Arial" w:hAnsi="Arial" w:cs="Arial"/>
          <w:kern w:val="0"/>
          <w:sz w:val="22"/>
          <w:szCs w:val="22"/>
          <w14:ligatures w14:val="none"/>
        </w:rPr>
        <w:t>Tricco</w:t>
      </w:r>
      <w:proofErr w:type="spellEnd"/>
      <w:r w:rsidRPr="00F746CD">
        <w:rPr>
          <w:rFonts w:ascii="Arial" w:hAnsi="Arial" w:cs="Arial"/>
          <w:kern w:val="0"/>
          <w:sz w:val="22"/>
          <w:szCs w:val="22"/>
          <w14:ligatures w14:val="none"/>
        </w:rPr>
        <w:t xml:space="preserve">, A.C. </w:t>
      </w:r>
      <w:r w:rsidRPr="00F746CD">
        <w:rPr>
          <w:rFonts w:ascii="Arial" w:hAnsi="Arial" w:cs="Arial"/>
          <w:i/>
          <w:iCs/>
          <w:kern w:val="0"/>
          <w:sz w:val="22"/>
          <w:szCs w:val="22"/>
          <w14:ligatures w14:val="none"/>
        </w:rPr>
        <w:t>et al.</w:t>
      </w:r>
      <w:r w:rsidRPr="00F746CD">
        <w:rPr>
          <w:rFonts w:ascii="Arial" w:hAnsi="Arial" w:cs="Arial"/>
          <w:kern w:val="0"/>
          <w:sz w:val="22"/>
          <w:szCs w:val="22"/>
          <w14:ligatures w14:val="none"/>
        </w:rPr>
        <w:t xml:space="preserve"> (2018) ‘PRISMA extension for scoping reviews (PRISMA-ScR): checklist and explanation’, </w:t>
      </w:r>
      <w:r w:rsidRPr="00F746CD">
        <w:rPr>
          <w:rFonts w:ascii="Arial" w:hAnsi="Arial" w:cs="Arial"/>
          <w:i/>
          <w:iCs/>
          <w:kern w:val="0"/>
          <w:sz w:val="22"/>
          <w:szCs w:val="22"/>
          <w14:ligatures w14:val="none"/>
        </w:rPr>
        <w:t>Annals of Internal Medicine</w:t>
      </w:r>
      <w:r w:rsidRPr="00F746CD">
        <w:rPr>
          <w:rFonts w:ascii="Arial" w:hAnsi="Arial" w:cs="Arial"/>
          <w:kern w:val="0"/>
          <w:sz w:val="22"/>
          <w:szCs w:val="22"/>
          <w14:ligatures w14:val="none"/>
        </w:rPr>
        <w:t xml:space="preserve">, 169(7), pp. 467–473. Available at: </w:t>
      </w:r>
      <w:hyperlink r:id="rId7" w:history="1">
        <w:r w:rsidR="004F2C37" w:rsidRPr="00F746CD">
          <w:rPr>
            <w:rStyle w:val="Hyperlink"/>
            <w:rFonts w:ascii="Arial" w:hAnsi="Arial" w:cs="Arial"/>
            <w:kern w:val="0"/>
            <w:sz w:val="22"/>
            <w:szCs w:val="22"/>
            <w14:ligatures w14:val="none"/>
          </w:rPr>
          <w:t>https://doi.org/10.7326/M18-0850</w:t>
        </w:r>
      </w:hyperlink>
      <w:r w:rsidRPr="00F746CD">
        <w:rPr>
          <w:rFonts w:ascii="Arial" w:hAnsi="Arial" w:cs="Arial"/>
          <w:kern w:val="0"/>
          <w:sz w:val="22"/>
          <w:szCs w:val="22"/>
          <w14:ligatures w14:val="none"/>
        </w:rPr>
        <w:t>.</w:t>
      </w:r>
    </w:p>
    <w:p w14:paraId="5A980B8E" w14:textId="77777777" w:rsidR="004F2C37" w:rsidRPr="00F746CD" w:rsidRDefault="004F2C37" w:rsidP="00C3673B">
      <w:pPr>
        <w:spacing w:before="100" w:beforeAutospacing="1" w:after="100" w:afterAutospacing="1" w:line="240" w:lineRule="auto"/>
        <w:rPr>
          <w:rFonts w:ascii="Arial" w:hAnsi="Arial" w:cs="Arial"/>
          <w:kern w:val="0"/>
          <w:sz w:val="22"/>
          <w:szCs w:val="22"/>
          <w14:ligatures w14:val="none"/>
        </w:rPr>
      </w:pPr>
    </w:p>
    <w:p w14:paraId="7797EC83" w14:textId="77777777" w:rsidR="004F2C37" w:rsidRPr="00F746CD" w:rsidRDefault="004F2C37" w:rsidP="00C3673B">
      <w:pPr>
        <w:spacing w:before="100" w:beforeAutospacing="1" w:after="100" w:afterAutospacing="1" w:line="240" w:lineRule="auto"/>
        <w:rPr>
          <w:rFonts w:ascii="Arial" w:hAnsi="Arial" w:cs="Arial"/>
          <w:kern w:val="0"/>
          <w:sz w:val="22"/>
          <w:szCs w:val="22"/>
          <w14:ligatures w14:val="none"/>
        </w:rPr>
      </w:pPr>
    </w:p>
    <w:p w14:paraId="3F01C51A" w14:textId="77777777" w:rsidR="00C3673B" w:rsidRPr="00F746CD" w:rsidRDefault="00C3673B">
      <w:pPr>
        <w:rPr>
          <w:rFonts w:ascii="Arial" w:hAnsi="Arial" w:cs="Arial"/>
          <w:sz w:val="22"/>
          <w:szCs w:val="22"/>
        </w:rPr>
      </w:pPr>
    </w:p>
    <w:p w14:paraId="2D08A174" w14:textId="77777777" w:rsidR="00C3673B" w:rsidRPr="00F746CD" w:rsidRDefault="00C3673B">
      <w:pPr>
        <w:rPr>
          <w:rFonts w:ascii="Arial" w:hAnsi="Arial" w:cs="Arial"/>
          <w:sz w:val="22"/>
          <w:szCs w:val="22"/>
        </w:rPr>
      </w:pPr>
    </w:p>
    <w:sectPr w:rsidR="00C3673B" w:rsidRPr="00F746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47F5CF" w14:textId="77777777" w:rsidR="000E4E1B" w:rsidRDefault="000E4E1B" w:rsidP="00A847CA">
      <w:pPr>
        <w:spacing w:after="0" w:line="240" w:lineRule="auto"/>
      </w:pPr>
      <w:r>
        <w:separator/>
      </w:r>
    </w:p>
  </w:endnote>
  <w:endnote w:type="continuationSeparator" w:id="0">
    <w:p w14:paraId="074ADEE3" w14:textId="77777777" w:rsidR="000E4E1B" w:rsidRDefault="000E4E1B" w:rsidP="00A847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6FF5D0C" w14:textId="77777777" w:rsidR="000E4E1B" w:rsidRDefault="000E4E1B" w:rsidP="00A847CA">
      <w:pPr>
        <w:spacing w:after="0" w:line="240" w:lineRule="auto"/>
      </w:pPr>
      <w:r>
        <w:separator/>
      </w:r>
    </w:p>
  </w:footnote>
  <w:footnote w:type="continuationSeparator" w:id="0">
    <w:p w14:paraId="12008E0F" w14:textId="77777777" w:rsidR="000E4E1B" w:rsidRDefault="000E4E1B" w:rsidP="00A847CA">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493"/>
    <w:rsid w:val="000D7CD6"/>
    <w:rsid w:val="000E4E1B"/>
    <w:rsid w:val="00102BEE"/>
    <w:rsid w:val="00167854"/>
    <w:rsid w:val="001835DA"/>
    <w:rsid w:val="001E2749"/>
    <w:rsid w:val="002441C8"/>
    <w:rsid w:val="002E723D"/>
    <w:rsid w:val="002F6C33"/>
    <w:rsid w:val="00307C3A"/>
    <w:rsid w:val="0033400E"/>
    <w:rsid w:val="00397F5D"/>
    <w:rsid w:val="003A1684"/>
    <w:rsid w:val="003E14D1"/>
    <w:rsid w:val="003F5CA1"/>
    <w:rsid w:val="004C26B9"/>
    <w:rsid w:val="004F2C37"/>
    <w:rsid w:val="00566FD4"/>
    <w:rsid w:val="005B2299"/>
    <w:rsid w:val="005D1268"/>
    <w:rsid w:val="00626E02"/>
    <w:rsid w:val="00697493"/>
    <w:rsid w:val="00755E96"/>
    <w:rsid w:val="00756658"/>
    <w:rsid w:val="007976C4"/>
    <w:rsid w:val="0080141A"/>
    <w:rsid w:val="00837AE2"/>
    <w:rsid w:val="00900EBE"/>
    <w:rsid w:val="00965729"/>
    <w:rsid w:val="009A4B88"/>
    <w:rsid w:val="009E76E3"/>
    <w:rsid w:val="00A2781E"/>
    <w:rsid w:val="00A579D7"/>
    <w:rsid w:val="00A62395"/>
    <w:rsid w:val="00A816DA"/>
    <w:rsid w:val="00A847CA"/>
    <w:rsid w:val="00A8648A"/>
    <w:rsid w:val="00B53AB8"/>
    <w:rsid w:val="00B7300C"/>
    <w:rsid w:val="00C3673B"/>
    <w:rsid w:val="00CC3949"/>
    <w:rsid w:val="00CF4A3F"/>
    <w:rsid w:val="00D85BFC"/>
    <w:rsid w:val="00E549D9"/>
    <w:rsid w:val="00EA3D05"/>
    <w:rsid w:val="00F22D8A"/>
    <w:rsid w:val="00F74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F7B18"/>
  <w15:chartTrackingRefBased/>
  <w15:docId w15:val="{D43411AE-EF1F-BB41-AA18-105328629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4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74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74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74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74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74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74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74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74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74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74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74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74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74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74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74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74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7493"/>
    <w:rPr>
      <w:rFonts w:eastAsiaTheme="majorEastAsia" w:cstheme="majorBidi"/>
      <w:color w:val="272727" w:themeColor="text1" w:themeTint="D8"/>
    </w:rPr>
  </w:style>
  <w:style w:type="paragraph" w:styleId="Title">
    <w:name w:val="Title"/>
    <w:basedOn w:val="Normal"/>
    <w:next w:val="Normal"/>
    <w:link w:val="TitleChar"/>
    <w:uiPriority w:val="10"/>
    <w:qFormat/>
    <w:rsid w:val="006974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74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74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74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7493"/>
    <w:pPr>
      <w:spacing w:before="160"/>
      <w:jc w:val="center"/>
    </w:pPr>
    <w:rPr>
      <w:i/>
      <w:iCs/>
      <w:color w:val="404040" w:themeColor="text1" w:themeTint="BF"/>
    </w:rPr>
  </w:style>
  <w:style w:type="character" w:customStyle="1" w:styleId="QuoteChar">
    <w:name w:val="Quote Char"/>
    <w:basedOn w:val="DefaultParagraphFont"/>
    <w:link w:val="Quote"/>
    <w:uiPriority w:val="29"/>
    <w:rsid w:val="00697493"/>
    <w:rPr>
      <w:i/>
      <w:iCs/>
      <w:color w:val="404040" w:themeColor="text1" w:themeTint="BF"/>
    </w:rPr>
  </w:style>
  <w:style w:type="paragraph" w:styleId="ListParagraph">
    <w:name w:val="List Paragraph"/>
    <w:basedOn w:val="Normal"/>
    <w:uiPriority w:val="34"/>
    <w:qFormat/>
    <w:rsid w:val="00697493"/>
    <w:pPr>
      <w:ind w:left="720"/>
      <w:contextualSpacing/>
    </w:pPr>
  </w:style>
  <w:style w:type="character" w:styleId="IntenseEmphasis">
    <w:name w:val="Intense Emphasis"/>
    <w:basedOn w:val="DefaultParagraphFont"/>
    <w:uiPriority w:val="21"/>
    <w:qFormat/>
    <w:rsid w:val="00697493"/>
    <w:rPr>
      <w:i/>
      <w:iCs/>
      <w:color w:val="0F4761" w:themeColor="accent1" w:themeShade="BF"/>
    </w:rPr>
  </w:style>
  <w:style w:type="paragraph" w:styleId="IntenseQuote">
    <w:name w:val="Intense Quote"/>
    <w:basedOn w:val="Normal"/>
    <w:next w:val="Normal"/>
    <w:link w:val="IntenseQuoteChar"/>
    <w:uiPriority w:val="30"/>
    <w:qFormat/>
    <w:rsid w:val="006974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7493"/>
    <w:rPr>
      <w:i/>
      <w:iCs/>
      <w:color w:val="0F4761" w:themeColor="accent1" w:themeShade="BF"/>
    </w:rPr>
  </w:style>
  <w:style w:type="character" w:styleId="IntenseReference">
    <w:name w:val="Intense Reference"/>
    <w:basedOn w:val="DefaultParagraphFont"/>
    <w:uiPriority w:val="32"/>
    <w:qFormat/>
    <w:rsid w:val="00697493"/>
    <w:rPr>
      <w:b/>
      <w:bCs/>
      <w:smallCaps/>
      <w:color w:val="0F4761" w:themeColor="accent1" w:themeShade="BF"/>
      <w:spacing w:val="5"/>
    </w:rPr>
  </w:style>
  <w:style w:type="character" w:customStyle="1" w:styleId="s1">
    <w:name w:val="s1"/>
    <w:basedOn w:val="DefaultParagraphFont"/>
    <w:rsid w:val="00697493"/>
  </w:style>
  <w:style w:type="paragraph" w:customStyle="1" w:styleId="p3">
    <w:name w:val="p3"/>
    <w:basedOn w:val="Normal"/>
    <w:rsid w:val="0069749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97493"/>
  </w:style>
  <w:style w:type="paragraph" w:customStyle="1" w:styleId="p4">
    <w:name w:val="p4"/>
    <w:basedOn w:val="Normal"/>
    <w:rsid w:val="00697493"/>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397F5D"/>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4F2C37"/>
    <w:rPr>
      <w:color w:val="467886" w:themeColor="hyperlink"/>
      <w:u w:val="single"/>
    </w:rPr>
  </w:style>
  <w:style w:type="character" w:styleId="UnresolvedMention">
    <w:name w:val="Unresolved Mention"/>
    <w:basedOn w:val="DefaultParagraphFont"/>
    <w:uiPriority w:val="99"/>
    <w:semiHidden/>
    <w:unhideWhenUsed/>
    <w:rsid w:val="004F2C37"/>
    <w:rPr>
      <w:color w:val="605E5C"/>
      <w:shd w:val="clear" w:color="auto" w:fill="E1DFDD"/>
    </w:rPr>
  </w:style>
  <w:style w:type="character" w:customStyle="1" w:styleId="apple-converted-space">
    <w:name w:val="apple-converted-space"/>
    <w:basedOn w:val="DefaultParagraphFont"/>
    <w:rsid w:val="00102BEE"/>
  </w:style>
  <w:style w:type="paragraph" w:styleId="Header">
    <w:name w:val="header"/>
    <w:basedOn w:val="Normal"/>
    <w:link w:val="HeaderChar"/>
    <w:uiPriority w:val="99"/>
    <w:unhideWhenUsed/>
    <w:rsid w:val="00A847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7CA"/>
  </w:style>
  <w:style w:type="paragraph" w:styleId="Footer">
    <w:name w:val="footer"/>
    <w:basedOn w:val="Normal"/>
    <w:link w:val="FooterChar"/>
    <w:uiPriority w:val="99"/>
    <w:unhideWhenUsed/>
    <w:rsid w:val="00A847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7326/M18-085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7317115.2022.2152515"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883</Words>
  <Characters>5039</Characters>
  <Application>Microsoft Office Word</Application>
  <DocSecurity>0</DocSecurity>
  <Lines>41</Lines>
  <Paragraphs>11</Paragraphs>
  <ScaleCrop>false</ScaleCrop>
  <Company/>
  <LinksUpToDate>false</LinksUpToDate>
  <CharactersWithSpaces>5911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2</cp:revision>
  <dcterms:created xsi:type="dcterms:W3CDTF">2026-10-15T23:21:00Z</dcterms:created>
  <dcterms:modified xsi:type="dcterms:W3CDTF">2026-10-15T23:21:00Z</dcterms:modified>
</cp:coreProperties>
</file>