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D4DF1" w14:textId="51FF5CD5" w:rsidR="007470BA" w:rsidRPr="007470BA" w:rsidRDefault="007470BA" w:rsidP="007470BA">
      <w:pPr>
        <w:spacing w:line="360" w:lineRule="auto"/>
        <w:jc w:val="center"/>
        <w:rPr>
          <w:rFonts w:ascii="Arial" w:hAnsi="Arial" w:cs="Arial"/>
          <w:b/>
          <w:bCs/>
          <w:sz w:val="40"/>
          <w:szCs w:val="40"/>
        </w:rPr>
      </w:pPr>
      <w:r w:rsidRPr="007470BA">
        <w:rPr>
          <w:rFonts w:ascii="Arial" w:hAnsi="Arial" w:cs="Arial"/>
          <w:b/>
          <w:bCs/>
          <w:sz w:val="40"/>
          <w:szCs w:val="40"/>
        </w:rPr>
        <w:t>Written Business Report</w:t>
      </w:r>
    </w:p>
    <w:p w14:paraId="0E4010B8" w14:textId="2F8139F3" w:rsidR="007470BA" w:rsidRDefault="007470BA" w:rsidP="007470BA">
      <w:pPr>
        <w:spacing w:line="360" w:lineRule="auto"/>
        <w:jc w:val="center"/>
        <w:rPr>
          <w:rFonts w:ascii="Arial" w:hAnsi="Arial" w:cs="Arial"/>
          <w:b/>
          <w:bCs/>
          <w:sz w:val="40"/>
          <w:szCs w:val="40"/>
        </w:rPr>
      </w:pPr>
      <w:r w:rsidRPr="007470BA">
        <w:rPr>
          <w:rFonts w:ascii="Arial" w:hAnsi="Arial" w:cs="Arial"/>
          <w:b/>
          <w:bCs/>
          <w:sz w:val="40"/>
          <w:szCs w:val="40"/>
        </w:rPr>
        <w:t>Case Study: Coastal Horizon Hotel</w:t>
      </w:r>
    </w:p>
    <w:p w14:paraId="0FE1A496" w14:textId="77777777" w:rsidR="007470BA" w:rsidRDefault="007470BA" w:rsidP="007470BA">
      <w:pPr>
        <w:spacing w:line="360" w:lineRule="auto"/>
        <w:jc w:val="center"/>
        <w:rPr>
          <w:rFonts w:ascii="Arial" w:hAnsi="Arial" w:cs="Arial"/>
          <w:b/>
          <w:bCs/>
          <w:sz w:val="40"/>
          <w:szCs w:val="40"/>
        </w:rPr>
      </w:pPr>
    </w:p>
    <w:p w14:paraId="1A639314" w14:textId="77777777" w:rsidR="007470BA" w:rsidRDefault="007470BA" w:rsidP="007470BA">
      <w:pPr>
        <w:spacing w:line="360" w:lineRule="auto"/>
        <w:jc w:val="center"/>
        <w:rPr>
          <w:rFonts w:ascii="Arial" w:hAnsi="Arial" w:cs="Arial"/>
          <w:b/>
          <w:bCs/>
          <w:sz w:val="40"/>
          <w:szCs w:val="40"/>
        </w:rPr>
      </w:pPr>
    </w:p>
    <w:p w14:paraId="2E7F8E5E" w14:textId="77777777" w:rsidR="007470BA" w:rsidRDefault="007470BA" w:rsidP="007470BA">
      <w:pPr>
        <w:spacing w:line="360" w:lineRule="auto"/>
        <w:jc w:val="center"/>
        <w:rPr>
          <w:rFonts w:ascii="Arial" w:hAnsi="Arial" w:cs="Arial"/>
          <w:b/>
          <w:bCs/>
          <w:sz w:val="40"/>
          <w:szCs w:val="40"/>
        </w:rPr>
      </w:pPr>
    </w:p>
    <w:p w14:paraId="111C277C" w14:textId="0CE4320B" w:rsidR="007470BA" w:rsidRPr="007470BA" w:rsidRDefault="007470BA" w:rsidP="007470BA">
      <w:pPr>
        <w:spacing w:line="360" w:lineRule="auto"/>
        <w:rPr>
          <w:rFonts w:ascii="Arial" w:hAnsi="Arial" w:cs="Arial"/>
          <w:sz w:val="32"/>
          <w:szCs w:val="32"/>
        </w:rPr>
      </w:pPr>
      <w:r w:rsidRPr="007470BA">
        <w:rPr>
          <w:rFonts w:ascii="Arial" w:hAnsi="Arial" w:cs="Arial"/>
          <w:sz w:val="32"/>
          <w:szCs w:val="32"/>
        </w:rPr>
        <w:t>Module: Financial Management for the Hotel Industry</w:t>
      </w:r>
    </w:p>
    <w:p w14:paraId="09B7EA76" w14:textId="472C1F4F" w:rsidR="007470BA" w:rsidRPr="007470BA" w:rsidRDefault="007470BA" w:rsidP="007470BA">
      <w:pPr>
        <w:spacing w:line="360" w:lineRule="auto"/>
        <w:rPr>
          <w:rFonts w:ascii="Arial" w:hAnsi="Arial" w:cs="Arial"/>
          <w:sz w:val="32"/>
          <w:szCs w:val="32"/>
        </w:rPr>
      </w:pPr>
      <w:r w:rsidRPr="007470BA">
        <w:rPr>
          <w:rFonts w:ascii="Arial" w:hAnsi="Arial" w:cs="Arial"/>
          <w:sz w:val="32"/>
          <w:szCs w:val="32"/>
        </w:rPr>
        <w:t>Module code: BMIH5013</w:t>
      </w:r>
    </w:p>
    <w:p w14:paraId="4667E9A5" w14:textId="6B1B7471" w:rsidR="007470BA" w:rsidRDefault="007470BA" w:rsidP="007470BA">
      <w:pPr>
        <w:spacing w:line="360" w:lineRule="auto"/>
        <w:rPr>
          <w:rFonts w:ascii="Arial" w:hAnsi="Arial" w:cs="Arial"/>
          <w:sz w:val="32"/>
          <w:szCs w:val="32"/>
        </w:rPr>
      </w:pPr>
      <w:r w:rsidRPr="007470BA">
        <w:rPr>
          <w:rFonts w:ascii="Arial" w:hAnsi="Arial" w:cs="Arial"/>
          <w:sz w:val="32"/>
          <w:szCs w:val="32"/>
        </w:rPr>
        <w:t>Lecturer: Dr Ernest Wavei</w:t>
      </w:r>
    </w:p>
    <w:p w14:paraId="7F1CB999" w14:textId="77777777" w:rsidR="007470BA" w:rsidRDefault="007470BA" w:rsidP="007470BA">
      <w:pPr>
        <w:spacing w:line="360" w:lineRule="auto"/>
        <w:rPr>
          <w:rFonts w:ascii="Arial" w:hAnsi="Arial" w:cs="Arial"/>
          <w:sz w:val="32"/>
          <w:szCs w:val="32"/>
        </w:rPr>
      </w:pPr>
    </w:p>
    <w:p w14:paraId="56F83A36" w14:textId="77777777" w:rsidR="007470BA" w:rsidRDefault="007470BA" w:rsidP="007470BA">
      <w:pPr>
        <w:spacing w:line="360" w:lineRule="auto"/>
        <w:rPr>
          <w:rFonts w:ascii="Arial" w:hAnsi="Arial" w:cs="Arial"/>
          <w:sz w:val="32"/>
          <w:szCs w:val="32"/>
        </w:rPr>
      </w:pPr>
    </w:p>
    <w:p w14:paraId="61A1755E" w14:textId="77777777" w:rsidR="007470BA" w:rsidRDefault="007470BA" w:rsidP="007470BA">
      <w:pPr>
        <w:spacing w:line="360" w:lineRule="auto"/>
        <w:rPr>
          <w:rFonts w:ascii="Arial" w:hAnsi="Arial" w:cs="Arial"/>
          <w:sz w:val="32"/>
          <w:szCs w:val="32"/>
        </w:rPr>
      </w:pPr>
    </w:p>
    <w:p w14:paraId="1EBD107C" w14:textId="77777777" w:rsidR="007470BA" w:rsidRDefault="007470BA" w:rsidP="007470BA">
      <w:pPr>
        <w:spacing w:line="360" w:lineRule="auto"/>
        <w:rPr>
          <w:rFonts w:ascii="Arial" w:hAnsi="Arial" w:cs="Arial"/>
          <w:sz w:val="32"/>
          <w:szCs w:val="32"/>
        </w:rPr>
      </w:pPr>
    </w:p>
    <w:p w14:paraId="40D74535" w14:textId="77777777" w:rsidR="007470BA" w:rsidRDefault="007470BA" w:rsidP="007470BA">
      <w:pPr>
        <w:spacing w:line="360" w:lineRule="auto"/>
        <w:rPr>
          <w:rFonts w:ascii="Arial" w:hAnsi="Arial" w:cs="Arial"/>
          <w:sz w:val="32"/>
          <w:szCs w:val="32"/>
        </w:rPr>
      </w:pPr>
    </w:p>
    <w:p w14:paraId="57E1CB78" w14:textId="77777777" w:rsidR="007470BA" w:rsidRDefault="007470BA" w:rsidP="007470BA">
      <w:pPr>
        <w:spacing w:line="360" w:lineRule="auto"/>
        <w:rPr>
          <w:rFonts w:ascii="Arial" w:hAnsi="Arial" w:cs="Arial"/>
          <w:sz w:val="32"/>
          <w:szCs w:val="32"/>
        </w:rPr>
      </w:pPr>
    </w:p>
    <w:p w14:paraId="33F33705" w14:textId="77777777" w:rsidR="007470BA" w:rsidRDefault="007470BA" w:rsidP="007470BA">
      <w:pPr>
        <w:spacing w:line="360" w:lineRule="auto"/>
        <w:rPr>
          <w:rFonts w:ascii="Arial" w:hAnsi="Arial" w:cs="Arial"/>
          <w:sz w:val="32"/>
          <w:szCs w:val="32"/>
        </w:rPr>
      </w:pPr>
    </w:p>
    <w:p w14:paraId="540ABD79" w14:textId="77777777" w:rsidR="007470BA" w:rsidRDefault="007470BA" w:rsidP="007470BA">
      <w:pPr>
        <w:spacing w:line="360" w:lineRule="auto"/>
        <w:rPr>
          <w:rFonts w:ascii="Arial" w:hAnsi="Arial" w:cs="Arial"/>
          <w:sz w:val="32"/>
          <w:szCs w:val="32"/>
        </w:rPr>
      </w:pPr>
    </w:p>
    <w:p w14:paraId="7CF088E8" w14:textId="77777777" w:rsidR="007470BA" w:rsidRDefault="007470BA" w:rsidP="007470BA">
      <w:pPr>
        <w:spacing w:line="360" w:lineRule="auto"/>
        <w:rPr>
          <w:rFonts w:ascii="Arial" w:hAnsi="Arial" w:cs="Arial"/>
          <w:sz w:val="32"/>
          <w:szCs w:val="32"/>
        </w:rPr>
      </w:pPr>
    </w:p>
    <w:p w14:paraId="35BADAE7" w14:textId="77777777" w:rsidR="007470BA" w:rsidRDefault="007470BA" w:rsidP="007470BA">
      <w:pPr>
        <w:spacing w:line="360" w:lineRule="auto"/>
        <w:rPr>
          <w:rFonts w:ascii="Arial" w:hAnsi="Arial" w:cs="Arial"/>
          <w:sz w:val="32"/>
          <w:szCs w:val="32"/>
        </w:rPr>
      </w:pPr>
    </w:p>
    <w:p w14:paraId="2C312A92" w14:textId="6E5B2B14" w:rsidR="007470BA" w:rsidRDefault="007470BA" w:rsidP="007470BA">
      <w:pPr>
        <w:spacing w:line="360" w:lineRule="auto"/>
        <w:jc w:val="right"/>
        <w:rPr>
          <w:rFonts w:ascii="Arial" w:hAnsi="Arial" w:cs="Arial"/>
          <w:sz w:val="32"/>
          <w:szCs w:val="32"/>
        </w:rPr>
      </w:pPr>
      <w:r>
        <w:rPr>
          <w:rFonts w:ascii="Arial" w:hAnsi="Arial" w:cs="Arial"/>
          <w:sz w:val="32"/>
          <w:szCs w:val="32"/>
        </w:rPr>
        <w:t>Student: Silvia Badea – 2130240</w:t>
      </w:r>
    </w:p>
    <w:p w14:paraId="6C497513" w14:textId="4EABB44F" w:rsidR="00D56887" w:rsidRPr="00D56887" w:rsidRDefault="00D56887" w:rsidP="007470BA">
      <w:pPr>
        <w:pStyle w:val="Heading1"/>
        <w:rPr>
          <w:sz w:val="32"/>
          <w:szCs w:val="32"/>
        </w:rPr>
      </w:pPr>
      <w:bookmarkStart w:id="0" w:name="_Toc219315969"/>
      <w:r w:rsidRPr="00D56887">
        <w:lastRenderedPageBreak/>
        <w:t>Executive Summary</w:t>
      </w:r>
      <w:bookmarkEnd w:id="0"/>
    </w:p>
    <w:p w14:paraId="591D4486" w14:textId="2B25BBAC" w:rsidR="00D56887" w:rsidRPr="00D56887" w:rsidRDefault="00D56887" w:rsidP="00D56887">
      <w:pPr>
        <w:spacing w:line="360" w:lineRule="auto"/>
        <w:jc w:val="both"/>
        <w:rPr>
          <w:rFonts w:ascii="Arial" w:hAnsi="Arial" w:cs="Arial"/>
        </w:rPr>
      </w:pPr>
      <w:r w:rsidRPr="00D56887">
        <w:rPr>
          <w:rFonts w:ascii="Arial" w:hAnsi="Arial" w:cs="Arial"/>
        </w:rPr>
        <w:t xml:space="preserve">This report evaluates the financial </w:t>
      </w:r>
      <w:r w:rsidR="0084650E">
        <w:rPr>
          <w:rFonts w:ascii="Arial" w:hAnsi="Arial" w:cs="Arial"/>
        </w:rPr>
        <w:t xml:space="preserve">performance </w:t>
      </w:r>
      <w:r w:rsidRPr="00D56887">
        <w:rPr>
          <w:rFonts w:ascii="Arial" w:hAnsi="Arial" w:cs="Arial"/>
        </w:rPr>
        <w:t>of the Coastal Horizon Hotel, a coastal hospitality business offering accommodation, dining, bar, and event services. Financial data from 2022 to 2024 shows falling revenue, rising costs, declining liquidity, and negative profit in the most recent year. Market conditions have changed, with customers seeking modern facilities, digital services, and better value for money. External pressures such as inflation, higher energy prices, labour shortages, and weaker consumer confidence in the UK have also affected performance.</w:t>
      </w:r>
    </w:p>
    <w:p w14:paraId="52DAB4CD" w14:textId="77777777" w:rsidR="00D56887" w:rsidRDefault="00D56887" w:rsidP="00D56887">
      <w:pPr>
        <w:spacing w:line="360" w:lineRule="auto"/>
        <w:jc w:val="both"/>
        <w:rPr>
          <w:rFonts w:ascii="Arial" w:hAnsi="Arial" w:cs="Arial"/>
        </w:rPr>
      </w:pPr>
      <w:r w:rsidRPr="00D56887">
        <w:rPr>
          <w:rFonts w:ascii="Arial" w:hAnsi="Arial" w:cs="Arial"/>
        </w:rPr>
        <w:t>The analysis applies financial ratios, hospitality theory, and real-world industry trends. The findings show weak profitability, poor cost control, and limited cash reserves. The report concludes that the hotel can be rescued if a realistic turnaround strategy is applied. Recommendations include cost restructuring, service quality improvement, asset renewal, digital marketing, and better pricing management. These actions aim to restore financial stability and rebuild the hotel’s reputation.</w:t>
      </w:r>
    </w:p>
    <w:p w14:paraId="1495073A" w14:textId="77777777" w:rsidR="00D56887" w:rsidRDefault="00D56887" w:rsidP="00D56887">
      <w:pPr>
        <w:spacing w:line="360" w:lineRule="auto"/>
        <w:jc w:val="both"/>
        <w:rPr>
          <w:rFonts w:ascii="Arial" w:hAnsi="Arial" w:cs="Arial"/>
        </w:rPr>
      </w:pPr>
    </w:p>
    <w:p w14:paraId="094284A3" w14:textId="77777777" w:rsidR="00D56887" w:rsidRDefault="00D56887" w:rsidP="00D56887">
      <w:pPr>
        <w:spacing w:line="360" w:lineRule="auto"/>
        <w:jc w:val="both"/>
        <w:rPr>
          <w:rFonts w:ascii="Arial" w:hAnsi="Arial" w:cs="Arial"/>
        </w:rPr>
      </w:pPr>
    </w:p>
    <w:p w14:paraId="55067382" w14:textId="77777777" w:rsidR="00D56887" w:rsidRDefault="00D56887" w:rsidP="00D56887">
      <w:pPr>
        <w:spacing w:line="360" w:lineRule="auto"/>
        <w:jc w:val="both"/>
        <w:rPr>
          <w:rFonts w:ascii="Arial" w:hAnsi="Arial" w:cs="Arial"/>
        </w:rPr>
      </w:pPr>
    </w:p>
    <w:p w14:paraId="177CE628" w14:textId="77777777" w:rsidR="00D56887" w:rsidRDefault="00D56887" w:rsidP="00D56887">
      <w:pPr>
        <w:spacing w:line="360" w:lineRule="auto"/>
        <w:jc w:val="both"/>
        <w:rPr>
          <w:rFonts w:ascii="Arial" w:hAnsi="Arial" w:cs="Arial"/>
        </w:rPr>
      </w:pPr>
    </w:p>
    <w:p w14:paraId="7A1C47A2" w14:textId="77777777" w:rsidR="00D56887" w:rsidRDefault="00D56887" w:rsidP="00D56887">
      <w:pPr>
        <w:spacing w:line="360" w:lineRule="auto"/>
        <w:jc w:val="both"/>
        <w:rPr>
          <w:rFonts w:ascii="Arial" w:hAnsi="Arial" w:cs="Arial"/>
        </w:rPr>
      </w:pPr>
    </w:p>
    <w:p w14:paraId="3A3B2F67" w14:textId="77777777" w:rsidR="00D56887" w:rsidRDefault="00D56887" w:rsidP="00D56887">
      <w:pPr>
        <w:spacing w:line="360" w:lineRule="auto"/>
        <w:jc w:val="both"/>
        <w:rPr>
          <w:rFonts w:ascii="Arial" w:hAnsi="Arial" w:cs="Arial"/>
        </w:rPr>
      </w:pPr>
    </w:p>
    <w:p w14:paraId="20671848" w14:textId="77777777" w:rsidR="00D56887" w:rsidRDefault="00D56887" w:rsidP="00D56887">
      <w:pPr>
        <w:spacing w:line="360" w:lineRule="auto"/>
        <w:jc w:val="both"/>
        <w:rPr>
          <w:rFonts w:ascii="Arial" w:hAnsi="Arial" w:cs="Arial"/>
        </w:rPr>
      </w:pPr>
    </w:p>
    <w:p w14:paraId="696BC567" w14:textId="77777777" w:rsidR="00D56887" w:rsidRDefault="00D56887" w:rsidP="00D56887">
      <w:pPr>
        <w:spacing w:line="360" w:lineRule="auto"/>
        <w:jc w:val="both"/>
        <w:rPr>
          <w:rFonts w:ascii="Arial" w:hAnsi="Arial" w:cs="Arial"/>
        </w:rPr>
      </w:pPr>
    </w:p>
    <w:p w14:paraId="7C44197A" w14:textId="77777777" w:rsidR="00D56887" w:rsidRDefault="00D56887" w:rsidP="00D56887">
      <w:pPr>
        <w:spacing w:line="360" w:lineRule="auto"/>
        <w:jc w:val="both"/>
        <w:rPr>
          <w:rFonts w:ascii="Arial" w:hAnsi="Arial" w:cs="Arial"/>
        </w:rPr>
      </w:pPr>
    </w:p>
    <w:p w14:paraId="1706E76E" w14:textId="77777777" w:rsidR="00D56887" w:rsidRDefault="00D56887" w:rsidP="00D56887">
      <w:pPr>
        <w:spacing w:line="360" w:lineRule="auto"/>
        <w:jc w:val="both"/>
        <w:rPr>
          <w:rFonts w:ascii="Arial" w:hAnsi="Arial" w:cs="Arial"/>
        </w:rPr>
      </w:pPr>
    </w:p>
    <w:p w14:paraId="50F29D7C" w14:textId="77777777" w:rsidR="00D56887" w:rsidRDefault="00D56887" w:rsidP="00D56887">
      <w:pPr>
        <w:spacing w:line="360" w:lineRule="auto"/>
        <w:jc w:val="both"/>
        <w:rPr>
          <w:rFonts w:ascii="Arial" w:hAnsi="Arial" w:cs="Arial"/>
        </w:rPr>
      </w:pPr>
    </w:p>
    <w:p w14:paraId="72FD26F9" w14:textId="77777777" w:rsidR="00D56887" w:rsidRDefault="00D56887" w:rsidP="00D56887">
      <w:pPr>
        <w:spacing w:line="360" w:lineRule="auto"/>
        <w:jc w:val="both"/>
        <w:rPr>
          <w:rFonts w:ascii="Arial" w:hAnsi="Arial" w:cs="Arial"/>
        </w:rPr>
      </w:pPr>
    </w:p>
    <w:p w14:paraId="7BF00D35" w14:textId="77777777" w:rsidR="00D56887" w:rsidRDefault="00D56887" w:rsidP="00D56887">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359125729"/>
        <w:docPartObj>
          <w:docPartGallery w:val="Table of Contents"/>
          <w:docPartUnique/>
        </w:docPartObj>
      </w:sdtPr>
      <w:sdtEndPr>
        <w:rPr>
          <w:b/>
          <w:bCs/>
          <w:noProof/>
        </w:rPr>
      </w:sdtEndPr>
      <w:sdtContent>
        <w:p w14:paraId="42C56EBB" w14:textId="44471064" w:rsidR="007470BA" w:rsidRDefault="007470BA">
          <w:pPr>
            <w:pStyle w:val="TOCHeading"/>
          </w:pPr>
          <w:r>
            <w:t>Contents</w:t>
          </w:r>
        </w:p>
        <w:p w14:paraId="16A80E43" w14:textId="1AD3EF03" w:rsidR="004C771C" w:rsidRDefault="007470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315969" w:history="1">
            <w:r w:rsidR="004C771C" w:rsidRPr="00FD1170">
              <w:rPr>
                <w:rStyle w:val="Hyperlink"/>
                <w:noProof/>
              </w:rPr>
              <w:t>Executive Summary</w:t>
            </w:r>
            <w:r w:rsidR="004C771C">
              <w:rPr>
                <w:noProof/>
                <w:webHidden/>
              </w:rPr>
              <w:tab/>
            </w:r>
            <w:r w:rsidR="004C771C">
              <w:rPr>
                <w:noProof/>
                <w:webHidden/>
              </w:rPr>
              <w:fldChar w:fldCharType="begin"/>
            </w:r>
            <w:r w:rsidR="004C771C">
              <w:rPr>
                <w:noProof/>
                <w:webHidden/>
              </w:rPr>
              <w:instrText xml:space="preserve"> PAGEREF _Toc219315969 \h </w:instrText>
            </w:r>
            <w:r w:rsidR="004C771C">
              <w:rPr>
                <w:noProof/>
                <w:webHidden/>
              </w:rPr>
            </w:r>
            <w:r w:rsidR="004C771C">
              <w:rPr>
                <w:noProof/>
                <w:webHidden/>
              </w:rPr>
              <w:fldChar w:fldCharType="separate"/>
            </w:r>
            <w:r w:rsidR="004C771C">
              <w:rPr>
                <w:noProof/>
                <w:webHidden/>
              </w:rPr>
              <w:t>2</w:t>
            </w:r>
            <w:r w:rsidR="004C771C">
              <w:rPr>
                <w:noProof/>
                <w:webHidden/>
              </w:rPr>
              <w:fldChar w:fldCharType="end"/>
            </w:r>
          </w:hyperlink>
        </w:p>
        <w:p w14:paraId="4837DFF4" w14:textId="3B13A519" w:rsidR="004C771C" w:rsidRDefault="004C771C">
          <w:pPr>
            <w:pStyle w:val="TOC1"/>
            <w:tabs>
              <w:tab w:val="right" w:leader="dot" w:pos="9016"/>
            </w:tabs>
            <w:rPr>
              <w:rFonts w:eastAsiaTheme="minorEastAsia"/>
              <w:noProof/>
              <w:lang w:eastAsia="en-GB"/>
            </w:rPr>
          </w:pPr>
          <w:hyperlink w:anchor="_Toc219315970" w:history="1">
            <w:r w:rsidRPr="00FD1170">
              <w:rPr>
                <w:rStyle w:val="Hyperlink"/>
                <w:noProof/>
              </w:rPr>
              <w:t>Introduction</w:t>
            </w:r>
            <w:r>
              <w:rPr>
                <w:noProof/>
                <w:webHidden/>
              </w:rPr>
              <w:tab/>
            </w:r>
            <w:r>
              <w:rPr>
                <w:noProof/>
                <w:webHidden/>
              </w:rPr>
              <w:fldChar w:fldCharType="begin"/>
            </w:r>
            <w:r>
              <w:rPr>
                <w:noProof/>
                <w:webHidden/>
              </w:rPr>
              <w:instrText xml:space="preserve"> PAGEREF _Toc219315970 \h </w:instrText>
            </w:r>
            <w:r>
              <w:rPr>
                <w:noProof/>
                <w:webHidden/>
              </w:rPr>
            </w:r>
            <w:r>
              <w:rPr>
                <w:noProof/>
                <w:webHidden/>
              </w:rPr>
              <w:fldChar w:fldCharType="separate"/>
            </w:r>
            <w:r>
              <w:rPr>
                <w:noProof/>
                <w:webHidden/>
              </w:rPr>
              <w:t>4</w:t>
            </w:r>
            <w:r>
              <w:rPr>
                <w:noProof/>
                <w:webHidden/>
              </w:rPr>
              <w:fldChar w:fldCharType="end"/>
            </w:r>
          </w:hyperlink>
        </w:p>
        <w:p w14:paraId="229775A6" w14:textId="659D4D8D" w:rsidR="004C771C" w:rsidRDefault="004C771C">
          <w:pPr>
            <w:pStyle w:val="TOC1"/>
            <w:tabs>
              <w:tab w:val="right" w:leader="dot" w:pos="9016"/>
            </w:tabs>
            <w:rPr>
              <w:rFonts w:eastAsiaTheme="minorEastAsia"/>
              <w:noProof/>
              <w:lang w:eastAsia="en-GB"/>
            </w:rPr>
          </w:pPr>
          <w:hyperlink w:anchor="_Toc219315971" w:history="1">
            <w:r w:rsidRPr="00FD1170">
              <w:rPr>
                <w:rStyle w:val="Hyperlink"/>
                <w:noProof/>
              </w:rPr>
              <w:t>Main Findings</w:t>
            </w:r>
            <w:r>
              <w:rPr>
                <w:noProof/>
                <w:webHidden/>
              </w:rPr>
              <w:tab/>
            </w:r>
            <w:r>
              <w:rPr>
                <w:noProof/>
                <w:webHidden/>
              </w:rPr>
              <w:fldChar w:fldCharType="begin"/>
            </w:r>
            <w:r>
              <w:rPr>
                <w:noProof/>
                <w:webHidden/>
              </w:rPr>
              <w:instrText xml:space="preserve"> PAGEREF _Toc219315971 \h </w:instrText>
            </w:r>
            <w:r>
              <w:rPr>
                <w:noProof/>
                <w:webHidden/>
              </w:rPr>
            </w:r>
            <w:r>
              <w:rPr>
                <w:noProof/>
                <w:webHidden/>
              </w:rPr>
              <w:fldChar w:fldCharType="separate"/>
            </w:r>
            <w:r>
              <w:rPr>
                <w:noProof/>
                <w:webHidden/>
              </w:rPr>
              <w:t>4</w:t>
            </w:r>
            <w:r>
              <w:rPr>
                <w:noProof/>
                <w:webHidden/>
              </w:rPr>
              <w:fldChar w:fldCharType="end"/>
            </w:r>
          </w:hyperlink>
        </w:p>
        <w:p w14:paraId="27892B43" w14:textId="60B8C7D3" w:rsidR="004C771C" w:rsidRDefault="004C771C">
          <w:pPr>
            <w:pStyle w:val="TOC2"/>
            <w:tabs>
              <w:tab w:val="right" w:leader="dot" w:pos="9016"/>
            </w:tabs>
            <w:rPr>
              <w:rFonts w:eastAsiaTheme="minorEastAsia"/>
              <w:noProof/>
              <w:lang w:eastAsia="en-GB"/>
            </w:rPr>
          </w:pPr>
          <w:hyperlink w:anchor="_Toc219315972" w:history="1">
            <w:r w:rsidRPr="00FD1170">
              <w:rPr>
                <w:rStyle w:val="Hyperlink"/>
                <w:noProof/>
              </w:rPr>
              <w:t>Market Analysis: Changing Customer Preferences</w:t>
            </w:r>
            <w:r>
              <w:rPr>
                <w:noProof/>
                <w:webHidden/>
              </w:rPr>
              <w:tab/>
            </w:r>
            <w:r>
              <w:rPr>
                <w:noProof/>
                <w:webHidden/>
              </w:rPr>
              <w:fldChar w:fldCharType="begin"/>
            </w:r>
            <w:r>
              <w:rPr>
                <w:noProof/>
                <w:webHidden/>
              </w:rPr>
              <w:instrText xml:space="preserve"> PAGEREF _Toc219315972 \h </w:instrText>
            </w:r>
            <w:r>
              <w:rPr>
                <w:noProof/>
                <w:webHidden/>
              </w:rPr>
            </w:r>
            <w:r>
              <w:rPr>
                <w:noProof/>
                <w:webHidden/>
              </w:rPr>
              <w:fldChar w:fldCharType="separate"/>
            </w:r>
            <w:r>
              <w:rPr>
                <w:noProof/>
                <w:webHidden/>
              </w:rPr>
              <w:t>4</w:t>
            </w:r>
            <w:r>
              <w:rPr>
                <w:noProof/>
                <w:webHidden/>
              </w:rPr>
              <w:fldChar w:fldCharType="end"/>
            </w:r>
          </w:hyperlink>
        </w:p>
        <w:p w14:paraId="544D6788" w14:textId="6CE21EBB" w:rsidR="004C771C" w:rsidRDefault="004C771C">
          <w:pPr>
            <w:pStyle w:val="TOC2"/>
            <w:tabs>
              <w:tab w:val="right" w:leader="dot" w:pos="9016"/>
            </w:tabs>
            <w:rPr>
              <w:rFonts w:eastAsiaTheme="minorEastAsia"/>
              <w:noProof/>
              <w:lang w:eastAsia="en-GB"/>
            </w:rPr>
          </w:pPr>
          <w:hyperlink w:anchor="_Toc219315973" w:history="1">
            <w:r w:rsidRPr="00FD1170">
              <w:rPr>
                <w:rStyle w:val="Hyperlink"/>
                <w:noProof/>
              </w:rPr>
              <w:t>Financial Performance Analysis (2022–2024)</w:t>
            </w:r>
            <w:r>
              <w:rPr>
                <w:noProof/>
                <w:webHidden/>
              </w:rPr>
              <w:tab/>
            </w:r>
            <w:r>
              <w:rPr>
                <w:noProof/>
                <w:webHidden/>
              </w:rPr>
              <w:fldChar w:fldCharType="begin"/>
            </w:r>
            <w:r>
              <w:rPr>
                <w:noProof/>
                <w:webHidden/>
              </w:rPr>
              <w:instrText xml:space="preserve"> PAGEREF _Toc219315973 \h </w:instrText>
            </w:r>
            <w:r>
              <w:rPr>
                <w:noProof/>
                <w:webHidden/>
              </w:rPr>
            </w:r>
            <w:r>
              <w:rPr>
                <w:noProof/>
                <w:webHidden/>
              </w:rPr>
              <w:fldChar w:fldCharType="separate"/>
            </w:r>
            <w:r>
              <w:rPr>
                <w:noProof/>
                <w:webHidden/>
              </w:rPr>
              <w:t>6</w:t>
            </w:r>
            <w:r>
              <w:rPr>
                <w:noProof/>
                <w:webHidden/>
              </w:rPr>
              <w:fldChar w:fldCharType="end"/>
            </w:r>
          </w:hyperlink>
        </w:p>
        <w:p w14:paraId="38899D1B" w14:textId="5DB561AB" w:rsidR="004C771C" w:rsidRDefault="004C771C">
          <w:pPr>
            <w:pStyle w:val="TOC3"/>
            <w:tabs>
              <w:tab w:val="right" w:leader="dot" w:pos="9016"/>
            </w:tabs>
            <w:rPr>
              <w:rFonts w:eastAsiaTheme="minorEastAsia"/>
              <w:noProof/>
              <w:lang w:eastAsia="en-GB"/>
            </w:rPr>
          </w:pPr>
          <w:hyperlink w:anchor="_Toc219315974" w:history="1">
            <w:r w:rsidRPr="00FD1170">
              <w:rPr>
                <w:rStyle w:val="Hyperlink"/>
                <w:noProof/>
              </w:rPr>
              <w:t>Profitability Ratios</w:t>
            </w:r>
            <w:r>
              <w:rPr>
                <w:noProof/>
                <w:webHidden/>
              </w:rPr>
              <w:tab/>
            </w:r>
            <w:r>
              <w:rPr>
                <w:noProof/>
                <w:webHidden/>
              </w:rPr>
              <w:fldChar w:fldCharType="begin"/>
            </w:r>
            <w:r>
              <w:rPr>
                <w:noProof/>
                <w:webHidden/>
              </w:rPr>
              <w:instrText xml:space="preserve"> PAGEREF _Toc219315974 \h </w:instrText>
            </w:r>
            <w:r>
              <w:rPr>
                <w:noProof/>
                <w:webHidden/>
              </w:rPr>
            </w:r>
            <w:r>
              <w:rPr>
                <w:noProof/>
                <w:webHidden/>
              </w:rPr>
              <w:fldChar w:fldCharType="separate"/>
            </w:r>
            <w:r>
              <w:rPr>
                <w:noProof/>
                <w:webHidden/>
              </w:rPr>
              <w:t>6</w:t>
            </w:r>
            <w:r>
              <w:rPr>
                <w:noProof/>
                <w:webHidden/>
              </w:rPr>
              <w:fldChar w:fldCharType="end"/>
            </w:r>
          </w:hyperlink>
        </w:p>
        <w:p w14:paraId="125CE057" w14:textId="0DAE38ED" w:rsidR="004C771C" w:rsidRDefault="004C771C">
          <w:pPr>
            <w:pStyle w:val="TOC3"/>
            <w:tabs>
              <w:tab w:val="right" w:leader="dot" w:pos="9016"/>
            </w:tabs>
            <w:rPr>
              <w:rFonts w:eastAsiaTheme="minorEastAsia"/>
              <w:noProof/>
              <w:lang w:eastAsia="en-GB"/>
            </w:rPr>
          </w:pPr>
          <w:hyperlink w:anchor="_Toc219315975" w:history="1">
            <w:r w:rsidRPr="00FD1170">
              <w:rPr>
                <w:rStyle w:val="Hyperlink"/>
                <w:noProof/>
              </w:rPr>
              <w:t>Liquidity Ratios</w:t>
            </w:r>
            <w:r>
              <w:rPr>
                <w:noProof/>
                <w:webHidden/>
              </w:rPr>
              <w:tab/>
            </w:r>
            <w:r>
              <w:rPr>
                <w:noProof/>
                <w:webHidden/>
              </w:rPr>
              <w:fldChar w:fldCharType="begin"/>
            </w:r>
            <w:r>
              <w:rPr>
                <w:noProof/>
                <w:webHidden/>
              </w:rPr>
              <w:instrText xml:space="preserve"> PAGEREF _Toc219315975 \h </w:instrText>
            </w:r>
            <w:r>
              <w:rPr>
                <w:noProof/>
                <w:webHidden/>
              </w:rPr>
            </w:r>
            <w:r>
              <w:rPr>
                <w:noProof/>
                <w:webHidden/>
              </w:rPr>
              <w:fldChar w:fldCharType="separate"/>
            </w:r>
            <w:r>
              <w:rPr>
                <w:noProof/>
                <w:webHidden/>
              </w:rPr>
              <w:t>6</w:t>
            </w:r>
            <w:r>
              <w:rPr>
                <w:noProof/>
                <w:webHidden/>
              </w:rPr>
              <w:fldChar w:fldCharType="end"/>
            </w:r>
          </w:hyperlink>
        </w:p>
        <w:p w14:paraId="101720AE" w14:textId="4735401F" w:rsidR="004C771C" w:rsidRDefault="004C771C">
          <w:pPr>
            <w:pStyle w:val="TOC3"/>
            <w:tabs>
              <w:tab w:val="right" w:leader="dot" w:pos="9016"/>
            </w:tabs>
            <w:rPr>
              <w:rFonts w:eastAsiaTheme="minorEastAsia"/>
              <w:noProof/>
              <w:lang w:eastAsia="en-GB"/>
            </w:rPr>
          </w:pPr>
          <w:hyperlink w:anchor="_Toc219315976" w:history="1">
            <w:r w:rsidRPr="00FD1170">
              <w:rPr>
                <w:rStyle w:val="Hyperlink"/>
                <w:noProof/>
              </w:rPr>
              <w:t>Solvency Ratios</w:t>
            </w:r>
            <w:r>
              <w:rPr>
                <w:noProof/>
                <w:webHidden/>
              </w:rPr>
              <w:tab/>
            </w:r>
            <w:r>
              <w:rPr>
                <w:noProof/>
                <w:webHidden/>
              </w:rPr>
              <w:fldChar w:fldCharType="begin"/>
            </w:r>
            <w:r>
              <w:rPr>
                <w:noProof/>
                <w:webHidden/>
              </w:rPr>
              <w:instrText xml:space="preserve"> PAGEREF _Toc219315976 \h </w:instrText>
            </w:r>
            <w:r>
              <w:rPr>
                <w:noProof/>
                <w:webHidden/>
              </w:rPr>
            </w:r>
            <w:r>
              <w:rPr>
                <w:noProof/>
                <w:webHidden/>
              </w:rPr>
              <w:fldChar w:fldCharType="separate"/>
            </w:r>
            <w:r>
              <w:rPr>
                <w:noProof/>
                <w:webHidden/>
              </w:rPr>
              <w:t>6</w:t>
            </w:r>
            <w:r>
              <w:rPr>
                <w:noProof/>
                <w:webHidden/>
              </w:rPr>
              <w:fldChar w:fldCharType="end"/>
            </w:r>
          </w:hyperlink>
        </w:p>
        <w:p w14:paraId="624D7A17" w14:textId="004431EB" w:rsidR="004C771C" w:rsidRDefault="004C771C">
          <w:pPr>
            <w:pStyle w:val="TOC3"/>
            <w:tabs>
              <w:tab w:val="right" w:leader="dot" w:pos="9016"/>
            </w:tabs>
            <w:rPr>
              <w:rFonts w:eastAsiaTheme="minorEastAsia"/>
              <w:noProof/>
              <w:lang w:eastAsia="en-GB"/>
            </w:rPr>
          </w:pPr>
          <w:hyperlink w:anchor="_Toc219315977" w:history="1">
            <w:r w:rsidRPr="00FD1170">
              <w:rPr>
                <w:rStyle w:val="Hyperlink"/>
                <w:noProof/>
              </w:rPr>
              <w:t>Efficiency Indicators</w:t>
            </w:r>
            <w:r>
              <w:rPr>
                <w:noProof/>
                <w:webHidden/>
              </w:rPr>
              <w:tab/>
            </w:r>
            <w:r>
              <w:rPr>
                <w:noProof/>
                <w:webHidden/>
              </w:rPr>
              <w:fldChar w:fldCharType="begin"/>
            </w:r>
            <w:r>
              <w:rPr>
                <w:noProof/>
                <w:webHidden/>
              </w:rPr>
              <w:instrText xml:space="preserve"> PAGEREF _Toc219315977 \h </w:instrText>
            </w:r>
            <w:r>
              <w:rPr>
                <w:noProof/>
                <w:webHidden/>
              </w:rPr>
            </w:r>
            <w:r>
              <w:rPr>
                <w:noProof/>
                <w:webHidden/>
              </w:rPr>
              <w:fldChar w:fldCharType="separate"/>
            </w:r>
            <w:r>
              <w:rPr>
                <w:noProof/>
                <w:webHidden/>
              </w:rPr>
              <w:t>7</w:t>
            </w:r>
            <w:r>
              <w:rPr>
                <w:noProof/>
                <w:webHidden/>
              </w:rPr>
              <w:fldChar w:fldCharType="end"/>
            </w:r>
          </w:hyperlink>
        </w:p>
        <w:p w14:paraId="5151BE1D" w14:textId="339EA1CD" w:rsidR="004C771C" w:rsidRDefault="004C771C">
          <w:pPr>
            <w:pStyle w:val="TOC2"/>
            <w:tabs>
              <w:tab w:val="right" w:leader="dot" w:pos="9016"/>
            </w:tabs>
            <w:rPr>
              <w:rFonts w:eastAsiaTheme="minorEastAsia"/>
              <w:noProof/>
              <w:lang w:eastAsia="en-GB"/>
            </w:rPr>
          </w:pPr>
          <w:hyperlink w:anchor="_Toc219315978" w:history="1">
            <w:r w:rsidRPr="00FD1170">
              <w:rPr>
                <w:rStyle w:val="Hyperlink"/>
                <w:noProof/>
              </w:rPr>
              <w:t>Key Reasons Behind the Decline in Profitability</w:t>
            </w:r>
            <w:r>
              <w:rPr>
                <w:noProof/>
                <w:webHidden/>
              </w:rPr>
              <w:tab/>
            </w:r>
            <w:r>
              <w:rPr>
                <w:noProof/>
                <w:webHidden/>
              </w:rPr>
              <w:fldChar w:fldCharType="begin"/>
            </w:r>
            <w:r>
              <w:rPr>
                <w:noProof/>
                <w:webHidden/>
              </w:rPr>
              <w:instrText xml:space="preserve"> PAGEREF _Toc219315978 \h </w:instrText>
            </w:r>
            <w:r>
              <w:rPr>
                <w:noProof/>
                <w:webHidden/>
              </w:rPr>
            </w:r>
            <w:r>
              <w:rPr>
                <w:noProof/>
                <w:webHidden/>
              </w:rPr>
              <w:fldChar w:fldCharType="separate"/>
            </w:r>
            <w:r>
              <w:rPr>
                <w:noProof/>
                <w:webHidden/>
              </w:rPr>
              <w:t>8</w:t>
            </w:r>
            <w:r>
              <w:rPr>
                <w:noProof/>
                <w:webHidden/>
              </w:rPr>
              <w:fldChar w:fldCharType="end"/>
            </w:r>
          </w:hyperlink>
        </w:p>
        <w:p w14:paraId="47F73EBE" w14:textId="346CC876" w:rsidR="004C771C" w:rsidRDefault="004C771C">
          <w:pPr>
            <w:pStyle w:val="TOC1"/>
            <w:tabs>
              <w:tab w:val="right" w:leader="dot" w:pos="9016"/>
            </w:tabs>
            <w:rPr>
              <w:rFonts w:eastAsiaTheme="minorEastAsia"/>
              <w:noProof/>
              <w:lang w:eastAsia="en-GB"/>
            </w:rPr>
          </w:pPr>
          <w:hyperlink w:anchor="_Toc219315979" w:history="1">
            <w:r w:rsidRPr="00FD1170">
              <w:rPr>
                <w:rStyle w:val="Hyperlink"/>
                <w:noProof/>
              </w:rPr>
              <w:t>Conclusion</w:t>
            </w:r>
            <w:r>
              <w:rPr>
                <w:noProof/>
                <w:webHidden/>
              </w:rPr>
              <w:tab/>
            </w:r>
            <w:r>
              <w:rPr>
                <w:noProof/>
                <w:webHidden/>
              </w:rPr>
              <w:fldChar w:fldCharType="begin"/>
            </w:r>
            <w:r>
              <w:rPr>
                <w:noProof/>
                <w:webHidden/>
              </w:rPr>
              <w:instrText xml:space="preserve"> PAGEREF _Toc219315979 \h </w:instrText>
            </w:r>
            <w:r>
              <w:rPr>
                <w:noProof/>
                <w:webHidden/>
              </w:rPr>
            </w:r>
            <w:r>
              <w:rPr>
                <w:noProof/>
                <w:webHidden/>
              </w:rPr>
              <w:fldChar w:fldCharType="separate"/>
            </w:r>
            <w:r>
              <w:rPr>
                <w:noProof/>
                <w:webHidden/>
              </w:rPr>
              <w:t>9</w:t>
            </w:r>
            <w:r>
              <w:rPr>
                <w:noProof/>
                <w:webHidden/>
              </w:rPr>
              <w:fldChar w:fldCharType="end"/>
            </w:r>
          </w:hyperlink>
        </w:p>
        <w:p w14:paraId="732EE18D" w14:textId="2C0DBD9F" w:rsidR="004C771C" w:rsidRDefault="004C771C">
          <w:pPr>
            <w:pStyle w:val="TOC1"/>
            <w:tabs>
              <w:tab w:val="right" w:leader="dot" w:pos="9016"/>
            </w:tabs>
            <w:rPr>
              <w:rFonts w:eastAsiaTheme="minorEastAsia"/>
              <w:noProof/>
              <w:lang w:eastAsia="en-GB"/>
            </w:rPr>
          </w:pPr>
          <w:hyperlink w:anchor="_Toc219315980" w:history="1">
            <w:r w:rsidRPr="00FD1170">
              <w:rPr>
                <w:rStyle w:val="Hyperlink"/>
                <w:noProof/>
              </w:rPr>
              <w:t>Recommendations</w:t>
            </w:r>
            <w:r>
              <w:rPr>
                <w:noProof/>
                <w:webHidden/>
              </w:rPr>
              <w:tab/>
            </w:r>
            <w:r>
              <w:rPr>
                <w:noProof/>
                <w:webHidden/>
              </w:rPr>
              <w:fldChar w:fldCharType="begin"/>
            </w:r>
            <w:r>
              <w:rPr>
                <w:noProof/>
                <w:webHidden/>
              </w:rPr>
              <w:instrText xml:space="preserve"> PAGEREF _Toc219315980 \h </w:instrText>
            </w:r>
            <w:r>
              <w:rPr>
                <w:noProof/>
                <w:webHidden/>
              </w:rPr>
            </w:r>
            <w:r>
              <w:rPr>
                <w:noProof/>
                <w:webHidden/>
              </w:rPr>
              <w:fldChar w:fldCharType="separate"/>
            </w:r>
            <w:r>
              <w:rPr>
                <w:noProof/>
                <w:webHidden/>
              </w:rPr>
              <w:t>10</w:t>
            </w:r>
            <w:r>
              <w:rPr>
                <w:noProof/>
                <w:webHidden/>
              </w:rPr>
              <w:fldChar w:fldCharType="end"/>
            </w:r>
          </w:hyperlink>
        </w:p>
        <w:p w14:paraId="688FD8F4" w14:textId="240D4AEF" w:rsidR="004C771C" w:rsidRDefault="004C771C">
          <w:pPr>
            <w:pStyle w:val="TOC1"/>
            <w:tabs>
              <w:tab w:val="right" w:leader="dot" w:pos="9016"/>
            </w:tabs>
            <w:rPr>
              <w:rFonts w:eastAsiaTheme="minorEastAsia"/>
              <w:noProof/>
              <w:lang w:eastAsia="en-GB"/>
            </w:rPr>
          </w:pPr>
          <w:hyperlink w:anchor="_Toc219315981" w:history="1">
            <w:r w:rsidRPr="00FD1170">
              <w:rPr>
                <w:rStyle w:val="Hyperlink"/>
                <w:noProof/>
              </w:rPr>
              <w:t>References:</w:t>
            </w:r>
            <w:r>
              <w:rPr>
                <w:noProof/>
                <w:webHidden/>
              </w:rPr>
              <w:tab/>
            </w:r>
            <w:r>
              <w:rPr>
                <w:noProof/>
                <w:webHidden/>
              </w:rPr>
              <w:fldChar w:fldCharType="begin"/>
            </w:r>
            <w:r>
              <w:rPr>
                <w:noProof/>
                <w:webHidden/>
              </w:rPr>
              <w:instrText xml:space="preserve"> PAGEREF _Toc219315981 \h </w:instrText>
            </w:r>
            <w:r>
              <w:rPr>
                <w:noProof/>
                <w:webHidden/>
              </w:rPr>
            </w:r>
            <w:r>
              <w:rPr>
                <w:noProof/>
                <w:webHidden/>
              </w:rPr>
              <w:fldChar w:fldCharType="separate"/>
            </w:r>
            <w:r>
              <w:rPr>
                <w:noProof/>
                <w:webHidden/>
              </w:rPr>
              <w:t>12</w:t>
            </w:r>
            <w:r>
              <w:rPr>
                <w:noProof/>
                <w:webHidden/>
              </w:rPr>
              <w:fldChar w:fldCharType="end"/>
            </w:r>
          </w:hyperlink>
        </w:p>
        <w:p w14:paraId="2B35CE5B" w14:textId="7182F6DC" w:rsidR="007470BA" w:rsidRDefault="007470BA">
          <w:r>
            <w:rPr>
              <w:b/>
              <w:bCs/>
              <w:noProof/>
            </w:rPr>
            <w:fldChar w:fldCharType="end"/>
          </w:r>
        </w:p>
      </w:sdtContent>
    </w:sdt>
    <w:p w14:paraId="46CF79D9" w14:textId="77777777" w:rsidR="007470BA" w:rsidRDefault="007470BA" w:rsidP="00D56887">
      <w:pPr>
        <w:spacing w:line="360" w:lineRule="auto"/>
        <w:jc w:val="both"/>
        <w:rPr>
          <w:rFonts w:ascii="Arial" w:hAnsi="Arial" w:cs="Arial"/>
          <w:b/>
          <w:bCs/>
        </w:rPr>
      </w:pPr>
    </w:p>
    <w:p w14:paraId="4451EDD4" w14:textId="77777777" w:rsidR="007470BA" w:rsidRDefault="007470BA" w:rsidP="00D56887">
      <w:pPr>
        <w:spacing w:line="360" w:lineRule="auto"/>
        <w:jc w:val="both"/>
        <w:rPr>
          <w:rFonts w:ascii="Arial" w:hAnsi="Arial" w:cs="Arial"/>
          <w:b/>
          <w:bCs/>
        </w:rPr>
      </w:pPr>
    </w:p>
    <w:p w14:paraId="0ACD3922" w14:textId="77777777" w:rsidR="007470BA" w:rsidRDefault="007470BA" w:rsidP="00D56887">
      <w:pPr>
        <w:spacing w:line="360" w:lineRule="auto"/>
        <w:jc w:val="both"/>
        <w:rPr>
          <w:rFonts w:ascii="Arial" w:hAnsi="Arial" w:cs="Arial"/>
          <w:b/>
          <w:bCs/>
        </w:rPr>
      </w:pPr>
    </w:p>
    <w:p w14:paraId="1BE4C0B4" w14:textId="77777777" w:rsidR="007470BA" w:rsidRDefault="007470BA" w:rsidP="00D56887">
      <w:pPr>
        <w:spacing w:line="360" w:lineRule="auto"/>
        <w:jc w:val="both"/>
        <w:rPr>
          <w:rFonts w:ascii="Arial" w:hAnsi="Arial" w:cs="Arial"/>
          <w:b/>
          <w:bCs/>
        </w:rPr>
      </w:pPr>
    </w:p>
    <w:p w14:paraId="68A7A235" w14:textId="77777777" w:rsidR="007470BA" w:rsidRDefault="007470BA" w:rsidP="00D56887">
      <w:pPr>
        <w:spacing w:line="360" w:lineRule="auto"/>
        <w:jc w:val="both"/>
        <w:rPr>
          <w:rFonts w:ascii="Arial" w:hAnsi="Arial" w:cs="Arial"/>
          <w:b/>
          <w:bCs/>
        </w:rPr>
      </w:pPr>
    </w:p>
    <w:p w14:paraId="59E0575D" w14:textId="77777777" w:rsidR="007470BA" w:rsidRDefault="007470BA" w:rsidP="00D56887">
      <w:pPr>
        <w:spacing w:line="360" w:lineRule="auto"/>
        <w:jc w:val="both"/>
        <w:rPr>
          <w:rFonts w:ascii="Arial" w:hAnsi="Arial" w:cs="Arial"/>
          <w:b/>
          <w:bCs/>
        </w:rPr>
      </w:pPr>
    </w:p>
    <w:p w14:paraId="0ADE16BB" w14:textId="77777777" w:rsidR="007470BA" w:rsidRDefault="007470BA" w:rsidP="00D56887">
      <w:pPr>
        <w:spacing w:line="360" w:lineRule="auto"/>
        <w:jc w:val="both"/>
        <w:rPr>
          <w:rFonts w:ascii="Arial" w:hAnsi="Arial" w:cs="Arial"/>
          <w:b/>
          <w:bCs/>
        </w:rPr>
      </w:pPr>
    </w:p>
    <w:p w14:paraId="6D9EE171" w14:textId="77777777" w:rsidR="007470BA" w:rsidRDefault="007470BA" w:rsidP="00D56887">
      <w:pPr>
        <w:spacing w:line="360" w:lineRule="auto"/>
        <w:jc w:val="both"/>
        <w:rPr>
          <w:rFonts w:ascii="Arial" w:hAnsi="Arial" w:cs="Arial"/>
          <w:b/>
          <w:bCs/>
        </w:rPr>
      </w:pPr>
    </w:p>
    <w:p w14:paraId="2285B45C" w14:textId="77777777" w:rsidR="007470BA" w:rsidRDefault="007470BA" w:rsidP="00D56887">
      <w:pPr>
        <w:spacing w:line="360" w:lineRule="auto"/>
        <w:jc w:val="both"/>
        <w:rPr>
          <w:rFonts w:ascii="Arial" w:hAnsi="Arial" w:cs="Arial"/>
          <w:b/>
          <w:bCs/>
        </w:rPr>
      </w:pPr>
    </w:p>
    <w:p w14:paraId="0378ADAB" w14:textId="77777777" w:rsidR="007470BA" w:rsidRDefault="007470BA" w:rsidP="00D56887">
      <w:pPr>
        <w:spacing w:line="360" w:lineRule="auto"/>
        <w:jc w:val="both"/>
        <w:rPr>
          <w:rFonts w:ascii="Arial" w:hAnsi="Arial" w:cs="Arial"/>
          <w:b/>
          <w:bCs/>
        </w:rPr>
      </w:pPr>
    </w:p>
    <w:p w14:paraId="0B6ACBD0" w14:textId="77777777" w:rsidR="007470BA" w:rsidRDefault="007470BA" w:rsidP="00D56887">
      <w:pPr>
        <w:spacing w:line="360" w:lineRule="auto"/>
        <w:jc w:val="both"/>
        <w:rPr>
          <w:rFonts w:ascii="Arial" w:hAnsi="Arial" w:cs="Arial"/>
          <w:b/>
          <w:bCs/>
        </w:rPr>
      </w:pPr>
    </w:p>
    <w:p w14:paraId="3F4F88A2" w14:textId="77777777" w:rsidR="007470BA" w:rsidRDefault="007470BA" w:rsidP="00D56887">
      <w:pPr>
        <w:spacing w:line="360" w:lineRule="auto"/>
        <w:jc w:val="both"/>
        <w:rPr>
          <w:rFonts w:ascii="Arial" w:hAnsi="Arial" w:cs="Arial"/>
          <w:b/>
          <w:bCs/>
        </w:rPr>
      </w:pPr>
    </w:p>
    <w:p w14:paraId="5C08664C" w14:textId="42D2C45A" w:rsidR="00D56887" w:rsidRPr="00D56887" w:rsidRDefault="00D56887" w:rsidP="007470BA">
      <w:pPr>
        <w:pStyle w:val="Heading1"/>
      </w:pPr>
      <w:bookmarkStart w:id="1" w:name="_Toc219315970"/>
      <w:r w:rsidRPr="00D56887">
        <w:lastRenderedPageBreak/>
        <w:t>Introduction</w:t>
      </w:r>
      <w:bookmarkEnd w:id="1"/>
      <w:r w:rsidRPr="00D56887">
        <w:t xml:space="preserve"> </w:t>
      </w:r>
    </w:p>
    <w:p w14:paraId="49495D6E" w14:textId="77777777" w:rsidR="00D56887" w:rsidRPr="00D56887" w:rsidRDefault="00D56887" w:rsidP="00D56887">
      <w:pPr>
        <w:spacing w:line="360" w:lineRule="auto"/>
        <w:jc w:val="both"/>
        <w:rPr>
          <w:rFonts w:ascii="Arial" w:hAnsi="Arial" w:cs="Arial"/>
        </w:rPr>
      </w:pPr>
      <w:r w:rsidRPr="00D56887">
        <w:rPr>
          <w:rFonts w:ascii="Arial" w:hAnsi="Arial" w:cs="Arial"/>
        </w:rPr>
        <w:t>The Coastal Horizon Hotel is a mid-sized coastal property offering guest rooms, a restaurant, a bar, and event spaces. In the past, the hotel attracted leisure travellers looking for comfort and sea views. Its key selling points were location, full-service facilities, and a relaxed atmosphere. However, the business has recently faced falling income, lower occupancy, and weaker guest satisfaction.</w:t>
      </w:r>
    </w:p>
    <w:p w14:paraId="1E922D6A" w14:textId="77777777" w:rsidR="00D56887" w:rsidRPr="00D56887" w:rsidRDefault="00D56887" w:rsidP="00D56887">
      <w:pPr>
        <w:spacing w:line="360" w:lineRule="auto"/>
        <w:jc w:val="both"/>
        <w:rPr>
          <w:rFonts w:ascii="Arial" w:hAnsi="Arial" w:cs="Arial"/>
        </w:rPr>
      </w:pPr>
      <w:r w:rsidRPr="00D56887">
        <w:rPr>
          <w:rFonts w:ascii="Arial" w:hAnsi="Arial" w:cs="Arial"/>
        </w:rPr>
        <w:t>The purpose of this report is to assess whether the Coastal Horizon Hotel can recover through a financial and strategic turnaround. The analysis focuses on financial performance, market conditions, and external economic factors affecting the UK hospitality sector. This approach follows business turnaround theory, which states that early diagnosis and structured action can restore failing firms (Bibeault, 1999).</w:t>
      </w:r>
    </w:p>
    <w:p w14:paraId="68E4F6EC" w14:textId="77777777" w:rsidR="00D56887" w:rsidRPr="00D56887" w:rsidRDefault="00D56887" w:rsidP="00D56887">
      <w:pPr>
        <w:spacing w:line="360" w:lineRule="auto"/>
        <w:jc w:val="both"/>
        <w:rPr>
          <w:rFonts w:ascii="Arial" w:hAnsi="Arial" w:cs="Arial"/>
        </w:rPr>
      </w:pPr>
      <w:r w:rsidRPr="00D56887">
        <w:rPr>
          <w:rFonts w:ascii="Arial" w:hAnsi="Arial" w:cs="Arial"/>
        </w:rPr>
        <w:t>The report uses income statements, balance sheets, and operational data such as Average Room Rate (ARR) and occupancy levels. Financial ratios are calculated to support decision-making. The assessment also considers customer behaviour changes, digital expectations, and sustainability concerns, which strongly influence hotel choice today (Kotler et al., 2017).</w:t>
      </w:r>
    </w:p>
    <w:p w14:paraId="52B34D24" w14:textId="3BD9A0A8" w:rsidR="00D56887" w:rsidRPr="00D56887" w:rsidRDefault="00D56887" w:rsidP="00D56887">
      <w:pPr>
        <w:spacing w:line="360" w:lineRule="auto"/>
        <w:jc w:val="both"/>
        <w:rPr>
          <w:rFonts w:ascii="Arial" w:hAnsi="Arial" w:cs="Arial"/>
        </w:rPr>
      </w:pPr>
      <w:r w:rsidRPr="00D56887">
        <w:rPr>
          <w:rFonts w:ascii="Arial" w:hAnsi="Arial" w:cs="Arial"/>
        </w:rPr>
        <w:t>The structure of the report is as follows. First, a market analysis examines how guest preferences and competition have evolved. Second, the hotel’s financial results over three years are analysed using profitability, liquidity, and solvency ratios. Third, key internal and external causes of declining profit are identified, including inflation and rising operating costs in the UK economy. Finally, practical recommendations are proposed to improve financial health and reposition the hotel as a viable coastal destination.</w:t>
      </w:r>
    </w:p>
    <w:p w14:paraId="16411FE4" w14:textId="52A7D7D4" w:rsidR="00D56887" w:rsidRPr="00D56887" w:rsidRDefault="00D56887" w:rsidP="007470BA">
      <w:pPr>
        <w:pStyle w:val="Heading1"/>
      </w:pPr>
      <w:bookmarkStart w:id="2" w:name="_Toc219315971"/>
      <w:r w:rsidRPr="00D56887">
        <w:t>Main Findings</w:t>
      </w:r>
      <w:bookmarkEnd w:id="2"/>
    </w:p>
    <w:p w14:paraId="5B71292C" w14:textId="562ED461" w:rsidR="00D56887" w:rsidRPr="00D56887" w:rsidRDefault="00D56887" w:rsidP="007470BA">
      <w:pPr>
        <w:pStyle w:val="Heading2"/>
      </w:pPr>
      <w:bookmarkStart w:id="3" w:name="_Toc219315972"/>
      <w:r w:rsidRPr="00D56887">
        <w:t>Market Analysis: Changing Customer Preferences</w:t>
      </w:r>
      <w:bookmarkEnd w:id="3"/>
      <w:r w:rsidRPr="00D56887">
        <w:t xml:space="preserve"> </w:t>
      </w:r>
    </w:p>
    <w:p w14:paraId="1F45516E" w14:textId="77777777" w:rsidR="00D56887" w:rsidRPr="00D56887" w:rsidRDefault="00D56887" w:rsidP="00D56887">
      <w:pPr>
        <w:spacing w:line="360" w:lineRule="auto"/>
        <w:jc w:val="both"/>
        <w:rPr>
          <w:rFonts w:ascii="Arial" w:hAnsi="Arial" w:cs="Arial"/>
        </w:rPr>
      </w:pPr>
      <w:r w:rsidRPr="00D56887">
        <w:rPr>
          <w:rFonts w:ascii="Arial" w:hAnsi="Arial" w:cs="Arial"/>
        </w:rPr>
        <w:t>The UK coastal hospitality market has become highly competitive. New resorts and branded hotels now offer modern rooms, spa services, digital booking tools, and personalised experiences. Customers increasingly compare prices and reviews online before booking (</w:t>
      </w:r>
      <w:proofErr w:type="spellStart"/>
      <w:r w:rsidRPr="00D56887">
        <w:rPr>
          <w:rFonts w:ascii="Arial" w:hAnsi="Arial" w:cs="Arial"/>
        </w:rPr>
        <w:t>Buhalis</w:t>
      </w:r>
      <w:proofErr w:type="spellEnd"/>
      <w:r w:rsidRPr="00D56887">
        <w:rPr>
          <w:rFonts w:ascii="Arial" w:hAnsi="Arial" w:cs="Arial"/>
        </w:rPr>
        <w:t xml:space="preserve"> and Law, 2008).</w:t>
      </w:r>
    </w:p>
    <w:p w14:paraId="4151B7A3" w14:textId="77777777" w:rsidR="00D56887" w:rsidRPr="00D56887" w:rsidRDefault="00D56887" w:rsidP="00D56887">
      <w:pPr>
        <w:spacing w:line="360" w:lineRule="auto"/>
        <w:jc w:val="both"/>
        <w:rPr>
          <w:rFonts w:ascii="Arial" w:hAnsi="Arial" w:cs="Arial"/>
        </w:rPr>
      </w:pPr>
      <w:r w:rsidRPr="00D56887">
        <w:rPr>
          <w:rFonts w:ascii="Arial" w:hAnsi="Arial" w:cs="Arial"/>
        </w:rPr>
        <w:lastRenderedPageBreak/>
        <w:t>Guest expectations have shifted towards value, flexibility, and quality service. Research shows that cleanliness, staff attitude, and updated facilities strongly affect satisfaction and repeat visits (Ali et al., 2021). Reviews of the Coastal Horizon Hotel highlight outdated interiors and declining service standards, suggesting a gap between guest expectations and current delivery.</w:t>
      </w:r>
    </w:p>
    <w:p w14:paraId="76FEB769" w14:textId="77777777" w:rsidR="00D56887" w:rsidRPr="00D56887" w:rsidRDefault="00D56887" w:rsidP="00D56887">
      <w:pPr>
        <w:spacing w:line="360" w:lineRule="auto"/>
        <w:jc w:val="both"/>
        <w:rPr>
          <w:rFonts w:ascii="Arial" w:hAnsi="Arial" w:cs="Arial"/>
        </w:rPr>
      </w:pPr>
      <w:r w:rsidRPr="00D56887">
        <w:rPr>
          <w:rFonts w:ascii="Arial" w:hAnsi="Arial" w:cs="Arial"/>
        </w:rPr>
        <w:t>Technology also plays a major role. Many travellers expect mobile check-in, fast Wi-Fi, and online support. Hotels that fail to invest in digital systems often lose market share (Ivanov and Webster, 2019). In addition, sustainability concerns influence buying decisions, with guests favouring energy-efficient and socially responsible hotels (UNWTO, 2022).</w:t>
      </w:r>
    </w:p>
    <w:p w14:paraId="24CF3720" w14:textId="77777777" w:rsidR="00D56887" w:rsidRPr="00D56887" w:rsidRDefault="00D56887" w:rsidP="00D56887">
      <w:pPr>
        <w:spacing w:line="360" w:lineRule="auto"/>
        <w:jc w:val="both"/>
        <w:rPr>
          <w:rFonts w:ascii="Arial" w:hAnsi="Arial" w:cs="Arial"/>
        </w:rPr>
      </w:pPr>
      <w:r w:rsidRPr="00D56887">
        <w:rPr>
          <w:rFonts w:ascii="Arial" w:hAnsi="Arial" w:cs="Arial"/>
        </w:rPr>
        <w:t>Economic pressure has further changed demand. Rising living costs in the UK have reduced discretionary spending on travel (ONS, 2023). As a result, customers seek lower prices or shorter stays. This trend partly explains the fall in occupancy from 65% in 2021 to 50% in 2023.</w:t>
      </w:r>
    </w:p>
    <w:p w14:paraId="75F77914" w14:textId="41F17946" w:rsidR="00D56887" w:rsidRDefault="00D56887" w:rsidP="00D56887">
      <w:pPr>
        <w:spacing w:line="360" w:lineRule="auto"/>
        <w:jc w:val="both"/>
        <w:rPr>
          <w:rFonts w:ascii="Arial" w:hAnsi="Arial" w:cs="Arial"/>
        </w:rPr>
      </w:pPr>
      <w:r w:rsidRPr="00D56887">
        <w:rPr>
          <w:rFonts w:ascii="Arial" w:hAnsi="Arial" w:cs="Arial"/>
        </w:rPr>
        <w:t>Overall, the Coastal Horizon Hotel operates in a market where innovation, service quality, and cost efficiency are essential. Failure to adapt to these changes has weakened its competitive position.</w:t>
      </w:r>
    </w:p>
    <w:p w14:paraId="44687764" w14:textId="2CCE162E" w:rsidR="00ED4349" w:rsidRDefault="00ED4349" w:rsidP="00D56887">
      <w:pPr>
        <w:spacing w:line="360" w:lineRule="auto"/>
        <w:jc w:val="both"/>
        <w:rPr>
          <w:rFonts w:ascii="Arial" w:hAnsi="Arial" w:cs="Arial"/>
        </w:rPr>
      </w:pPr>
      <w:r w:rsidRPr="00ED4349">
        <w:rPr>
          <w:rFonts w:ascii="Arial" w:hAnsi="Arial" w:cs="Arial"/>
        </w:rPr>
        <w:t>Another important change in the coastal hotel market is the growth of short-stay and experience-based travel. Many visitors now prefer weekend breaks rather than long holidays, which increases demand volatility and makes revenue planning more difficult (VisitBritain, 2023). Social media also shapes travel decisions, as destinations that are visually attractive and well-reviewed gain higher attention and demand (Xiang et al., 2017). In addition, staffing challenges remain a serious issue. Brexit and post-pandemic workforce shortages have reduced labour availability in UK hospitality, affecting service consistency and increasing recruitment costs. These structural pressures place further strain on hotels that lack strong brand recognition or efficient operating models.</w:t>
      </w:r>
    </w:p>
    <w:p w14:paraId="3BC5179F" w14:textId="77777777" w:rsidR="00D56887" w:rsidRPr="00D56887" w:rsidRDefault="00D56887" w:rsidP="00D56887">
      <w:pPr>
        <w:spacing w:line="360" w:lineRule="auto"/>
        <w:jc w:val="both"/>
        <w:rPr>
          <w:rFonts w:ascii="Arial" w:hAnsi="Arial" w:cs="Arial"/>
        </w:rPr>
      </w:pPr>
    </w:p>
    <w:p w14:paraId="055F7ABA" w14:textId="77777777" w:rsidR="00ED4349" w:rsidRDefault="00ED4349" w:rsidP="00D56887">
      <w:pPr>
        <w:spacing w:line="360" w:lineRule="auto"/>
        <w:jc w:val="both"/>
        <w:rPr>
          <w:rFonts w:ascii="Arial" w:hAnsi="Arial" w:cs="Arial"/>
          <w:b/>
          <w:bCs/>
          <w:i/>
          <w:iCs/>
        </w:rPr>
      </w:pPr>
    </w:p>
    <w:p w14:paraId="36F4EE12" w14:textId="77777777" w:rsidR="00ED4349" w:rsidRDefault="00ED4349" w:rsidP="00D56887">
      <w:pPr>
        <w:spacing w:line="360" w:lineRule="auto"/>
        <w:jc w:val="both"/>
        <w:rPr>
          <w:rFonts w:ascii="Arial" w:hAnsi="Arial" w:cs="Arial"/>
          <w:b/>
          <w:bCs/>
          <w:i/>
          <w:iCs/>
        </w:rPr>
      </w:pPr>
    </w:p>
    <w:p w14:paraId="31ECE7BB" w14:textId="3AF3D310" w:rsidR="00D56887" w:rsidRDefault="00D56887" w:rsidP="007470BA">
      <w:pPr>
        <w:pStyle w:val="Heading2"/>
      </w:pPr>
      <w:bookmarkStart w:id="4" w:name="_Toc219315973"/>
      <w:r w:rsidRPr="00D56887">
        <w:lastRenderedPageBreak/>
        <w:t>Financial Performance Analysis (2022–2024)</w:t>
      </w:r>
      <w:bookmarkEnd w:id="4"/>
      <w:r w:rsidRPr="00D56887">
        <w:t xml:space="preserve"> </w:t>
      </w:r>
    </w:p>
    <w:p w14:paraId="4DF9DB01" w14:textId="1C7F11B2" w:rsidR="00E00ED6" w:rsidRPr="00E00ED6" w:rsidRDefault="00E00ED6" w:rsidP="00E00ED6">
      <w:r w:rsidRPr="00E00ED6">
        <w:rPr>
          <w:noProof/>
        </w:rPr>
        <w:drawing>
          <wp:inline distT="0" distB="0" distL="0" distR="0" wp14:anchorId="51D68C8A" wp14:editId="7FE8F827">
            <wp:extent cx="5731510" cy="3448685"/>
            <wp:effectExtent l="0" t="0" r="2540" b="0"/>
            <wp:docPr id="602629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29522" name=""/>
                    <pic:cNvPicPr/>
                  </pic:nvPicPr>
                  <pic:blipFill>
                    <a:blip r:embed="rId8"/>
                    <a:stretch>
                      <a:fillRect/>
                    </a:stretch>
                  </pic:blipFill>
                  <pic:spPr>
                    <a:xfrm>
                      <a:off x="0" y="0"/>
                      <a:ext cx="5731510" cy="3448685"/>
                    </a:xfrm>
                    <a:prstGeom prst="rect">
                      <a:avLst/>
                    </a:prstGeom>
                  </pic:spPr>
                </pic:pic>
              </a:graphicData>
            </a:graphic>
          </wp:inline>
        </w:drawing>
      </w:r>
    </w:p>
    <w:p w14:paraId="6882C753" w14:textId="77777777" w:rsidR="00D56887" w:rsidRPr="00D56887" w:rsidRDefault="00D56887" w:rsidP="00D56887">
      <w:pPr>
        <w:spacing w:line="360" w:lineRule="auto"/>
        <w:jc w:val="both"/>
        <w:rPr>
          <w:rFonts w:ascii="Arial" w:hAnsi="Arial" w:cs="Arial"/>
        </w:rPr>
      </w:pPr>
      <w:r w:rsidRPr="00D56887">
        <w:rPr>
          <w:rFonts w:ascii="Arial" w:hAnsi="Arial" w:cs="Arial"/>
        </w:rPr>
        <w:t>The hotel’s financial performance has deteriorated steadily. Revenue declined from £1.2 million in 2022 to £950,000 in 2024. At the same time, operating expenses rose sharply, leading to a net loss of £150,000 in 2024.</w:t>
      </w:r>
    </w:p>
    <w:p w14:paraId="623249C3" w14:textId="77777777" w:rsidR="00D56887" w:rsidRPr="00D56887" w:rsidRDefault="00D56887" w:rsidP="007470BA">
      <w:pPr>
        <w:pStyle w:val="Heading3"/>
      </w:pPr>
      <w:bookmarkStart w:id="5" w:name="_Toc219315974"/>
      <w:r w:rsidRPr="00D56887">
        <w:t>Profitability Ratios</w:t>
      </w:r>
      <w:bookmarkEnd w:id="5"/>
    </w:p>
    <w:p w14:paraId="7C25A58C" w14:textId="6AF55E5F" w:rsidR="00D56887" w:rsidRPr="00D56887" w:rsidRDefault="00D56887" w:rsidP="00D56887">
      <w:pPr>
        <w:spacing w:line="360" w:lineRule="auto"/>
        <w:jc w:val="both"/>
        <w:rPr>
          <w:rFonts w:ascii="Arial" w:hAnsi="Arial" w:cs="Arial"/>
        </w:rPr>
      </w:pPr>
      <w:r w:rsidRPr="00D56887">
        <w:rPr>
          <w:rFonts w:ascii="Arial" w:hAnsi="Arial" w:cs="Arial"/>
        </w:rPr>
        <w:br/>
        <w:t>Net profit margin fell from 25% in 2022 (£300,000 / £1,200,000) to –15.8% in 2024. This indicates poor cost control and reduced pricing power (</w:t>
      </w:r>
      <w:proofErr w:type="spellStart"/>
      <w:r w:rsidRPr="00D56887">
        <w:rPr>
          <w:rFonts w:ascii="Arial" w:hAnsi="Arial" w:cs="Arial"/>
        </w:rPr>
        <w:t>Atrill</w:t>
      </w:r>
      <w:proofErr w:type="spellEnd"/>
      <w:r w:rsidRPr="00D56887">
        <w:rPr>
          <w:rFonts w:ascii="Arial" w:hAnsi="Arial" w:cs="Arial"/>
        </w:rPr>
        <w:t xml:space="preserve"> and McLaney, 2020). The decline in ARR from £260 in 2021 to £210 in 2023 further weakened income.</w:t>
      </w:r>
    </w:p>
    <w:p w14:paraId="56A74B02" w14:textId="77777777" w:rsidR="00D56887" w:rsidRPr="00D56887" w:rsidRDefault="00D56887" w:rsidP="007470BA">
      <w:pPr>
        <w:pStyle w:val="Heading3"/>
      </w:pPr>
      <w:bookmarkStart w:id="6" w:name="_Toc219315975"/>
      <w:r w:rsidRPr="00D56887">
        <w:t>Liquidity Ratios</w:t>
      </w:r>
      <w:bookmarkEnd w:id="6"/>
    </w:p>
    <w:p w14:paraId="4B4CE95D" w14:textId="6C42B85A" w:rsidR="00D56887" w:rsidRPr="00D56887" w:rsidRDefault="00D56887" w:rsidP="00D56887">
      <w:pPr>
        <w:spacing w:line="360" w:lineRule="auto"/>
        <w:jc w:val="both"/>
        <w:rPr>
          <w:rFonts w:ascii="Arial" w:hAnsi="Arial" w:cs="Arial"/>
        </w:rPr>
      </w:pPr>
      <w:r w:rsidRPr="00D56887">
        <w:rPr>
          <w:rFonts w:ascii="Arial" w:hAnsi="Arial" w:cs="Arial"/>
        </w:rPr>
        <w:br/>
        <w:t>The current ratio dropped significantly. In 2024, current assets (£50,000) compared to current liabilities (£50,000) result in a ratio of 1:1, indicating liquidity risk. Cash fell to only £20,000, limiting the ability to meet short-term obligations (</w:t>
      </w:r>
      <w:proofErr w:type="spellStart"/>
      <w:r w:rsidRPr="00D56887">
        <w:rPr>
          <w:rFonts w:ascii="Arial" w:hAnsi="Arial" w:cs="Arial"/>
        </w:rPr>
        <w:t>Fridson</w:t>
      </w:r>
      <w:proofErr w:type="spellEnd"/>
      <w:r w:rsidRPr="00D56887">
        <w:rPr>
          <w:rFonts w:ascii="Arial" w:hAnsi="Arial" w:cs="Arial"/>
        </w:rPr>
        <w:t xml:space="preserve"> and Alvarez, 2011).</w:t>
      </w:r>
    </w:p>
    <w:p w14:paraId="6EE542DB" w14:textId="77777777" w:rsidR="00D56887" w:rsidRPr="00D56887" w:rsidRDefault="00D56887" w:rsidP="007470BA">
      <w:pPr>
        <w:pStyle w:val="Heading3"/>
      </w:pPr>
      <w:bookmarkStart w:id="7" w:name="_Toc219315976"/>
      <w:r w:rsidRPr="00D56887">
        <w:t>Solvency Ratios</w:t>
      </w:r>
      <w:bookmarkEnd w:id="7"/>
    </w:p>
    <w:p w14:paraId="60A17837" w14:textId="6297A6C2" w:rsidR="00D56887" w:rsidRPr="00D56887" w:rsidRDefault="00D56887" w:rsidP="00D56887">
      <w:pPr>
        <w:spacing w:line="360" w:lineRule="auto"/>
        <w:jc w:val="both"/>
        <w:rPr>
          <w:rFonts w:ascii="Arial" w:hAnsi="Arial" w:cs="Arial"/>
        </w:rPr>
      </w:pPr>
      <w:r w:rsidRPr="00D56887">
        <w:rPr>
          <w:rFonts w:ascii="Arial" w:hAnsi="Arial" w:cs="Arial"/>
        </w:rPr>
        <w:br/>
        <w:t xml:space="preserve">Debt remains high, with long-term borrowings fixed at £1.5 million. The debt-to-equity </w:t>
      </w:r>
      <w:r w:rsidRPr="00D56887">
        <w:rPr>
          <w:rFonts w:ascii="Arial" w:hAnsi="Arial" w:cs="Arial"/>
        </w:rPr>
        <w:lastRenderedPageBreak/>
        <w:t>ratio rose sharply as equity declined to £300,000 in 2024. This increases financial risk and reduces borrowing capacity (Ross et al., 2019).</w:t>
      </w:r>
    </w:p>
    <w:p w14:paraId="2C924F8A" w14:textId="77777777" w:rsidR="00D56887" w:rsidRPr="00D56887" w:rsidRDefault="00D56887" w:rsidP="007470BA">
      <w:pPr>
        <w:pStyle w:val="Heading3"/>
      </w:pPr>
      <w:bookmarkStart w:id="8" w:name="_Toc219315977"/>
      <w:r w:rsidRPr="00D56887">
        <w:t>Efficiency Indicators</w:t>
      </w:r>
      <w:bookmarkEnd w:id="8"/>
    </w:p>
    <w:p w14:paraId="2D8DB13F" w14:textId="15926751" w:rsidR="00D56887" w:rsidRPr="00D56887" w:rsidRDefault="00D56887" w:rsidP="00D56887">
      <w:pPr>
        <w:spacing w:line="360" w:lineRule="auto"/>
        <w:jc w:val="both"/>
        <w:rPr>
          <w:rFonts w:ascii="Arial" w:hAnsi="Arial" w:cs="Arial"/>
        </w:rPr>
      </w:pPr>
      <w:r w:rsidRPr="00D56887">
        <w:rPr>
          <w:rFonts w:ascii="Arial" w:hAnsi="Arial" w:cs="Arial"/>
        </w:rPr>
        <w:br/>
        <w:t>Occupancy fell to 50% in 2023, while costs continued to rise. This suggests inefficient use of fixed assets such as property and equipment. Asset value also declined, reflecting depreciation and possible underinvestment.</w:t>
      </w:r>
    </w:p>
    <w:p w14:paraId="2FD57A81" w14:textId="77777777" w:rsidR="00D56887" w:rsidRDefault="00D56887" w:rsidP="00D56887">
      <w:pPr>
        <w:spacing w:line="360" w:lineRule="auto"/>
        <w:jc w:val="both"/>
        <w:rPr>
          <w:rFonts w:ascii="Arial" w:hAnsi="Arial" w:cs="Arial"/>
        </w:rPr>
      </w:pPr>
      <w:r w:rsidRPr="00D56887">
        <w:rPr>
          <w:rFonts w:ascii="Arial" w:hAnsi="Arial" w:cs="Arial"/>
        </w:rPr>
        <w:t>In summary, the financial data shows weak profitability, fragile liquidity, and high leverage. Without intervention, the hotel faces serious viability concerns.</w:t>
      </w:r>
    </w:p>
    <w:p w14:paraId="2A98F062" w14:textId="77777777" w:rsidR="00ED4349" w:rsidRPr="00ED4349" w:rsidRDefault="00ED4349" w:rsidP="00ED4349">
      <w:pPr>
        <w:spacing w:line="360" w:lineRule="auto"/>
        <w:jc w:val="both"/>
        <w:rPr>
          <w:rFonts w:ascii="Arial" w:hAnsi="Arial" w:cs="Arial"/>
        </w:rPr>
      </w:pPr>
      <w:r w:rsidRPr="00ED4349">
        <w:rPr>
          <w:rFonts w:ascii="Arial" w:hAnsi="Arial" w:cs="Arial"/>
        </w:rPr>
        <w:t>Beyond the core ratios, trend analysis highlights structural weaknesses in the hotel’s financial model. Revenue decline is not only volume-related but also reflects weak revenue mix management. Non-room income from food, beverage, and events has likely underperformed, reducing overall revenue diversification, which is essential for financial stability in full-service hotels (Hayes and Miller, 2011). This increases reliance on room sales and exposes the business to seasonal demand risks.</w:t>
      </w:r>
    </w:p>
    <w:p w14:paraId="484AA728" w14:textId="77777777" w:rsidR="00ED4349" w:rsidRPr="00ED4349" w:rsidRDefault="00ED4349" w:rsidP="00ED4349">
      <w:pPr>
        <w:spacing w:line="360" w:lineRule="auto"/>
        <w:jc w:val="both"/>
        <w:rPr>
          <w:rFonts w:ascii="Arial" w:hAnsi="Arial" w:cs="Arial"/>
        </w:rPr>
      </w:pPr>
      <w:r w:rsidRPr="00ED4349">
        <w:rPr>
          <w:rFonts w:ascii="Arial" w:hAnsi="Arial" w:cs="Arial"/>
        </w:rPr>
        <w:t>Cost rigidity further worsens performance. A high proportion of fixed costs, such as maintenance, utilities, and debt servicing, limits the hotel’s ability to adjust expenses during periods of low occupancy. According to hospitality finance theory, businesses with inflexible cost structures experience sharper profit declines during downturns (</w:t>
      </w:r>
      <w:proofErr w:type="spellStart"/>
      <w:r w:rsidRPr="00ED4349">
        <w:rPr>
          <w:rFonts w:ascii="Arial" w:hAnsi="Arial" w:cs="Arial"/>
        </w:rPr>
        <w:t>Guilding</w:t>
      </w:r>
      <w:proofErr w:type="spellEnd"/>
      <w:r w:rsidRPr="00ED4349">
        <w:rPr>
          <w:rFonts w:ascii="Arial" w:hAnsi="Arial" w:cs="Arial"/>
        </w:rPr>
        <w:t>, 2014). This is evident in the rising operating expenses despite falling sales.</w:t>
      </w:r>
    </w:p>
    <w:p w14:paraId="72FB9546" w14:textId="77777777" w:rsidR="00ED4349" w:rsidRPr="00ED4349" w:rsidRDefault="00ED4349" w:rsidP="00ED4349">
      <w:pPr>
        <w:spacing w:line="360" w:lineRule="auto"/>
        <w:jc w:val="both"/>
        <w:rPr>
          <w:rFonts w:ascii="Arial" w:hAnsi="Arial" w:cs="Arial"/>
        </w:rPr>
      </w:pPr>
      <w:r w:rsidRPr="00ED4349">
        <w:rPr>
          <w:rFonts w:ascii="Arial" w:hAnsi="Arial" w:cs="Arial"/>
        </w:rPr>
        <w:t>Cash flow pressure is another critical concern. While accounting profit turned negative in 2024, the reduction in cash reserves suggests operational cash outflows exceeded inflows. Weak cash generation restricts reinvestment capacity and may force reliance on external financing (Penman, 2013). In addition, declining asset values indicate potential underinvestment, which can reduce future earning potential.</w:t>
      </w:r>
    </w:p>
    <w:p w14:paraId="706EEFCC" w14:textId="2D915794" w:rsidR="00ED4349" w:rsidRPr="00D56887" w:rsidRDefault="00ED4349" w:rsidP="00D56887">
      <w:pPr>
        <w:spacing w:line="360" w:lineRule="auto"/>
        <w:jc w:val="both"/>
        <w:rPr>
          <w:rFonts w:ascii="Arial" w:hAnsi="Arial" w:cs="Arial"/>
        </w:rPr>
      </w:pPr>
      <w:r w:rsidRPr="00ED4349">
        <w:rPr>
          <w:rFonts w:ascii="Arial" w:hAnsi="Arial" w:cs="Arial"/>
        </w:rPr>
        <w:t>Overall, these financial patterns suggest that the hotel’s problems are not short-term but systemic, requiring both operational restructuring and strategic financial control to restore long-term viability.</w:t>
      </w:r>
    </w:p>
    <w:p w14:paraId="6C0DAE8D" w14:textId="54AFDF35" w:rsidR="00D56887" w:rsidRPr="00D56887" w:rsidRDefault="00D56887" w:rsidP="007470BA">
      <w:pPr>
        <w:pStyle w:val="Heading2"/>
      </w:pPr>
      <w:bookmarkStart w:id="9" w:name="_Toc219315978"/>
      <w:r w:rsidRPr="00D56887">
        <w:lastRenderedPageBreak/>
        <w:t>Key Reasons Behind the Decline in Profitability</w:t>
      </w:r>
      <w:bookmarkEnd w:id="9"/>
      <w:r w:rsidRPr="00D56887">
        <w:t xml:space="preserve"> </w:t>
      </w:r>
    </w:p>
    <w:p w14:paraId="63EE5327" w14:textId="63BA1E58" w:rsidR="00D56887" w:rsidRPr="00D56887" w:rsidRDefault="00D56887" w:rsidP="00D56887">
      <w:pPr>
        <w:spacing w:line="360" w:lineRule="auto"/>
        <w:jc w:val="both"/>
        <w:rPr>
          <w:rFonts w:ascii="Arial" w:hAnsi="Arial" w:cs="Arial"/>
        </w:rPr>
      </w:pPr>
      <w:r w:rsidRPr="00D56887">
        <w:rPr>
          <w:rFonts w:ascii="Arial" w:hAnsi="Arial" w:cs="Arial"/>
        </w:rPr>
        <w:t xml:space="preserve">Several internal and external factors explain the decline. Internally, the hotel failed to update facilities and improve service standards. Poor customer reviews reduce demand and </w:t>
      </w:r>
      <w:r>
        <w:rPr>
          <w:rFonts w:ascii="Arial" w:hAnsi="Arial" w:cs="Arial"/>
        </w:rPr>
        <w:t xml:space="preserve">lead to price discounts, ultimately </w:t>
      </w:r>
      <w:r w:rsidRPr="00D56887">
        <w:rPr>
          <w:rFonts w:ascii="Arial" w:hAnsi="Arial" w:cs="Arial"/>
        </w:rPr>
        <w:t>lowering revenue (Ye et al., 2011).</w:t>
      </w:r>
    </w:p>
    <w:p w14:paraId="48F8E9CA" w14:textId="5E8390F4" w:rsidR="00D56887" w:rsidRPr="00D56887" w:rsidRDefault="00D56887" w:rsidP="00D56887">
      <w:pPr>
        <w:spacing w:line="360" w:lineRule="auto"/>
        <w:jc w:val="both"/>
        <w:rPr>
          <w:rFonts w:ascii="Arial" w:hAnsi="Arial" w:cs="Arial"/>
        </w:rPr>
      </w:pPr>
      <w:r w:rsidRPr="00D56887">
        <w:rPr>
          <w:rFonts w:ascii="Arial" w:hAnsi="Arial" w:cs="Arial"/>
        </w:rPr>
        <w:t xml:space="preserve">Cost management is another issue. Operating expenses increased despite falling sales. Energy prices in the UK rose sharply after 2021, </w:t>
      </w:r>
      <w:r>
        <w:rPr>
          <w:rFonts w:ascii="Arial" w:hAnsi="Arial" w:cs="Arial"/>
        </w:rPr>
        <w:t>resulting in increased</w:t>
      </w:r>
      <w:r w:rsidRPr="00D56887">
        <w:rPr>
          <w:rFonts w:ascii="Arial" w:hAnsi="Arial" w:cs="Arial"/>
        </w:rPr>
        <w:t xml:space="preserve"> utility costs for hotels. Labour shortages also pushed wages higher across the hospitality sector.</w:t>
      </w:r>
    </w:p>
    <w:p w14:paraId="102DD66F" w14:textId="77777777" w:rsidR="00D56887" w:rsidRPr="00D56887" w:rsidRDefault="00D56887" w:rsidP="00D56887">
      <w:pPr>
        <w:spacing w:line="360" w:lineRule="auto"/>
        <w:jc w:val="both"/>
        <w:rPr>
          <w:rFonts w:ascii="Arial" w:hAnsi="Arial" w:cs="Arial"/>
        </w:rPr>
      </w:pPr>
      <w:r w:rsidRPr="00D56887">
        <w:rPr>
          <w:rFonts w:ascii="Arial" w:hAnsi="Arial" w:cs="Arial"/>
        </w:rPr>
        <w:t>Externally, inflation reduced consumer spending power. Many households cut back on leisure travel due to rising food, housing, and transport costs (Bank of England, 2023). Coastal hotels, which rely heavily on discretionary income, were especially affected.</w:t>
      </w:r>
    </w:p>
    <w:p w14:paraId="498810F4" w14:textId="77777777" w:rsidR="00D56887" w:rsidRPr="00D56887" w:rsidRDefault="00D56887" w:rsidP="00D56887">
      <w:pPr>
        <w:spacing w:line="360" w:lineRule="auto"/>
        <w:jc w:val="both"/>
        <w:rPr>
          <w:rFonts w:ascii="Arial" w:hAnsi="Arial" w:cs="Arial"/>
        </w:rPr>
      </w:pPr>
      <w:r w:rsidRPr="00D56887">
        <w:rPr>
          <w:rFonts w:ascii="Arial" w:hAnsi="Arial" w:cs="Arial"/>
        </w:rPr>
        <w:t>In addition, competition intensified. Newer hotels offer better value through modern design and efficient operations. The Coastal Horizon Hotel did not respond effectively to these market pressures.</w:t>
      </w:r>
    </w:p>
    <w:p w14:paraId="03FF3610" w14:textId="77777777" w:rsidR="00D56887" w:rsidRDefault="00D56887" w:rsidP="00D56887">
      <w:pPr>
        <w:spacing w:line="360" w:lineRule="auto"/>
        <w:jc w:val="both"/>
        <w:rPr>
          <w:rFonts w:ascii="Arial" w:hAnsi="Arial" w:cs="Arial"/>
        </w:rPr>
      </w:pPr>
      <w:r w:rsidRPr="00D56887">
        <w:rPr>
          <w:rFonts w:ascii="Arial" w:hAnsi="Arial" w:cs="Arial"/>
        </w:rPr>
        <w:t>Together, these factors caused declining occupancy, lower room rates, higher costs, and financial losses.</w:t>
      </w:r>
    </w:p>
    <w:p w14:paraId="27AD58C7" w14:textId="77777777" w:rsidR="00ED4349" w:rsidRPr="00ED4349" w:rsidRDefault="00ED4349" w:rsidP="00ED4349">
      <w:pPr>
        <w:spacing w:line="360" w:lineRule="auto"/>
        <w:jc w:val="both"/>
        <w:rPr>
          <w:rFonts w:ascii="Arial" w:hAnsi="Arial" w:cs="Arial"/>
        </w:rPr>
      </w:pPr>
      <w:r w:rsidRPr="00ED4349">
        <w:rPr>
          <w:rFonts w:ascii="Arial" w:hAnsi="Arial" w:cs="Arial"/>
        </w:rPr>
        <w:t>Management decision-making also contributed to the decline. A lack of timely strategic response delayed corrective action, allowing financial problems to deepen. Turnaround literature emphasises that slow managerial reaction often worsens performance during early stages of decline (Slatter et al., 2011). In this case, the absence of clear performance monitoring and cost benchmarking limited management’s ability to identify inefficiencies early.</w:t>
      </w:r>
    </w:p>
    <w:p w14:paraId="40339C6A" w14:textId="77777777" w:rsidR="00ED4349" w:rsidRPr="00ED4349" w:rsidRDefault="00ED4349" w:rsidP="00ED4349">
      <w:pPr>
        <w:spacing w:line="360" w:lineRule="auto"/>
        <w:jc w:val="both"/>
        <w:rPr>
          <w:rFonts w:ascii="Arial" w:hAnsi="Arial" w:cs="Arial"/>
        </w:rPr>
      </w:pPr>
      <w:r w:rsidRPr="00ED4349">
        <w:rPr>
          <w:rFonts w:ascii="Arial" w:hAnsi="Arial" w:cs="Arial"/>
        </w:rPr>
        <w:t>Pricing strategy weaknesses further reduced competitiveness. Static pricing during periods of falling demand prevented the hotel from attracting price-sensitive customers, while competitors adopted more flexible revenue management approaches (Hayes and Miller, 2011). In addition, limited investment in staff retention increased employee turnover, which can reduce service consistency and raise training costs (Baum et al., 2016).</w:t>
      </w:r>
    </w:p>
    <w:p w14:paraId="17046B59" w14:textId="77777777" w:rsidR="00ED4349" w:rsidRDefault="00ED4349" w:rsidP="00ED4349">
      <w:pPr>
        <w:spacing w:line="360" w:lineRule="auto"/>
        <w:jc w:val="both"/>
        <w:rPr>
          <w:rFonts w:ascii="Arial" w:hAnsi="Arial" w:cs="Arial"/>
        </w:rPr>
      </w:pPr>
      <w:r w:rsidRPr="00ED4349">
        <w:rPr>
          <w:rFonts w:ascii="Arial" w:hAnsi="Arial" w:cs="Arial"/>
        </w:rPr>
        <w:t>These operational and strategic weaknesses interacted with external economic pressures, accelerating financial deterioration and reducing the hotel’s ability to stabilise performance.</w:t>
      </w:r>
    </w:p>
    <w:p w14:paraId="092D141A" w14:textId="5D5A4179" w:rsidR="00ED4349" w:rsidRPr="00ED4349" w:rsidRDefault="00ED4349" w:rsidP="007470BA">
      <w:pPr>
        <w:pStyle w:val="Heading1"/>
      </w:pPr>
      <w:bookmarkStart w:id="10" w:name="_Toc219315979"/>
      <w:r w:rsidRPr="00ED4349">
        <w:lastRenderedPageBreak/>
        <w:t>Conclusion</w:t>
      </w:r>
      <w:bookmarkEnd w:id="10"/>
      <w:r w:rsidRPr="00ED4349">
        <w:t xml:space="preserve"> </w:t>
      </w:r>
    </w:p>
    <w:p w14:paraId="2168E670" w14:textId="77777777" w:rsidR="00ED4349" w:rsidRPr="00ED4349" w:rsidRDefault="00ED4349" w:rsidP="00ED4349">
      <w:pPr>
        <w:spacing w:line="360" w:lineRule="auto"/>
        <w:jc w:val="both"/>
        <w:rPr>
          <w:rFonts w:ascii="Arial" w:hAnsi="Arial" w:cs="Arial"/>
        </w:rPr>
      </w:pPr>
      <w:r w:rsidRPr="00ED4349">
        <w:rPr>
          <w:rFonts w:ascii="Arial" w:hAnsi="Arial" w:cs="Arial"/>
        </w:rPr>
        <w:t>This report assessed the Coastal Horizon Hotel’s financial and strategic position using market analysis, financial ratios, and industry trends. The findings show that the hotel has suffered from falling revenue, rising expenses, and weakening cash flow. Profitability turned negative in 2024, while liquidity and solvency risks increased.</w:t>
      </w:r>
    </w:p>
    <w:p w14:paraId="505D2AFB" w14:textId="77777777" w:rsidR="00ED4349" w:rsidRPr="00ED4349" w:rsidRDefault="00ED4349" w:rsidP="00ED4349">
      <w:pPr>
        <w:spacing w:line="360" w:lineRule="auto"/>
        <w:jc w:val="both"/>
        <w:rPr>
          <w:rFonts w:ascii="Arial" w:hAnsi="Arial" w:cs="Arial"/>
        </w:rPr>
      </w:pPr>
      <w:r w:rsidRPr="00ED4349">
        <w:rPr>
          <w:rFonts w:ascii="Arial" w:hAnsi="Arial" w:cs="Arial"/>
        </w:rPr>
        <w:t>Changing customer preferences, stronger competition, and economic pressure in the UK have intensified these problems. Internal weaknesses, such as outdated assets and declining service quality, further damaged performance. However, the analysis also shows that the hotel still holds valuable assets, including its coastal location and full-service offering.</w:t>
      </w:r>
    </w:p>
    <w:p w14:paraId="2146C64A" w14:textId="77777777" w:rsidR="00ED4349" w:rsidRPr="00ED4349" w:rsidRDefault="00ED4349" w:rsidP="00ED4349">
      <w:pPr>
        <w:spacing w:line="360" w:lineRule="auto"/>
        <w:jc w:val="both"/>
        <w:rPr>
          <w:rFonts w:ascii="Arial" w:hAnsi="Arial" w:cs="Arial"/>
        </w:rPr>
      </w:pPr>
      <w:r w:rsidRPr="00ED4349">
        <w:rPr>
          <w:rFonts w:ascii="Arial" w:hAnsi="Arial" w:cs="Arial"/>
        </w:rPr>
        <w:t>Turnaround theory suggests that recovery is possible when management acts early and decisively (Slatter et al., 2011). By improving cost control, upgrading facilities, and aligning services with modern guest expectations, the Coastal Horizon Hotel can restore stability.</w:t>
      </w:r>
    </w:p>
    <w:p w14:paraId="3331B5F6" w14:textId="77777777" w:rsidR="00ED4349" w:rsidRDefault="00ED4349" w:rsidP="00ED4349">
      <w:pPr>
        <w:spacing w:line="360" w:lineRule="auto"/>
        <w:jc w:val="both"/>
        <w:rPr>
          <w:rFonts w:ascii="Arial" w:hAnsi="Arial" w:cs="Arial"/>
        </w:rPr>
      </w:pPr>
      <w:r w:rsidRPr="00ED4349">
        <w:rPr>
          <w:rFonts w:ascii="Arial" w:hAnsi="Arial" w:cs="Arial"/>
        </w:rPr>
        <w:t>In conclusion, the business remains salvageable, but only if a clear and realistic strategy is implemented. The following recommendations outline practical steps to achieve financial recovery and rebuild reputation.</w:t>
      </w:r>
    </w:p>
    <w:p w14:paraId="092D0BEA" w14:textId="77777777" w:rsidR="00ED4349" w:rsidRPr="00ED4349" w:rsidRDefault="00ED4349" w:rsidP="00ED4349">
      <w:pPr>
        <w:spacing w:line="360" w:lineRule="auto"/>
        <w:jc w:val="both"/>
        <w:rPr>
          <w:rFonts w:ascii="Arial" w:hAnsi="Arial" w:cs="Arial"/>
        </w:rPr>
      </w:pPr>
      <w:r w:rsidRPr="00ED4349">
        <w:rPr>
          <w:rFonts w:ascii="Arial" w:hAnsi="Arial" w:cs="Arial"/>
        </w:rPr>
        <w:t>From a financial perspective, the results highlight the importance of aligning operational decisions with long-term financial sustainability. Short-term cost increases without matching revenue growth weakened resilience and reduced financial flexibility. The ratio analysis clearly demonstrates that declining liquidity and rising leverage restrict strategic choices and increase exposure to economic shocks (Ross et al., 2019). This reinforces the need for disciplined financial planning and continuous performance monitoring.</w:t>
      </w:r>
    </w:p>
    <w:p w14:paraId="202ED7F1" w14:textId="32F77769" w:rsidR="00ED4349" w:rsidRPr="00ED4349" w:rsidRDefault="00ED4349" w:rsidP="00ED4349">
      <w:pPr>
        <w:spacing w:line="360" w:lineRule="auto"/>
        <w:jc w:val="both"/>
        <w:rPr>
          <w:rFonts w:ascii="Arial" w:hAnsi="Arial" w:cs="Arial"/>
        </w:rPr>
      </w:pPr>
      <w:r w:rsidRPr="00ED4349">
        <w:rPr>
          <w:rFonts w:ascii="Arial" w:hAnsi="Arial" w:cs="Arial"/>
        </w:rPr>
        <w:t>Furthermore, the case reflects wider challenges facing the UK hospitality sector, where rising costs and changing demand patterns require adaptive business models. Hotels that fail to balance guest experience with cost efficiency risk prolonged underperformance. The Coastal Horizon Hotel’s situation therefore represents both a firm-specific issue and an industry-relevant example.</w:t>
      </w:r>
    </w:p>
    <w:p w14:paraId="401F05EA" w14:textId="77777777" w:rsidR="00ED4349" w:rsidRDefault="00ED4349" w:rsidP="00ED4349">
      <w:pPr>
        <w:spacing w:line="360" w:lineRule="auto"/>
        <w:jc w:val="both"/>
        <w:rPr>
          <w:rFonts w:ascii="Arial" w:hAnsi="Arial" w:cs="Arial"/>
        </w:rPr>
      </w:pPr>
      <w:r w:rsidRPr="00ED4349">
        <w:rPr>
          <w:rFonts w:ascii="Arial" w:hAnsi="Arial" w:cs="Arial"/>
        </w:rPr>
        <w:t xml:space="preserve">Overall, the conclusions drawn from this analysis provide a strong foundation for the recommended turnaround actions. If implemented effectively, these measures can </w:t>
      </w:r>
      <w:r w:rsidRPr="00ED4349">
        <w:rPr>
          <w:rFonts w:ascii="Arial" w:hAnsi="Arial" w:cs="Arial"/>
        </w:rPr>
        <w:lastRenderedPageBreak/>
        <w:t>improve financial control, rebuild customer confidence, and support sustainable recovery.</w:t>
      </w:r>
    </w:p>
    <w:p w14:paraId="4BF46B82" w14:textId="4AA9FE55" w:rsidR="00ED4349" w:rsidRPr="00ED4349" w:rsidRDefault="00ED4349" w:rsidP="007470BA">
      <w:pPr>
        <w:pStyle w:val="Heading1"/>
      </w:pPr>
      <w:bookmarkStart w:id="11" w:name="_Toc219315980"/>
      <w:r w:rsidRPr="00ED4349">
        <w:t>Recommendations</w:t>
      </w:r>
      <w:bookmarkEnd w:id="11"/>
      <w:r w:rsidRPr="00ED4349">
        <w:t xml:space="preserve"> </w:t>
      </w:r>
    </w:p>
    <w:p w14:paraId="7ACD35EF" w14:textId="1D6932E0" w:rsidR="00ED4349" w:rsidRPr="00ED4349" w:rsidRDefault="00ED4349" w:rsidP="00ED4349">
      <w:pPr>
        <w:spacing w:line="360" w:lineRule="auto"/>
        <w:jc w:val="both"/>
        <w:rPr>
          <w:rFonts w:ascii="Arial" w:hAnsi="Arial" w:cs="Arial"/>
        </w:rPr>
      </w:pPr>
      <w:r w:rsidRPr="00ED4349">
        <w:rPr>
          <w:rFonts w:ascii="Arial" w:hAnsi="Arial" w:cs="Arial"/>
        </w:rPr>
        <w:t>First, the hotel should implement strict cost management. Energy-saving systems and supplier renegotiation can reduce operating expenses. Many UK hotels have successfully cut costs through efficiency audits.</w:t>
      </w:r>
    </w:p>
    <w:p w14:paraId="2D9B1E9E" w14:textId="77777777" w:rsidR="00ED4349" w:rsidRPr="00ED4349" w:rsidRDefault="00ED4349" w:rsidP="00ED4349">
      <w:pPr>
        <w:spacing w:line="360" w:lineRule="auto"/>
        <w:jc w:val="both"/>
        <w:rPr>
          <w:rFonts w:ascii="Arial" w:hAnsi="Arial" w:cs="Arial"/>
        </w:rPr>
      </w:pPr>
      <w:r w:rsidRPr="00ED4349">
        <w:rPr>
          <w:rFonts w:ascii="Arial" w:hAnsi="Arial" w:cs="Arial"/>
        </w:rPr>
        <w:t>Second, selective refurbishment is essential. Updating rooms, bathrooms, and public areas will improve guest satisfaction and allow higher room rates. Investment should focus on high-impact areas rather than full renovation to manage cash flow risk.</w:t>
      </w:r>
    </w:p>
    <w:p w14:paraId="32F25290" w14:textId="77777777" w:rsidR="00ED4349" w:rsidRPr="00ED4349" w:rsidRDefault="00ED4349" w:rsidP="00ED4349">
      <w:pPr>
        <w:spacing w:line="360" w:lineRule="auto"/>
        <w:jc w:val="both"/>
        <w:rPr>
          <w:rFonts w:ascii="Arial" w:hAnsi="Arial" w:cs="Arial"/>
        </w:rPr>
      </w:pPr>
      <w:r w:rsidRPr="00ED4349">
        <w:rPr>
          <w:rFonts w:ascii="Arial" w:hAnsi="Arial" w:cs="Arial"/>
        </w:rPr>
        <w:t>Third, service quality must improve. Staff training in customer care can raise review scores and loyalty. Research shows that service excellence strongly influences hotel profitability (</w:t>
      </w:r>
      <w:proofErr w:type="spellStart"/>
      <w:r w:rsidRPr="00ED4349">
        <w:rPr>
          <w:rFonts w:ascii="Arial" w:hAnsi="Arial" w:cs="Arial"/>
        </w:rPr>
        <w:t>Kandampully</w:t>
      </w:r>
      <w:proofErr w:type="spellEnd"/>
      <w:r w:rsidRPr="00ED4349">
        <w:rPr>
          <w:rFonts w:ascii="Arial" w:hAnsi="Arial" w:cs="Arial"/>
        </w:rPr>
        <w:t xml:space="preserve"> et al., 2018).</w:t>
      </w:r>
    </w:p>
    <w:p w14:paraId="15563CE0" w14:textId="77777777" w:rsidR="00ED4349" w:rsidRPr="00ED4349" w:rsidRDefault="00ED4349" w:rsidP="00ED4349">
      <w:pPr>
        <w:spacing w:line="360" w:lineRule="auto"/>
        <w:jc w:val="both"/>
        <w:rPr>
          <w:rFonts w:ascii="Arial" w:hAnsi="Arial" w:cs="Arial"/>
        </w:rPr>
      </w:pPr>
      <w:r w:rsidRPr="00ED4349">
        <w:rPr>
          <w:rFonts w:ascii="Arial" w:hAnsi="Arial" w:cs="Arial"/>
        </w:rPr>
        <w:t>Fourth, pricing and revenue management should be revised. Dynamic pricing based on demand patterns can increase ARR and occupancy (Hayes and Miller, 2011). Bundled offers with dining or events may also add value.</w:t>
      </w:r>
    </w:p>
    <w:p w14:paraId="286A19B2" w14:textId="77777777" w:rsidR="00ED4349" w:rsidRPr="00ED4349" w:rsidRDefault="00ED4349" w:rsidP="00ED4349">
      <w:pPr>
        <w:spacing w:line="360" w:lineRule="auto"/>
        <w:jc w:val="both"/>
        <w:rPr>
          <w:rFonts w:ascii="Arial" w:hAnsi="Arial" w:cs="Arial"/>
        </w:rPr>
      </w:pPr>
      <w:r w:rsidRPr="00ED4349">
        <w:rPr>
          <w:rFonts w:ascii="Arial" w:hAnsi="Arial" w:cs="Arial"/>
        </w:rPr>
        <w:t>Fifth, digital marketing should be strengthened. Improved online presence, review management, and direct booking incentives can reduce reliance on third-party platforms and increase margins (</w:t>
      </w:r>
      <w:proofErr w:type="spellStart"/>
      <w:r w:rsidRPr="00ED4349">
        <w:rPr>
          <w:rFonts w:ascii="Arial" w:hAnsi="Arial" w:cs="Arial"/>
        </w:rPr>
        <w:t>Buhalis</w:t>
      </w:r>
      <w:proofErr w:type="spellEnd"/>
      <w:r w:rsidRPr="00ED4349">
        <w:rPr>
          <w:rFonts w:ascii="Arial" w:hAnsi="Arial" w:cs="Arial"/>
        </w:rPr>
        <w:t>, 2020).</w:t>
      </w:r>
    </w:p>
    <w:p w14:paraId="09687D9C" w14:textId="77777777" w:rsidR="00ED4349" w:rsidRPr="00ED4349" w:rsidRDefault="00ED4349" w:rsidP="00ED4349">
      <w:pPr>
        <w:spacing w:line="360" w:lineRule="auto"/>
        <w:jc w:val="both"/>
        <w:rPr>
          <w:rFonts w:ascii="Arial" w:hAnsi="Arial" w:cs="Arial"/>
        </w:rPr>
      </w:pPr>
      <w:r w:rsidRPr="00ED4349">
        <w:rPr>
          <w:rFonts w:ascii="Arial" w:hAnsi="Arial" w:cs="Arial"/>
        </w:rPr>
        <w:t>Finally, financial restructuring should be considered. Discussions with lenders about debt terms may ease pressure on cash flow. Maintaining sufficient liquidity is critical during recovery.</w:t>
      </w:r>
    </w:p>
    <w:p w14:paraId="08A78924" w14:textId="77777777" w:rsidR="00ED4349" w:rsidRPr="00ED4349" w:rsidRDefault="00ED4349" w:rsidP="00ED4349">
      <w:pPr>
        <w:spacing w:line="360" w:lineRule="auto"/>
        <w:jc w:val="both"/>
        <w:rPr>
          <w:rFonts w:ascii="Arial" w:hAnsi="Arial" w:cs="Arial"/>
        </w:rPr>
      </w:pPr>
      <w:r w:rsidRPr="00ED4349">
        <w:rPr>
          <w:rFonts w:ascii="Arial" w:hAnsi="Arial" w:cs="Arial"/>
        </w:rPr>
        <w:t>These recommendations are realistic, financially grounded, and aligned with the key findings. If applied together, they can restore financial health and reposition the Coastal Horizon Hotel as a competitive coastal destination.</w:t>
      </w:r>
    </w:p>
    <w:p w14:paraId="11C46A85" w14:textId="77777777" w:rsidR="00ED4349" w:rsidRPr="00ED4349" w:rsidRDefault="00ED4349" w:rsidP="00ED4349">
      <w:pPr>
        <w:spacing w:line="360" w:lineRule="auto"/>
        <w:jc w:val="both"/>
        <w:rPr>
          <w:rFonts w:ascii="Arial" w:hAnsi="Arial" w:cs="Arial"/>
        </w:rPr>
      </w:pPr>
      <w:r w:rsidRPr="00ED4349">
        <w:rPr>
          <w:rFonts w:ascii="Arial" w:hAnsi="Arial" w:cs="Arial"/>
        </w:rPr>
        <w:t>In addition, the hotel should adopt a phased implementation plan to reduce financial risk. Prioritising quick-win actions, such as operational efficiency and marketing improvements, can generate early cash inflows to support later investments. Turnaround research highlights the importance of sequencing actions to stabilise performance before pursuing growth initiatives (Slatter et al., 2011).</w:t>
      </w:r>
    </w:p>
    <w:p w14:paraId="37372E95" w14:textId="77777777" w:rsidR="00ED4349" w:rsidRPr="00ED4349" w:rsidRDefault="00ED4349" w:rsidP="00ED4349">
      <w:pPr>
        <w:spacing w:line="360" w:lineRule="auto"/>
        <w:jc w:val="both"/>
        <w:rPr>
          <w:rFonts w:ascii="Arial" w:hAnsi="Arial" w:cs="Arial"/>
        </w:rPr>
      </w:pPr>
      <w:r w:rsidRPr="00ED4349">
        <w:rPr>
          <w:rFonts w:ascii="Arial" w:hAnsi="Arial" w:cs="Arial"/>
        </w:rPr>
        <w:lastRenderedPageBreak/>
        <w:t>Partnership development also offers potential benefits. Collaborating with local tourism providers, event organisers, and transport services can enhance the guest experience while sharing marketing costs. Destination-based partnerships are widely used in coastal regions to increase demand and length of stay (UNWTO, 2022).</w:t>
      </w:r>
    </w:p>
    <w:p w14:paraId="5B02E1CB" w14:textId="13DF7BF2" w:rsidR="00ED4349" w:rsidRPr="00ED4349" w:rsidRDefault="00ED4349" w:rsidP="00ED4349">
      <w:pPr>
        <w:spacing w:line="360" w:lineRule="auto"/>
        <w:jc w:val="both"/>
        <w:rPr>
          <w:rFonts w:ascii="Arial" w:hAnsi="Arial" w:cs="Arial"/>
        </w:rPr>
      </w:pPr>
      <w:r w:rsidRPr="00ED4349">
        <w:rPr>
          <w:rFonts w:ascii="Arial" w:hAnsi="Arial" w:cs="Arial"/>
        </w:rPr>
        <w:t>Furthermore, stronger financial controls should be introduced. Regular budget monitoring, variance analysis, and performance benchmarking against similar hotels can improve decision-making and accountability (</w:t>
      </w:r>
      <w:proofErr w:type="spellStart"/>
      <w:r w:rsidRPr="00ED4349">
        <w:rPr>
          <w:rFonts w:ascii="Arial" w:hAnsi="Arial" w:cs="Arial"/>
        </w:rPr>
        <w:t>Guilding</w:t>
      </w:r>
      <w:proofErr w:type="spellEnd"/>
      <w:r w:rsidRPr="00ED4349">
        <w:rPr>
          <w:rFonts w:ascii="Arial" w:hAnsi="Arial" w:cs="Arial"/>
        </w:rPr>
        <w:t xml:space="preserve">, 2014). This would </w:t>
      </w:r>
      <w:r w:rsidR="00002B50">
        <w:rPr>
          <w:rFonts w:ascii="Arial" w:hAnsi="Arial" w:cs="Arial"/>
        </w:rPr>
        <w:t>enable management to identify cost overruns promptly and adjust strategies accordingly</w:t>
      </w:r>
      <w:r w:rsidRPr="00ED4349">
        <w:rPr>
          <w:rFonts w:ascii="Arial" w:hAnsi="Arial" w:cs="Arial"/>
        </w:rPr>
        <w:t>.</w:t>
      </w:r>
    </w:p>
    <w:p w14:paraId="189D1685" w14:textId="1D73380D" w:rsidR="00ED4349" w:rsidRPr="00ED4349" w:rsidRDefault="00ED4349" w:rsidP="00ED4349">
      <w:pPr>
        <w:spacing w:line="360" w:lineRule="auto"/>
        <w:jc w:val="both"/>
        <w:rPr>
          <w:rFonts w:ascii="Arial" w:hAnsi="Arial" w:cs="Arial"/>
        </w:rPr>
      </w:pPr>
      <w:r w:rsidRPr="00ED4349">
        <w:rPr>
          <w:rFonts w:ascii="Arial" w:hAnsi="Arial" w:cs="Arial"/>
        </w:rPr>
        <w:t>Finally, sustainability initiatives should be embedded into the business model. Simple measures</w:t>
      </w:r>
      <w:r w:rsidR="00002B50">
        <w:rPr>
          <w:rFonts w:ascii="Arial" w:hAnsi="Arial" w:cs="Arial"/>
        </w:rPr>
        <w:t>, such as waste reduction, water efficiency, and responsible sourcing, can lower operating costs while enhancing</w:t>
      </w:r>
      <w:r w:rsidRPr="00ED4349">
        <w:rPr>
          <w:rFonts w:ascii="Arial" w:hAnsi="Arial" w:cs="Arial"/>
        </w:rPr>
        <w:t xml:space="preserve"> brand perception. Sustainable practices increasingly influence customer choice and investor confidence within the hospitality sector (Deloitte, 2023).</w:t>
      </w:r>
    </w:p>
    <w:p w14:paraId="5D75A3C3" w14:textId="77777777" w:rsidR="00ED4349" w:rsidRPr="00ED4349" w:rsidRDefault="00ED4349" w:rsidP="00ED4349">
      <w:pPr>
        <w:spacing w:line="360" w:lineRule="auto"/>
        <w:jc w:val="both"/>
        <w:rPr>
          <w:rFonts w:ascii="Arial" w:hAnsi="Arial" w:cs="Arial"/>
        </w:rPr>
      </w:pPr>
      <w:r w:rsidRPr="00ED4349">
        <w:rPr>
          <w:rFonts w:ascii="Arial" w:hAnsi="Arial" w:cs="Arial"/>
        </w:rPr>
        <w:t>Together, these additional measures support the core recommendations and enhance the likelihood of a successful and sustainable turnaround.</w:t>
      </w:r>
    </w:p>
    <w:p w14:paraId="4F0A8DDC" w14:textId="77777777" w:rsidR="00ED4349" w:rsidRDefault="00ED4349" w:rsidP="00ED4349">
      <w:pPr>
        <w:spacing w:line="360" w:lineRule="auto"/>
        <w:jc w:val="both"/>
        <w:rPr>
          <w:rFonts w:ascii="Arial" w:hAnsi="Arial" w:cs="Arial"/>
        </w:rPr>
      </w:pPr>
    </w:p>
    <w:p w14:paraId="787E118E" w14:textId="77777777" w:rsidR="00805647" w:rsidRDefault="00805647" w:rsidP="00ED4349">
      <w:pPr>
        <w:spacing w:line="360" w:lineRule="auto"/>
        <w:jc w:val="both"/>
        <w:rPr>
          <w:rFonts w:ascii="Arial" w:hAnsi="Arial" w:cs="Arial"/>
        </w:rPr>
      </w:pPr>
    </w:p>
    <w:p w14:paraId="68722968" w14:textId="77777777" w:rsidR="00805647" w:rsidRDefault="00805647" w:rsidP="00ED4349">
      <w:pPr>
        <w:spacing w:line="360" w:lineRule="auto"/>
        <w:jc w:val="both"/>
        <w:rPr>
          <w:rFonts w:ascii="Arial" w:hAnsi="Arial" w:cs="Arial"/>
        </w:rPr>
      </w:pPr>
    </w:p>
    <w:p w14:paraId="13188D0B" w14:textId="77777777" w:rsidR="00805647" w:rsidRDefault="00805647" w:rsidP="00ED4349">
      <w:pPr>
        <w:spacing w:line="360" w:lineRule="auto"/>
        <w:jc w:val="both"/>
        <w:rPr>
          <w:rFonts w:ascii="Arial" w:hAnsi="Arial" w:cs="Arial"/>
        </w:rPr>
      </w:pPr>
    </w:p>
    <w:p w14:paraId="60E84944" w14:textId="77777777" w:rsidR="00805647" w:rsidRDefault="00805647" w:rsidP="00ED4349">
      <w:pPr>
        <w:spacing w:line="360" w:lineRule="auto"/>
        <w:jc w:val="both"/>
        <w:rPr>
          <w:rFonts w:ascii="Arial" w:hAnsi="Arial" w:cs="Arial"/>
        </w:rPr>
      </w:pPr>
    </w:p>
    <w:p w14:paraId="6D086DB6" w14:textId="77777777" w:rsidR="00805647" w:rsidRDefault="00805647" w:rsidP="00ED4349">
      <w:pPr>
        <w:spacing w:line="360" w:lineRule="auto"/>
        <w:jc w:val="both"/>
        <w:rPr>
          <w:rFonts w:ascii="Arial" w:hAnsi="Arial" w:cs="Arial"/>
        </w:rPr>
      </w:pPr>
    </w:p>
    <w:p w14:paraId="1999E586" w14:textId="77777777" w:rsidR="00805647" w:rsidRDefault="00805647" w:rsidP="00ED4349">
      <w:pPr>
        <w:spacing w:line="360" w:lineRule="auto"/>
        <w:jc w:val="both"/>
        <w:rPr>
          <w:rFonts w:ascii="Arial" w:hAnsi="Arial" w:cs="Arial"/>
        </w:rPr>
      </w:pPr>
    </w:p>
    <w:p w14:paraId="66690703" w14:textId="77777777" w:rsidR="00805647" w:rsidRDefault="00805647" w:rsidP="00ED4349">
      <w:pPr>
        <w:spacing w:line="360" w:lineRule="auto"/>
        <w:jc w:val="both"/>
        <w:rPr>
          <w:rFonts w:ascii="Arial" w:hAnsi="Arial" w:cs="Arial"/>
        </w:rPr>
      </w:pPr>
    </w:p>
    <w:p w14:paraId="16C2F68C" w14:textId="77777777" w:rsidR="00805647" w:rsidRDefault="00805647" w:rsidP="00ED4349">
      <w:pPr>
        <w:spacing w:line="360" w:lineRule="auto"/>
        <w:jc w:val="both"/>
        <w:rPr>
          <w:rFonts w:ascii="Arial" w:hAnsi="Arial" w:cs="Arial"/>
        </w:rPr>
      </w:pPr>
    </w:p>
    <w:p w14:paraId="4E625658" w14:textId="77777777" w:rsidR="00805647" w:rsidRDefault="00805647" w:rsidP="00ED4349">
      <w:pPr>
        <w:spacing w:line="360" w:lineRule="auto"/>
        <w:jc w:val="both"/>
        <w:rPr>
          <w:rFonts w:ascii="Arial" w:hAnsi="Arial" w:cs="Arial"/>
        </w:rPr>
      </w:pPr>
    </w:p>
    <w:p w14:paraId="2C94B250" w14:textId="5F89840C" w:rsidR="00805647" w:rsidRDefault="00805647" w:rsidP="007470BA">
      <w:pPr>
        <w:pStyle w:val="Heading1"/>
      </w:pPr>
      <w:bookmarkStart w:id="12" w:name="_Toc219315981"/>
      <w:r w:rsidRPr="00805647">
        <w:lastRenderedPageBreak/>
        <w:t>References</w:t>
      </w:r>
      <w:r>
        <w:t>:</w:t>
      </w:r>
      <w:bookmarkEnd w:id="12"/>
    </w:p>
    <w:p w14:paraId="23DBACA8" w14:textId="405CD833" w:rsid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Ali, F., Hussain, K. and Ragavan, N.A. (2014) Memorable customer experience: Examining the effects of customers’ experience on memories and loyalty in Malaysian resort hotels, </w:t>
      </w:r>
      <w:r w:rsidRPr="00805647">
        <w:rPr>
          <w:rFonts w:ascii="Arial" w:hAnsi="Arial" w:cs="Arial"/>
          <w:i/>
          <w:iCs/>
        </w:rPr>
        <w:t xml:space="preserve">Procedia – Social and </w:t>
      </w:r>
      <w:proofErr w:type="spellStart"/>
      <w:r w:rsidRPr="00805647">
        <w:rPr>
          <w:rFonts w:ascii="Arial" w:hAnsi="Arial" w:cs="Arial"/>
          <w:i/>
          <w:iCs/>
        </w:rPr>
        <w:t>Behavioral</w:t>
      </w:r>
      <w:proofErr w:type="spellEnd"/>
      <w:r w:rsidRPr="00805647">
        <w:rPr>
          <w:rFonts w:ascii="Arial" w:hAnsi="Arial" w:cs="Arial"/>
          <w:i/>
          <w:iCs/>
        </w:rPr>
        <w:t xml:space="preserve"> Sciences</w:t>
      </w:r>
      <w:r w:rsidRPr="00805647">
        <w:rPr>
          <w:rFonts w:ascii="Arial" w:hAnsi="Arial" w:cs="Arial"/>
        </w:rPr>
        <w:t>, 144, pp. 336–345</w:t>
      </w:r>
    </w:p>
    <w:p w14:paraId="693C6139" w14:textId="399BAA29" w:rsidR="00805647" w:rsidRPr="00805647" w:rsidRDefault="00805647" w:rsidP="00805647">
      <w:pPr>
        <w:pStyle w:val="ListParagraph"/>
        <w:numPr>
          <w:ilvl w:val="0"/>
          <w:numId w:val="2"/>
        </w:numPr>
        <w:spacing w:line="360" w:lineRule="auto"/>
        <w:jc w:val="both"/>
        <w:rPr>
          <w:rFonts w:ascii="Arial" w:hAnsi="Arial" w:cs="Arial"/>
        </w:rPr>
      </w:pPr>
      <w:proofErr w:type="spellStart"/>
      <w:r w:rsidRPr="00805647">
        <w:rPr>
          <w:rFonts w:ascii="Arial" w:hAnsi="Arial" w:cs="Arial"/>
        </w:rPr>
        <w:t>Atrill</w:t>
      </w:r>
      <w:proofErr w:type="spellEnd"/>
      <w:r w:rsidRPr="00805647">
        <w:rPr>
          <w:rFonts w:ascii="Arial" w:hAnsi="Arial" w:cs="Arial"/>
        </w:rPr>
        <w:t xml:space="preserve">, P. and McLaney, E. (2020) </w:t>
      </w:r>
      <w:r w:rsidRPr="00805647">
        <w:rPr>
          <w:rFonts w:ascii="Arial" w:hAnsi="Arial" w:cs="Arial"/>
          <w:i/>
          <w:iCs/>
        </w:rPr>
        <w:t>Accounting and Finance for Non-Specialists</w:t>
      </w:r>
      <w:r w:rsidRPr="00805647">
        <w:rPr>
          <w:rFonts w:ascii="Arial" w:hAnsi="Arial" w:cs="Arial"/>
        </w:rPr>
        <w:t xml:space="preserve">. 11th </w:t>
      </w:r>
      <w:proofErr w:type="spellStart"/>
      <w:r w:rsidRPr="00805647">
        <w:rPr>
          <w:rFonts w:ascii="Arial" w:hAnsi="Arial" w:cs="Arial"/>
        </w:rPr>
        <w:t>edn</w:t>
      </w:r>
      <w:proofErr w:type="spellEnd"/>
      <w:r w:rsidRPr="00805647">
        <w:rPr>
          <w:rFonts w:ascii="Arial" w:hAnsi="Arial" w:cs="Arial"/>
        </w:rPr>
        <w:t>. Harlow: Pearson Education</w:t>
      </w:r>
    </w:p>
    <w:p w14:paraId="4C6AB7CD"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Bank of England (2023) </w:t>
      </w:r>
      <w:r w:rsidRPr="00805647">
        <w:rPr>
          <w:rFonts w:ascii="Arial" w:hAnsi="Arial" w:cs="Arial"/>
          <w:i/>
          <w:iCs/>
        </w:rPr>
        <w:t>Monetary Policy Report – February 2023</w:t>
      </w:r>
      <w:r w:rsidRPr="00805647">
        <w:rPr>
          <w:rFonts w:ascii="Arial" w:hAnsi="Arial" w:cs="Arial"/>
        </w:rPr>
        <w:t>. London: Bank of England</w:t>
      </w:r>
    </w:p>
    <w:p w14:paraId="351A031F"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Baum, T., Kralj, A., Robinson, R. and </w:t>
      </w:r>
      <w:proofErr w:type="spellStart"/>
      <w:r w:rsidRPr="00805647">
        <w:rPr>
          <w:rFonts w:ascii="Arial" w:hAnsi="Arial" w:cs="Arial"/>
        </w:rPr>
        <w:t>Solnet</w:t>
      </w:r>
      <w:proofErr w:type="spellEnd"/>
      <w:r w:rsidRPr="00805647">
        <w:rPr>
          <w:rFonts w:ascii="Arial" w:hAnsi="Arial" w:cs="Arial"/>
        </w:rPr>
        <w:t xml:space="preserve">, D. (2016) Tourism workforce challenges: A critical review, </w:t>
      </w:r>
      <w:r w:rsidRPr="00805647">
        <w:rPr>
          <w:rFonts w:ascii="Arial" w:hAnsi="Arial" w:cs="Arial"/>
          <w:i/>
          <w:iCs/>
        </w:rPr>
        <w:t>Journal of Sustainable Tourism</w:t>
      </w:r>
      <w:r w:rsidRPr="00805647">
        <w:rPr>
          <w:rFonts w:ascii="Arial" w:hAnsi="Arial" w:cs="Arial"/>
        </w:rPr>
        <w:t>, 24(6), pp. 1–18</w:t>
      </w:r>
    </w:p>
    <w:p w14:paraId="2C64CF8F"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Bibeault, D.B. (1999) </w:t>
      </w:r>
      <w:r w:rsidRPr="00805647">
        <w:rPr>
          <w:rFonts w:ascii="Arial" w:hAnsi="Arial" w:cs="Arial"/>
          <w:i/>
          <w:iCs/>
        </w:rPr>
        <w:t>Corporate Turnaround: How Managers Turn Losers into Winners</w:t>
      </w:r>
      <w:r w:rsidRPr="00805647">
        <w:rPr>
          <w:rFonts w:ascii="Arial" w:hAnsi="Arial" w:cs="Arial"/>
        </w:rPr>
        <w:t>. New York: McGraw-Hill</w:t>
      </w:r>
    </w:p>
    <w:p w14:paraId="327B6296" w14:textId="77777777" w:rsidR="00805647" w:rsidRPr="00805647" w:rsidRDefault="00805647" w:rsidP="00805647">
      <w:pPr>
        <w:pStyle w:val="ListParagraph"/>
        <w:numPr>
          <w:ilvl w:val="0"/>
          <w:numId w:val="2"/>
        </w:numPr>
        <w:spacing w:line="360" w:lineRule="auto"/>
        <w:jc w:val="both"/>
        <w:rPr>
          <w:rFonts w:ascii="Arial" w:hAnsi="Arial" w:cs="Arial"/>
        </w:rPr>
      </w:pPr>
      <w:proofErr w:type="spellStart"/>
      <w:r w:rsidRPr="00805647">
        <w:rPr>
          <w:rFonts w:ascii="Arial" w:hAnsi="Arial" w:cs="Arial"/>
        </w:rPr>
        <w:t>Buhalis</w:t>
      </w:r>
      <w:proofErr w:type="spellEnd"/>
      <w:r w:rsidRPr="00805647">
        <w:rPr>
          <w:rFonts w:ascii="Arial" w:hAnsi="Arial" w:cs="Arial"/>
        </w:rPr>
        <w:t xml:space="preserve">, D. (2020) Technology in tourism: From information communication technologies to </w:t>
      </w:r>
      <w:proofErr w:type="spellStart"/>
      <w:r w:rsidRPr="00805647">
        <w:rPr>
          <w:rFonts w:ascii="Arial" w:hAnsi="Arial" w:cs="Arial"/>
        </w:rPr>
        <w:t>eTourism</w:t>
      </w:r>
      <w:proofErr w:type="spellEnd"/>
      <w:r w:rsidRPr="00805647">
        <w:rPr>
          <w:rFonts w:ascii="Arial" w:hAnsi="Arial" w:cs="Arial"/>
        </w:rPr>
        <w:t xml:space="preserve"> and smart tourism, </w:t>
      </w:r>
      <w:r w:rsidRPr="00805647">
        <w:rPr>
          <w:rFonts w:ascii="Arial" w:hAnsi="Arial" w:cs="Arial"/>
          <w:i/>
          <w:iCs/>
        </w:rPr>
        <w:t>Tourism Management</w:t>
      </w:r>
      <w:r w:rsidRPr="00805647">
        <w:rPr>
          <w:rFonts w:ascii="Arial" w:hAnsi="Arial" w:cs="Arial"/>
        </w:rPr>
        <w:t>, 78, pp. 1–10</w:t>
      </w:r>
    </w:p>
    <w:p w14:paraId="4281F2D4" w14:textId="77777777" w:rsidR="00805647" w:rsidRPr="00805647" w:rsidRDefault="00805647" w:rsidP="00805647">
      <w:pPr>
        <w:pStyle w:val="ListParagraph"/>
        <w:numPr>
          <w:ilvl w:val="0"/>
          <w:numId w:val="2"/>
        </w:numPr>
        <w:spacing w:line="360" w:lineRule="auto"/>
        <w:jc w:val="both"/>
        <w:rPr>
          <w:rFonts w:ascii="Arial" w:hAnsi="Arial" w:cs="Arial"/>
        </w:rPr>
      </w:pPr>
      <w:proofErr w:type="spellStart"/>
      <w:r w:rsidRPr="00805647">
        <w:rPr>
          <w:rFonts w:ascii="Arial" w:hAnsi="Arial" w:cs="Arial"/>
        </w:rPr>
        <w:t>Buhalis</w:t>
      </w:r>
      <w:proofErr w:type="spellEnd"/>
      <w:r w:rsidRPr="00805647">
        <w:rPr>
          <w:rFonts w:ascii="Arial" w:hAnsi="Arial" w:cs="Arial"/>
        </w:rPr>
        <w:t xml:space="preserve">, D. and Law, R. (2008) Progress in information technology and tourism management: 20 years on and 10 years after the Internet, </w:t>
      </w:r>
      <w:r w:rsidRPr="00805647">
        <w:rPr>
          <w:rFonts w:ascii="Arial" w:hAnsi="Arial" w:cs="Arial"/>
          <w:i/>
          <w:iCs/>
        </w:rPr>
        <w:t>Tourism Management</w:t>
      </w:r>
      <w:r w:rsidRPr="00805647">
        <w:rPr>
          <w:rFonts w:ascii="Arial" w:hAnsi="Arial" w:cs="Arial"/>
        </w:rPr>
        <w:t>, 29(4), pp. 609–623</w:t>
      </w:r>
    </w:p>
    <w:p w14:paraId="0E4D7CCB"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Deloitte (2023) </w:t>
      </w:r>
      <w:r w:rsidRPr="00805647">
        <w:rPr>
          <w:rFonts w:ascii="Arial" w:hAnsi="Arial" w:cs="Arial"/>
          <w:i/>
          <w:iCs/>
        </w:rPr>
        <w:t>2023 Travel, Hospitality and Leisure Industry Outlook</w:t>
      </w:r>
      <w:r w:rsidRPr="00805647">
        <w:rPr>
          <w:rFonts w:ascii="Arial" w:hAnsi="Arial" w:cs="Arial"/>
        </w:rPr>
        <w:t>. London: Deloitte</w:t>
      </w:r>
    </w:p>
    <w:p w14:paraId="4DB9400D" w14:textId="77777777" w:rsidR="00805647" w:rsidRPr="00805647" w:rsidRDefault="00805647" w:rsidP="00805647">
      <w:pPr>
        <w:pStyle w:val="ListParagraph"/>
        <w:numPr>
          <w:ilvl w:val="0"/>
          <w:numId w:val="2"/>
        </w:numPr>
        <w:spacing w:line="360" w:lineRule="auto"/>
        <w:jc w:val="both"/>
        <w:rPr>
          <w:rFonts w:ascii="Arial" w:hAnsi="Arial" w:cs="Arial"/>
        </w:rPr>
      </w:pPr>
      <w:proofErr w:type="spellStart"/>
      <w:r w:rsidRPr="00805647">
        <w:rPr>
          <w:rFonts w:ascii="Arial" w:hAnsi="Arial" w:cs="Arial"/>
        </w:rPr>
        <w:t>Fridson</w:t>
      </w:r>
      <w:proofErr w:type="spellEnd"/>
      <w:r w:rsidRPr="00805647">
        <w:rPr>
          <w:rFonts w:ascii="Arial" w:hAnsi="Arial" w:cs="Arial"/>
        </w:rPr>
        <w:t xml:space="preserve">, M.S. and Alvarez, F. (2011) </w:t>
      </w:r>
      <w:r w:rsidRPr="00805647">
        <w:rPr>
          <w:rFonts w:ascii="Arial" w:hAnsi="Arial" w:cs="Arial"/>
          <w:i/>
          <w:iCs/>
        </w:rPr>
        <w:t>Financial Statement Analysis: A Practitioner’s Guide</w:t>
      </w:r>
      <w:r w:rsidRPr="00805647">
        <w:rPr>
          <w:rFonts w:ascii="Arial" w:hAnsi="Arial" w:cs="Arial"/>
        </w:rPr>
        <w:t xml:space="preserve">. 4th </w:t>
      </w:r>
      <w:proofErr w:type="spellStart"/>
      <w:r w:rsidRPr="00805647">
        <w:rPr>
          <w:rFonts w:ascii="Arial" w:hAnsi="Arial" w:cs="Arial"/>
        </w:rPr>
        <w:t>edn</w:t>
      </w:r>
      <w:proofErr w:type="spellEnd"/>
      <w:r w:rsidRPr="00805647">
        <w:rPr>
          <w:rFonts w:ascii="Arial" w:hAnsi="Arial" w:cs="Arial"/>
        </w:rPr>
        <w:t>. Hoboken, NJ: John Wiley &amp; Sons</w:t>
      </w:r>
    </w:p>
    <w:p w14:paraId="56DB176D" w14:textId="77777777" w:rsidR="00805647" w:rsidRPr="00805647" w:rsidRDefault="00805647" w:rsidP="00805647">
      <w:pPr>
        <w:pStyle w:val="ListParagraph"/>
        <w:numPr>
          <w:ilvl w:val="0"/>
          <w:numId w:val="2"/>
        </w:numPr>
        <w:spacing w:line="360" w:lineRule="auto"/>
        <w:jc w:val="both"/>
        <w:rPr>
          <w:rFonts w:ascii="Arial" w:hAnsi="Arial" w:cs="Arial"/>
        </w:rPr>
      </w:pPr>
      <w:proofErr w:type="spellStart"/>
      <w:r w:rsidRPr="00805647">
        <w:rPr>
          <w:rFonts w:ascii="Arial" w:hAnsi="Arial" w:cs="Arial"/>
        </w:rPr>
        <w:t>Guilding</w:t>
      </w:r>
      <w:proofErr w:type="spellEnd"/>
      <w:r w:rsidRPr="00805647">
        <w:rPr>
          <w:rFonts w:ascii="Arial" w:hAnsi="Arial" w:cs="Arial"/>
        </w:rPr>
        <w:t xml:space="preserve">, C. (2014) </w:t>
      </w:r>
      <w:r w:rsidRPr="00805647">
        <w:rPr>
          <w:rFonts w:ascii="Arial" w:hAnsi="Arial" w:cs="Arial"/>
          <w:i/>
          <w:iCs/>
        </w:rPr>
        <w:t>Accounting Essentials for Hospitality Managers</w:t>
      </w:r>
      <w:r w:rsidRPr="00805647">
        <w:rPr>
          <w:rFonts w:ascii="Arial" w:hAnsi="Arial" w:cs="Arial"/>
        </w:rPr>
        <w:t>. Boston: Pearson Education</w:t>
      </w:r>
    </w:p>
    <w:p w14:paraId="2E1E8F3C"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Hayes, D.K. and Miller, A.A. (2011) </w:t>
      </w:r>
      <w:r w:rsidRPr="00805647">
        <w:rPr>
          <w:rFonts w:ascii="Arial" w:hAnsi="Arial" w:cs="Arial"/>
          <w:i/>
          <w:iCs/>
        </w:rPr>
        <w:t>Revenue Management for the Hospitality Industry</w:t>
      </w:r>
      <w:r w:rsidRPr="00805647">
        <w:rPr>
          <w:rFonts w:ascii="Arial" w:hAnsi="Arial" w:cs="Arial"/>
        </w:rPr>
        <w:t>. Hoboken, NJ: John Wiley &amp; Sons</w:t>
      </w:r>
    </w:p>
    <w:p w14:paraId="6569B415"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Ivanov, S. and Webster, C. (2019) </w:t>
      </w:r>
      <w:r w:rsidRPr="00805647">
        <w:rPr>
          <w:rFonts w:ascii="Arial" w:hAnsi="Arial" w:cs="Arial"/>
          <w:i/>
          <w:iCs/>
        </w:rPr>
        <w:t>Robots, Artificial Intelligence, and Service Automation in Travel, Tourism and Hospitality</w:t>
      </w:r>
      <w:r w:rsidRPr="00805647">
        <w:rPr>
          <w:rFonts w:ascii="Arial" w:hAnsi="Arial" w:cs="Arial"/>
        </w:rPr>
        <w:t>. Bristol: Channel View Publications</w:t>
      </w:r>
    </w:p>
    <w:p w14:paraId="232E67D1" w14:textId="77777777" w:rsidR="00805647" w:rsidRPr="00805647" w:rsidRDefault="00805647" w:rsidP="00805647">
      <w:pPr>
        <w:pStyle w:val="ListParagraph"/>
        <w:numPr>
          <w:ilvl w:val="0"/>
          <w:numId w:val="2"/>
        </w:numPr>
        <w:spacing w:line="360" w:lineRule="auto"/>
        <w:jc w:val="both"/>
        <w:rPr>
          <w:rFonts w:ascii="Arial" w:hAnsi="Arial" w:cs="Arial"/>
        </w:rPr>
      </w:pPr>
      <w:proofErr w:type="spellStart"/>
      <w:r w:rsidRPr="00805647">
        <w:rPr>
          <w:rFonts w:ascii="Arial" w:hAnsi="Arial" w:cs="Arial"/>
        </w:rPr>
        <w:t>Kandampully</w:t>
      </w:r>
      <w:proofErr w:type="spellEnd"/>
      <w:r w:rsidRPr="00805647">
        <w:rPr>
          <w:rFonts w:ascii="Arial" w:hAnsi="Arial" w:cs="Arial"/>
        </w:rPr>
        <w:t xml:space="preserve">, J., Zhang, T. and </w:t>
      </w:r>
      <w:proofErr w:type="spellStart"/>
      <w:r w:rsidRPr="00805647">
        <w:rPr>
          <w:rFonts w:ascii="Arial" w:hAnsi="Arial" w:cs="Arial"/>
        </w:rPr>
        <w:t>Bilgihan</w:t>
      </w:r>
      <w:proofErr w:type="spellEnd"/>
      <w:r w:rsidRPr="00805647">
        <w:rPr>
          <w:rFonts w:ascii="Arial" w:hAnsi="Arial" w:cs="Arial"/>
        </w:rPr>
        <w:t xml:space="preserve">, A. (2018) Customer loyalty: A review and future directions with a special focus on the hospitality industry, </w:t>
      </w:r>
      <w:r w:rsidRPr="00805647">
        <w:rPr>
          <w:rFonts w:ascii="Arial" w:hAnsi="Arial" w:cs="Arial"/>
          <w:i/>
          <w:iCs/>
        </w:rPr>
        <w:t>Journal of Hospitality Marketing &amp; Management</w:t>
      </w:r>
      <w:r w:rsidRPr="00805647">
        <w:rPr>
          <w:rFonts w:ascii="Arial" w:hAnsi="Arial" w:cs="Arial"/>
        </w:rPr>
        <w:t>, 27(1), pp. 1–24</w:t>
      </w:r>
    </w:p>
    <w:p w14:paraId="46517CC4"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lastRenderedPageBreak/>
        <w:t xml:space="preserve">Office for National Statistics (ONS) (2023) </w:t>
      </w:r>
      <w:r w:rsidRPr="00805647">
        <w:rPr>
          <w:rFonts w:ascii="Arial" w:hAnsi="Arial" w:cs="Arial"/>
          <w:i/>
          <w:iCs/>
        </w:rPr>
        <w:t>Family Spending in the UK: Financial Year 2022</w:t>
      </w:r>
      <w:r w:rsidRPr="00805647">
        <w:rPr>
          <w:rFonts w:ascii="Arial" w:hAnsi="Arial" w:cs="Arial"/>
        </w:rPr>
        <w:t>. London: ONS</w:t>
      </w:r>
    </w:p>
    <w:p w14:paraId="3F2C3BC0"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Penman, S.H. (2013) </w:t>
      </w:r>
      <w:r w:rsidRPr="00805647">
        <w:rPr>
          <w:rFonts w:ascii="Arial" w:hAnsi="Arial" w:cs="Arial"/>
          <w:i/>
          <w:iCs/>
        </w:rPr>
        <w:t>Financial Statement Analysis and Security Valuation</w:t>
      </w:r>
      <w:r w:rsidRPr="00805647">
        <w:rPr>
          <w:rFonts w:ascii="Arial" w:hAnsi="Arial" w:cs="Arial"/>
        </w:rPr>
        <w:t xml:space="preserve">. 5th </w:t>
      </w:r>
      <w:proofErr w:type="spellStart"/>
      <w:r w:rsidRPr="00805647">
        <w:rPr>
          <w:rFonts w:ascii="Arial" w:hAnsi="Arial" w:cs="Arial"/>
        </w:rPr>
        <w:t>edn</w:t>
      </w:r>
      <w:proofErr w:type="spellEnd"/>
      <w:r w:rsidRPr="00805647">
        <w:rPr>
          <w:rFonts w:ascii="Arial" w:hAnsi="Arial" w:cs="Arial"/>
        </w:rPr>
        <w:t>. New York: McGraw-Hill Education</w:t>
      </w:r>
    </w:p>
    <w:p w14:paraId="6EA99711"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Ross, S.A., Westerfield, R.W. and Jordan, B.D. (2019) </w:t>
      </w:r>
      <w:r w:rsidRPr="00805647">
        <w:rPr>
          <w:rFonts w:ascii="Arial" w:hAnsi="Arial" w:cs="Arial"/>
          <w:i/>
          <w:iCs/>
        </w:rPr>
        <w:t>Fundamentals of Corporate Finance</w:t>
      </w:r>
      <w:r w:rsidRPr="00805647">
        <w:rPr>
          <w:rFonts w:ascii="Arial" w:hAnsi="Arial" w:cs="Arial"/>
        </w:rPr>
        <w:t xml:space="preserve">. 12th </w:t>
      </w:r>
      <w:proofErr w:type="spellStart"/>
      <w:r w:rsidRPr="00805647">
        <w:rPr>
          <w:rFonts w:ascii="Arial" w:hAnsi="Arial" w:cs="Arial"/>
        </w:rPr>
        <w:t>edn</w:t>
      </w:r>
      <w:proofErr w:type="spellEnd"/>
      <w:r w:rsidRPr="00805647">
        <w:rPr>
          <w:rFonts w:ascii="Arial" w:hAnsi="Arial" w:cs="Arial"/>
        </w:rPr>
        <w:t>. New York: McGraw-Hill Education</w:t>
      </w:r>
    </w:p>
    <w:p w14:paraId="7B1553AB"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Slatter, S., Lovett, D. and Barlow, L. (2011) </w:t>
      </w:r>
      <w:r w:rsidRPr="00805647">
        <w:rPr>
          <w:rFonts w:ascii="Arial" w:hAnsi="Arial" w:cs="Arial"/>
          <w:i/>
          <w:iCs/>
        </w:rPr>
        <w:t>Leading Corporate Turnaround: How Leaders Fix Troubled Companies</w:t>
      </w:r>
      <w:r w:rsidRPr="00805647">
        <w:rPr>
          <w:rFonts w:ascii="Arial" w:hAnsi="Arial" w:cs="Arial"/>
        </w:rPr>
        <w:t xml:space="preserve">. 2nd </w:t>
      </w:r>
      <w:proofErr w:type="spellStart"/>
      <w:r w:rsidRPr="00805647">
        <w:rPr>
          <w:rFonts w:ascii="Arial" w:hAnsi="Arial" w:cs="Arial"/>
        </w:rPr>
        <w:t>edn</w:t>
      </w:r>
      <w:proofErr w:type="spellEnd"/>
      <w:r w:rsidRPr="00805647">
        <w:rPr>
          <w:rFonts w:ascii="Arial" w:hAnsi="Arial" w:cs="Arial"/>
        </w:rPr>
        <w:t>. Chichester: John Wiley &amp; Sons</w:t>
      </w:r>
    </w:p>
    <w:p w14:paraId="02FD8BDE"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UNWTO (2022) </w:t>
      </w:r>
      <w:r w:rsidRPr="00805647">
        <w:rPr>
          <w:rFonts w:ascii="Arial" w:hAnsi="Arial" w:cs="Arial"/>
          <w:i/>
          <w:iCs/>
        </w:rPr>
        <w:t>Tourism and Sustainability Development Goals</w:t>
      </w:r>
      <w:r w:rsidRPr="00805647">
        <w:rPr>
          <w:rFonts w:ascii="Arial" w:hAnsi="Arial" w:cs="Arial"/>
        </w:rPr>
        <w:t>. Madrid: World Tourism Organization</w:t>
      </w:r>
    </w:p>
    <w:p w14:paraId="53EB831D"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VisitBritain (2023) </w:t>
      </w:r>
      <w:r w:rsidRPr="00805647">
        <w:rPr>
          <w:rFonts w:ascii="Arial" w:hAnsi="Arial" w:cs="Arial"/>
          <w:i/>
          <w:iCs/>
        </w:rPr>
        <w:t>Domestic Tourism Trends and Forecasts</w:t>
      </w:r>
      <w:r w:rsidRPr="00805647">
        <w:rPr>
          <w:rFonts w:ascii="Arial" w:hAnsi="Arial" w:cs="Arial"/>
        </w:rPr>
        <w:t>. London: VisitBritain</w:t>
      </w:r>
    </w:p>
    <w:p w14:paraId="0D11C39C"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Xiang, Z., Du, Q., Ma, Y. and Fan, W. (2017) A comparative analysis of major online review platforms, </w:t>
      </w:r>
      <w:r w:rsidRPr="00805647">
        <w:rPr>
          <w:rFonts w:ascii="Arial" w:hAnsi="Arial" w:cs="Arial"/>
          <w:i/>
          <w:iCs/>
        </w:rPr>
        <w:t>Tourism Management</w:t>
      </w:r>
      <w:r w:rsidRPr="00805647">
        <w:rPr>
          <w:rFonts w:ascii="Arial" w:hAnsi="Arial" w:cs="Arial"/>
        </w:rPr>
        <w:t>, 58, pp. 51–65</w:t>
      </w:r>
    </w:p>
    <w:p w14:paraId="7D89FA81" w14:textId="77777777" w:rsidR="00805647" w:rsidRPr="00805647" w:rsidRDefault="00805647" w:rsidP="00805647">
      <w:pPr>
        <w:pStyle w:val="ListParagraph"/>
        <w:numPr>
          <w:ilvl w:val="0"/>
          <w:numId w:val="2"/>
        </w:numPr>
        <w:spacing w:line="360" w:lineRule="auto"/>
        <w:jc w:val="both"/>
        <w:rPr>
          <w:rFonts w:ascii="Arial" w:hAnsi="Arial" w:cs="Arial"/>
        </w:rPr>
      </w:pPr>
      <w:r w:rsidRPr="00805647">
        <w:rPr>
          <w:rFonts w:ascii="Arial" w:hAnsi="Arial" w:cs="Arial"/>
        </w:rPr>
        <w:t xml:space="preserve">Ye, Q., Law, R. and Gu, B. (2011) The impact of online user reviews on hotel room sales, </w:t>
      </w:r>
      <w:r w:rsidRPr="00805647">
        <w:rPr>
          <w:rFonts w:ascii="Arial" w:hAnsi="Arial" w:cs="Arial"/>
          <w:i/>
          <w:iCs/>
        </w:rPr>
        <w:t>Tourism Management</w:t>
      </w:r>
      <w:r w:rsidRPr="00805647">
        <w:rPr>
          <w:rFonts w:ascii="Arial" w:hAnsi="Arial" w:cs="Arial"/>
        </w:rPr>
        <w:t>, 32(3), pp. 634–642</w:t>
      </w:r>
    </w:p>
    <w:p w14:paraId="6AE168BA" w14:textId="77777777" w:rsidR="00805647" w:rsidRPr="00805647" w:rsidRDefault="00805647" w:rsidP="00805647">
      <w:pPr>
        <w:spacing w:line="360" w:lineRule="auto"/>
        <w:jc w:val="both"/>
        <w:rPr>
          <w:rFonts w:ascii="Arial" w:hAnsi="Arial" w:cs="Arial"/>
        </w:rPr>
      </w:pPr>
    </w:p>
    <w:p w14:paraId="3D7A7036" w14:textId="77777777" w:rsidR="00ED4349" w:rsidRDefault="00ED4349" w:rsidP="00ED4349">
      <w:pPr>
        <w:spacing w:line="360" w:lineRule="auto"/>
        <w:jc w:val="both"/>
        <w:rPr>
          <w:rFonts w:ascii="Arial" w:hAnsi="Arial" w:cs="Arial"/>
        </w:rPr>
      </w:pPr>
    </w:p>
    <w:p w14:paraId="69D16B37" w14:textId="77777777" w:rsidR="00ED4349" w:rsidRPr="00ED4349" w:rsidRDefault="00ED4349" w:rsidP="00ED4349">
      <w:pPr>
        <w:spacing w:line="360" w:lineRule="auto"/>
        <w:jc w:val="both"/>
        <w:rPr>
          <w:rFonts w:ascii="Arial" w:hAnsi="Arial" w:cs="Arial"/>
        </w:rPr>
      </w:pPr>
    </w:p>
    <w:p w14:paraId="61EF47EE" w14:textId="77777777" w:rsidR="00ED4349" w:rsidRPr="00ED4349" w:rsidRDefault="00ED4349" w:rsidP="00ED4349">
      <w:pPr>
        <w:spacing w:line="360" w:lineRule="auto"/>
        <w:jc w:val="both"/>
        <w:rPr>
          <w:rFonts w:ascii="Arial" w:hAnsi="Arial" w:cs="Arial"/>
        </w:rPr>
      </w:pPr>
    </w:p>
    <w:p w14:paraId="2BD0C7A8" w14:textId="77777777" w:rsidR="00ED4349" w:rsidRPr="00D56887" w:rsidRDefault="00ED4349" w:rsidP="00D56887">
      <w:pPr>
        <w:spacing w:line="360" w:lineRule="auto"/>
        <w:jc w:val="both"/>
        <w:rPr>
          <w:rFonts w:ascii="Arial" w:hAnsi="Arial" w:cs="Arial"/>
        </w:rPr>
      </w:pPr>
    </w:p>
    <w:p w14:paraId="48F2237E" w14:textId="77777777" w:rsidR="00D56887" w:rsidRPr="00D56887" w:rsidRDefault="00D56887" w:rsidP="00D56887">
      <w:pPr>
        <w:spacing w:line="360" w:lineRule="auto"/>
        <w:jc w:val="both"/>
        <w:rPr>
          <w:rFonts w:ascii="Arial" w:hAnsi="Arial" w:cs="Arial"/>
        </w:rPr>
      </w:pPr>
    </w:p>
    <w:p w14:paraId="4E787B53" w14:textId="77777777" w:rsidR="00D56887" w:rsidRPr="00D56887" w:rsidRDefault="00D56887" w:rsidP="00D56887">
      <w:pPr>
        <w:spacing w:line="360" w:lineRule="auto"/>
        <w:jc w:val="both"/>
        <w:rPr>
          <w:rFonts w:ascii="Arial" w:hAnsi="Arial" w:cs="Arial"/>
        </w:rPr>
      </w:pPr>
    </w:p>
    <w:sectPr w:rsidR="00D56887" w:rsidRPr="00D56887" w:rsidSect="004C771C">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3EFD6" w14:textId="77777777" w:rsidR="0024026A" w:rsidRDefault="0024026A" w:rsidP="007470BA">
      <w:pPr>
        <w:spacing w:after="0" w:line="240" w:lineRule="auto"/>
      </w:pPr>
      <w:r>
        <w:separator/>
      </w:r>
    </w:p>
  </w:endnote>
  <w:endnote w:type="continuationSeparator" w:id="0">
    <w:p w14:paraId="07FC7449" w14:textId="77777777" w:rsidR="0024026A" w:rsidRDefault="0024026A" w:rsidP="007470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3843038"/>
      <w:docPartObj>
        <w:docPartGallery w:val="Page Numbers (Bottom of Page)"/>
        <w:docPartUnique/>
      </w:docPartObj>
    </w:sdtPr>
    <w:sdtEndPr>
      <w:rPr>
        <w:noProof/>
      </w:rPr>
    </w:sdtEndPr>
    <w:sdtContent>
      <w:p w14:paraId="2E144BF0" w14:textId="347855F8" w:rsidR="007470BA" w:rsidRDefault="007470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A9EF3B" w14:textId="77777777" w:rsidR="007470BA" w:rsidRDefault="007470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EF9E74" w14:textId="77777777" w:rsidR="0024026A" w:rsidRDefault="0024026A" w:rsidP="007470BA">
      <w:pPr>
        <w:spacing w:after="0" w:line="240" w:lineRule="auto"/>
      </w:pPr>
      <w:r>
        <w:separator/>
      </w:r>
    </w:p>
  </w:footnote>
  <w:footnote w:type="continuationSeparator" w:id="0">
    <w:p w14:paraId="7EA14E5D" w14:textId="77777777" w:rsidR="0024026A" w:rsidRDefault="0024026A" w:rsidP="007470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8B4215"/>
    <w:multiLevelType w:val="hybridMultilevel"/>
    <w:tmpl w:val="ADCCF6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35289A"/>
    <w:multiLevelType w:val="hybridMultilevel"/>
    <w:tmpl w:val="A9AA6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2956056">
    <w:abstractNumId w:val="0"/>
  </w:num>
  <w:num w:numId="2" w16cid:durableId="939525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887"/>
    <w:rsid w:val="00002B50"/>
    <w:rsid w:val="001335A0"/>
    <w:rsid w:val="001A4C5D"/>
    <w:rsid w:val="001F16C9"/>
    <w:rsid w:val="0024026A"/>
    <w:rsid w:val="00251D85"/>
    <w:rsid w:val="004C771C"/>
    <w:rsid w:val="00723612"/>
    <w:rsid w:val="007470BA"/>
    <w:rsid w:val="00805647"/>
    <w:rsid w:val="0084650E"/>
    <w:rsid w:val="00BF0444"/>
    <w:rsid w:val="00D56887"/>
    <w:rsid w:val="00DF7078"/>
    <w:rsid w:val="00E00ED6"/>
    <w:rsid w:val="00ED4349"/>
    <w:rsid w:val="00F44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2055B"/>
  <w15:chartTrackingRefBased/>
  <w15:docId w15:val="{CA8AD0ED-BBEB-48B2-882C-F99EBD365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8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68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68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68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68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68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68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68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68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8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68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68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68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68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68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68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68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6887"/>
    <w:rPr>
      <w:rFonts w:eastAsiaTheme="majorEastAsia" w:cstheme="majorBidi"/>
      <w:color w:val="272727" w:themeColor="text1" w:themeTint="D8"/>
    </w:rPr>
  </w:style>
  <w:style w:type="paragraph" w:styleId="Title">
    <w:name w:val="Title"/>
    <w:basedOn w:val="Normal"/>
    <w:next w:val="Normal"/>
    <w:link w:val="TitleChar"/>
    <w:uiPriority w:val="10"/>
    <w:qFormat/>
    <w:rsid w:val="00D568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8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68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68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6887"/>
    <w:pPr>
      <w:spacing w:before="160"/>
      <w:jc w:val="center"/>
    </w:pPr>
    <w:rPr>
      <w:i/>
      <w:iCs/>
      <w:color w:val="404040" w:themeColor="text1" w:themeTint="BF"/>
    </w:rPr>
  </w:style>
  <w:style w:type="character" w:customStyle="1" w:styleId="QuoteChar">
    <w:name w:val="Quote Char"/>
    <w:basedOn w:val="DefaultParagraphFont"/>
    <w:link w:val="Quote"/>
    <w:uiPriority w:val="29"/>
    <w:rsid w:val="00D56887"/>
    <w:rPr>
      <w:i/>
      <w:iCs/>
      <w:color w:val="404040" w:themeColor="text1" w:themeTint="BF"/>
    </w:rPr>
  </w:style>
  <w:style w:type="paragraph" w:styleId="ListParagraph">
    <w:name w:val="List Paragraph"/>
    <w:basedOn w:val="Normal"/>
    <w:uiPriority w:val="34"/>
    <w:qFormat/>
    <w:rsid w:val="00D56887"/>
    <w:pPr>
      <w:ind w:left="720"/>
      <w:contextualSpacing/>
    </w:pPr>
  </w:style>
  <w:style w:type="character" w:styleId="IntenseEmphasis">
    <w:name w:val="Intense Emphasis"/>
    <w:basedOn w:val="DefaultParagraphFont"/>
    <w:uiPriority w:val="21"/>
    <w:qFormat/>
    <w:rsid w:val="00D56887"/>
    <w:rPr>
      <w:i/>
      <w:iCs/>
      <w:color w:val="0F4761" w:themeColor="accent1" w:themeShade="BF"/>
    </w:rPr>
  </w:style>
  <w:style w:type="paragraph" w:styleId="IntenseQuote">
    <w:name w:val="Intense Quote"/>
    <w:basedOn w:val="Normal"/>
    <w:next w:val="Normal"/>
    <w:link w:val="IntenseQuoteChar"/>
    <w:uiPriority w:val="30"/>
    <w:qFormat/>
    <w:rsid w:val="00D568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6887"/>
    <w:rPr>
      <w:i/>
      <w:iCs/>
      <w:color w:val="0F4761" w:themeColor="accent1" w:themeShade="BF"/>
    </w:rPr>
  </w:style>
  <w:style w:type="character" w:styleId="IntenseReference">
    <w:name w:val="Intense Reference"/>
    <w:basedOn w:val="DefaultParagraphFont"/>
    <w:uiPriority w:val="32"/>
    <w:qFormat/>
    <w:rsid w:val="00D56887"/>
    <w:rPr>
      <w:b/>
      <w:bCs/>
      <w:smallCaps/>
      <w:color w:val="0F4761" w:themeColor="accent1" w:themeShade="BF"/>
      <w:spacing w:val="5"/>
    </w:rPr>
  </w:style>
  <w:style w:type="paragraph" w:styleId="Header">
    <w:name w:val="header"/>
    <w:basedOn w:val="Normal"/>
    <w:link w:val="HeaderChar"/>
    <w:uiPriority w:val="99"/>
    <w:unhideWhenUsed/>
    <w:rsid w:val="007470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0BA"/>
  </w:style>
  <w:style w:type="paragraph" w:styleId="Footer">
    <w:name w:val="footer"/>
    <w:basedOn w:val="Normal"/>
    <w:link w:val="FooterChar"/>
    <w:uiPriority w:val="99"/>
    <w:unhideWhenUsed/>
    <w:rsid w:val="007470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0BA"/>
  </w:style>
  <w:style w:type="paragraph" w:styleId="TOCHeading">
    <w:name w:val="TOC Heading"/>
    <w:basedOn w:val="Heading1"/>
    <w:next w:val="Normal"/>
    <w:uiPriority w:val="39"/>
    <w:unhideWhenUsed/>
    <w:qFormat/>
    <w:rsid w:val="007470B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470BA"/>
    <w:pPr>
      <w:spacing w:after="100"/>
    </w:pPr>
  </w:style>
  <w:style w:type="paragraph" w:styleId="TOC2">
    <w:name w:val="toc 2"/>
    <w:basedOn w:val="Normal"/>
    <w:next w:val="Normal"/>
    <w:autoRedefine/>
    <w:uiPriority w:val="39"/>
    <w:unhideWhenUsed/>
    <w:rsid w:val="007470BA"/>
    <w:pPr>
      <w:spacing w:after="100"/>
      <w:ind w:left="240"/>
    </w:pPr>
  </w:style>
  <w:style w:type="paragraph" w:styleId="TOC3">
    <w:name w:val="toc 3"/>
    <w:basedOn w:val="Normal"/>
    <w:next w:val="Normal"/>
    <w:autoRedefine/>
    <w:uiPriority w:val="39"/>
    <w:unhideWhenUsed/>
    <w:rsid w:val="007470BA"/>
    <w:pPr>
      <w:spacing w:after="100"/>
      <w:ind w:left="480"/>
    </w:pPr>
  </w:style>
  <w:style w:type="character" w:styleId="Hyperlink">
    <w:name w:val="Hyperlink"/>
    <w:basedOn w:val="DefaultParagraphFont"/>
    <w:uiPriority w:val="99"/>
    <w:unhideWhenUsed/>
    <w:rsid w:val="007470B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8ED59-2830-4EBF-A319-1E997CC20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3326</TotalTime>
  <Pages>13</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Badea (2130240)</dc:creator>
  <cp:keywords/>
  <dc:description/>
  <cp:lastModifiedBy>Silvia Badea (2130240)</cp:lastModifiedBy>
  <cp:revision>10</cp:revision>
  <dcterms:created xsi:type="dcterms:W3CDTF">2026-01-12T13:38:00Z</dcterms:created>
  <dcterms:modified xsi:type="dcterms:W3CDTF">2026-01-14T21:15:00Z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15359807-2433-41ed-97f2-fc206640eb02</vt:lpwstr>
  </property>
</Properties>
</file>