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spacing w:line="360" w:lineRule="auto"/>
        <w:jc w:val="center"/>
        <w:rPr>
          <w:rFonts w:hint="default" w:ascii="Times New Roman" w:hAnsi="Times New Roman"/>
          <w:b/>
          <w:bCs/>
          <w:sz w:val="28"/>
          <w:szCs w:val="28"/>
          <w:lang w:val="en-GB"/>
        </w:rPr>
      </w:pPr>
      <w:r>
        <w:rPr>
          <w:rFonts w:hint="default" w:ascii="Times New Roman" w:hAnsi="Times New Roman"/>
          <w:b/>
          <w:bCs/>
          <w:sz w:val="28"/>
          <w:szCs w:val="28"/>
          <w:lang w:val="en-GB"/>
        </w:rPr>
        <w:t>Strategic Analysis and Enhancement of Curriculum Development:</w:t>
      </w:r>
    </w:p>
    <w:p>
      <w:pPr>
        <w:numPr>
          <w:ilvl w:val="0"/>
          <w:numId w:val="0"/>
        </w:numPr>
        <w:spacing w:line="360" w:lineRule="auto"/>
        <w:jc w:val="center"/>
        <w:rPr>
          <w:rFonts w:hint="default" w:ascii="Times New Roman" w:hAnsi="Times New Roman"/>
          <w:b/>
          <w:bCs/>
          <w:sz w:val="28"/>
          <w:szCs w:val="28"/>
          <w:lang w:val="en-GB"/>
        </w:rPr>
      </w:pPr>
      <w:r>
        <w:rPr>
          <w:rFonts w:hint="default" w:ascii="Times New Roman" w:hAnsi="Times New Roman"/>
          <w:b/>
          <w:bCs/>
          <w:sz w:val="28"/>
          <w:szCs w:val="28"/>
          <w:lang w:val="en-GB"/>
        </w:rPr>
        <w:t>A Comprehensive Study of</w:t>
      </w:r>
    </w:p>
    <w:p>
      <w:pPr>
        <w:numPr>
          <w:ilvl w:val="0"/>
          <w:numId w:val="0"/>
        </w:numPr>
        <w:spacing w:line="360" w:lineRule="auto"/>
        <w:jc w:val="center"/>
        <w:rPr>
          <w:rFonts w:hint="default" w:ascii="Times New Roman" w:hAnsi="Times New Roman"/>
          <w:b/>
          <w:bCs/>
          <w:sz w:val="28"/>
          <w:szCs w:val="28"/>
          <w:lang w:val="en-GB"/>
        </w:rPr>
      </w:pPr>
      <w:r>
        <w:rPr>
          <w:rFonts w:hint="default" w:ascii="Times New Roman" w:hAnsi="Times New Roman"/>
          <w:b/>
          <w:bCs/>
          <w:sz w:val="28"/>
          <w:szCs w:val="28"/>
          <w:lang w:val="en-GB"/>
        </w:rPr>
        <w:t>Secondary School Development Plan</w:t>
      </w:r>
    </w:p>
    <w:p>
      <w:pPr>
        <w:numPr>
          <w:ilvl w:val="0"/>
          <w:numId w:val="0"/>
        </w:numPr>
        <w:spacing w:line="360" w:lineRule="auto"/>
        <w:rPr>
          <w:rFonts w:hint="default" w:ascii="Times New Roman" w:hAnsi="Times New Roman"/>
          <w:b/>
          <w:bCs/>
          <w:sz w:val="28"/>
          <w:szCs w:val="28"/>
          <w:lang w:val="en-GB"/>
        </w:rPr>
      </w:pPr>
    </w:p>
    <w:p>
      <w:pPr>
        <w:numPr>
          <w:ilvl w:val="0"/>
          <w:numId w:val="0"/>
        </w:numPr>
        <w:spacing w:line="360" w:lineRule="auto"/>
        <w:rPr>
          <w:rFonts w:hint="default" w:ascii="Times New Roman" w:hAnsi="Times New Roman"/>
          <w:b/>
          <w:bCs/>
          <w:sz w:val="28"/>
          <w:szCs w:val="28"/>
          <w:lang w:val="en-GB"/>
        </w:rPr>
      </w:pPr>
    </w:p>
    <w:p>
      <w:pPr>
        <w:numPr>
          <w:ilvl w:val="0"/>
          <w:numId w:val="1"/>
        </w:numPr>
        <w:spacing w:line="360" w:lineRule="auto"/>
        <w:rPr>
          <w:rFonts w:hint="default" w:ascii="Times New Roman" w:hAnsi="Times New Roman" w:cs="Times New Roman"/>
          <w:b/>
          <w:bCs/>
          <w:sz w:val="28"/>
          <w:szCs w:val="28"/>
          <w:lang w:val="en-GB"/>
        </w:rPr>
      </w:pPr>
      <w:r>
        <w:rPr>
          <w:rFonts w:hint="default" w:ascii="Times New Roman" w:hAnsi="Times New Roman" w:cs="Times New Roman"/>
          <w:b/>
          <w:bCs/>
          <w:sz w:val="28"/>
          <w:szCs w:val="28"/>
          <w:lang w:val="en-GB"/>
        </w:rPr>
        <w:t>Introduction</w:t>
      </w:r>
    </w:p>
    <w:p>
      <w:pPr>
        <w:numPr>
          <w:ilvl w:val="0"/>
          <w:numId w:val="0"/>
        </w:numPr>
        <w:spacing w:line="360" w:lineRule="auto"/>
        <w:rPr>
          <w:rFonts w:hint="default" w:ascii="Times New Roman" w:hAnsi="Times New Roman" w:cs="Times New Roman"/>
          <w:b/>
          <w:bCs/>
          <w:sz w:val="28"/>
          <w:szCs w:val="28"/>
          <w:lang w:val="en-GB"/>
        </w:rPr>
      </w:pPr>
    </w:p>
    <w:p>
      <w:pPr>
        <w:numPr>
          <w:ilvl w:val="0"/>
          <w:numId w:val="0"/>
        </w:numPr>
        <w:spacing w:line="360" w:lineRule="auto"/>
        <w:rPr>
          <w:rFonts w:hint="default" w:ascii="Times New Roman" w:hAnsi="Times New Roman" w:cs="Times New Roman"/>
          <w:sz w:val="24"/>
          <w:szCs w:val="24"/>
          <w:lang w:val="en-GB"/>
        </w:rPr>
      </w:pPr>
    </w:p>
    <w:p>
      <w:pPr>
        <w:numPr>
          <w:ilvl w:val="0"/>
          <w:numId w:val="0"/>
        </w:numPr>
        <w:spacing w:line="360" w:lineRule="auto"/>
        <w:ind w:firstLine="7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The School Development Plan (SDP) is an important tool for driving continual development in a school's curriculum and overall educational experience, incorporating critical processes like self-evaluation, data analysis, stakeholder participation, strategic planning, and effect measurement (Mintrop, 2016). The school development process and its different components are addressed in this paper, along with a theoretical framework for evaluating the efficiency of the SDP in the context of the chosen school.</w:t>
      </w:r>
    </w:p>
    <w:p>
      <w:pPr>
        <w:numPr>
          <w:ilvl w:val="0"/>
          <w:numId w:val="0"/>
        </w:numPr>
        <w:spacing w:line="360" w:lineRule="auto"/>
        <w:rPr>
          <w:rFonts w:hint="default" w:ascii="Times New Roman" w:hAnsi="Times New Roman" w:cs="Times New Roman"/>
          <w:sz w:val="24"/>
          <w:szCs w:val="24"/>
          <w:lang w:val="en-GB"/>
        </w:rPr>
      </w:pPr>
    </w:p>
    <w:p>
      <w:pPr>
        <w:numPr>
          <w:ilvl w:val="0"/>
          <w:numId w:val="0"/>
        </w:numPr>
        <w:spacing w:line="360" w:lineRule="auto"/>
        <w:ind w:firstLine="720" w:firstLineChars="0"/>
        <w:rPr>
          <w:rFonts w:hint="default" w:ascii="Times New Roman" w:hAnsi="Times New Roman"/>
          <w:sz w:val="24"/>
          <w:szCs w:val="24"/>
          <w:lang w:val="en-GB"/>
        </w:rPr>
      </w:pPr>
      <w:r>
        <w:rPr>
          <w:rFonts w:hint="default" w:ascii="Times New Roman" w:hAnsi="Times New Roman"/>
          <w:sz w:val="24"/>
          <w:szCs w:val="24"/>
          <w:lang w:val="en-GB"/>
        </w:rPr>
        <w:t>These are the British Educational Research Association (BERA) guidelines outlining important contextual information for a secondary school in Wales that has been chosen, which will be further refer as “School X” in later sections. The school has recently received an "Excellent" rating in an Estyn assessment. The three-year average of secondary pupils receiving Free School Meals (FSM) in 2022 was 10.9%. The pupil-teacher ratio (PTR) for secondary pupils was 17.8 in the same year. Additionally, the attendance rate for secondary pupils in 2022 was 94.5%. In 2019, the school budget per student was £4799. These statistics provide crucial context for understanding the school's current situation and performance.</w:t>
      </w:r>
    </w:p>
    <w:p>
      <w:pPr>
        <w:numPr>
          <w:ilvl w:val="0"/>
          <w:numId w:val="0"/>
        </w:numPr>
        <w:spacing w:line="360" w:lineRule="auto"/>
        <w:rPr>
          <w:rFonts w:hint="default" w:ascii="Times New Roman" w:hAnsi="Times New Roman"/>
          <w:sz w:val="24"/>
          <w:szCs w:val="24"/>
          <w:lang w:val="en-GB"/>
        </w:rPr>
      </w:pPr>
    </w:p>
    <w:p>
      <w:pPr>
        <w:numPr>
          <w:ilvl w:val="0"/>
          <w:numId w:val="0"/>
        </w:numPr>
        <w:spacing w:line="360" w:lineRule="auto"/>
        <w:ind w:firstLine="7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The followings section delve into the literature review of school development process, the development of an action point, reflection and evaluation, and conclusion, particularly in the context of the curriculum. The goal is to give insights and ideas for improving the school's Strategic Development Plan from the perspective of a student.</w:t>
      </w:r>
    </w:p>
    <w:p>
      <w:pPr>
        <w:numPr>
          <w:ilvl w:val="0"/>
          <w:numId w:val="0"/>
        </w:numPr>
        <w:spacing w:line="360" w:lineRule="auto"/>
        <w:rPr>
          <w:rFonts w:hint="default" w:ascii="Times New Roman" w:hAnsi="Times New Roman" w:cs="Times New Roman"/>
          <w:sz w:val="24"/>
          <w:szCs w:val="24"/>
          <w:lang w:val="en-GB"/>
        </w:rPr>
      </w:pPr>
    </w:p>
    <w:p>
      <w:pPr>
        <w:numPr>
          <w:ilvl w:val="0"/>
          <w:numId w:val="0"/>
        </w:numPr>
        <w:spacing w:line="360" w:lineRule="auto"/>
        <w:rPr>
          <w:rFonts w:hint="default" w:ascii="Times New Roman" w:hAnsi="Times New Roman" w:cs="Times New Roman"/>
          <w:sz w:val="24"/>
          <w:szCs w:val="24"/>
          <w:lang w:val="en-GB"/>
        </w:rPr>
      </w:pPr>
    </w:p>
    <w:p>
      <w:pPr>
        <w:numPr>
          <w:ilvl w:val="0"/>
          <w:numId w:val="2"/>
        </w:numPr>
        <w:spacing w:line="360" w:lineRule="auto"/>
        <w:rPr>
          <w:rFonts w:hint="default" w:ascii="Times New Roman" w:hAnsi="Times New Roman" w:cs="Times New Roman"/>
          <w:b/>
          <w:bCs/>
          <w:sz w:val="28"/>
          <w:szCs w:val="28"/>
          <w:lang w:val="en-GB"/>
        </w:rPr>
      </w:pPr>
      <w:r>
        <w:rPr>
          <w:rFonts w:hint="default" w:ascii="Times New Roman" w:hAnsi="Times New Roman" w:cs="Times New Roman"/>
          <w:b/>
          <w:bCs/>
          <w:sz w:val="28"/>
          <w:szCs w:val="28"/>
          <w:lang w:val="en-GB"/>
        </w:rPr>
        <w:t>Literature review</w:t>
      </w:r>
    </w:p>
    <w:p>
      <w:pPr>
        <w:numPr>
          <w:ilvl w:val="0"/>
          <w:numId w:val="0"/>
        </w:numPr>
        <w:spacing w:line="360" w:lineRule="auto"/>
        <w:rPr>
          <w:rFonts w:hint="default" w:ascii="Times New Roman" w:hAnsi="Times New Roman" w:cs="Times New Roman"/>
          <w:b/>
          <w:bCs/>
          <w:sz w:val="28"/>
          <w:szCs w:val="28"/>
          <w:lang w:val="en-GB"/>
        </w:rPr>
      </w:pPr>
    </w:p>
    <w:p>
      <w:pPr>
        <w:spacing w:line="360" w:lineRule="auto"/>
        <w:rPr>
          <w:rFonts w:hint="default" w:ascii="Times New Roman" w:hAnsi="Times New Roman" w:cs="Times New Roman"/>
          <w:sz w:val="24"/>
          <w:szCs w:val="24"/>
          <w:lang w:val="en-GB"/>
        </w:rPr>
      </w:pPr>
    </w:p>
    <w:p>
      <w:pPr>
        <w:spacing w:line="360" w:lineRule="auto"/>
        <w:ind w:firstLine="7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The school development process involves a deep grasp of numerous areas such as vision, self-assessment, strategic planning, making improvement or action, and reviewing impact (Welsh government, n.d.). This literature review section attempts to synthesise current research on these topics, provide a theoretical framework for the school development process, and demonstrate understanding of the curricular aspect in a school development plan.</w:t>
      </w:r>
    </w:p>
    <w:p>
      <w:pPr>
        <w:spacing w:line="360" w:lineRule="auto"/>
        <w:rPr>
          <w:rFonts w:hint="default" w:ascii="Times New Roman" w:hAnsi="Times New Roman" w:cs="Times New Roman"/>
          <w:sz w:val="24"/>
          <w:szCs w:val="24"/>
          <w:lang w:val="en-GB"/>
        </w:rPr>
      </w:pPr>
    </w:p>
    <w:p>
      <w:pPr>
        <w:spacing w:line="360" w:lineRule="auto"/>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Vision</w:t>
      </w:r>
    </w:p>
    <w:p>
      <w:pPr>
        <w:spacing w:line="360" w:lineRule="auto"/>
        <w:rPr>
          <w:rFonts w:hint="default" w:ascii="Times New Roman" w:hAnsi="Times New Roman" w:cs="Times New Roman"/>
          <w:b/>
          <w:bCs/>
          <w:sz w:val="24"/>
          <w:szCs w:val="24"/>
          <w:lang w:val="en-GB"/>
        </w:rPr>
      </w:pPr>
    </w:p>
    <w:p>
      <w:pPr>
        <w:spacing w:line="360" w:lineRule="auto"/>
        <w:ind w:firstLine="7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A vision should be a basis or a drive that incorporates self-evaluation, strategic planning, making improvement and reviewing impact. A clear vision is essential in the school development process because it serves as a basis for progress and directs the path of change (Darling-Hammond, 2017). The vision must represent the school community's beliefs and aspirations, providing guidance and a common knowledge of the desired outcomes (Welsh Government, n.d.). It should also be clear, short, and inspirational, incorporating the school's beliefs, aims, and aspirations for student learning and growth (Fullan, 2014). Importantly, all stakeholders, including teachers, administrators, students, and parents, should contribute to this shared vision in order to establish collective ownership and dedication to the school's reform path, t</w:t>
      </w:r>
      <w:r>
        <w:rPr>
          <w:rFonts w:hint="default" w:ascii="Times New Roman" w:hAnsi="Times New Roman"/>
          <w:sz w:val="24"/>
          <w:szCs w:val="24"/>
          <w:lang w:val="en-GB"/>
        </w:rPr>
        <w:t xml:space="preserve">his is because when everyone is involved in the process, there is a sense of collective ownership and dedication towards achieving the shared vision </w:t>
      </w:r>
      <w:r>
        <w:rPr>
          <w:rFonts w:hint="default" w:ascii="Times New Roman" w:hAnsi="Times New Roman" w:cs="Times New Roman"/>
          <w:sz w:val="24"/>
          <w:szCs w:val="24"/>
          <w:lang w:val="en-GB"/>
        </w:rPr>
        <w:t>(Hattie, 2015)</w:t>
      </w:r>
      <w:r>
        <w:rPr>
          <w:rFonts w:hint="default" w:ascii="Times New Roman" w:hAnsi="Times New Roman"/>
          <w:sz w:val="24"/>
          <w:szCs w:val="24"/>
          <w:lang w:val="en-GB"/>
        </w:rPr>
        <w:t>.</w:t>
      </w:r>
      <w:r>
        <w:rPr>
          <w:rFonts w:hint="default" w:ascii="Times New Roman" w:hAnsi="Times New Roman" w:cs="Times New Roman"/>
          <w:sz w:val="24"/>
          <w:szCs w:val="24"/>
          <w:lang w:val="en-GB"/>
        </w:rPr>
        <w:t xml:space="preserve"> Furthermore, a well-defined vision allows schools to align curriculum development with the desired outcomes, ensuring that the curriculum remains relevant and targeted towards students' needs (Darling-Hammond, 2017).</w:t>
      </w:r>
    </w:p>
    <w:p>
      <w:pPr>
        <w:spacing w:line="360" w:lineRule="auto"/>
        <w:rPr>
          <w:rFonts w:hint="default" w:ascii="Times New Roman" w:hAnsi="Times New Roman" w:cs="Times New Roman"/>
          <w:sz w:val="24"/>
          <w:szCs w:val="24"/>
          <w:lang w:val="en-GB"/>
        </w:rPr>
      </w:pPr>
    </w:p>
    <w:p>
      <w:pPr>
        <w:spacing w:line="360" w:lineRule="auto"/>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Self-evaluation</w:t>
      </w:r>
    </w:p>
    <w:p>
      <w:pPr>
        <w:spacing w:line="360" w:lineRule="auto"/>
        <w:rPr>
          <w:rFonts w:hint="default" w:ascii="Times New Roman" w:hAnsi="Times New Roman" w:cs="Times New Roman"/>
          <w:sz w:val="24"/>
          <w:szCs w:val="24"/>
          <w:lang w:val="en-GB"/>
        </w:rPr>
      </w:pPr>
    </w:p>
    <w:p>
      <w:pPr>
        <w:spacing w:line="360" w:lineRule="auto"/>
        <w:ind w:firstLine="7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Self-evaluation is an important part of the school development process since it helps identify areas of strength and places for growth (Demetriou &amp; Kyriakides, 2012). A comprehensive and continuing review of school activities, such as teaching and learning, leadership, and curriculum implementation, is required for effective self-evaluation (Estyn, 2016). Similarly, Education Scotland (n.d.) emphasised the need of self-evaluation as a collaborative process including all stakeholders and focusing on curricular components, leadership, and student outcomes. This allows schools to analyse their existing performance and progress towards the vision and goals, and it helps to guide the creation of improvement plans (Mintrop, 2016). With regard to curriculum aspects, self-evaluation should include an analysis of the curriculum's alignment with the school's vision and goals, as well as its effectiveness in promoting student learning and achievement (Hattie, 2015).</w:t>
      </w:r>
    </w:p>
    <w:p>
      <w:pPr>
        <w:spacing w:line="360" w:lineRule="auto"/>
        <w:rPr>
          <w:rFonts w:hint="default" w:ascii="Times New Roman" w:hAnsi="Times New Roman" w:cs="Times New Roman"/>
          <w:sz w:val="24"/>
          <w:szCs w:val="24"/>
          <w:lang w:val="en-GB"/>
        </w:rPr>
      </w:pPr>
    </w:p>
    <w:p>
      <w:pPr>
        <w:spacing w:line="360" w:lineRule="auto"/>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Strategic planning</w:t>
      </w:r>
    </w:p>
    <w:p>
      <w:pPr>
        <w:spacing w:line="360" w:lineRule="auto"/>
        <w:rPr>
          <w:rFonts w:hint="default" w:ascii="Times New Roman" w:hAnsi="Times New Roman" w:cs="Times New Roman"/>
          <w:sz w:val="24"/>
          <w:szCs w:val="24"/>
          <w:lang w:val="en-GB"/>
        </w:rPr>
      </w:pPr>
    </w:p>
    <w:p>
      <w:pPr>
        <w:spacing w:line="360" w:lineRule="auto"/>
        <w:ind w:firstLine="7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Strategic planning is an important element in the school development process because it turns vision and goals into tangible activities, it entails doing a thorough examination of the school's setting, needs, and resources, as well as developing policies and action plans to meet identified priorities. The three main reasons include the desire to achieve expected results and ultimate goals, the recognition that resources alone do not guarantee better outcomes, and the need to make choices through a balanced decision-making process (Chang, 2008). Strategic planning in education should be based on a thorough grasp of the curriculum and encompass a comprehensive approach to school growth (Welsh Government, n.d.). Similarly, strategic planning should be adaptable and flexible, allowing schools to adjust to changing requirements and circumstances while staying focused on the underlying vision and goals (Fullan, 2014). In terms of the curriculum, strategic planning should involve a review of curriculum content, delivery, and assessment practices, ensuring alignment with the school's vision and goals, and fostering a coherent and consistent approach to teaching and learning (Darling-Hammond, 2017).</w:t>
      </w:r>
    </w:p>
    <w:p>
      <w:pPr>
        <w:spacing w:line="360" w:lineRule="auto"/>
        <w:rPr>
          <w:rFonts w:hint="default" w:ascii="Times New Roman" w:hAnsi="Times New Roman" w:cs="Times New Roman"/>
          <w:b/>
          <w:bCs/>
          <w:sz w:val="24"/>
          <w:szCs w:val="24"/>
          <w:lang w:val="en-GB"/>
        </w:rPr>
      </w:pPr>
    </w:p>
    <w:p>
      <w:pPr>
        <w:spacing w:line="360" w:lineRule="auto"/>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Making improvement/action</w:t>
      </w:r>
    </w:p>
    <w:p>
      <w:pPr>
        <w:spacing w:line="360" w:lineRule="auto"/>
        <w:rPr>
          <w:rFonts w:hint="default" w:ascii="Times New Roman" w:hAnsi="Times New Roman" w:cs="Times New Roman"/>
          <w:sz w:val="24"/>
          <w:szCs w:val="24"/>
          <w:lang w:val="en-GB"/>
        </w:rPr>
      </w:pPr>
    </w:p>
    <w:p>
      <w:pPr>
        <w:spacing w:line="360" w:lineRule="auto"/>
        <w:ind w:firstLine="7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The next stage in the school development process is to implement improvement initiatives. This entails transforming strategic ideas into concrete actions and interventions, as well as monitoring their progress to ensure they are on track to achieve the anticipated results (Schildkamp, 2019).  Additionally, this may entail gathering and analysing data to guide decision-making, as well as participating in ongoing professional development to improve teaching and learning practises (Welsh Government, n.d.). Moreover, it identifies research insights and gaps for each component of the iterative model of data use (Schildkamp). Strong leadership, teamwork, and a commitment to continual professional growth, as well as the implementation of evidence-based tactics and practices, are required for effective improvement initiatives (Hattie, 2015; Fullan, 2014). Improvement measures in the context of the curriculum may include changes to curriculum material, pedagogical techniques, or assessment practises to better correspond with the school's vision and goals (Darling-Hammond, 2017).</w:t>
      </w:r>
    </w:p>
    <w:p>
      <w:pPr>
        <w:spacing w:line="360" w:lineRule="auto"/>
        <w:rPr>
          <w:rFonts w:hint="default" w:ascii="Times New Roman" w:hAnsi="Times New Roman" w:cs="Times New Roman"/>
          <w:sz w:val="24"/>
          <w:szCs w:val="24"/>
          <w:lang w:val="en-GB"/>
        </w:rPr>
      </w:pPr>
    </w:p>
    <w:p>
      <w:pPr>
        <w:spacing w:line="360" w:lineRule="auto"/>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Reviewing impact</w:t>
      </w:r>
    </w:p>
    <w:p>
      <w:pPr>
        <w:spacing w:line="360" w:lineRule="auto"/>
        <w:rPr>
          <w:rFonts w:hint="default" w:ascii="Times New Roman" w:hAnsi="Times New Roman" w:cs="Times New Roman"/>
          <w:sz w:val="24"/>
          <w:szCs w:val="24"/>
          <w:lang w:val="en-GB"/>
        </w:rPr>
      </w:pPr>
    </w:p>
    <w:p>
      <w:pPr>
        <w:spacing w:line="360" w:lineRule="auto"/>
        <w:ind w:firstLine="7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The last stage of the school development process is assessing the impact of improvement initiatives on student learning and success and utilising this data to influence future planning and decision-making (Schildkamp, 2019). According to the Welsh Government (n.d.), schools should use a range of data sources to assess their success and recommend areas for future improvement. In the case of curriculum, analysing the impact may entail investigating the curriculum's conformity with the school's vision and goals, as well as its efficacy in fostering student learning and accomplishment (Hattie, 2015). This necessitates the establishment of rigorous processes for monitoring and assessing the success of improvement initiatives, including as the collecting and analysis of data on student outcomes, as well as the utilisation of stakeholder input to influence continuing improvement efforts (Schildkamp, 2019).</w:t>
      </w:r>
    </w:p>
    <w:p>
      <w:pPr>
        <w:keepNext w:val="0"/>
        <w:keepLines w:val="0"/>
        <w:widowControl/>
        <w:numPr>
          <w:ilvl w:val="0"/>
          <w:numId w:val="0"/>
        </w:numPr>
        <w:suppressLineNumbers w:val="0"/>
        <w:spacing w:line="360" w:lineRule="auto"/>
        <w:ind w:leftChars="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numPr>
          <w:ilvl w:val="0"/>
          <w:numId w:val="0"/>
        </w:numPr>
        <w:suppressLineNumbers w:val="0"/>
        <w:spacing w:line="360" w:lineRule="auto"/>
        <w:ind w:leftChars="0"/>
        <w:jc w:val="left"/>
        <w:rPr>
          <w:rFonts w:hint="default" w:ascii="Times New Roman" w:hAnsi="Times New Roman" w:eastAsia="宋体" w:cs="Times New Roman"/>
          <w:color w:val="000000"/>
          <w:kern w:val="0"/>
          <w:sz w:val="28"/>
          <w:szCs w:val="28"/>
          <w:lang w:val="en-US" w:eastAsia="zh-CN" w:bidi="ar"/>
        </w:rPr>
      </w:pPr>
    </w:p>
    <w:p>
      <w:pPr>
        <w:keepNext w:val="0"/>
        <w:keepLines w:val="0"/>
        <w:widowControl/>
        <w:numPr>
          <w:ilvl w:val="0"/>
          <w:numId w:val="2"/>
        </w:numPr>
        <w:suppressLineNumbers w:val="0"/>
        <w:spacing w:line="360" w:lineRule="auto"/>
        <w:ind w:left="0" w:leftChars="0" w:firstLine="0" w:firstLineChars="0"/>
        <w:jc w:val="left"/>
        <w:rPr>
          <w:rFonts w:hint="default" w:ascii="Times New Roman" w:hAnsi="Times New Roman" w:eastAsia="宋体" w:cs="Times New Roman"/>
          <w:b/>
          <w:bCs/>
          <w:color w:val="000000"/>
          <w:kern w:val="0"/>
          <w:sz w:val="28"/>
          <w:szCs w:val="28"/>
          <w:lang w:val="en-US" w:eastAsia="zh-CN" w:bidi="ar"/>
        </w:rPr>
      </w:pPr>
      <w:r>
        <w:rPr>
          <w:rFonts w:hint="default" w:ascii="Times New Roman" w:hAnsi="Times New Roman" w:eastAsia="宋体" w:cs="Times New Roman"/>
          <w:b/>
          <w:bCs/>
          <w:color w:val="000000"/>
          <w:kern w:val="0"/>
          <w:sz w:val="28"/>
          <w:szCs w:val="28"/>
          <w:lang w:val="en-US" w:eastAsia="zh-CN" w:bidi="ar"/>
        </w:rPr>
        <w:t>Developing an action point</w:t>
      </w:r>
    </w:p>
    <w:p>
      <w:pPr>
        <w:keepNext w:val="0"/>
        <w:keepLines w:val="0"/>
        <w:widowControl/>
        <w:numPr>
          <w:ilvl w:val="0"/>
          <w:numId w:val="0"/>
        </w:numPr>
        <w:suppressLineNumbers w:val="0"/>
        <w:spacing w:line="360" w:lineRule="auto"/>
        <w:ind w:leftChars="0"/>
        <w:jc w:val="left"/>
        <w:rPr>
          <w:rFonts w:hint="default" w:ascii="Times New Roman" w:hAnsi="Times New Roman" w:eastAsia="宋体" w:cs="Times New Roman"/>
          <w:b/>
          <w:bCs/>
          <w:color w:val="000000"/>
          <w:kern w:val="0"/>
          <w:sz w:val="24"/>
          <w:szCs w:val="24"/>
          <w:lang w:val="en-US" w:eastAsia="zh-CN" w:bidi="ar"/>
        </w:rPr>
      </w:pPr>
    </w:p>
    <w:p>
      <w:pPr>
        <w:keepNext w:val="0"/>
        <w:keepLines w:val="0"/>
        <w:widowControl/>
        <w:suppressLineNumbers w:val="0"/>
        <w:spacing w:line="360" w:lineRule="auto"/>
        <w:jc w:val="left"/>
        <w:rPr>
          <w:rFonts w:hint="default" w:ascii="Times New Roman" w:hAnsi="Times New Roman" w:eastAsia="宋体" w:cs="Times New Roman"/>
          <w:color w:val="000000"/>
          <w:kern w:val="0"/>
          <w:sz w:val="24"/>
          <w:szCs w:val="24"/>
          <w:lang w:val="en-US" w:eastAsia="zh-CN" w:bidi="ar"/>
        </w:rPr>
      </w:pPr>
    </w:p>
    <w:p>
      <w:pPr>
        <w:spacing w:line="360" w:lineRule="auto"/>
        <w:ind w:firstLine="720" w:firstLineChars="0"/>
        <w:rPr>
          <w:rFonts w:hint="default" w:ascii="Times New Roman" w:hAnsi="Times New Roman" w:cs="Times New Roman"/>
          <w:sz w:val="24"/>
          <w:szCs w:val="24"/>
        </w:rPr>
      </w:pPr>
      <w:r>
        <w:rPr>
          <w:rFonts w:hint="default" w:ascii="Times New Roman" w:hAnsi="Times New Roman" w:cs="Times New Roman"/>
          <w:sz w:val="24"/>
          <w:szCs w:val="24"/>
        </w:rPr>
        <w:t>The SDP plays a pivotal role in driving continuous improvement in a school's curriculum and overall educational experience. To ensure the SDP is effective, schools must engage in several key processes, including self-evaluation, data analysis, stakeholder involvement, strategic planning, and measuring impact.</w:t>
      </w:r>
    </w:p>
    <w:p>
      <w:pPr>
        <w:spacing w:line="360" w:lineRule="auto"/>
        <w:rPr>
          <w:rFonts w:hint="default" w:ascii="Times New Roman" w:hAnsi="Times New Roman" w:cs="Times New Roman"/>
          <w:sz w:val="24"/>
          <w:szCs w:val="24"/>
        </w:rPr>
      </w:pPr>
    </w:p>
    <w:p>
      <w:pPr>
        <w:spacing w:line="360" w:lineRule="auto"/>
        <w:ind w:firstLine="720" w:firstLineChars="0"/>
        <w:rPr>
          <w:rFonts w:hint="default" w:ascii="Times New Roman" w:hAnsi="Times New Roman" w:cs="Times New Roman"/>
          <w:sz w:val="24"/>
          <w:szCs w:val="24"/>
        </w:rPr>
      </w:pPr>
      <w:r>
        <w:rPr>
          <w:rFonts w:hint="default" w:ascii="Times New Roman" w:hAnsi="Times New Roman" w:cs="Times New Roman"/>
          <w:sz w:val="24"/>
          <w:szCs w:val="24"/>
          <w:lang w:val="en-GB"/>
        </w:rPr>
        <w:t xml:space="preserve">In School X, </w:t>
      </w:r>
      <w:r>
        <w:rPr>
          <w:rFonts w:hint="default" w:ascii="Times New Roman" w:hAnsi="Times New Roman" w:cs="Times New Roman"/>
          <w:sz w:val="24"/>
          <w:szCs w:val="24"/>
        </w:rPr>
        <w:t>Self-evaluation is the initial and foundational step in the development of an effective SDP. By reflecting on their performance using both qualitative and quantitative data, schools can identify their strengths and areas for improvement. The School Development Lead (SDL) is responsible for overseeing this process, ensuring that thorough design review processes are conducted and that feedback is obtained from various sources, such as 360° pupil feedback and engagement with pupil voices within and across Learning Areas (LAs)</w:t>
      </w:r>
      <w:r>
        <w:rPr>
          <w:rFonts w:hint="default" w:ascii="Times New Roman" w:hAnsi="Times New Roman" w:cs="Times New Roman"/>
          <w:sz w:val="24"/>
          <w:szCs w:val="24"/>
          <w:lang w:val="en-GB"/>
        </w:rPr>
        <w:t xml:space="preserve"> (See the role framework in last page of Appendix A)</w:t>
      </w:r>
      <w:r>
        <w:rPr>
          <w:rFonts w:hint="default" w:ascii="Times New Roman" w:hAnsi="Times New Roman" w:cs="Times New Roman"/>
          <w:sz w:val="24"/>
          <w:szCs w:val="24"/>
        </w:rPr>
        <w:t>. Additionally, the SDL supports Quality Assurance processes, facilitating the development of a culture of continuous improvement and excellence in education.</w:t>
      </w:r>
    </w:p>
    <w:p>
      <w:pPr>
        <w:spacing w:line="360" w:lineRule="auto"/>
        <w:rPr>
          <w:rFonts w:hint="default" w:ascii="Times New Roman" w:hAnsi="Times New Roman" w:cs="Times New Roman"/>
          <w:sz w:val="24"/>
          <w:szCs w:val="24"/>
        </w:rPr>
      </w:pPr>
    </w:p>
    <w:p>
      <w:pPr>
        <w:spacing w:line="360" w:lineRule="auto"/>
        <w:ind w:firstLine="720" w:firstLineChars="0"/>
        <w:rPr>
          <w:rFonts w:hint="default" w:ascii="Times New Roman" w:hAnsi="Times New Roman" w:cs="Times New Roman"/>
          <w:sz w:val="24"/>
          <w:szCs w:val="24"/>
        </w:rPr>
      </w:pPr>
      <w:r>
        <w:rPr>
          <w:rFonts w:hint="default" w:ascii="Times New Roman" w:hAnsi="Times New Roman" w:cs="Times New Roman"/>
          <w:sz w:val="24"/>
          <w:szCs w:val="24"/>
        </w:rPr>
        <w:t>Data analysis is a crucial aspect of the SDP, as it allows schools to make informed decisions based on evidence. Qualitative data, such as inspection reports and learner well-being information, provide insights into the school's overall environment and its impact on students. Quantitative data, including attainment results, school banding information, and contextual factors such as socio-economic, linguistic, and enrollment trends, enable the SDL and school leadership team to gauge their performance relative to other institutions and identify trends that may affect their improvement strategies. By analyzing this data, the school can pinpoint specific areas that require attention and prioritize them in their development plan.</w:t>
      </w:r>
    </w:p>
    <w:p>
      <w:pPr>
        <w:spacing w:line="360" w:lineRule="auto"/>
        <w:rPr>
          <w:rFonts w:hint="default" w:ascii="Times New Roman" w:hAnsi="Times New Roman" w:cs="Times New Roman"/>
          <w:sz w:val="24"/>
          <w:szCs w:val="24"/>
        </w:rPr>
      </w:pPr>
    </w:p>
    <w:p>
      <w:pPr>
        <w:spacing w:line="360" w:lineRule="auto"/>
        <w:ind w:firstLine="720" w:firstLineChars="0"/>
        <w:rPr>
          <w:rFonts w:hint="default" w:ascii="Times New Roman" w:hAnsi="Times New Roman" w:cs="Times New Roman"/>
          <w:sz w:val="24"/>
          <w:szCs w:val="24"/>
        </w:rPr>
      </w:pPr>
      <w:r>
        <w:rPr>
          <w:rFonts w:hint="default" w:ascii="Times New Roman" w:hAnsi="Times New Roman" w:cs="Times New Roman"/>
          <w:sz w:val="24"/>
          <w:szCs w:val="24"/>
        </w:rPr>
        <w:t>Involving stakeholders is essential in ensuring the successful implementation of the SDP. Engaging the Deputy Head, members of the Senior Leadership Team (SLT), the designated SDL, and other relevant staff fosters a sense of shared ownership and commitment to the plan's objectives. This collaborative approach promotes a unified vision for the school's development and allows for more effective communication and coordination among stakeholders. The Assistant Head of SDL in the curriculum plays a significant role in overseeing high-level staff, coordinating their efforts, and ensuring alignment with the school's strategic priorities.</w:t>
      </w:r>
    </w:p>
    <w:p>
      <w:pPr>
        <w:spacing w:line="360" w:lineRule="auto"/>
        <w:rPr>
          <w:rFonts w:hint="default" w:ascii="Times New Roman" w:hAnsi="Times New Roman" w:cs="Times New Roman"/>
          <w:sz w:val="24"/>
          <w:szCs w:val="24"/>
        </w:rPr>
      </w:pPr>
    </w:p>
    <w:p>
      <w:pPr>
        <w:spacing w:line="360" w:lineRule="auto"/>
        <w:ind w:firstLine="720" w:firstLineChars="0"/>
        <w:rPr>
          <w:rFonts w:hint="default" w:ascii="Times New Roman" w:hAnsi="Times New Roman" w:cs="Times New Roman"/>
          <w:sz w:val="24"/>
          <w:szCs w:val="24"/>
        </w:rPr>
      </w:pPr>
      <w:r>
        <w:rPr>
          <w:rFonts w:hint="default" w:ascii="Times New Roman" w:hAnsi="Times New Roman" w:cs="Times New Roman"/>
          <w:sz w:val="24"/>
          <w:szCs w:val="24"/>
        </w:rPr>
        <w:t>Strategic planning forms the core of the SDP, outlining the specific targets the school aims to achieve and the strategies they will employ to reach those targets. In the provided SDP, the focus is on two main development areas: Developing a great curriculum and Developing a great experience</w:t>
      </w:r>
      <w:r>
        <w:rPr>
          <w:rFonts w:hint="default" w:ascii="Times New Roman" w:hAnsi="Times New Roman" w:cs="Times New Roman"/>
          <w:sz w:val="24"/>
          <w:szCs w:val="24"/>
          <w:lang w:val="en-GB"/>
        </w:rPr>
        <w:t>, and the SDL in the two areas are accountable for the curriculum development plan.</w:t>
      </w:r>
      <w:r>
        <w:rPr>
          <w:rFonts w:hint="default" w:ascii="Times New Roman" w:hAnsi="Times New Roman" w:cs="Times New Roman"/>
          <w:sz w:val="24"/>
          <w:szCs w:val="24"/>
        </w:rPr>
        <w:t xml:space="preserve"> The plan lists various strategies to evaluate and improve different aspects of the curriculum, such as iLearn (KS3), cross-curricular skills, Welsh language development, and the effectiveness of the curriculum at different levels (KS4 and KS5). By addressing these strategies, the school aims to create a curriculum that is well-rounded, caters to the needs of all learners, and prepares students for the opportunities and responsibilities of later life, in line with the four purposes of education.</w:t>
      </w:r>
    </w:p>
    <w:p>
      <w:pPr>
        <w:spacing w:line="360" w:lineRule="auto"/>
        <w:rPr>
          <w:rFonts w:hint="default" w:ascii="Times New Roman" w:hAnsi="Times New Roman" w:cs="Times New Roman"/>
          <w:sz w:val="24"/>
          <w:szCs w:val="24"/>
        </w:rPr>
      </w:pPr>
    </w:p>
    <w:p>
      <w:pPr>
        <w:spacing w:line="360" w:lineRule="auto"/>
        <w:ind w:firstLine="720" w:firstLineChars="0"/>
        <w:rPr>
          <w:rFonts w:hint="default" w:ascii="Times New Roman" w:hAnsi="Times New Roman" w:cs="Times New Roman"/>
          <w:sz w:val="24"/>
          <w:szCs w:val="24"/>
        </w:rPr>
      </w:pPr>
      <w:r>
        <w:rPr>
          <w:rFonts w:hint="default" w:ascii="Times New Roman" w:hAnsi="Times New Roman" w:cs="Times New Roman"/>
          <w:sz w:val="24"/>
          <w:szCs w:val="24"/>
        </w:rPr>
        <w:t>Measuring impact is the final and crucial aspect of the SDP, as it enables schools to assess the effectiveness of their improvement strategies. The School Performance and Absence Targets (Wales) Regulations 2011 place a duty on governing bodies to set, submit, and review performance targets annually. This process ensures that the school's improvement planning and strategies reflect the up-to-date context of the school. Monitoring, reviewing, and evaluating progress towards meeting targets helps schools determine if their SDP has been effective in achieving its goals and improving outcomes for all learners. Furthermore, this process allows schools to make necessary adjustments to their SDP to address any shortcomings and maintain a focus on continuous improvement.</w:t>
      </w:r>
    </w:p>
    <w:p>
      <w:pPr>
        <w:spacing w:line="360" w:lineRule="auto"/>
        <w:rPr>
          <w:rFonts w:hint="default" w:ascii="Times New Roman" w:hAnsi="Times New Roman" w:cs="Times New Roman"/>
          <w:sz w:val="24"/>
          <w:szCs w:val="24"/>
          <w:lang w:val="en-GB"/>
        </w:rPr>
      </w:pPr>
    </w:p>
    <w:p>
      <w:pPr>
        <w:spacing w:line="360" w:lineRule="auto"/>
        <w:rPr>
          <w:rFonts w:hint="default" w:ascii="Times New Roman" w:hAnsi="Times New Roman" w:cs="Times New Roman"/>
          <w:sz w:val="24"/>
          <w:szCs w:val="24"/>
          <w:lang w:val="en-GB"/>
        </w:rPr>
      </w:pPr>
    </w:p>
    <w:p>
      <w:pPr>
        <w:numPr>
          <w:ilvl w:val="0"/>
          <w:numId w:val="2"/>
        </w:numPr>
        <w:spacing w:line="360" w:lineRule="auto"/>
        <w:ind w:left="0" w:leftChars="0" w:firstLine="0" w:firstLineChars="0"/>
        <w:rPr>
          <w:rFonts w:hint="default" w:ascii="Times New Roman" w:hAnsi="Times New Roman" w:cs="Times New Roman"/>
          <w:b/>
          <w:bCs/>
          <w:sz w:val="28"/>
          <w:szCs w:val="28"/>
          <w:lang w:val="en-GB"/>
        </w:rPr>
      </w:pPr>
      <w:r>
        <w:rPr>
          <w:rFonts w:hint="default" w:ascii="Times New Roman" w:hAnsi="Times New Roman" w:cs="Times New Roman"/>
          <w:b/>
          <w:bCs/>
          <w:sz w:val="28"/>
          <w:szCs w:val="28"/>
          <w:lang w:val="en-GB"/>
        </w:rPr>
        <w:t>Reflection and Evaluation</w:t>
      </w:r>
    </w:p>
    <w:p>
      <w:pPr>
        <w:spacing w:line="360" w:lineRule="auto"/>
        <w:rPr>
          <w:rFonts w:hint="default" w:ascii="Times New Roman" w:hAnsi="Times New Roman" w:cs="Times New Roman"/>
          <w:sz w:val="24"/>
          <w:szCs w:val="24"/>
          <w:lang w:val="en-GB"/>
        </w:rPr>
      </w:pPr>
    </w:p>
    <w:p>
      <w:pPr>
        <w:spacing w:line="360" w:lineRule="auto"/>
        <w:rPr>
          <w:rFonts w:hint="default" w:ascii="Times New Roman" w:hAnsi="Times New Roman" w:cs="Times New Roman"/>
          <w:sz w:val="24"/>
          <w:szCs w:val="24"/>
          <w:lang w:val="en-GB"/>
        </w:rPr>
      </w:pPr>
    </w:p>
    <w:p>
      <w:pPr>
        <w:spacing w:line="360" w:lineRule="auto"/>
        <w:ind w:firstLine="7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The school's development plan for the curriculum demonstrates a clear focus on evaluating and enhancing various aspects of the educational experience, aligning with the "School improvement guidance: framework for evaluation, improvement and accountability" published by the Welsh Government. The plan's objectives are comprehensive and seek to address key areas of concern, such as the iLearn curriculum (KS3), cross-curricular skills, Welsh language development, and the effectiveness of the KS4 and KS5 curricula. Additionally, the plan aims to develop a vision for the new curriculum and an assessment model that supports the delivery of the new curriculum, including Donaldson's 'four purposes' (see appendix A).</w:t>
      </w:r>
    </w:p>
    <w:p>
      <w:pPr>
        <w:spacing w:line="360" w:lineRule="auto"/>
        <w:rPr>
          <w:rFonts w:hint="default" w:ascii="Times New Roman" w:hAnsi="Times New Roman" w:cs="Times New Roman"/>
          <w:sz w:val="24"/>
          <w:szCs w:val="24"/>
          <w:lang w:val="en-GB"/>
        </w:rPr>
      </w:pPr>
    </w:p>
    <w:p>
      <w:pPr>
        <w:spacing w:line="360" w:lineRule="auto"/>
        <w:ind w:firstLine="7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Upon reflecting on the school's development plan, it is evident that significant effort has been put into identifying areas for improvement and designing strategies to address them. However, there may be some opportunities for refinement and further development based on established best practices and theoretical frameworks.</w:t>
      </w:r>
    </w:p>
    <w:p>
      <w:pPr>
        <w:spacing w:line="360" w:lineRule="auto"/>
        <w:rPr>
          <w:rFonts w:hint="default" w:ascii="Times New Roman" w:hAnsi="Times New Roman" w:cs="Times New Roman"/>
          <w:sz w:val="24"/>
          <w:szCs w:val="24"/>
          <w:lang w:val="en-GB"/>
        </w:rPr>
      </w:pPr>
    </w:p>
    <w:p>
      <w:pPr>
        <w:spacing w:line="360" w:lineRule="auto"/>
        <w:ind w:firstLine="7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Firstly, while evaluating the iLearn curriculum (KS3) for alignment with Donaldson's 'four purposes' is a crucial step, the school could consider incorporating a more student-centered approach to curriculum design. By involving students, teachers, and parents in the evaluation process, the school can ensure that the curriculum is more responsive to the needs and preferences of the learners, leading to better engagement and outcomes. For instance, implementing regular surveys or feedback sessions with the school community can provide valuable insights into areas that may require improvement, allowing the school to make data-driven decisions in its curriculum design.</w:t>
      </w:r>
    </w:p>
    <w:p>
      <w:pPr>
        <w:spacing w:line="360" w:lineRule="auto"/>
        <w:rPr>
          <w:rFonts w:hint="default" w:ascii="Times New Roman" w:hAnsi="Times New Roman" w:cs="Times New Roman"/>
          <w:sz w:val="24"/>
          <w:szCs w:val="24"/>
          <w:lang w:val="en-GB"/>
        </w:rPr>
      </w:pPr>
    </w:p>
    <w:p>
      <w:pPr>
        <w:spacing w:line="360" w:lineRule="auto"/>
        <w:ind w:firstLine="7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Regarding the development of cross-curricular skills, it may be beneficial to explore innovative teaching methodologies and collaborative learning strategies that foster the integration of literacy, numeracy, and digital competence across various subjects. This approach can help students develop a deeper understanding of the interconnectedness of different disciplines and prepare them for the challenges of the modern world. For example, project-based learning, where students work on interdisciplinary projects that require the application of skills from multiple subject areas, can promote a holistic learning experience and foster the development of cross-curricular competencies.</w:t>
      </w:r>
    </w:p>
    <w:p>
      <w:pPr>
        <w:spacing w:line="360" w:lineRule="auto"/>
        <w:rPr>
          <w:rFonts w:hint="default" w:ascii="Times New Roman" w:hAnsi="Times New Roman" w:cs="Times New Roman"/>
          <w:sz w:val="24"/>
          <w:szCs w:val="24"/>
          <w:lang w:val="en-GB"/>
        </w:rPr>
      </w:pPr>
    </w:p>
    <w:p>
      <w:pPr>
        <w:spacing w:line="360" w:lineRule="auto"/>
        <w:ind w:firstLine="7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In terms of Welsh language development, the school's commitment to achieving the Bronze Siarter Iaith Award is commendable. To further enhance language acquisition, the school might consider integrating Welsh language instruction into everyday classroom activities and promoting the use of the language in extracurricular activities, thus providing more opportunities for students to practice and develop their language skills in a natural context. One approach could be the implementation of a "Welsh Language Week" that encourages students and staff to use Welsh in various contexts throughout the school, such as morning announcements, assemblies, or even during lunch breaks.</w:t>
      </w:r>
    </w:p>
    <w:p>
      <w:pPr>
        <w:spacing w:line="360" w:lineRule="auto"/>
        <w:rPr>
          <w:rFonts w:hint="default" w:ascii="Times New Roman" w:hAnsi="Times New Roman" w:cs="Times New Roman"/>
          <w:sz w:val="24"/>
          <w:szCs w:val="24"/>
          <w:lang w:val="en-GB"/>
        </w:rPr>
      </w:pPr>
    </w:p>
    <w:p>
      <w:pPr>
        <w:spacing w:line="360" w:lineRule="auto"/>
        <w:ind w:firstLine="7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When evaluating the effectiveness of the KS4 and KS5 curricula, it is essential to consider the diverse needs of all learners, including students with special educational needs and those from disadvantaged backgrounds. By adopting inclusive teaching practices and providing targeted support for students who may struggle academically or socially, the school can ensure that all learners have the opportunity to reach their full potential. This could involve offering additional resources, such as one-to-one tutoring, mentorship programs, or supplementary learning materials, to support students with varying needs and abilities.</w:t>
      </w:r>
    </w:p>
    <w:p>
      <w:pPr>
        <w:spacing w:line="360" w:lineRule="auto"/>
        <w:rPr>
          <w:rFonts w:hint="default" w:ascii="Times New Roman" w:hAnsi="Times New Roman" w:cs="Times New Roman"/>
          <w:sz w:val="24"/>
          <w:szCs w:val="24"/>
          <w:lang w:val="en-GB"/>
        </w:rPr>
      </w:pPr>
    </w:p>
    <w:p>
      <w:pPr>
        <w:spacing w:line="360" w:lineRule="auto"/>
        <w:ind w:firstLine="7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The development of a new vision for the curriculum and an assessment model that supports the delivery of the new curriculum is a vital part of the school's development plan. To ensure that this vision is truly inclusive and representative of the school community, it may be helpful to engage in open dialogue with stakeholders, including students, parents, and staff, and to consider their input and feedback in shaping the school's future curriculum and assessment practices. Organizing focus groups or town hall meetings where stakeholders can express their ideas and concerns can create an environment of collaboration and ensure that the new curriculum reflects the diverse needs of the school community.</w:t>
      </w:r>
    </w:p>
    <w:p>
      <w:pPr>
        <w:spacing w:line="360" w:lineRule="auto"/>
        <w:rPr>
          <w:rFonts w:hint="default" w:ascii="Times New Roman" w:hAnsi="Times New Roman" w:cs="Times New Roman"/>
          <w:sz w:val="24"/>
          <w:szCs w:val="24"/>
          <w:lang w:val="en-GB"/>
        </w:rPr>
      </w:pPr>
    </w:p>
    <w:p>
      <w:pPr>
        <w:spacing w:line="360" w:lineRule="auto"/>
        <w:rPr>
          <w:rFonts w:hint="default" w:ascii="Times New Roman" w:hAnsi="Times New Roman" w:cs="Times New Roman"/>
          <w:sz w:val="24"/>
          <w:szCs w:val="24"/>
          <w:lang w:val="en-GB"/>
        </w:rPr>
      </w:pPr>
    </w:p>
    <w:p>
      <w:pPr>
        <w:numPr>
          <w:ilvl w:val="0"/>
          <w:numId w:val="2"/>
        </w:numPr>
        <w:spacing w:line="360" w:lineRule="auto"/>
        <w:ind w:left="0" w:leftChars="0" w:firstLine="0" w:firstLineChars="0"/>
        <w:rPr>
          <w:rFonts w:hint="default" w:ascii="Times New Roman" w:hAnsi="Times New Roman" w:cs="Times New Roman"/>
          <w:b/>
          <w:bCs/>
          <w:sz w:val="28"/>
          <w:szCs w:val="28"/>
          <w:lang w:val="en-GB"/>
        </w:rPr>
      </w:pPr>
      <w:r>
        <w:rPr>
          <w:rFonts w:hint="default" w:ascii="Times New Roman" w:hAnsi="Times New Roman" w:cs="Times New Roman"/>
          <w:b/>
          <w:bCs/>
          <w:sz w:val="28"/>
          <w:szCs w:val="28"/>
          <w:lang w:val="en-GB"/>
        </w:rPr>
        <w:t>Conclusion</w:t>
      </w:r>
    </w:p>
    <w:p>
      <w:pPr>
        <w:numPr>
          <w:ilvl w:val="0"/>
          <w:numId w:val="0"/>
        </w:numPr>
        <w:spacing w:line="360" w:lineRule="auto"/>
        <w:ind w:left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br w:type="textWrapping"/>
      </w:r>
      <w:r>
        <w:rPr>
          <w:rFonts w:hint="default" w:ascii="Times New Roman" w:hAnsi="Times New Roman" w:cs="Times New Roman"/>
          <w:sz w:val="24"/>
          <w:szCs w:val="24"/>
          <w:lang w:val="en-GB"/>
        </w:rPr>
        <w:br w:type="textWrapping"/>
      </w:r>
      <w:r>
        <w:rPr>
          <w:rFonts w:hint="default" w:ascii="Times New Roman" w:hAnsi="Times New Roman" w:cs="Times New Roman"/>
          <w:sz w:val="24"/>
          <w:szCs w:val="24"/>
          <w:lang w:val="en-GB"/>
        </w:rPr>
        <w:tab/>
      </w:r>
      <w:r>
        <w:rPr>
          <w:rFonts w:hint="default" w:ascii="Times New Roman" w:hAnsi="Times New Roman" w:cs="Times New Roman"/>
          <w:sz w:val="24"/>
          <w:szCs w:val="24"/>
          <w:lang w:val="en-GB"/>
        </w:rPr>
        <w:t>This essay critically examined a SDP in a secondary comprehensive school context, with an emphasis on the curricular element. The significance of important activities in the school development process, such as vision, self-evaluation, strategic planning, implementing improvements or taking action, and assessing effect, was highlighted through a thorough literature analysis. The creation of an action point, as well as the reflection and assessment of the school's growth plan, gave additional insight into best practises and recommendations for improving the curriculum and overall educational experience for all students.  A well-structured SDP has shown to be critical for promoting ongoing improvement in a school's curriculum and educational experience. Educators and school leaders must have a thorough awareness of the many components of the school development process, as well as the capacity to critically analyse and change the plan. This information will be essential as a professional in creating future curriculum development methods, establishing a culture of continuous improvement, and ensuring the greatest possible outcomes for all students.</w:t>
      </w:r>
    </w:p>
    <w:p>
      <w:pPr>
        <w:numPr>
          <w:ilvl w:val="0"/>
          <w:numId w:val="0"/>
        </w:numPr>
        <w:spacing w:line="360" w:lineRule="auto"/>
        <w:ind w:leftChars="0"/>
        <w:rPr>
          <w:rFonts w:hint="default" w:ascii="Times New Roman" w:hAnsi="Times New Roman" w:cs="Times New Roman"/>
          <w:sz w:val="24"/>
          <w:szCs w:val="24"/>
          <w:lang w:val="en-GB"/>
        </w:rPr>
      </w:pPr>
    </w:p>
    <w:p>
      <w:pPr>
        <w:numPr>
          <w:ilvl w:val="0"/>
          <w:numId w:val="0"/>
        </w:numPr>
        <w:spacing w:line="360" w:lineRule="auto"/>
        <w:ind w:leftChars="0"/>
        <w:rPr>
          <w:rFonts w:hint="default" w:ascii="Times New Roman" w:hAnsi="Times New Roman" w:cs="Times New Roman"/>
          <w:sz w:val="24"/>
          <w:szCs w:val="24"/>
          <w:lang w:val="en-GB"/>
        </w:rPr>
      </w:pPr>
    </w:p>
    <w:p>
      <w:pPr>
        <w:numPr>
          <w:ilvl w:val="0"/>
          <w:numId w:val="0"/>
        </w:numPr>
        <w:spacing w:line="360" w:lineRule="auto"/>
        <w:ind w:left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(2470</w:t>
      </w:r>
      <w:bookmarkStart w:id="0" w:name="_GoBack"/>
      <w:bookmarkEnd w:id="0"/>
      <w:r>
        <w:rPr>
          <w:rFonts w:hint="default" w:ascii="Times New Roman" w:hAnsi="Times New Roman" w:cs="Times New Roman"/>
          <w:sz w:val="24"/>
          <w:szCs w:val="24"/>
          <w:lang w:val="en-GB"/>
        </w:rPr>
        <w:t xml:space="preserve"> words)</w:t>
      </w:r>
    </w:p>
    <w:p>
      <w:pPr>
        <w:numPr>
          <w:ilvl w:val="0"/>
          <w:numId w:val="0"/>
        </w:numPr>
        <w:spacing w:line="360" w:lineRule="auto"/>
        <w:ind w:leftChars="0"/>
        <w:rPr>
          <w:rFonts w:hint="default" w:ascii="Times New Roman" w:hAnsi="Times New Roman" w:cs="Times New Roman"/>
          <w:sz w:val="24"/>
          <w:szCs w:val="24"/>
          <w:lang w:val="en-GB"/>
        </w:rPr>
      </w:pPr>
    </w:p>
    <w:p>
      <w:pPr>
        <w:numPr>
          <w:ilvl w:val="0"/>
          <w:numId w:val="0"/>
        </w:numPr>
        <w:spacing w:line="360" w:lineRule="auto"/>
        <w:ind w:leftChars="0"/>
        <w:rPr>
          <w:rFonts w:hint="default" w:ascii="Times New Roman" w:hAnsi="Times New Roman" w:cs="Times New Roman"/>
          <w:b/>
          <w:bCs/>
          <w:sz w:val="28"/>
          <w:szCs w:val="28"/>
          <w:lang w:val="en-GB"/>
        </w:rPr>
      </w:pPr>
    </w:p>
    <w:p>
      <w:pPr>
        <w:numPr>
          <w:ilvl w:val="0"/>
          <w:numId w:val="0"/>
        </w:numPr>
        <w:spacing w:line="360" w:lineRule="auto"/>
        <w:ind w:leftChars="0"/>
        <w:rPr>
          <w:rFonts w:hint="default" w:ascii="Times New Roman" w:hAnsi="Times New Roman" w:cs="Times New Roman"/>
          <w:b/>
          <w:bCs/>
          <w:sz w:val="28"/>
          <w:szCs w:val="28"/>
          <w:lang w:val="en-GB"/>
        </w:rPr>
      </w:pPr>
      <w:r>
        <w:rPr>
          <w:rFonts w:hint="default" w:ascii="Times New Roman" w:hAnsi="Times New Roman" w:cs="Times New Roman"/>
          <w:b/>
          <w:bCs/>
          <w:sz w:val="28"/>
          <w:szCs w:val="28"/>
          <w:lang w:val="en-GB"/>
        </w:rPr>
        <w:t>Reference List</w:t>
      </w:r>
    </w:p>
    <w:p>
      <w:pPr>
        <w:numPr>
          <w:ilvl w:val="0"/>
          <w:numId w:val="0"/>
        </w:numPr>
        <w:spacing w:line="360" w:lineRule="auto"/>
        <w:ind w:leftChars="0"/>
        <w:rPr>
          <w:rFonts w:hint="default" w:ascii="Times New Roman" w:hAnsi="Times New Roman" w:cs="Times New Roman"/>
          <w:b/>
          <w:bCs/>
          <w:sz w:val="28"/>
          <w:szCs w:val="28"/>
          <w:lang w:val="en-GB"/>
        </w:rPr>
      </w:pPr>
    </w:p>
    <w:p>
      <w:pPr>
        <w:numPr>
          <w:ilvl w:val="0"/>
          <w:numId w:val="0"/>
        </w:numPr>
        <w:spacing w:line="360" w:lineRule="auto"/>
        <w:ind w:leftChars="0"/>
        <w:rPr>
          <w:rFonts w:hint="default" w:ascii="Times New Roman" w:hAnsi="Times New Roman"/>
          <w:b w:val="0"/>
          <w:bCs w:val="0"/>
          <w:sz w:val="24"/>
          <w:szCs w:val="24"/>
          <w:lang w:val="en-GB"/>
        </w:rPr>
      </w:pPr>
      <w:r>
        <w:rPr>
          <w:rFonts w:hint="default" w:ascii="Times New Roman" w:hAnsi="Times New Roman"/>
          <w:b w:val="0"/>
          <w:bCs w:val="0"/>
          <w:sz w:val="24"/>
          <w:szCs w:val="24"/>
          <w:lang w:val="en-GB"/>
        </w:rPr>
        <w:t xml:space="preserve">Chang, G.-C. (2008). </w:t>
      </w:r>
      <w:r>
        <w:rPr>
          <w:rFonts w:hint="default" w:ascii="Times New Roman" w:hAnsi="Times New Roman"/>
          <w:b w:val="0"/>
          <w:bCs w:val="0"/>
          <w:i/>
          <w:iCs/>
          <w:sz w:val="24"/>
          <w:szCs w:val="24"/>
          <w:lang w:val="en-GB"/>
        </w:rPr>
        <w:t>Strategic Planning in Education: Some Concepts and Methods. International Institute for Educational Planning</w:t>
      </w:r>
      <w:r>
        <w:rPr>
          <w:rFonts w:hint="default" w:ascii="Times New Roman" w:hAnsi="Times New Roman"/>
          <w:b w:val="0"/>
          <w:bCs w:val="0"/>
          <w:sz w:val="24"/>
          <w:szCs w:val="24"/>
          <w:lang w:val="en-GB"/>
        </w:rPr>
        <w:t>. Available at: https://padlet.com/jessicaroberts4/school-improvement-e04tfqe8jmln73vb/wish/1512696071 [Accessed 11 April 2023].</w:t>
      </w:r>
    </w:p>
    <w:p>
      <w:pPr>
        <w:numPr>
          <w:ilvl w:val="0"/>
          <w:numId w:val="0"/>
        </w:numPr>
        <w:spacing w:line="360" w:lineRule="auto"/>
        <w:ind w:leftChars="0"/>
        <w:rPr>
          <w:rFonts w:hint="default" w:ascii="Times New Roman" w:hAnsi="Times New Roman"/>
          <w:b w:val="0"/>
          <w:bCs w:val="0"/>
          <w:sz w:val="24"/>
          <w:szCs w:val="24"/>
          <w:lang w:val="en-GB"/>
        </w:rPr>
      </w:pPr>
    </w:p>
    <w:p>
      <w:pPr>
        <w:numPr>
          <w:ilvl w:val="0"/>
          <w:numId w:val="0"/>
        </w:numPr>
        <w:spacing w:line="360" w:lineRule="auto"/>
        <w:ind w:leftChars="0"/>
        <w:rPr>
          <w:rFonts w:hint="default" w:ascii="Times New Roman" w:hAnsi="Times New Roman"/>
          <w:b w:val="0"/>
          <w:bCs w:val="0"/>
          <w:sz w:val="24"/>
          <w:szCs w:val="24"/>
          <w:lang w:val="en-GB"/>
        </w:rPr>
      </w:pPr>
      <w:r>
        <w:rPr>
          <w:rFonts w:hint="default" w:ascii="Times New Roman" w:hAnsi="Times New Roman"/>
          <w:b w:val="0"/>
          <w:bCs w:val="0"/>
          <w:sz w:val="24"/>
          <w:szCs w:val="24"/>
          <w:lang w:val="en-GB"/>
        </w:rPr>
        <w:t xml:space="preserve">Darling-Hammond, L. (2017). </w:t>
      </w:r>
      <w:r>
        <w:rPr>
          <w:rFonts w:hint="default" w:ascii="Times New Roman" w:hAnsi="Times New Roman"/>
          <w:b w:val="0"/>
          <w:bCs w:val="0"/>
          <w:i/>
          <w:iCs/>
          <w:sz w:val="24"/>
          <w:szCs w:val="24"/>
          <w:lang w:val="en-GB"/>
        </w:rPr>
        <w:t>Teacher education around the world: What can we learn from international practice?</w:t>
      </w:r>
      <w:r>
        <w:rPr>
          <w:rFonts w:hint="default" w:ascii="Times New Roman" w:hAnsi="Times New Roman"/>
          <w:b w:val="0"/>
          <w:bCs w:val="0"/>
          <w:sz w:val="24"/>
          <w:szCs w:val="24"/>
          <w:lang w:val="en-GB"/>
        </w:rPr>
        <w:t xml:space="preserve"> European Journal of Teacher Education, 40(3). https://doi.org/10.1080/02619768.2017.1315399</w:t>
      </w:r>
    </w:p>
    <w:p>
      <w:pPr>
        <w:numPr>
          <w:ilvl w:val="0"/>
          <w:numId w:val="0"/>
        </w:numPr>
        <w:spacing w:line="360" w:lineRule="auto"/>
        <w:ind w:leftChars="0"/>
        <w:rPr>
          <w:rFonts w:hint="default" w:ascii="Times New Roman" w:hAnsi="Times New Roman"/>
          <w:b w:val="0"/>
          <w:bCs w:val="0"/>
          <w:sz w:val="24"/>
          <w:szCs w:val="24"/>
          <w:lang w:val="en-GB"/>
        </w:rPr>
      </w:pPr>
    </w:p>
    <w:p>
      <w:pPr>
        <w:numPr>
          <w:ilvl w:val="0"/>
          <w:numId w:val="0"/>
        </w:numPr>
        <w:spacing w:line="360" w:lineRule="auto"/>
        <w:ind w:leftChars="0"/>
        <w:rPr>
          <w:rFonts w:hint="default" w:ascii="Times New Roman" w:hAnsi="Times New Roman"/>
          <w:b w:val="0"/>
          <w:bCs w:val="0"/>
          <w:sz w:val="24"/>
          <w:szCs w:val="24"/>
          <w:lang w:val="en-GB"/>
        </w:rPr>
      </w:pPr>
      <w:r>
        <w:rPr>
          <w:rFonts w:hint="default" w:ascii="Times New Roman" w:hAnsi="Times New Roman"/>
          <w:b w:val="0"/>
          <w:bCs w:val="0"/>
          <w:sz w:val="24"/>
          <w:szCs w:val="24"/>
          <w:lang w:val="en-GB"/>
        </w:rPr>
        <w:t xml:space="preserve">Demetriou, D., &amp; Kyriakides, L. (2012). </w:t>
      </w:r>
      <w:r>
        <w:rPr>
          <w:rFonts w:hint="default" w:ascii="Times New Roman" w:hAnsi="Times New Roman"/>
          <w:b w:val="0"/>
          <w:bCs w:val="0"/>
          <w:i/>
          <w:iCs/>
          <w:sz w:val="24"/>
          <w:szCs w:val="24"/>
          <w:lang w:val="en-GB"/>
        </w:rPr>
        <w:t>The impact of school self-evaluation upon student achievement: A group randomisation study</w:t>
      </w:r>
      <w:r>
        <w:rPr>
          <w:rFonts w:hint="default" w:ascii="Times New Roman" w:hAnsi="Times New Roman"/>
          <w:b w:val="0"/>
          <w:bCs w:val="0"/>
          <w:sz w:val="24"/>
          <w:szCs w:val="24"/>
          <w:lang w:val="en-GB"/>
        </w:rPr>
        <w:t>. Oxford Review of Education, 38(2). https://doi.org/10.1080/03054985.2011.651122</w:t>
      </w:r>
    </w:p>
    <w:p>
      <w:pPr>
        <w:numPr>
          <w:ilvl w:val="0"/>
          <w:numId w:val="0"/>
        </w:numPr>
        <w:spacing w:line="360" w:lineRule="auto"/>
        <w:ind w:leftChars="0"/>
        <w:rPr>
          <w:rFonts w:hint="default" w:ascii="Times New Roman" w:hAnsi="Times New Roman"/>
          <w:b w:val="0"/>
          <w:bCs w:val="0"/>
          <w:sz w:val="24"/>
          <w:szCs w:val="24"/>
          <w:lang w:val="en-GB"/>
        </w:rPr>
      </w:pPr>
    </w:p>
    <w:p>
      <w:pPr>
        <w:numPr>
          <w:ilvl w:val="0"/>
          <w:numId w:val="0"/>
        </w:numPr>
        <w:spacing w:line="360" w:lineRule="auto"/>
        <w:ind w:leftChars="0"/>
        <w:rPr>
          <w:rFonts w:hint="default" w:ascii="Times New Roman" w:hAnsi="Times New Roman"/>
          <w:b w:val="0"/>
          <w:bCs w:val="0"/>
          <w:sz w:val="24"/>
          <w:szCs w:val="24"/>
          <w:lang w:val="en-GB"/>
        </w:rPr>
      </w:pPr>
      <w:r>
        <w:rPr>
          <w:rFonts w:hint="default" w:ascii="Times New Roman" w:hAnsi="Times New Roman"/>
          <w:b w:val="0"/>
          <w:bCs w:val="0"/>
          <w:sz w:val="24"/>
          <w:szCs w:val="24"/>
          <w:lang w:val="en-GB"/>
        </w:rPr>
        <w:t xml:space="preserve">Education Scotland. (n.d.). </w:t>
      </w:r>
      <w:r>
        <w:rPr>
          <w:rFonts w:hint="default" w:ascii="Times New Roman" w:hAnsi="Times New Roman"/>
          <w:b w:val="0"/>
          <w:bCs w:val="0"/>
          <w:i/>
          <w:iCs/>
          <w:sz w:val="24"/>
          <w:szCs w:val="24"/>
          <w:lang w:val="en-GB"/>
        </w:rPr>
        <w:t>How good is OUR school?</w:t>
      </w:r>
      <w:r>
        <w:rPr>
          <w:rFonts w:hint="default" w:ascii="Times New Roman" w:hAnsi="Times New Roman"/>
          <w:b w:val="0"/>
          <w:bCs w:val="0"/>
          <w:sz w:val="24"/>
          <w:szCs w:val="24"/>
          <w:lang w:val="en-GB"/>
        </w:rPr>
        <w:t xml:space="preserve"> A resource to support learner participation in self-evaluation and school improvement. Available at: https://padlet.com/jessicaroberts4/school-improvement-e04tfqe8jmln73vb [Accessed 11 April 2023].</w:t>
      </w:r>
    </w:p>
    <w:p>
      <w:pPr>
        <w:numPr>
          <w:ilvl w:val="0"/>
          <w:numId w:val="0"/>
        </w:numPr>
        <w:spacing w:line="360" w:lineRule="auto"/>
        <w:ind w:leftChars="0"/>
        <w:rPr>
          <w:rFonts w:hint="default" w:ascii="Times New Roman" w:hAnsi="Times New Roman"/>
          <w:b w:val="0"/>
          <w:bCs w:val="0"/>
          <w:sz w:val="24"/>
          <w:szCs w:val="24"/>
          <w:lang w:val="en-GB"/>
        </w:rPr>
      </w:pPr>
    </w:p>
    <w:p>
      <w:pPr>
        <w:numPr>
          <w:ilvl w:val="0"/>
          <w:numId w:val="0"/>
        </w:numPr>
        <w:spacing w:line="360" w:lineRule="auto"/>
        <w:ind w:leftChars="0"/>
        <w:rPr>
          <w:rFonts w:hint="default" w:ascii="Times New Roman" w:hAnsi="Times New Roman"/>
          <w:b w:val="0"/>
          <w:bCs w:val="0"/>
          <w:sz w:val="24"/>
          <w:szCs w:val="24"/>
          <w:lang w:val="en-GB"/>
        </w:rPr>
      </w:pPr>
      <w:r>
        <w:rPr>
          <w:rFonts w:hint="default" w:ascii="Times New Roman" w:hAnsi="Times New Roman"/>
          <w:b w:val="0"/>
          <w:bCs w:val="0"/>
          <w:sz w:val="24"/>
          <w:szCs w:val="24"/>
          <w:lang w:val="en-GB"/>
        </w:rPr>
        <w:t xml:space="preserve">Estyn. (2016). </w:t>
      </w:r>
      <w:r>
        <w:rPr>
          <w:rFonts w:hint="default" w:ascii="Times New Roman" w:hAnsi="Times New Roman"/>
          <w:b w:val="0"/>
          <w:bCs w:val="0"/>
          <w:i/>
          <w:iCs/>
          <w:sz w:val="24"/>
          <w:szCs w:val="24"/>
          <w:lang w:val="en-GB"/>
        </w:rPr>
        <w:t>Leadership and primary school improvement</w:t>
      </w:r>
      <w:r>
        <w:rPr>
          <w:rFonts w:hint="default" w:ascii="Times New Roman" w:hAnsi="Times New Roman"/>
          <w:b w:val="0"/>
          <w:bCs w:val="0"/>
          <w:sz w:val="24"/>
          <w:szCs w:val="24"/>
          <w:lang w:val="en-GB"/>
        </w:rPr>
        <w:t>. Available at: https://padlet.com/jessicaroberts4/school-improvement-e04tfqe8jmln73vb/wish/1449464213 [Accessed 11 April 2023].</w:t>
      </w:r>
    </w:p>
    <w:p>
      <w:pPr>
        <w:numPr>
          <w:ilvl w:val="0"/>
          <w:numId w:val="0"/>
        </w:numPr>
        <w:spacing w:line="360" w:lineRule="auto"/>
        <w:ind w:leftChars="0"/>
        <w:rPr>
          <w:rFonts w:hint="default" w:ascii="Times New Roman" w:hAnsi="Times New Roman"/>
          <w:b w:val="0"/>
          <w:bCs w:val="0"/>
          <w:sz w:val="24"/>
          <w:szCs w:val="24"/>
          <w:lang w:val="en-GB"/>
        </w:rPr>
      </w:pPr>
    </w:p>
    <w:p>
      <w:pPr>
        <w:numPr>
          <w:ilvl w:val="0"/>
          <w:numId w:val="0"/>
        </w:numPr>
        <w:spacing w:line="360" w:lineRule="auto"/>
        <w:ind w:leftChars="0"/>
        <w:rPr>
          <w:rFonts w:hint="default" w:ascii="Times New Roman" w:hAnsi="Times New Roman"/>
          <w:b w:val="0"/>
          <w:bCs w:val="0"/>
          <w:sz w:val="24"/>
          <w:szCs w:val="24"/>
          <w:lang w:val="en-GB"/>
        </w:rPr>
      </w:pPr>
      <w:r>
        <w:rPr>
          <w:rFonts w:hint="default" w:ascii="Times New Roman" w:hAnsi="Times New Roman"/>
          <w:b w:val="0"/>
          <w:bCs w:val="0"/>
          <w:sz w:val="24"/>
          <w:szCs w:val="24"/>
          <w:lang w:val="en-GB"/>
        </w:rPr>
        <w:t xml:space="preserve">Fullan, M. (2014). </w:t>
      </w:r>
      <w:r>
        <w:rPr>
          <w:rFonts w:hint="default" w:ascii="Times New Roman" w:hAnsi="Times New Roman"/>
          <w:b w:val="0"/>
          <w:bCs w:val="0"/>
          <w:i/>
          <w:iCs/>
          <w:sz w:val="24"/>
          <w:szCs w:val="24"/>
          <w:lang w:val="en-GB"/>
        </w:rPr>
        <w:t>The Principal: Three Keys to Maximizing Impact</w:t>
      </w:r>
      <w:r>
        <w:rPr>
          <w:rFonts w:hint="default" w:ascii="Times New Roman" w:hAnsi="Times New Roman"/>
          <w:b w:val="0"/>
          <w:bCs w:val="0"/>
          <w:sz w:val="24"/>
          <w:szCs w:val="24"/>
          <w:lang w:val="en-GB"/>
        </w:rPr>
        <w:t>. Jossey-Bass.</w:t>
      </w:r>
    </w:p>
    <w:p>
      <w:pPr>
        <w:numPr>
          <w:ilvl w:val="0"/>
          <w:numId w:val="0"/>
        </w:numPr>
        <w:spacing w:line="360" w:lineRule="auto"/>
        <w:ind w:leftChars="0"/>
        <w:rPr>
          <w:rFonts w:hint="default" w:ascii="Times New Roman" w:hAnsi="Times New Roman"/>
          <w:b w:val="0"/>
          <w:bCs w:val="0"/>
          <w:sz w:val="24"/>
          <w:szCs w:val="24"/>
          <w:lang w:val="en-GB"/>
        </w:rPr>
      </w:pPr>
    </w:p>
    <w:p>
      <w:pPr>
        <w:numPr>
          <w:ilvl w:val="0"/>
          <w:numId w:val="0"/>
        </w:numPr>
        <w:spacing w:line="360" w:lineRule="auto"/>
        <w:ind w:leftChars="0"/>
        <w:rPr>
          <w:rFonts w:hint="default" w:ascii="Times New Roman" w:hAnsi="Times New Roman"/>
          <w:b w:val="0"/>
          <w:bCs w:val="0"/>
          <w:sz w:val="24"/>
          <w:szCs w:val="24"/>
          <w:lang w:val="en-GB"/>
        </w:rPr>
      </w:pPr>
      <w:r>
        <w:rPr>
          <w:rFonts w:hint="default" w:ascii="Times New Roman" w:hAnsi="Times New Roman"/>
          <w:b w:val="0"/>
          <w:bCs w:val="0"/>
          <w:sz w:val="24"/>
          <w:szCs w:val="24"/>
          <w:lang w:val="en-GB"/>
        </w:rPr>
        <w:t xml:space="preserve">Hattie, J. (2015). </w:t>
      </w:r>
      <w:r>
        <w:rPr>
          <w:rFonts w:hint="default" w:ascii="Times New Roman" w:hAnsi="Times New Roman"/>
          <w:b w:val="0"/>
          <w:bCs w:val="0"/>
          <w:i/>
          <w:iCs/>
          <w:sz w:val="24"/>
          <w:szCs w:val="24"/>
          <w:lang w:val="en-GB"/>
        </w:rPr>
        <w:t>The applicability of Visible Learning to higher education</w:t>
      </w:r>
      <w:r>
        <w:rPr>
          <w:rFonts w:hint="default" w:ascii="Times New Roman" w:hAnsi="Times New Roman"/>
          <w:b w:val="0"/>
          <w:bCs w:val="0"/>
          <w:sz w:val="24"/>
          <w:szCs w:val="24"/>
          <w:lang w:val="en-GB"/>
        </w:rPr>
        <w:t>. Scholarship of Teaching and Learning in Psychology, 1(1). https://doi.org/10.1037/stl0000021</w:t>
      </w:r>
    </w:p>
    <w:p>
      <w:pPr>
        <w:numPr>
          <w:ilvl w:val="0"/>
          <w:numId w:val="0"/>
        </w:numPr>
        <w:spacing w:line="360" w:lineRule="auto"/>
        <w:ind w:leftChars="0"/>
        <w:rPr>
          <w:rFonts w:hint="default" w:ascii="Times New Roman" w:hAnsi="Times New Roman"/>
          <w:b w:val="0"/>
          <w:bCs w:val="0"/>
          <w:sz w:val="24"/>
          <w:szCs w:val="24"/>
          <w:lang w:val="en-GB"/>
        </w:rPr>
      </w:pPr>
    </w:p>
    <w:p>
      <w:pPr>
        <w:numPr>
          <w:ilvl w:val="0"/>
          <w:numId w:val="0"/>
        </w:numPr>
        <w:spacing w:line="360" w:lineRule="auto"/>
        <w:ind w:leftChars="0"/>
        <w:rPr>
          <w:rFonts w:hint="default" w:ascii="Times New Roman" w:hAnsi="Times New Roman"/>
          <w:b w:val="0"/>
          <w:bCs w:val="0"/>
          <w:sz w:val="24"/>
          <w:szCs w:val="24"/>
          <w:lang w:val="en-GB"/>
        </w:rPr>
      </w:pPr>
      <w:r>
        <w:rPr>
          <w:rFonts w:hint="default" w:ascii="Times New Roman" w:hAnsi="Times New Roman"/>
          <w:b w:val="0"/>
          <w:bCs w:val="0"/>
          <w:sz w:val="24"/>
          <w:szCs w:val="24"/>
          <w:lang w:val="en-GB"/>
        </w:rPr>
        <w:t xml:space="preserve">Mintrop, R. (2016). </w:t>
      </w:r>
      <w:r>
        <w:rPr>
          <w:rFonts w:hint="default" w:ascii="Times New Roman" w:hAnsi="Times New Roman"/>
          <w:b w:val="0"/>
          <w:bCs w:val="0"/>
          <w:i/>
          <w:iCs/>
          <w:sz w:val="24"/>
          <w:szCs w:val="24"/>
          <w:lang w:val="en-GB"/>
        </w:rPr>
        <w:t>Design-Based School Improvement: A Practical Guide for Education Leaders</w:t>
      </w:r>
      <w:r>
        <w:rPr>
          <w:rFonts w:hint="default" w:ascii="Times New Roman" w:hAnsi="Times New Roman"/>
          <w:b w:val="0"/>
          <w:bCs w:val="0"/>
          <w:sz w:val="24"/>
          <w:szCs w:val="24"/>
          <w:lang w:val="en-GB"/>
        </w:rPr>
        <w:t>. Harvard Education Press.</w:t>
      </w:r>
    </w:p>
    <w:p>
      <w:pPr>
        <w:numPr>
          <w:ilvl w:val="0"/>
          <w:numId w:val="0"/>
        </w:numPr>
        <w:spacing w:line="360" w:lineRule="auto"/>
        <w:ind w:leftChars="0"/>
        <w:rPr>
          <w:rFonts w:hint="default" w:ascii="Times New Roman" w:hAnsi="Times New Roman"/>
          <w:b w:val="0"/>
          <w:bCs w:val="0"/>
          <w:sz w:val="24"/>
          <w:szCs w:val="24"/>
          <w:lang w:val="en-GB"/>
        </w:rPr>
      </w:pPr>
    </w:p>
    <w:p>
      <w:pPr>
        <w:numPr>
          <w:ilvl w:val="0"/>
          <w:numId w:val="0"/>
        </w:numPr>
        <w:spacing w:line="360" w:lineRule="auto"/>
        <w:ind w:leftChars="0"/>
        <w:rPr>
          <w:rFonts w:hint="default" w:ascii="Times New Roman" w:hAnsi="Times New Roman"/>
          <w:b w:val="0"/>
          <w:bCs w:val="0"/>
          <w:sz w:val="24"/>
          <w:szCs w:val="24"/>
          <w:lang w:val="en-GB"/>
        </w:rPr>
      </w:pPr>
      <w:r>
        <w:rPr>
          <w:rFonts w:hint="default" w:ascii="Times New Roman" w:hAnsi="Times New Roman"/>
          <w:b w:val="0"/>
          <w:bCs w:val="0"/>
          <w:sz w:val="24"/>
          <w:szCs w:val="24"/>
          <w:lang w:val="en-GB"/>
        </w:rPr>
        <w:t xml:space="preserve">Schildkamp, K. (2019). </w:t>
      </w:r>
      <w:r>
        <w:rPr>
          <w:rFonts w:hint="default" w:ascii="Times New Roman" w:hAnsi="Times New Roman"/>
          <w:b w:val="0"/>
          <w:bCs w:val="0"/>
          <w:i/>
          <w:iCs/>
          <w:sz w:val="24"/>
          <w:szCs w:val="24"/>
          <w:lang w:val="en-GB"/>
        </w:rPr>
        <w:t>Data-based decision-making for school improvement: Research insights and gaps</w:t>
      </w:r>
      <w:r>
        <w:rPr>
          <w:rFonts w:hint="default" w:ascii="Times New Roman" w:hAnsi="Times New Roman"/>
          <w:b w:val="0"/>
          <w:bCs w:val="0"/>
          <w:sz w:val="24"/>
          <w:szCs w:val="24"/>
          <w:lang w:val="en-GB"/>
        </w:rPr>
        <w:t>. School Effectiveness and School Improvement, 30(3).</w:t>
      </w:r>
    </w:p>
    <w:p>
      <w:pPr>
        <w:numPr>
          <w:ilvl w:val="0"/>
          <w:numId w:val="0"/>
        </w:numPr>
        <w:spacing w:line="360" w:lineRule="auto"/>
        <w:ind w:leftChars="0"/>
        <w:rPr>
          <w:rFonts w:hint="default" w:ascii="Times New Roman" w:hAnsi="Times New Roman"/>
          <w:b w:val="0"/>
          <w:bCs w:val="0"/>
          <w:sz w:val="24"/>
          <w:szCs w:val="24"/>
          <w:lang w:val="en-GB"/>
        </w:rPr>
      </w:pPr>
    </w:p>
    <w:p>
      <w:pPr>
        <w:numPr>
          <w:ilvl w:val="0"/>
          <w:numId w:val="0"/>
        </w:numPr>
        <w:spacing w:line="360" w:lineRule="auto"/>
        <w:ind w:leftChars="0"/>
        <w:rPr>
          <w:rFonts w:hint="default" w:ascii="Times New Roman" w:hAnsi="Times New Roman"/>
          <w:b w:val="0"/>
          <w:bCs w:val="0"/>
          <w:sz w:val="24"/>
          <w:szCs w:val="24"/>
          <w:lang w:val="en-GB"/>
        </w:rPr>
      </w:pPr>
      <w:r>
        <w:rPr>
          <w:rFonts w:hint="default" w:ascii="Times New Roman" w:hAnsi="Times New Roman"/>
          <w:b w:val="0"/>
          <w:bCs w:val="0"/>
          <w:sz w:val="24"/>
          <w:szCs w:val="24"/>
          <w:lang w:val="en-GB"/>
        </w:rPr>
        <w:t xml:space="preserve">Welsh Government. (n.d.). </w:t>
      </w:r>
      <w:r>
        <w:rPr>
          <w:rFonts w:hint="default" w:ascii="Times New Roman" w:hAnsi="Times New Roman"/>
          <w:b w:val="0"/>
          <w:bCs w:val="0"/>
          <w:i/>
          <w:iCs/>
          <w:sz w:val="24"/>
          <w:szCs w:val="24"/>
          <w:lang w:val="en-GB"/>
        </w:rPr>
        <w:t>Review of the curriculum in Wales</w:t>
      </w:r>
      <w:r>
        <w:rPr>
          <w:rFonts w:hint="default" w:ascii="Times New Roman" w:hAnsi="Times New Roman"/>
          <w:b w:val="0"/>
          <w:bCs w:val="0"/>
          <w:sz w:val="24"/>
          <w:szCs w:val="24"/>
          <w:lang w:val="en-GB"/>
        </w:rPr>
        <w:t>. Available at: https://padlet.com/jessicaroberts4/school-improvement-e04tfqe8jmln73vb [Accessed 11 April 2023].</w:t>
      </w:r>
    </w:p>
    <w:p>
      <w:pPr>
        <w:numPr>
          <w:ilvl w:val="0"/>
          <w:numId w:val="0"/>
        </w:numPr>
        <w:spacing w:line="360" w:lineRule="auto"/>
        <w:ind w:leftChars="0"/>
        <w:rPr>
          <w:rFonts w:hint="default" w:ascii="Times New Roman" w:hAnsi="Times New Roman"/>
          <w:b w:val="0"/>
          <w:bCs w:val="0"/>
          <w:sz w:val="24"/>
          <w:szCs w:val="24"/>
          <w:lang w:val="en-GB"/>
        </w:rPr>
      </w:pPr>
    </w:p>
    <w:p>
      <w:pPr>
        <w:numPr>
          <w:ilvl w:val="0"/>
          <w:numId w:val="0"/>
        </w:numPr>
        <w:spacing w:line="360" w:lineRule="auto"/>
        <w:ind w:leftChars="0"/>
        <w:rPr>
          <w:rFonts w:hint="default" w:ascii="Times New Roman" w:hAnsi="Times New Roman"/>
          <w:b w:val="0"/>
          <w:bCs w:val="0"/>
          <w:sz w:val="24"/>
          <w:szCs w:val="24"/>
          <w:lang w:val="en-GB"/>
        </w:rPr>
      </w:pPr>
      <w:r>
        <w:rPr>
          <w:rFonts w:hint="default" w:ascii="Times New Roman" w:hAnsi="Times New Roman"/>
          <w:b w:val="0"/>
          <w:bCs w:val="0"/>
          <w:sz w:val="24"/>
          <w:szCs w:val="24"/>
          <w:lang w:val="en-GB"/>
        </w:rPr>
        <w:t xml:space="preserve">Welsh Government. (n.d.). </w:t>
      </w:r>
      <w:r>
        <w:rPr>
          <w:rFonts w:hint="default" w:ascii="Times New Roman" w:hAnsi="Times New Roman"/>
          <w:b w:val="0"/>
          <w:bCs w:val="0"/>
          <w:i/>
          <w:iCs/>
          <w:sz w:val="24"/>
          <w:szCs w:val="24"/>
          <w:lang w:val="en-GB"/>
        </w:rPr>
        <w:t>Self-evaluation: a guide for schools and PRUs</w:t>
      </w:r>
      <w:r>
        <w:rPr>
          <w:rFonts w:hint="default" w:ascii="Times New Roman" w:hAnsi="Times New Roman"/>
          <w:b w:val="0"/>
          <w:bCs w:val="0"/>
          <w:sz w:val="24"/>
          <w:szCs w:val="24"/>
          <w:lang w:val="en-GB"/>
        </w:rPr>
        <w:t>. Available at: https://padlet.com/jessicaroberts4/school-improvement-e04tfqe8jmln73vb [Accessed 11 April 2023].</w:t>
      </w:r>
    </w:p>
    <w:p>
      <w:pPr>
        <w:numPr>
          <w:ilvl w:val="0"/>
          <w:numId w:val="0"/>
        </w:numPr>
        <w:spacing w:line="360" w:lineRule="auto"/>
        <w:ind w:leftChars="0"/>
        <w:rPr>
          <w:rFonts w:hint="default" w:ascii="Times New Roman" w:hAnsi="Times New Roman"/>
          <w:b w:val="0"/>
          <w:bCs w:val="0"/>
          <w:sz w:val="24"/>
          <w:szCs w:val="24"/>
          <w:lang w:val="en-GB"/>
        </w:rPr>
      </w:pPr>
    </w:p>
    <w:p>
      <w:pPr>
        <w:numPr>
          <w:ilvl w:val="0"/>
          <w:numId w:val="0"/>
        </w:numPr>
        <w:spacing w:line="360" w:lineRule="auto"/>
        <w:ind w:leftChars="0"/>
        <w:rPr>
          <w:rFonts w:hint="default" w:ascii="Times New Roman" w:hAnsi="Times New Roman"/>
          <w:b w:val="0"/>
          <w:bCs w:val="0"/>
          <w:sz w:val="24"/>
          <w:szCs w:val="24"/>
          <w:lang w:val="en-GB"/>
        </w:rPr>
      </w:pPr>
    </w:p>
    <w:p>
      <w:pPr>
        <w:numPr>
          <w:ilvl w:val="0"/>
          <w:numId w:val="0"/>
        </w:numPr>
        <w:spacing w:line="360" w:lineRule="auto"/>
        <w:ind w:leftChars="0"/>
        <w:rPr>
          <w:rFonts w:hint="default" w:ascii="Times New Roman" w:hAnsi="Times New Roman"/>
          <w:b/>
          <w:bCs/>
          <w:sz w:val="28"/>
          <w:szCs w:val="28"/>
          <w:lang w:val="en-GB"/>
        </w:rPr>
      </w:pPr>
      <w:r>
        <w:rPr>
          <w:rFonts w:hint="default" w:ascii="Times New Roman" w:hAnsi="Times New Roman"/>
          <w:b/>
          <w:bCs/>
          <w:sz w:val="28"/>
          <w:szCs w:val="28"/>
          <w:lang w:val="en-GB"/>
        </w:rPr>
        <w:t>Appendixes</w:t>
      </w:r>
    </w:p>
    <w:p>
      <w:pPr>
        <w:numPr>
          <w:ilvl w:val="0"/>
          <w:numId w:val="0"/>
        </w:numPr>
        <w:spacing w:line="360" w:lineRule="auto"/>
        <w:ind w:leftChars="0"/>
        <w:rPr>
          <w:rFonts w:hint="default" w:ascii="Times New Roman" w:hAnsi="Times New Roman"/>
          <w:b/>
          <w:bCs/>
          <w:sz w:val="28"/>
          <w:szCs w:val="28"/>
          <w:lang w:val="en-GB"/>
        </w:rPr>
      </w:pPr>
    </w:p>
    <w:p>
      <w:pPr>
        <w:numPr>
          <w:ilvl w:val="0"/>
          <w:numId w:val="0"/>
        </w:numPr>
        <w:spacing w:line="360" w:lineRule="auto"/>
        <w:ind w:leftChars="0"/>
        <w:rPr>
          <w:rFonts w:hint="default" w:ascii="Times New Roman" w:hAnsi="Times New Roman"/>
          <w:b w:val="0"/>
          <w:bCs w:val="0"/>
          <w:sz w:val="24"/>
          <w:szCs w:val="24"/>
          <w:lang w:val="en-GB"/>
        </w:rPr>
      </w:pPr>
      <w:r>
        <w:rPr>
          <w:rFonts w:hint="default" w:ascii="Times New Roman" w:hAnsi="Times New Roman"/>
          <w:b w:val="0"/>
          <w:bCs w:val="0"/>
          <w:sz w:val="24"/>
          <w:szCs w:val="24"/>
          <w:lang w:val="en-GB"/>
        </w:rPr>
        <w:t>Appendix A - Parts of the School Development Plan Summary (anonymised)</w:t>
      </w:r>
    </w:p>
    <w:p>
      <w:pPr>
        <w:numPr>
          <w:ilvl w:val="0"/>
          <w:numId w:val="0"/>
        </w:numPr>
        <w:spacing w:line="360" w:lineRule="auto"/>
        <w:ind w:leftChars="0"/>
        <w:rPr>
          <w:rFonts w:hint="default" w:ascii="Times New Roman" w:hAnsi="Times New Roman"/>
          <w:b/>
          <w:bCs/>
          <w:sz w:val="24"/>
          <w:szCs w:val="24"/>
          <w:lang w:val="en-GB"/>
        </w:rPr>
      </w:pPr>
      <w:r>
        <w:rPr>
          <w:rFonts w:hint="default" w:ascii="Times New Roman" w:hAnsi="Times New Roman"/>
          <w:b/>
          <w:bCs/>
          <w:sz w:val="24"/>
          <w:szCs w:val="24"/>
          <w:lang w:val="en-GB"/>
        </w:rPr>
        <w:drawing>
          <wp:inline distT="0" distB="0" distL="114300" distR="114300">
            <wp:extent cx="5263515" cy="3724910"/>
            <wp:effectExtent l="0" t="0" r="9525" b="8890"/>
            <wp:docPr id="6" name="Picture 6" descr="Olchfa-School-Development-Plan-Summary-2022-2023.docx.277826659 (1)_page-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Olchfa-School-Development-Plan-Summary-2022-2023.docx.277826659 (1)_page-0002"/>
                    <pic:cNvPicPr>
                      <a:picLocks noChangeAspect="1"/>
                    </pic:cNvPicPr>
                  </pic:nvPicPr>
                  <pic:blipFill>
                    <a:blip r:embed="rId4"/>
                    <a:stretch>
                      <a:fillRect/>
                    </a:stretch>
                  </pic:blipFill>
                  <pic:spPr>
                    <a:xfrm>
                      <a:off x="0" y="0"/>
                      <a:ext cx="5263515" cy="3724910"/>
                    </a:xfrm>
                    <a:prstGeom prst="rect">
                      <a:avLst/>
                    </a:prstGeom>
                  </pic:spPr>
                </pic:pic>
              </a:graphicData>
            </a:graphic>
          </wp:inline>
        </w:drawing>
      </w:r>
      <w:r>
        <w:rPr>
          <w:rFonts w:hint="default" w:ascii="Times New Roman" w:hAnsi="Times New Roman"/>
          <w:b/>
          <w:bCs/>
          <w:sz w:val="24"/>
          <w:szCs w:val="24"/>
          <w:lang w:val="en-GB"/>
        </w:rPr>
        <w:drawing>
          <wp:inline distT="0" distB="0" distL="114300" distR="114300">
            <wp:extent cx="5263515" cy="3724910"/>
            <wp:effectExtent l="0" t="0" r="9525" b="8890"/>
            <wp:docPr id="5" name="Picture 5" descr="Olchfa-School-Development-Plan-Summary-2022-2023.docx.277826659 (1)_page-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Olchfa-School-Development-Plan-Summary-2022-2023.docx.277826659 (1)_page-0003"/>
                    <pic:cNvPicPr>
                      <a:picLocks noChangeAspect="1"/>
                    </pic:cNvPicPr>
                  </pic:nvPicPr>
                  <pic:blipFill>
                    <a:blip r:embed="rId5"/>
                    <a:stretch>
                      <a:fillRect/>
                    </a:stretch>
                  </pic:blipFill>
                  <pic:spPr>
                    <a:xfrm>
                      <a:off x="0" y="0"/>
                      <a:ext cx="5263515" cy="3724910"/>
                    </a:xfrm>
                    <a:prstGeom prst="rect">
                      <a:avLst/>
                    </a:prstGeom>
                  </pic:spPr>
                </pic:pic>
              </a:graphicData>
            </a:graphic>
          </wp:inline>
        </w:drawing>
      </w:r>
      <w:r>
        <w:rPr>
          <w:sz w:val="24"/>
        </w:rPr>
        <mc:AlternateContent>
          <mc:Choice Requires="wps">
            <w:drawing>
              <wp:anchor distT="0" distB="0" distL="114300" distR="114300" simplePos="0" relativeHeight="251660288" behindDoc="0" locked="0" layoutInCell="1" allowOverlap="1">
                <wp:simplePos x="0" y="0"/>
                <wp:positionH relativeFrom="column">
                  <wp:posOffset>3306445</wp:posOffset>
                </wp:positionH>
                <wp:positionV relativeFrom="paragraph">
                  <wp:posOffset>4871085</wp:posOffset>
                </wp:positionV>
                <wp:extent cx="287020" cy="90170"/>
                <wp:effectExtent l="6350" t="6350" r="11430" b="10160"/>
                <wp:wrapNone/>
                <wp:docPr id="8" name="Rectangles 8"/>
                <wp:cNvGraphicFramePr/>
                <a:graphic xmlns:a="http://schemas.openxmlformats.org/drawingml/2006/main">
                  <a:graphicData uri="http://schemas.microsoft.com/office/word/2010/wordprocessingShape">
                    <wps:wsp>
                      <wps:cNvSpPr/>
                      <wps:spPr>
                        <a:xfrm>
                          <a:off x="0" y="0"/>
                          <a:ext cx="287020" cy="90170"/>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60.35pt;margin-top:383.55pt;height:7.1pt;width:22.6pt;z-index:251660288;v-text-anchor:middle;mso-width-relative:page;mso-height-relative:page;" fillcolor="#000000 [3200]" filled="t" stroked="t" coordsize="21600,21600" o:gfxdata="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B+qYpr3AAAAAsBAAAPAAAAAAAAAAEAIAAAACIAAABk&#10;cnMvZG93bnJldi54bWxQSwECFAAUAAAACACHTuJAXC+LPnQCAAAiBQAADgAAAAAAAAABACAAAAAr&#10;AQAAZHJzL2Uyb0RvYy54bWxQSwUGAAAAAAYABgBZAQAAEQYAAAAA&#10;">
                <v:fill on="t" focussize="0,0"/>
                <v:stroke weight="1pt" color="#000000 [3200]" miterlimit="8" joinstyle="miter"/>
                <v:imagedata o:title=""/>
                <o:lock v:ext="edit" aspectratio="f"/>
                <v:textbox>
                  <w:txbxContent>
                    <w:p>
                      <w:pPr>
                        <w:jc w:val="center"/>
                      </w:pPr>
                    </w:p>
                  </w:txbxContent>
                </v:textbox>
              </v:rect>
            </w:pict>
          </mc:Fallback>
        </mc:AlternateContent>
      </w:r>
      <w:r>
        <w:rPr>
          <w:sz w:val="24"/>
        </w:rPr>
        <mc:AlternateContent>
          <mc:Choice Requires="wps">
            <w:drawing>
              <wp:anchor distT="0" distB="0" distL="114300" distR="114300" simplePos="0" relativeHeight="251659264" behindDoc="0" locked="0" layoutInCell="1" allowOverlap="1">
                <wp:simplePos x="0" y="0"/>
                <wp:positionH relativeFrom="column">
                  <wp:posOffset>320040</wp:posOffset>
                </wp:positionH>
                <wp:positionV relativeFrom="paragraph">
                  <wp:posOffset>485775</wp:posOffset>
                </wp:positionV>
                <wp:extent cx="315595" cy="109855"/>
                <wp:effectExtent l="6350" t="6350" r="13335" b="20955"/>
                <wp:wrapNone/>
                <wp:docPr id="7" name="Rectangles 7"/>
                <wp:cNvGraphicFramePr/>
                <a:graphic xmlns:a="http://schemas.openxmlformats.org/drawingml/2006/main">
                  <a:graphicData uri="http://schemas.microsoft.com/office/word/2010/wordprocessingShape">
                    <wps:wsp>
                      <wps:cNvSpPr/>
                      <wps:spPr>
                        <a:xfrm>
                          <a:off x="1433830" y="1419225"/>
                          <a:ext cx="315595" cy="10985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5.2pt;margin-top:38.25pt;height:8.65pt;width:24.85pt;z-index:251659264;v-text-anchor:middle;mso-width-relative:page;mso-height-relative:page;" fillcolor="#000000 [3200]" filled="t" stroked="t" coordsize="21600,21600" o:gfxdata="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ZZmOLNgAAAAIAQAADwAAAAAAAAABACAA&#10;AAAiAAAAZHJzL2Rvd25yZXYueG1sUEsBAhQAFAAAAAgAh07iQP2cQNd/AgAALwUAAA4AAAAAAAAA&#10;AQAgAAAAJwEAAGRycy9lMm9Eb2MueG1sUEsFBgAAAAAGAAYAWQEAABgGAAAAAA==&#10;">
                <v:fill on="t" focussize="0,0"/>
                <v:stroke weight="1pt" color="#000000 [3200]" miterlimit="8" joinstyle="miter"/>
                <v:imagedata o:title=""/>
                <o:lock v:ext="edit" aspectratio="f"/>
                <v:textbox>
                  <w:txbxContent>
                    <w:p>
                      <w:pPr>
                        <w:jc w:val="center"/>
                      </w:pPr>
                    </w:p>
                  </w:txbxContent>
                </v:textbox>
              </v:rect>
            </w:pict>
          </mc:Fallback>
        </mc:AlternateContent>
      </w:r>
      <w:r>
        <w:rPr>
          <w:rFonts w:hint="default" w:ascii="Times New Roman" w:hAnsi="Times New Roman"/>
          <w:b/>
          <w:bCs/>
          <w:sz w:val="24"/>
          <w:szCs w:val="24"/>
          <w:lang w:val="en-GB"/>
        </w:rPr>
        <w:drawing>
          <wp:inline distT="0" distB="0" distL="114300" distR="114300">
            <wp:extent cx="5263515" cy="3724910"/>
            <wp:effectExtent l="0" t="0" r="9525" b="8890"/>
            <wp:docPr id="4" name="Picture 4" descr="Olchfa-School-Development-Plan-Summary-2022-2023.docx.277826659 (1)_page-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Olchfa-School-Development-Plan-Summary-2022-2023.docx.277826659 (1)_page-0004"/>
                    <pic:cNvPicPr>
                      <a:picLocks noChangeAspect="1"/>
                    </pic:cNvPicPr>
                  </pic:nvPicPr>
                  <pic:blipFill>
                    <a:blip r:embed="rId6"/>
                    <a:stretch>
                      <a:fillRect/>
                    </a:stretch>
                  </pic:blipFill>
                  <pic:spPr>
                    <a:xfrm>
                      <a:off x="0" y="0"/>
                      <a:ext cx="5263515" cy="3724910"/>
                    </a:xfrm>
                    <a:prstGeom prst="rect">
                      <a:avLst/>
                    </a:prstGeom>
                  </pic:spPr>
                </pic:pic>
              </a:graphicData>
            </a:graphic>
          </wp:inline>
        </w:drawing>
      </w:r>
      <w:r>
        <w:rPr>
          <w:rFonts w:hint="default" w:ascii="Times New Roman" w:hAnsi="Times New Roman"/>
          <w:b/>
          <w:bCs/>
          <w:sz w:val="24"/>
          <w:szCs w:val="24"/>
          <w:lang w:val="en-GB"/>
        </w:rPr>
        <w:drawing>
          <wp:inline distT="0" distB="0" distL="114300" distR="114300">
            <wp:extent cx="5263515" cy="3724910"/>
            <wp:effectExtent l="0" t="0" r="9525" b="8890"/>
            <wp:docPr id="3" name="Picture 3" descr="Olchfa-School-Development-Plan-Summary-2022-2023.docx.277826659 (1)_page-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Olchfa-School-Development-Plan-Summary-2022-2023.docx.277826659 (1)_page-0005"/>
                    <pic:cNvPicPr>
                      <a:picLocks noChangeAspect="1"/>
                    </pic:cNvPicPr>
                  </pic:nvPicPr>
                  <pic:blipFill>
                    <a:blip r:embed="rId7"/>
                    <a:stretch>
                      <a:fillRect/>
                    </a:stretch>
                  </pic:blipFill>
                  <pic:spPr>
                    <a:xfrm>
                      <a:off x="0" y="0"/>
                      <a:ext cx="5263515" cy="3724910"/>
                    </a:xfrm>
                    <a:prstGeom prst="rect">
                      <a:avLst/>
                    </a:prstGeom>
                  </pic:spPr>
                </pic:pic>
              </a:graphicData>
            </a:graphic>
          </wp:inline>
        </w:drawing>
      </w:r>
      <w:r>
        <w:rPr>
          <w:rFonts w:hint="default" w:ascii="Times New Roman" w:hAnsi="Times New Roman"/>
          <w:b/>
          <w:bCs/>
          <w:sz w:val="24"/>
          <w:szCs w:val="24"/>
          <w:lang w:val="en-GB"/>
        </w:rPr>
        <w:drawing>
          <wp:inline distT="0" distB="0" distL="114300" distR="114300">
            <wp:extent cx="5263515" cy="3724910"/>
            <wp:effectExtent l="0" t="0" r="9525" b="8890"/>
            <wp:docPr id="2" name="Picture 2" descr="Olchfa-School-Development-Plan-Summary-2022-2023.docx.277826659 (1)_page-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Olchfa-School-Development-Plan-Summary-2022-2023.docx.277826659 (1)_page-0006"/>
                    <pic:cNvPicPr>
                      <a:picLocks noChangeAspect="1"/>
                    </pic:cNvPicPr>
                  </pic:nvPicPr>
                  <pic:blipFill>
                    <a:blip r:embed="rId8"/>
                    <a:stretch>
                      <a:fillRect/>
                    </a:stretch>
                  </pic:blipFill>
                  <pic:spPr>
                    <a:xfrm>
                      <a:off x="0" y="0"/>
                      <a:ext cx="5263515" cy="3724910"/>
                    </a:xfrm>
                    <a:prstGeom prst="rect">
                      <a:avLst/>
                    </a:prstGeom>
                  </pic:spPr>
                </pic:pic>
              </a:graphicData>
            </a:graphic>
          </wp:inline>
        </w:drawing>
      </w:r>
      <w:r>
        <w:rPr>
          <w:rFonts w:hint="default" w:ascii="Times New Roman" w:hAnsi="Times New Roman"/>
          <w:b/>
          <w:bCs/>
          <w:sz w:val="24"/>
          <w:szCs w:val="24"/>
          <w:lang w:val="en-GB"/>
        </w:rPr>
        <w:drawing>
          <wp:inline distT="0" distB="0" distL="114300" distR="114300">
            <wp:extent cx="5263515" cy="3724910"/>
            <wp:effectExtent l="0" t="0" r="9525" b="8890"/>
            <wp:docPr id="1" name="Picture 1" descr="Olchfa-School-Development-Plan-Summary-2022-2023.docx.277826659 (1)_page-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lchfa-School-Development-Plan-Summary-2022-2023.docx.277826659 (1)_page-0007"/>
                    <pic:cNvPicPr>
                      <a:picLocks noChangeAspect="1"/>
                    </pic:cNvPicPr>
                  </pic:nvPicPr>
                  <pic:blipFill>
                    <a:blip r:embed="rId9"/>
                    <a:stretch>
                      <a:fillRect/>
                    </a:stretch>
                  </pic:blipFill>
                  <pic:spPr>
                    <a:xfrm>
                      <a:off x="0" y="0"/>
                      <a:ext cx="5263515" cy="3724910"/>
                    </a:xfrm>
                    <a:prstGeom prst="rect">
                      <a:avLst/>
                    </a:prstGeom>
                  </pic:spPr>
                </pic:pic>
              </a:graphicData>
            </a:graphic>
          </wp:inline>
        </w:drawing>
      </w:r>
    </w:p>
    <w:p>
      <w:pPr>
        <w:numPr>
          <w:ilvl w:val="0"/>
          <w:numId w:val="0"/>
        </w:numPr>
        <w:spacing w:line="360" w:lineRule="auto"/>
        <w:ind w:leftChars="0"/>
        <w:rPr>
          <w:rFonts w:hint="default" w:ascii="Times New Roman" w:hAnsi="Times New Roman"/>
          <w:b/>
          <w:bCs/>
          <w:sz w:val="24"/>
          <w:szCs w:val="24"/>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F72C83"/>
    <w:multiLevelType w:val="singleLevel"/>
    <w:tmpl w:val="9DF72C83"/>
    <w:lvl w:ilvl="0" w:tentative="0">
      <w:start w:val="2"/>
      <w:numFmt w:val="decimal"/>
      <w:suff w:val="space"/>
      <w:lvlText w:val="%1."/>
      <w:lvlJc w:val="left"/>
    </w:lvl>
  </w:abstractNum>
  <w:abstractNum w:abstractNumId="1">
    <w:nsid w:val="D3DEF759"/>
    <w:multiLevelType w:val="singleLevel"/>
    <w:tmpl w:val="D3DEF759"/>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7"/>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5E457C"/>
    <w:rsid w:val="052F7D0C"/>
    <w:rsid w:val="08F072FA"/>
    <w:rsid w:val="25CC2CDD"/>
    <w:rsid w:val="34A13A35"/>
    <w:rsid w:val="59E62C29"/>
    <w:rsid w:val="5D5E45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3"/>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3">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character" w:styleId="5">
    <w:name w:val="Hyperlink"/>
    <w:basedOn w:val="3"/>
    <w:uiPriority w:val="0"/>
    <w:rPr>
      <w:color w:val="0000FF"/>
      <w:u w:val="single"/>
    </w:rPr>
  </w:style>
  <w:style w:type="paragraph" w:styleId="6">
    <w:name w:val="Normal (Web)"/>
    <w:uiPriority w:val="0"/>
    <w:pPr>
      <w:spacing w:before="0" w:beforeAutospacing="1" w:after="0" w:afterAutospacing="1"/>
      <w:ind w:left="0" w:right="0"/>
      <w:jc w:val="left"/>
    </w:pPr>
    <w:rPr>
      <w:rFonts w:ascii="Times New Roman" w:hAnsi="Times New Roman" w:eastAsia="宋体"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Office_11.2.0.11516_F1E327BC-269C-435d-A152-05C5408002CA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2023-04-09T21:53:00Z</dcterms:created>
  <dc:creator>Munkit Kit</dc:creator>
  <cp:lastModifiedBy>Munkit Kit</cp:lastModifiedBy>
  <dcterms:modified xsi:type="dcterms:W3CDTF">2023-04-11T20:16:58Z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2057-11.2.0.11516</vt:lpwstr>
  </property>
  <property fmtid="{D5CDD505-2E9C-101B-9397-08002B2CF9AE}" pid="3" name="ICV">
    <vt:lpwstr>FEDBCCF82EEA4A0CA1620023BFCF3BA9</vt:lpwstr>
  </property>
</Properties>
</file>