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71F5752"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802CA9">
              <w:rPr>
                <w:rFonts w:ascii="Tahoma" w:hAnsi="Tahoma" w:cs="Tahoma"/>
                <w:b/>
                <w:sz w:val="20"/>
                <w:szCs w:val="20"/>
              </w:rPr>
              <w:t>Shahina Akter Islam</w:t>
            </w:r>
          </w:p>
          <w:p w14:paraId="498F0B10" w14:textId="77777777" w:rsidR="001B69C8" w:rsidRPr="003C3341" w:rsidRDefault="001B69C8">
            <w:pPr>
              <w:rPr>
                <w:rFonts w:ascii="Tahoma" w:hAnsi="Tahoma" w:cs="Tahoma"/>
                <w:b/>
                <w:sz w:val="20"/>
                <w:szCs w:val="20"/>
              </w:rPr>
            </w:pPr>
          </w:p>
          <w:p w14:paraId="69E1F0CF" w14:textId="45B99D2A"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802CA9">
              <w:rPr>
                <w:rFonts w:ascii="Tahoma" w:hAnsi="Tahoma" w:cs="Tahoma"/>
                <w:b/>
                <w:sz w:val="20"/>
                <w:szCs w:val="20"/>
              </w:rPr>
              <w:t>2013790</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6EF801F5"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802CA9">
              <w:rPr>
                <w:rFonts w:ascii="Tahoma" w:hAnsi="Tahoma" w:cs="Tahoma"/>
                <w:b/>
                <w:sz w:val="20"/>
                <w:szCs w:val="20"/>
              </w:rPr>
              <w:t>Food and Beverage Operations</w:t>
            </w:r>
          </w:p>
          <w:p w14:paraId="2019D1B6" w14:textId="77777777" w:rsidR="00B21F2E" w:rsidRDefault="00B21F2E" w:rsidP="00B21F2E">
            <w:pPr>
              <w:rPr>
                <w:rFonts w:ascii="Tahoma" w:hAnsi="Tahoma" w:cs="Tahoma"/>
                <w:b/>
                <w:sz w:val="20"/>
                <w:szCs w:val="20"/>
              </w:rPr>
            </w:pPr>
          </w:p>
          <w:p w14:paraId="450FE136" w14:textId="1E654FCE"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802CA9">
              <w:rPr>
                <w:rFonts w:ascii="Tahoma" w:hAnsi="Tahoma" w:cs="Tahoma"/>
                <w:b/>
                <w:sz w:val="20"/>
                <w:szCs w:val="20"/>
              </w:rPr>
              <w:t>Samantha Birdsell</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5752F902"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802CA9">
              <w:rPr>
                <w:rFonts w:ascii="Tahoma" w:hAnsi="Tahoma" w:cs="Tahoma"/>
                <w:b/>
                <w:sz w:val="20"/>
                <w:szCs w:val="20"/>
              </w:rPr>
              <w:t>Allergies and Intolerances and the importance within the industry</w:t>
            </w:r>
          </w:p>
        </w:tc>
        <w:tc>
          <w:tcPr>
            <w:tcW w:w="7199" w:type="dxa"/>
            <w:shd w:val="clear" w:color="auto" w:fill="FBD4B4" w:themeFill="accent6" w:themeFillTint="66"/>
          </w:tcPr>
          <w:p w14:paraId="46D7ECC8" w14:textId="4B151587"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54F7F94D" w14:textId="77777777" w:rsidR="00B02DE3" w:rsidRPr="007A2A75" w:rsidRDefault="00B02DE3" w:rsidP="00B02DE3">
            <w:pPr>
              <w:pStyle w:val="NoSpacing"/>
              <w:rPr>
                <w:b/>
                <w:bCs/>
              </w:rPr>
            </w:pPr>
            <w:r w:rsidRPr="007A2A75">
              <w:rPr>
                <w:b/>
                <w:bCs/>
              </w:rPr>
              <w:t>Introduction:</w:t>
            </w:r>
          </w:p>
          <w:p w14:paraId="4823D9EF" w14:textId="77777777" w:rsidR="00B02DE3" w:rsidRPr="00D8161A" w:rsidRDefault="00B02DE3" w:rsidP="00B02DE3">
            <w:pPr>
              <w:pStyle w:val="NoSpacing"/>
            </w:pPr>
            <w:r w:rsidRPr="00D8161A">
              <w:t xml:space="preserve">Food and Beverage operations is one of the key areas in hotel management, so it is important to adapt the work based key skills within this area of hotel operation. In this journal we're going to discuss allergies and intolerances and the importance within that industry of hotel management in food and beverage operations. </w:t>
            </w:r>
          </w:p>
          <w:p w14:paraId="226C934C" w14:textId="77777777" w:rsidR="00B02DE3" w:rsidRPr="00D8161A" w:rsidRDefault="00B02DE3" w:rsidP="00B02DE3">
            <w:pPr>
              <w:pStyle w:val="NoSpacing"/>
            </w:pPr>
          </w:p>
          <w:p w14:paraId="3A5B8C8C" w14:textId="77777777" w:rsidR="00B02DE3" w:rsidRPr="007A2A75" w:rsidRDefault="00B02DE3" w:rsidP="00B02DE3">
            <w:pPr>
              <w:pStyle w:val="NoSpacing"/>
              <w:rPr>
                <w:b/>
                <w:bCs/>
              </w:rPr>
            </w:pPr>
            <w:r w:rsidRPr="007A2A75">
              <w:rPr>
                <w:b/>
                <w:bCs/>
              </w:rPr>
              <w:t>Description:</w:t>
            </w:r>
          </w:p>
          <w:p w14:paraId="0F3C8115" w14:textId="35EDEC45" w:rsidR="003A7C2C" w:rsidRDefault="00B02DE3" w:rsidP="00B02DE3">
            <w:pPr>
              <w:pStyle w:val="NoSpacing"/>
            </w:pPr>
            <w:r w:rsidRPr="00D8161A">
              <w:t xml:space="preserve">Allergies or allergens are the types of reactions that can cause after consuming certain types of foods. There are more than 160 different foods that can cause allergic reactions, but about 14 types of these foods are identified as a major allergens and consumers must be made aware of the trace and presence of these foods in the packaging. </w:t>
            </w:r>
            <w:r w:rsidR="0025294F">
              <w:t xml:space="preserve">These are </w:t>
            </w:r>
            <w:r w:rsidR="002B5747">
              <w:t xml:space="preserve">shown in the following </w:t>
            </w:r>
            <w:r w:rsidR="003A7C2C">
              <w:t>figure 1:</w:t>
            </w:r>
          </w:p>
          <w:p w14:paraId="29E6C592" w14:textId="49202DC0" w:rsidR="003A7C2C" w:rsidRPr="00D8161A" w:rsidRDefault="00463A17" w:rsidP="00B02DE3">
            <w:pPr>
              <w:pStyle w:val="NoSpacing"/>
            </w:pPr>
            <w:r>
              <w:rPr>
                <w:noProof/>
              </w:rPr>
              <mc:AlternateContent>
                <mc:Choice Requires="wps">
                  <w:drawing>
                    <wp:anchor distT="45720" distB="45720" distL="114300" distR="114300" simplePos="0" relativeHeight="251659264" behindDoc="0" locked="0" layoutInCell="1" allowOverlap="1" wp14:anchorId="7287F7C3" wp14:editId="2BA4B246">
                      <wp:simplePos x="0" y="0"/>
                      <wp:positionH relativeFrom="column">
                        <wp:posOffset>5256530</wp:posOffset>
                      </wp:positionH>
                      <wp:positionV relativeFrom="paragraph">
                        <wp:posOffset>636905</wp:posOffset>
                      </wp:positionV>
                      <wp:extent cx="1509395" cy="1051560"/>
                      <wp:effectExtent l="0" t="0" r="1460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9395" cy="1051560"/>
                              </a:xfrm>
                              <a:prstGeom prst="rect">
                                <a:avLst/>
                              </a:prstGeom>
                              <a:solidFill>
                                <a:srgbClr val="FFFFFF"/>
                              </a:solidFill>
                              <a:ln w="9525">
                                <a:solidFill>
                                  <a:srgbClr val="000000"/>
                                </a:solidFill>
                                <a:miter lim="800000"/>
                                <a:headEnd/>
                                <a:tailEnd/>
                              </a:ln>
                            </wps:spPr>
                            <wps:txbx>
                              <w:txbxContent>
                                <w:p w14:paraId="65CD1C61" w14:textId="6B6A5BF4" w:rsidR="00463A17" w:rsidRDefault="00911484">
                                  <w:r>
                                    <w:t xml:space="preserve">Source: </w:t>
                                  </w:r>
                                  <w:r w:rsidR="00D17B29">
                                    <w:t xml:space="preserve">Lecture PP Slide </w:t>
                                  </w:r>
                                  <w:r w:rsidR="005A03A8">
                                    <w:t># 10, Week – 2, Module</w:t>
                                  </w:r>
                                  <w:r w:rsidR="009940E9">
                                    <w:t>: BMIH</w:t>
                                  </w:r>
                                  <w:r w:rsidR="00693644">
                                    <w:t xml:space="preserve"> 4002</w:t>
                                  </w:r>
                                </w:p>
                                <w:p w14:paraId="6A568C22" w14:textId="1755259C" w:rsidR="00693644" w:rsidRDefault="00693644">
                                  <w:r>
                                    <w:t>UWTSD</w:t>
                                  </w:r>
                                </w:p>
                                <w:p w14:paraId="38909B8D" w14:textId="4A423571" w:rsidR="00693644" w:rsidRDefault="00693644">
                                  <w:r>
                                    <w:t xml:space="preserve">Figure </w:t>
                                  </w:r>
                                  <w:r w:rsidR="008270A9">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287F7C3" id="_x0000_t202" coordsize="21600,21600" o:spt="202" path="m,l,21600r21600,l21600,xe">
                      <v:stroke joinstyle="miter"/>
                      <v:path gradientshapeok="t" o:connecttype="rect"/>
                    </v:shapetype>
                    <v:shape id="Text Box 2" o:spid="_x0000_s1026" type="#_x0000_t202" style="position:absolute;margin-left:413.9pt;margin-top:50.15pt;width:118.85pt;height:82.8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HDAJQIAAEcEAAAOAAAAZHJzL2Uyb0RvYy54bWysU21v2yAQ/j5p/wHxfbGdxW1jxam6dJkm&#10;dS9Sux+AMY7RgGNAYne/vgdOs6jbvkzjA+K44+Huee5W16NW5CCcl2BqWsxySoTh0Eqzq+m3h+2b&#10;K0p8YKZlCoyo6aPw9Hr9+tVqsJWYQw+qFY4giPHVYGvah2CrLPO8F5r5GVhh0NmB0yyg6XZZ69iA&#10;6Fpl8zy/yAZwrXXAhfd4ezs56Trhd53g4UvXeRGIqinmFtLu0t7EPVuvWLVzzPaSH9Ng/5CFZtLg&#10;pyeoWxYY2Tv5G5SW3IGHLsw46Ay6TnKRasBqivxFNfc9syLVguR4e6LJ/z9Y/vnw1RHZ1nReXFJi&#10;mEaRHsQYyDsYyTzyM1hfYdi9xcAw4jXqnGr19g74d08MbHpmduLGORh6wVrMr4gvs7OnE46PIM3w&#10;CVr8hu0DJKCxczqSh3QQREedHk/axFR4/LLMl2+XJSUcfUVeFuVFUi9j1fNz63z4IECTeKipQ/ET&#10;PDvc+RDTYdVzSPzNg5LtViqVDLdrNsqRA8NG2aaVKngRpgwZaros5+XEwF8h8rT+BKFlwI5XUtf0&#10;6hTEqsjbe9OmfgxMqumMKStzJDJyN7EYxmY8CtNA+4iUOpg6GycRDz24n5QM2NU19T/2zAlK1EeD&#10;siyLxSKOQTIW5eUcDXfuac49zHCEqmmgZDpuQhqdSJiBG5Svk4nYqPOUyTFX7NbE93Gy4jic2ynq&#10;1/yvnwAAAP//AwBQSwMEFAAGAAgAAAAhAPxrJ9XhAAAADAEAAA8AAABkcnMvZG93bnJldi54bWxM&#10;j8tOwzAQRfdI/IM1SGwQtUlJ2oY4FUIC0R0UBFs3niYRfgTbTcPfM13BcnSvzj1TrSdr2Igh9t5J&#10;uJkJYOgar3vXSnh/e7xeAotJOa2MdyjhByOs6/OzSpXaH90rjtvUMoK4WCoJXUpDyXlsOrQqzvyA&#10;jrK9D1YlOkPLdVBHglvDMyEKblXvaKFTAz502HxtD1bC8vZ5/Iyb+ctHU+zNKl0txqfvIOXlxXR/&#10;ByzhlP7KcNIndajJaecPTkdmiJEtSD1RIMQc2KkhijwHtpOQFfkKeF3x/0/UvwAAAP//AwBQSwEC&#10;LQAUAAYACAAAACEAtoM4kv4AAADhAQAAEwAAAAAAAAAAAAAAAAAAAAAAW0NvbnRlbnRfVHlwZXNd&#10;LnhtbFBLAQItABQABgAIAAAAIQA4/SH/1gAAAJQBAAALAAAAAAAAAAAAAAAAAC8BAABfcmVscy8u&#10;cmVsc1BLAQItABQABgAIAAAAIQDmGHDAJQIAAEcEAAAOAAAAAAAAAAAAAAAAAC4CAABkcnMvZTJv&#10;RG9jLnhtbFBLAQItABQABgAIAAAAIQD8ayfV4QAAAAwBAAAPAAAAAAAAAAAAAAAAAH8EAABkcnMv&#10;ZG93bnJldi54bWxQSwUGAAAAAAQABADzAAAAjQUAAAAA&#10;">
                      <v:textbox>
                        <w:txbxContent>
                          <w:p w14:paraId="65CD1C61" w14:textId="6B6A5BF4" w:rsidR="00463A17" w:rsidRDefault="00911484">
                            <w:r>
                              <w:t xml:space="preserve">Source: </w:t>
                            </w:r>
                            <w:r w:rsidR="00D17B29">
                              <w:t xml:space="preserve">Lecture PP Slide </w:t>
                            </w:r>
                            <w:r w:rsidR="005A03A8">
                              <w:t># 10, Week – 2, Module</w:t>
                            </w:r>
                            <w:r w:rsidR="009940E9">
                              <w:t>: BMIH</w:t>
                            </w:r>
                            <w:r w:rsidR="00693644">
                              <w:t xml:space="preserve"> 4002</w:t>
                            </w:r>
                          </w:p>
                          <w:p w14:paraId="6A568C22" w14:textId="1755259C" w:rsidR="00693644" w:rsidRDefault="00693644">
                            <w:r>
                              <w:t>UWTSD</w:t>
                            </w:r>
                          </w:p>
                          <w:p w14:paraId="38909B8D" w14:textId="4A423571" w:rsidR="00693644" w:rsidRDefault="00693644">
                            <w:r>
                              <w:t xml:space="preserve">Figure </w:t>
                            </w:r>
                            <w:r w:rsidR="008270A9">
                              <w:t>1</w:t>
                            </w:r>
                          </w:p>
                        </w:txbxContent>
                      </v:textbox>
                      <w10:wrap type="square"/>
                    </v:shape>
                  </w:pict>
                </mc:Fallback>
              </mc:AlternateContent>
            </w:r>
            <w:r w:rsidR="004C29BF" w:rsidRPr="004C29BF">
              <w:drawing>
                <wp:inline distT="0" distB="0" distL="0" distR="0" wp14:anchorId="069BB5D1" wp14:editId="14AE19BC">
                  <wp:extent cx="5021580" cy="2834734"/>
                  <wp:effectExtent l="0" t="0" r="7620" b="3810"/>
                  <wp:docPr id="28673" name="Picture 3" descr="A screenshot of a cell phone&#10;&#10;Description automatically generated">
                    <a:extLst xmlns:a="http://schemas.openxmlformats.org/drawingml/2006/main">
                      <a:ext uri="{FF2B5EF4-FFF2-40B4-BE49-F238E27FC236}">
                        <a16:creationId xmlns:a16="http://schemas.microsoft.com/office/drawing/2014/main" id="{EE316B13-C4F6-ED47-9D96-D7496CDAD3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73" name="Picture 3" descr="A screenshot of a cell phone&#10;&#10;Description automatically generated">
                            <a:extLst>
                              <a:ext uri="{FF2B5EF4-FFF2-40B4-BE49-F238E27FC236}">
                                <a16:creationId xmlns:a16="http://schemas.microsoft.com/office/drawing/2014/main" id="{EE316B13-C4F6-ED47-9D96-D7496CDAD399}"/>
                              </a:ext>
                            </a:extLs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029189" cy="2839029"/>
                          </a:xfrm>
                          <a:prstGeom prst="rect">
                            <a:avLst/>
                          </a:prstGeom>
                          <a:noFill/>
                          <a:ln>
                            <a:noFill/>
                          </a:ln>
                        </pic:spPr>
                      </pic:pic>
                    </a:graphicData>
                  </a:graphic>
                </wp:inline>
              </w:drawing>
            </w:r>
            <w:r w:rsidR="00CF235B">
              <w:t xml:space="preserve"> </w:t>
            </w:r>
          </w:p>
          <w:p w14:paraId="57409F0B" w14:textId="77777777" w:rsidR="00B02DE3" w:rsidRPr="00D8161A" w:rsidRDefault="00B02DE3" w:rsidP="00B02DE3">
            <w:pPr>
              <w:pStyle w:val="NoSpacing"/>
            </w:pPr>
          </w:p>
          <w:p w14:paraId="65225929" w14:textId="77777777" w:rsidR="00B02DE3" w:rsidRPr="007A2A75" w:rsidRDefault="00B02DE3" w:rsidP="00B02DE3">
            <w:pPr>
              <w:pStyle w:val="NoSpacing"/>
              <w:rPr>
                <w:b/>
                <w:bCs/>
              </w:rPr>
            </w:pPr>
            <w:r w:rsidRPr="007A2A75">
              <w:rPr>
                <w:b/>
                <w:bCs/>
              </w:rPr>
              <w:t>Importance of allergies and intolerance within the food industries:</w:t>
            </w:r>
          </w:p>
          <w:p w14:paraId="71C376DF" w14:textId="77777777" w:rsidR="00B02DE3" w:rsidRPr="00D8161A" w:rsidRDefault="00B02DE3" w:rsidP="00B02DE3">
            <w:pPr>
              <w:pStyle w:val="NoSpacing"/>
            </w:pPr>
          </w:p>
          <w:p w14:paraId="72B44850" w14:textId="45E250DB" w:rsidR="00B02DE3" w:rsidRDefault="00B02DE3" w:rsidP="00B02DE3">
            <w:pPr>
              <w:pStyle w:val="NoSpacing"/>
              <w:rPr>
                <w:shd w:val="clear" w:color="auto" w:fill="FFFFFF"/>
              </w:rPr>
            </w:pPr>
            <w:r w:rsidRPr="00D8161A">
              <w:t>Allergies and intolerance have a huge impact within the food industry. But it became necessary f</w:t>
            </w:r>
            <w:r w:rsidRPr="00D8161A">
              <w:rPr>
                <w:shd w:val="clear" w:color="auto" w:fill="FFFFFF"/>
              </w:rPr>
              <w:t>ollowing the tragic death of Natasha Ednan-Laperouse, the teenager who died after suffering an allergic reaction to a Pret a Manger baguette, the government confirmed stronger laws would be implemented to protect those with allergies and give them greater confidence in the food they buy.</w:t>
            </w:r>
          </w:p>
          <w:p w14:paraId="1644B1CF" w14:textId="77777777" w:rsidR="00D64FB2" w:rsidRDefault="00D64FB2" w:rsidP="00B02DE3">
            <w:pPr>
              <w:pStyle w:val="NoSpacing"/>
              <w:rPr>
                <w:shd w:val="clear" w:color="auto" w:fill="FFFFFF"/>
              </w:rPr>
            </w:pPr>
          </w:p>
          <w:p w14:paraId="4A5D4DAD" w14:textId="77777777" w:rsidR="00EE65C2" w:rsidRPr="00EA469F" w:rsidRDefault="00EE65C2" w:rsidP="00EE65C2">
            <w:pPr>
              <w:pStyle w:val="NoSpacing"/>
              <w:rPr>
                <w:b/>
                <w:bCs/>
                <w:shd w:val="clear" w:color="auto" w:fill="FFFFFF"/>
              </w:rPr>
            </w:pPr>
            <w:r w:rsidRPr="00EA469F">
              <w:rPr>
                <w:b/>
                <w:bCs/>
                <w:shd w:val="clear" w:color="auto" w:fill="FFFFFF"/>
              </w:rPr>
              <w:t>Natasha’s Law:</w:t>
            </w:r>
          </w:p>
          <w:p w14:paraId="7879B678" w14:textId="77777777" w:rsidR="00EE65C2" w:rsidRPr="00D8161A" w:rsidRDefault="00EE65C2" w:rsidP="00EE65C2">
            <w:pPr>
              <w:pStyle w:val="NoSpacing"/>
              <w:rPr>
                <w:shd w:val="clear" w:color="auto" w:fill="FFFFFF"/>
              </w:rPr>
            </w:pPr>
          </w:p>
          <w:p w14:paraId="705A0FFA" w14:textId="77777777" w:rsidR="00EE65C2" w:rsidRDefault="00EE65C2" w:rsidP="00EE65C2">
            <w:pPr>
              <w:pStyle w:val="NoSpacing"/>
              <w:rPr>
                <w:shd w:val="clear" w:color="auto" w:fill="FFFFFF"/>
              </w:rPr>
            </w:pPr>
            <w:r w:rsidRPr="00FB5320">
              <w:rPr>
                <w:shd w:val="clear" w:color="auto" w:fill="FFFFFF"/>
              </w:rPr>
              <w:t xml:space="preserve">Natasha's law states that </w:t>
            </w:r>
            <w:r>
              <w:rPr>
                <w:shd w:val="clear" w:color="auto" w:fill="FFFFFF"/>
              </w:rPr>
              <w:t>foods</w:t>
            </w:r>
            <w:r w:rsidRPr="00FB5320">
              <w:rPr>
                <w:shd w:val="clear" w:color="auto" w:fill="FFFFFF"/>
              </w:rPr>
              <w:t xml:space="preserve"> prepared an</w:t>
            </w:r>
            <w:r>
              <w:rPr>
                <w:shd w:val="clear" w:color="auto" w:fill="FFFFFF"/>
              </w:rPr>
              <w:t>d</w:t>
            </w:r>
            <w:r w:rsidRPr="00FB5320">
              <w:rPr>
                <w:shd w:val="clear" w:color="auto" w:fill="FFFFFF"/>
              </w:rPr>
              <w:t xml:space="preserve"> packed on premises where they are sold or offered must have ingredients levelling with a</w:t>
            </w:r>
            <w:r>
              <w:rPr>
                <w:shd w:val="clear" w:color="auto" w:fill="FFFFFF"/>
              </w:rPr>
              <w:t>ller</w:t>
            </w:r>
            <w:r w:rsidRPr="00FB5320">
              <w:rPr>
                <w:shd w:val="clear" w:color="auto" w:fill="FFFFFF"/>
              </w:rPr>
              <w:t>gen</w:t>
            </w:r>
            <w:r>
              <w:rPr>
                <w:shd w:val="clear" w:color="auto" w:fill="FFFFFF"/>
              </w:rPr>
              <w:t>s</w:t>
            </w:r>
            <w:r w:rsidRPr="00FB5320">
              <w:rPr>
                <w:shd w:val="clear" w:color="auto" w:fill="FFFFFF"/>
              </w:rPr>
              <w:t xml:space="preserve"> clearly emphasis</w:t>
            </w:r>
            <w:r>
              <w:rPr>
                <w:shd w:val="clear" w:color="auto" w:fill="FFFFFF"/>
              </w:rPr>
              <w:t>ed.</w:t>
            </w:r>
            <w:r w:rsidRPr="00FB5320">
              <w:rPr>
                <w:shd w:val="clear" w:color="auto" w:fill="FFFFFF"/>
              </w:rPr>
              <w:t xml:space="preserve"> </w:t>
            </w:r>
            <w:r>
              <w:rPr>
                <w:shd w:val="clear" w:color="auto" w:fill="FFFFFF"/>
              </w:rPr>
              <w:t>t</w:t>
            </w:r>
            <w:r w:rsidRPr="00FB5320">
              <w:rPr>
                <w:shd w:val="clear" w:color="auto" w:fill="FFFFFF"/>
              </w:rPr>
              <w:t>his levelling will benefit consumers by knowing what is in the package</w:t>
            </w:r>
            <w:r>
              <w:rPr>
                <w:shd w:val="clear" w:color="auto" w:fill="FFFFFF"/>
              </w:rPr>
              <w:t>d</w:t>
            </w:r>
            <w:r w:rsidRPr="00FB5320">
              <w:rPr>
                <w:shd w:val="clear" w:color="auto" w:fill="FFFFFF"/>
              </w:rPr>
              <w:t xml:space="preserve"> food they are eating and </w:t>
            </w:r>
            <w:r>
              <w:rPr>
                <w:shd w:val="clear" w:color="auto" w:fill="FFFFFF"/>
              </w:rPr>
              <w:t>allow</w:t>
            </w:r>
            <w:r w:rsidRPr="00FB5320">
              <w:rPr>
                <w:shd w:val="clear" w:color="auto" w:fill="FFFFFF"/>
              </w:rPr>
              <w:t xml:space="preserve"> those with food hypersensitivities to make safer food choices.</w:t>
            </w:r>
          </w:p>
          <w:p w14:paraId="4A23E9B9" w14:textId="77777777" w:rsidR="00EE65C2" w:rsidRPr="00F01021" w:rsidRDefault="007467C5" w:rsidP="00EE65C2">
            <w:pPr>
              <w:pStyle w:val="NoSpacing"/>
              <w:rPr>
                <w:b/>
                <w:bCs/>
                <w:shd w:val="clear" w:color="auto" w:fill="FFFFFF"/>
              </w:rPr>
            </w:pPr>
            <w:sdt>
              <w:sdtPr>
                <w:rPr>
                  <w:b/>
                  <w:bCs/>
                  <w:shd w:val="clear" w:color="auto" w:fill="FFFFFF"/>
                </w:rPr>
                <w:id w:val="-362059696"/>
                <w:citation/>
              </w:sdtPr>
              <w:sdtEndPr/>
              <w:sdtContent>
                <w:r w:rsidR="00EE65C2" w:rsidRPr="00F01021">
                  <w:rPr>
                    <w:b/>
                    <w:bCs/>
                    <w:shd w:val="clear" w:color="auto" w:fill="FFFFFF"/>
                  </w:rPr>
                  <w:fldChar w:fldCharType="begin"/>
                </w:r>
                <w:r w:rsidR="00EE65C2" w:rsidRPr="00F01021">
                  <w:rPr>
                    <w:b/>
                    <w:bCs/>
                    <w:shd w:val="clear" w:color="auto" w:fill="FFFFFF"/>
                  </w:rPr>
                  <w:instrText xml:space="preserve"> CITATION Gov19 \l 2057 </w:instrText>
                </w:r>
                <w:r w:rsidR="00EE65C2" w:rsidRPr="00F01021">
                  <w:rPr>
                    <w:b/>
                    <w:bCs/>
                    <w:shd w:val="clear" w:color="auto" w:fill="FFFFFF"/>
                  </w:rPr>
                  <w:fldChar w:fldCharType="separate"/>
                </w:r>
                <w:r w:rsidR="00EE65C2" w:rsidRPr="00F01021">
                  <w:rPr>
                    <w:b/>
                    <w:bCs/>
                    <w:noProof/>
                    <w:shd w:val="clear" w:color="auto" w:fill="FFFFFF"/>
                  </w:rPr>
                  <w:t>(Government.co.uk, 2019)</w:t>
                </w:r>
                <w:r w:rsidR="00EE65C2" w:rsidRPr="00F01021">
                  <w:rPr>
                    <w:b/>
                    <w:bCs/>
                    <w:shd w:val="clear" w:color="auto" w:fill="FFFFFF"/>
                  </w:rPr>
                  <w:fldChar w:fldCharType="end"/>
                </w:r>
              </w:sdtContent>
            </w:sdt>
          </w:p>
          <w:p w14:paraId="5757BA52" w14:textId="77777777" w:rsidR="00EE65C2" w:rsidRPr="00140F72" w:rsidRDefault="00EE65C2" w:rsidP="00EE65C2">
            <w:pPr>
              <w:pStyle w:val="NoSpacing"/>
              <w:rPr>
                <w:color w:val="0B0C0C"/>
                <w:shd w:val="clear" w:color="auto" w:fill="FFFFFF"/>
              </w:rPr>
            </w:pPr>
          </w:p>
          <w:p w14:paraId="5B93D04D" w14:textId="23E90DED" w:rsidR="00EE65C2" w:rsidRDefault="00EE65C2" w:rsidP="00EE65C2">
            <w:pPr>
              <w:pStyle w:val="NoSpacing"/>
              <w:rPr>
                <w:color w:val="0B0C0C"/>
                <w:shd w:val="clear" w:color="auto" w:fill="FFFFFF"/>
              </w:rPr>
            </w:pPr>
            <w:r w:rsidRPr="00140F72">
              <w:rPr>
                <w:color w:val="0B0C0C"/>
                <w:shd w:val="clear" w:color="auto" w:fill="FFFFFF"/>
              </w:rPr>
              <w:t>‘Natasha’s Law’ c</w:t>
            </w:r>
            <w:r w:rsidR="00D05754">
              <w:rPr>
                <w:color w:val="0B0C0C"/>
                <w:shd w:val="clear" w:color="auto" w:fill="FFFFFF"/>
              </w:rPr>
              <w:t>a</w:t>
            </w:r>
            <w:r w:rsidRPr="00140F72">
              <w:rPr>
                <w:color w:val="0B0C0C"/>
                <w:shd w:val="clear" w:color="auto" w:fill="FFFFFF"/>
              </w:rPr>
              <w:t xml:space="preserve">me into force </w:t>
            </w:r>
            <w:r w:rsidR="00D05754">
              <w:rPr>
                <w:color w:val="0B0C0C"/>
                <w:shd w:val="clear" w:color="auto" w:fill="FFFFFF"/>
              </w:rPr>
              <w:t xml:space="preserve">on </w:t>
            </w:r>
            <w:r w:rsidR="00011878">
              <w:rPr>
                <w:color w:val="0B0C0C"/>
                <w:shd w:val="clear" w:color="auto" w:fill="FFFFFF"/>
              </w:rPr>
              <w:t>1</w:t>
            </w:r>
            <w:r w:rsidR="00011878" w:rsidRPr="00011878">
              <w:rPr>
                <w:color w:val="0B0C0C"/>
                <w:shd w:val="clear" w:color="auto" w:fill="FFFFFF"/>
                <w:vertAlign w:val="superscript"/>
              </w:rPr>
              <w:t>st</w:t>
            </w:r>
            <w:r w:rsidR="00011878">
              <w:rPr>
                <w:color w:val="0B0C0C"/>
                <w:shd w:val="clear" w:color="auto" w:fill="FFFFFF"/>
              </w:rPr>
              <w:t xml:space="preserve"> </w:t>
            </w:r>
            <w:r w:rsidRPr="00140F72">
              <w:rPr>
                <w:color w:val="0B0C0C"/>
                <w:shd w:val="clear" w:color="auto" w:fill="FFFFFF"/>
              </w:rPr>
              <w:t xml:space="preserve">October 2021, giving businesses a transition period </w:t>
            </w:r>
            <w:r w:rsidR="003C7A6E">
              <w:rPr>
                <w:color w:val="0B0C0C"/>
                <w:shd w:val="clear" w:color="auto" w:fill="FFFFFF"/>
              </w:rPr>
              <w:t xml:space="preserve">from </w:t>
            </w:r>
            <w:r w:rsidR="00500A4C">
              <w:rPr>
                <w:color w:val="0B0C0C"/>
                <w:shd w:val="clear" w:color="auto" w:fill="FFFFFF"/>
              </w:rPr>
              <w:t>5</w:t>
            </w:r>
            <w:r w:rsidR="00500A4C" w:rsidRPr="00500A4C">
              <w:rPr>
                <w:color w:val="0B0C0C"/>
                <w:shd w:val="clear" w:color="auto" w:fill="FFFFFF"/>
                <w:vertAlign w:val="superscript"/>
              </w:rPr>
              <w:t>th</w:t>
            </w:r>
            <w:r w:rsidR="00500A4C">
              <w:rPr>
                <w:color w:val="0B0C0C"/>
                <w:shd w:val="clear" w:color="auto" w:fill="FFFFFF"/>
              </w:rPr>
              <w:t xml:space="preserve"> September 2019 </w:t>
            </w:r>
            <w:r w:rsidRPr="00140F72">
              <w:rPr>
                <w:color w:val="0B0C0C"/>
                <w:shd w:val="clear" w:color="auto" w:fill="FFFFFF"/>
              </w:rPr>
              <w:t>to prepare for the new rules. The </w:t>
            </w:r>
            <w:hyperlink r:id="rId9" w:history="1">
              <w:r w:rsidRPr="00140F72">
                <w:rPr>
                  <w:rStyle w:val="Hyperlink"/>
                  <w:color w:val="1D70B8"/>
                  <w:shd w:val="clear" w:color="auto" w:fill="FFFFFF"/>
                </w:rPr>
                <w:t>Food Standards Agency</w:t>
              </w:r>
            </w:hyperlink>
            <w:r w:rsidRPr="00140F72">
              <w:rPr>
                <w:color w:val="0B0C0C"/>
                <w:shd w:val="clear" w:color="auto" w:fill="FFFFFF"/>
              </w:rPr>
              <w:t> publish</w:t>
            </w:r>
            <w:r w:rsidR="00500A4C">
              <w:rPr>
                <w:color w:val="0B0C0C"/>
                <w:shd w:val="clear" w:color="auto" w:fill="FFFFFF"/>
              </w:rPr>
              <w:t>ed</w:t>
            </w:r>
            <w:r w:rsidRPr="00140F72">
              <w:rPr>
                <w:color w:val="0B0C0C"/>
                <w:shd w:val="clear" w:color="auto" w:fill="FFFFFF"/>
              </w:rPr>
              <w:t xml:space="preserve"> information for industry on October 1 to help ensure that businesses of all sizes can prepare and adapt to these changes.</w:t>
            </w:r>
          </w:p>
          <w:p w14:paraId="5D32EA47" w14:textId="77777777" w:rsidR="007964C6" w:rsidRDefault="007964C6" w:rsidP="00EE65C2">
            <w:pPr>
              <w:pStyle w:val="NoSpacing"/>
            </w:pPr>
          </w:p>
          <w:p w14:paraId="214FD8A1" w14:textId="78A059BE" w:rsidR="00BF60FD" w:rsidRPr="009E29D0" w:rsidRDefault="00BF60FD" w:rsidP="00BF60FD">
            <w:pPr>
              <w:shd w:val="clear" w:color="auto" w:fill="FFFFFF"/>
              <w:outlineLvl w:val="0"/>
              <w:rPr>
                <w:b/>
                <w:bCs/>
                <w:color w:val="0B0C0C"/>
                <w:kern w:val="36"/>
                <w:sz w:val="28"/>
                <w:szCs w:val="28"/>
              </w:rPr>
            </w:pPr>
            <w:r w:rsidRPr="009E29D0">
              <w:rPr>
                <w:b/>
                <w:bCs/>
                <w:color w:val="0B0C0C"/>
                <w:kern w:val="36"/>
                <w:sz w:val="28"/>
                <w:szCs w:val="28"/>
              </w:rPr>
              <w:t>Natasha's legacy becomes law</w:t>
            </w:r>
            <w:r w:rsidR="00D7430C" w:rsidRPr="009E29D0">
              <w:rPr>
                <w:b/>
                <w:bCs/>
                <w:color w:val="0B0C0C"/>
                <w:kern w:val="36"/>
                <w:sz w:val="28"/>
                <w:szCs w:val="28"/>
              </w:rPr>
              <w:t>:</w:t>
            </w:r>
          </w:p>
          <w:p w14:paraId="30B3F86A" w14:textId="24D3D146" w:rsidR="00BF60FD" w:rsidRPr="009E29D0" w:rsidRDefault="00BF60FD" w:rsidP="009E29D0">
            <w:pPr>
              <w:pStyle w:val="NoSpacing"/>
            </w:pPr>
            <w:r w:rsidRPr="00D7430C">
              <w:t>‘Natasha’s Law’ introduced to protect allergy sufferers and give them confidence in the food they buy.</w:t>
            </w:r>
            <w:r w:rsidR="00B2038B">
              <w:t xml:space="preserve"> Gov</w:t>
            </w:r>
            <w:r w:rsidR="00F92AEC">
              <w:t>.uk publish</w:t>
            </w:r>
            <w:r w:rsidR="006A0E32">
              <w:t xml:space="preserve">ed information </w:t>
            </w:r>
            <w:r w:rsidR="0016591D">
              <w:t xml:space="preserve">about this law </w:t>
            </w:r>
            <w:r w:rsidR="00C534BA">
              <w:t>which is available from the following link</w:t>
            </w:r>
            <w:r w:rsidR="00725A64">
              <w:t>:</w:t>
            </w:r>
          </w:p>
          <w:p w14:paraId="034DBA33" w14:textId="3182D759" w:rsidR="00BF60FD" w:rsidRDefault="007467C5" w:rsidP="00BF60FD">
            <w:pPr>
              <w:jc w:val="both"/>
              <w:rPr>
                <w:rStyle w:val="Hyperlink"/>
                <w:rFonts w:ascii="Tahoma" w:hAnsi="Tahoma" w:cs="Tahoma"/>
                <w:sz w:val="20"/>
                <w:szCs w:val="20"/>
              </w:rPr>
            </w:pPr>
            <w:hyperlink r:id="rId10" w:history="1">
              <w:r w:rsidR="00BF60FD" w:rsidRPr="00A5034A">
                <w:rPr>
                  <w:rStyle w:val="Hyperlink"/>
                  <w:rFonts w:ascii="Tahoma" w:hAnsi="Tahoma" w:cs="Tahoma"/>
                  <w:sz w:val="20"/>
                  <w:szCs w:val="20"/>
                </w:rPr>
                <w:t>https://www.gov.uk/government/news/natashas-legacy-becomes-law</w:t>
              </w:r>
            </w:hyperlink>
            <w:r w:rsidR="005F578F">
              <w:rPr>
                <w:rStyle w:val="Hyperlink"/>
                <w:rFonts w:ascii="Tahoma" w:hAnsi="Tahoma" w:cs="Tahoma"/>
                <w:sz w:val="20"/>
                <w:szCs w:val="20"/>
              </w:rPr>
              <w:t>,</w:t>
            </w:r>
          </w:p>
          <w:p w14:paraId="038C3EF6" w14:textId="584022EF" w:rsidR="00EB562E" w:rsidRDefault="00EB562E" w:rsidP="00BF60FD">
            <w:pPr>
              <w:jc w:val="both"/>
              <w:rPr>
                <w:rStyle w:val="Hyperlink"/>
              </w:rPr>
            </w:pPr>
          </w:p>
          <w:p w14:paraId="60723AF1" w14:textId="7708A870" w:rsidR="00EB562E" w:rsidRDefault="00B26343" w:rsidP="00C76B13">
            <w:pPr>
              <w:spacing w:line="360" w:lineRule="auto"/>
              <w:jc w:val="both"/>
              <w:rPr>
                <w:rStyle w:val="Hyperlink"/>
              </w:rPr>
            </w:pPr>
            <w:r w:rsidRPr="00B26343">
              <w:rPr>
                <w:rStyle w:val="Hyperlink"/>
                <w:noProof/>
              </w:rPr>
              <mc:AlternateContent>
                <mc:Choice Requires="wps">
                  <w:drawing>
                    <wp:anchor distT="45720" distB="45720" distL="114300" distR="114300" simplePos="0" relativeHeight="251661312" behindDoc="0" locked="0" layoutInCell="1" allowOverlap="1" wp14:anchorId="2232C3B4" wp14:editId="69BED5DF">
                      <wp:simplePos x="0" y="0"/>
                      <wp:positionH relativeFrom="column">
                        <wp:posOffset>5576570</wp:posOffset>
                      </wp:positionH>
                      <wp:positionV relativeFrom="paragraph">
                        <wp:posOffset>901065</wp:posOffset>
                      </wp:positionV>
                      <wp:extent cx="982980" cy="982980"/>
                      <wp:effectExtent l="0" t="0" r="26670" b="2667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2980" cy="982980"/>
                              </a:xfrm>
                              <a:prstGeom prst="rect">
                                <a:avLst/>
                              </a:prstGeom>
                              <a:solidFill>
                                <a:srgbClr val="FFFFFF"/>
                              </a:solidFill>
                              <a:ln w="9525">
                                <a:solidFill>
                                  <a:srgbClr val="000000"/>
                                </a:solidFill>
                                <a:miter lim="800000"/>
                                <a:headEnd/>
                                <a:tailEnd/>
                              </a:ln>
                            </wps:spPr>
                            <wps:txbx>
                              <w:txbxContent>
                                <w:p w14:paraId="0DD2FDEA" w14:textId="12B15D1B" w:rsidR="00B26343" w:rsidRDefault="001207C1">
                                  <w:r>
                                    <w:t>Figure 2 and</w:t>
                                  </w:r>
                                </w:p>
                                <w:p w14:paraId="394D819E" w14:textId="26DE44DD" w:rsidR="001207C1" w:rsidRDefault="00EC0BAC">
                                  <w:r>
                                    <w:t xml:space="preserve">Figure 3: </w:t>
                                  </w:r>
                                </w:p>
                                <w:p w14:paraId="3804A77B" w14:textId="47A01131" w:rsidR="009C6C9E" w:rsidRDefault="009C6C9E">
                                  <w:r>
                                    <w:t>Natasha’s Law Explained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32C3B4" id="_x0000_s1027" type="#_x0000_t202" style="position:absolute;left:0;text-align:left;margin-left:439.1pt;margin-top:70.95pt;width:77.4pt;height:77.4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EEmIAIAAEoEAAAOAAAAZHJzL2Uyb0RvYy54bWysVMGO0zAQvSPxD5bvNG3UQhs1XS1dipCW&#10;BWmXD3Acp7GwPcZ2m5SvZ+xkuxFwQuRgeTzj5zdvZrK96bUiZ+G8BFPSxWxOiTAcammOJf32dHiz&#10;psQHZmqmwIiSXoSnN7vXr7adLUQOLahaOIIgxhedLWkbgi2yzPNWaOZnYIVBZwNOs4CmO2a1Yx2i&#10;a5Xl8/nbrANXWwdceI+nd4OT7hJ+0wgevjSNF4GokiK3kFaX1iqu2W7LiqNjtpV8pMH+gYVm0uCj&#10;V6g7Fhg5OfkHlJbcgYcmzDjoDJpGcpFywGwW89+yeWyZFSkXFMfbq0z+/8Hyh/NXR2SNtaPEMI0l&#10;ehJ9IO+hJ3lUp7O+wKBHi2Ghx+MYGTP19h74d08M7FtmjuLWOehawWpkt4g3s8nVAcdHkKr7DDU+&#10;w04BElDfOB0BUQyC6Fily7UykQrHw80636zRw9E17uMLrHi+bJ0PHwVoEjcldVj4BM7O9z4Moc8h&#10;iTwoWR+kUslwx2qvHDkzbJJD+hJ/zHEapgzp8PVVvhryn/r8FGKevr9BaBmw25XUJV1fg1gRVftg&#10;aqTJisCkGvaYnTKjjFG5QcPQV/1YL4yPEldQX1BXB0Nz4zDipgX3k5IOG7uk/seJOUGJ+mSwNpvF&#10;chknIRnL1bscDTf1VFMPMxyhShooGbb7kKYnUjVwizVsZNL3hclIGRs2VWgcrjgRUztFvfwCdr8A&#10;AAD//wMAUEsDBBQABgAIAAAAIQB6eJdm4QAAAAwBAAAPAAAAZHJzL2Rvd25yZXYueG1sTI/LTsMw&#10;EEX3SPyDNUhsEHWaVHkRp0JIINiVUpWtG0+TCD9C7Kbh75muYDm6V2fOrdaz0WzC0ffOClguImBo&#10;G6d62wrYfTzf58B8kFZJ7SwK+EEP6/r6qpKlcmf7jtM2tIwg1pdSQBfCUHLumw6N9As3oKXs6EYj&#10;A51jy9UozwQ3msdRlHIje0sfOjngU4fN1/ZkBOSr1+nTvyWbfZMedRHusunlexTi9mZ+fAAWcA5/&#10;ZbjokzrU5HRwJ6s808TI8piqFKyWBbBLI0oSmncQEBdpBryu+P8R9S8AAAD//wMAUEsBAi0AFAAG&#10;AAgAAAAhALaDOJL+AAAA4QEAABMAAAAAAAAAAAAAAAAAAAAAAFtDb250ZW50X1R5cGVzXS54bWxQ&#10;SwECLQAUAAYACAAAACEAOP0h/9YAAACUAQAACwAAAAAAAAAAAAAAAAAvAQAAX3JlbHMvLnJlbHNQ&#10;SwECLQAUAAYACAAAACEA3RBBJiACAABKBAAADgAAAAAAAAAAAAAAAAAuAgAAZHJzL2Uyb0RvYy54&#10;bWxQSwECLQAUAAYACAAAACEAeniXZuEAAAAMAQAADwAAAAAAAAAAAAAAAAB6BAAAZHJzL2Rvd25y&#10;ZXYueG1sUEsFBgAAAAAEAAQA8wAAAIgFAAAAAA==&#10;">
                      <v:textbox>
                        <w:txbxContent>
                          <w:p w14:paraId="0DD2FDEA" w14:textId="12B15D1B" w:rsidR="00B26343" w:rsidRDefault="001207C1">
                            <w:r>
                              <w:t>Figure 2 and</w:t>
                            </w:r>
                          </w:p>
                          <w:p w14:paraId="394D819E" w14:textId="26DE44DD" w:rsidR="001207C1" w:rsidRDefault="00EC0BAC">
                            <w:r>
                              <w:t xml:space="preserve">Figure 3: </w:t>
                            </w:r>
                          </w:p>
                          <w:p w14:paraId="3804A77B" w14:textId="47A01131" w:rsidR="009C6C9E" w:rsidRDefault="009C6C9E">
                            <w:r>
                              <w:t>Natasha’s Law Explained</w:t>
                            </w:r>
                          </w:p>
                        </w:txbxContent>
                      </v:textbox>
                      <w10:wrap type="square"/>
                    </v:shape>
                  </w:pict>
                </mc:Fallback>
              </mc:AlternateContent>
            </w:r>
            <w:r w:rsidR="00EB562E" w:rsidRPr="003C598F">
              <w:rPr>
                <w:rFonts w:ascii="Tahoma" w:hAnsi="Tahoma" w:cs="Tahoma"/>
                <w:b/>
                <w:noProof/>
              </w:rPr>
              <w:drawing>
                <wp:inline distT="0" distB="0" distL="0" distR="0" wp14:anchorId="34F0DB50" wp14:editId="171A600F">
                  <wp:extent cx="2273829" cy="2880360"/>
                  <wp:effectExtent l="0" t="0" r="0" b="0"/>
                  <wp:docPr id="4" name="Picture 3" descr="Text&#10;&#10;Description automatically generated">
                    <a:extLst xmlns:a="http://schemas.openxmlformats.org/drawingml/2006/main">
                      <a:ext uri="{FF2B5EF4-FFF2-40B4-BE49-F238E27FC236}">
                        <a16:creationId xmlns:a16="http://schemas.microsoft.com/office/drawing/2014/main" id="{8C08B9F0-FA90-624C-966A-D1BBA784A2A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ext&#10;&#10;Description automatically generated">
                            <a:extLst>
                              <a:ext uri="{FF2B5EF4-FFF2-40B4-BE49-F238E27FC236}">
                                <a16:creationId xmlns:a16="http://schemas.microsoft.com/office/drawing/2014/main" id="{8C08B9F0-FA90-624C-966A-D1BBA784A2A3}"/>
                              </a:ext>
                            </a:extLst>
                          </pic:cNvPr>
                          <pic:cNvPicPr>
                            <a:picLocks noChangeAspect="1"/>
                          </pic:cNvPicPr>
                        </pic:nvPicPr>
                        <pic:blipFill>
                          <a:blip r:embed="rId11"/>
                          <a:stretch>
                            <a:fillRect/>
                          </a:stretch>
                        </pic:blipFill>
                        <pic:spPr>
                          <a:xfrm>
                            <a:off x="0" y="0"/>
                            <a:ext cx="2309346" cy="2925351"/>
                          </a:xfrm>
                          <a:prstGeom prst="rect">
                            <a:avLst/>
                          </a:prstGeom>
                        </pic:spPr>
                      </pic:pic>
                    </a:graphicData>
                  </a:graphic>
                </wp:inline>
              </w:drawing>
            </w:r>
            <w:r w:rsidR="00EE55D7">
              <w:rPr>
                <w:rStyle w:val="Hyperlink"/>
              </w:rPr>
              <w:t xml:space="preserve">    </w:t>
            </w:r>
            <w:r w:rsidR="00EE55D7" w:rsidRPr="003C598F">
              <w:rPr>
                <w:rFonts w:ascii="Tahoma" w:hAnsi="Tahoma" w:cs="Tahoma"/>
                <w:b/>
                <w:noProof/>
              </w:rPr>
              <w:drawing>
                <wp:inline distT="0" distB="0" distL="0" distR="0" wp14:anchorId="585E6A8F" wp14:editId="1A23455A">
                  <wp:extent cx="2110740" cy="2813685"/>
                  <wp:effectExtent l="0" t="0" r="3810" b="5715"/>
                  <wp:docPr id="5" name="Picture 4" descr="Text&#10;&#10;Description automatically generated">
                    <a:extLst xmlns:a="http://schemas.openxmlformats.org/drawingml/2006/main">
                      <a:ext uri="{FF2B5EF4-FFF2-40B4-BE49-F238E27FC236}">
                        <a16:creationId xmlns:a16="http://schemas.microsoft.com/office/drawing/2014/main" id="{A953F830-C54B-4045-9B5C-0A9A09632ED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A953F830-C54B-4045-9B5C-0A9A09632EDC}"/>
                              </a:ext>
                            </a:extLst>
                          </pic:cNvPr>
                          <pic:cNvPicPr>
                            <a:picLocks noChangeAspect="1"/>
                          </pic:cNvPicPr>
                        </pic:nvPicPr>
                        <pic:blipFill>
                          <a:blip r:embed="rId12"/>
                          <a:stretch>
                            <a:fillRect/>
                          </a:stretch>
                        </pic:blipFill>
                        <pic:spPr>
                          <a:xfrm>
                            <a:off x="0" y="0"/>
                            <a:ext cx="2125500" cy="2833360"/>
                          </a:xfrm>
                          <a:prstGeom prst="rect">
                            <a:avLst/>
                          </a:prstGeom>
                        </pic:spPr>
                      </pic:pic>
                    </a:graphicData>
                  </a:graphic>
                </wp:inline>
              </w:drawing>
            </w:r>
            <w:r w:rsidR="001C2341">
              <w:rPr>
                <w:rStyle w:val="Hyperlink"/>
              </w:rPr>
              <w:t xml:space="preserve">  </w:t>
            </w:r>
            <w:sdt>
              <w:sdtPr>
                <w:rPr>
                  <w:rStyle w:val="Hyperlink"/>
                </w:rPr>
                <w:id w:val="-588537780"/>
                <w:citation/>
              </w:sdtPr>
              <w:sdtContent>
                <w:r w:rsidR="00C76B13">
                  <w:rPr>
                    <w:rStyle w:val="Hyperlink"/>
                  </w:rPr>
                  <w:fldChar w:fldCharType="begin"/>
                </w:r>
                <w:r w:rsidR="00C76B13">
                  <w:rPr>
                    <w:rStyle w:val="Hyperlink"/>
                  </w:rPr>
                  <w:instrText xml:space="preserve"> CITATION Mak21 \l 2057 </w:instrText>
                </w:r>
                <w:r w:rsidR="00C76B13">
                  <w:rPr>
                    <w:rStyle w:val="Hyperlink"/>
                  </w:rPr>
                  <w:fldChar w:fldCharType="separate"/>
                </w:r>
                <w:r w:rsidR="00C76B13" w:rsidRPr="00C76B13">
                  <w:rPr>
                    <w:noProof/>
                    <w:color w:val="0000FF"/>
                  </w:rPr>
                  <w:t>(Mak, 2021)</w:t>
                </w:r>
                <w:r w:rsidR="00C76B13">
                  <w:rPr>
                    <w:rStyle w:val="Hyperlink"/>
                  </w:rPr>
                  <w:fldChar w:fldCharType="end"/>
                </w:r>
              </w:sdtContent>
            </w:sdt>
          </w:p>
          <w:p w14:paraId="52C9DC7E" w14:textId="378098B7" w:rsidR="008F038C" w:rsidRDefault="009363F7" w:rsidP="00BF60FD">
            <w:pPr>
              <w:jc w:val="both"/>
              <w:rPr>
                <w:rFonts w:ascii="Tahoma" w:hAnsi="Tahoma" w:cs="Tahoma"/>
              </w:rPr>
            </w:pPr>
            <w:r>
              <w:rPr>
                <w:rFonts w:ascii="Tahoma" w:hAnsi="Tahoma" w:cs="Tahoma"/>
              </w:rPr>
              <w:t xml:space="preserve">   </w:t>
            </w:r>
          </w:p>
          <w:p w14:paraId="78025A57" w14:textId="61689D6D" w:rsidR="009234A5" w:rsidRPr="0018111F" w:rsidRDefault="009234A5" w:rsidP="009234A5">
            <w:pPr>
              <w:jc w:val="both"/>
            </w:pPr>
            <w:r>
              <w:t xml:space="preserve">Natasha’s Law is explained in detail in the </w:t>
            </w:r>
            <w:r w:rsidR="005753C9">
              <w:t>above</w:t>
            </w:r>
            <w:r>
              <w:t xml:space="preserve"> Figure </w:t>
            </w:r>
            <w:r w:rsidR="009C6C9E">
              <w:t>2</w:t>
            </w:r>
            <w:r>
              <w:t xml:space="preserve"> and </w:t>
            </w:r>
            <w:r w:rsidR="009C6C9E">
              <w:t>3</w:t>
            </w:r>
            <w:r>
              <w:t xml:space="preserve">, by Andrea Martiniz and Wan </w:t>
            </w:r>
            <w:proofErr w:type="spellStart"/>
            <w:r>
              <w:t>Mak</w:t>
            </w:r>
            <w:proofErr w:type="spellEnd"/>
            <w:r>
              <w:t xml:space="preserve"> from the Headquarter, of what the legislation </w:t>
            </w:r>
            <w:r w:rsidR="009F3AE3">
              <w:t>covers</w:t>
            </w:r>
            <w:r>
              <w:t>.</w:t>
            </w:r>
          </w:p>
          <w:p w14:paraId="10B11E51"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16A621AA" w14:textId="77777777" w:rsidR="009F3AE3" w:rsidRDefault="00700E93" w:rsidP="00447AEC">
            <w:pPr>
              <w:jc w:val="both"/>
              <w:rPr>
                <w:rFonts w:ascii="Tahoma" w:hAnsi="Tahoma" w:cs="Tahoma"/>
                <w:sz w:val="20"/>
                <w:szCs w:val="20"/>
              </w:rPr>
            </w:pPr>
            <w:r>
              <w:rPr>
                <w:rFonts w:ascii="Tahoma" w:hAnsi="Tahoma" w:cs="Tahoma"/>
                <w:sz w:val="20"/>
                <w:szCs w:val="20"/>
              </w:rPr>
              <w:t>I have learned a lot</w:t>
            </w:r>
            <w:r w:rsidR="008673F2">
              <w:rPr>
                <w:rFonts w:ascii="Tahoma" w:hAnsi="Tahoma" w:cs="Tahoma"/>
                <w:sz w:val="20"/>
                <w:szCs w:val="20"/>
              </w:rPr>
              <w:t xml:space="preserve"> on the topic</w:t>
            </w:r>
            <w:r w:rsidR="00EB6DE7">
              <w:rPr>
                <w:rFonts w:ascii="Tahoma" w:hAnsi="Tahoma" w:cs="Tahoma"/>
                <w:sz w:val="20"/>
                <w:szCs w:val="20"/>
              </w:rPr>
              <w:t xml:space="preserve"> ‘Al</w:t>
            </w:r>
            <w:r w:rsidR="00106042">
              <w:rPr>
                <w:rFonts w:ascii="Tahoma" w:hAnsi="Tahoma" w:cs="Tahoma"/>
                <w:sz w:val="20"/>
                <w:szCs w:val="20"/>
              </w:rPr>
              <w:t xml:space="preserve">lergies and </w:t>
            </w:r>
            <w:r w:rsidR="00FA27C0">
              <w:rPr>
                <w:rFonts w:ascii="Tahoma" w:hAnsi="Tahoma" w:cs="Tahoma"/>
                <w:sz w:val="20"/>
                <w:szCs w:val="20"/>
              </w:rPr>
              <w:t>Intolerance</w:t>
            </w:r>
            <w:r w:rsidR="00FE0F9F">
              <w:rPr>
                <w:rFonts w:ascii="Tahoma" w:hAnsi="Tahoma" w:cs="Tahoma"/>
                <w:sz w:val="20"/>
                <w:szCs w:val="20"/>
              </w:rPr>
              <w:t>’,</w:t>
            </w:r>
            <w:r>
              <w:rPr>
                <w:rFonts w:ascii="Tahoma" w:hAnsi="Tahoma" w:cs="Tahoma"/>
                <w:sz w:val="20"/>
                <w:szCs w:val="20"/>
              </w:rPr>
              <w:t xml:space="preserve"> from the </w:t>
            </w:r>
            <w:r w:rsidR="00C01B1C">
              <w:rPr>
                <w:rFonts w:ascii="Tahoma" w:hAnsi="Tahoma" w:cs="Tahoma"/>
                <w:sz w:val="20"/>
                <w:szCs w:val="20"/>
              </w:rPr>
              <w:t xml:space="preserve">Lecture </w:t>
            </w:r>
            <w:r w:rsidR="00FE0F9F">
              <w:rPr>
                <w:rFonts w:ascii="Tahoma" w:hAnsi="Tahoma" w:cs="Tahoma"/>
                <w:sz w:val="20"/>
                <w:szCs w:val="20"/>
              </w:rPr>
              <w:t xml:space="preserve">week 2 </w:t>
            </w:r>
            <w:r w:rsidR="00352E70">
              <w:rPr>
                <w:rFonts w:ascii="Tahoma" w:hAnsi="Tahoma" w:cs="Tahoma"/>
                <w:sz w:val="20"/>
                <w:szCs w:val="20"/>
              </w:rPr>
              <w:t xml:space="preserve">of Food and Beverage </w:t>
            </w:r>
            <w:r w:rsidR="00106042">
              <w:rPr>
                <w:rFonts w:ascii="Tahoma" w:hAnsi="Tahoma" w:cs="Tahoma"/>
                <w:sz w:val="20"/>
                <w:szCs w:val="20"/>
              </w:rPr>
              <w:t xml:space="preserve">Operations </w:t>
            </w:r>
            <w:r w:rsidR="008673F2">
              <w:rPr>
                <w:rFonts w:ascii="Tahoma" w:hAnsi="Tahoma" w:cs="Tahoma"/>
                <w:sz w:val="20"/>
                <w:szCs w:val="20"/>
              </w:rPr>
              <w:t>module</w:t>
            </w:r>
            <w:r w:rsidR="00FE0F9F">
              <w:rPr>
                <w:rFonts w:ascii="Tahoma" w:hAnsi="Tahoma" w:cs="Tahoma"/>
                <w:sz w:val="20"/>
                <w:szCs w:val="20"/>
              </w:rPr>
              <w:t xml:space="preserve">. </w:t>
            </w:r>
            <w:r w:rsidR="00A64372">
              <w:rPr>
                <w:rFonts w:ascii="Tahoma" w:hAnsi="Tahoma" w:cs="Tahoma"/>
                <w:sz w:val="20"/>
                <w:szCs w:val="20"/>
              </w:rPr>
              <w:t xml:space="preserve">I learned what </w:t>
            </w:r>
            <w:r w:rsidR="00A70B23">
              <w:rPr>
                <w:rFonts w:ascii="Tahoma" w:hAnsi="Tahoma" w:cs="Tahoma"/>
                <w:sz w:val="20"/>
                <w:szCs w:val="20"/>
              </w:rPr>
              <w:t>are allergies and Allergens</w:t>
            </w:r>
            <w:r w:rsidR="001F49E8">
              <w:rPr>
                <w:rFonts w:ascii="Tahoma" w:hAnsi="Tahoma" w:cs="Tahoma"/>
                <w:sz w:val="20"/>
                <w:szCs w:val="20"/>
              </w:rPr>
              <w:t>, what the Law say</w:t>
            </w:r>
            <w:r w:rsidR="000D182C">
              <w:rPr>
                <w:rFonts w:ascii="Tahoma" w:hAnsi="Tahoma" w:cs="Tahoma"/>
                <w:sz w:val="20"/>
                <w:szCs w:val="20"/>
              </w:rPr>
              <w:t>s</w:t>
            </w:r>
            <w:r w:rsidR="001F49E8">
              <w:rPr>
                <w:rFonts w:ascii="Tahoma" w:hAnsi="Tahoma" w:cs="Tahoma"/>
                <w:sz w:val="20"/>
                <w:szCs w:val="20"/>
              </w:rPr>
              <w:t xml:space="preserve"> about it and when the law came in force</w:t>
            </w:r>
            <w:r w:rsidR="008C34B5">
              <w:rPr>
                <w:rFonts w:ascii="Tahoma" w:hAnsi="Tahoma" w:cs="Tahoma"/>
                <w:sz w:val="20"/>
                <w:szCs w:val="20"/>
              </w:rPr>
              <w:t>, I also learned what is Natasha’s Law</w:t>
            </w:r>
            <w:r w:rsidR="000D182C">
              <w:rPr>
                <w:rFonts w:ascii="Tahoma" w:hAnsi="Tahoma" w:cs="Tahoma"/>
                <w:sz w:val="20"/>
                <w:szCs w:val="20"/>
              </w:rPr>
              <w:t xml:space="preserve"> </w:t>
            </w:r>
            <w:r w:rsidR="00204306">
              <w:rPr>
                <w:rFonts w:ascii="Tahoma" w:hAnsi="Tahoma" w:cs="Tahoma"/>
                <w:sz w:val="20"/>
                <w:szCs w:val="20"/>
              </w:rPr>
              <w:t xml:space="preserve">and its legislations </w:t>
            </w:r>
            <w:r w:rsidR="00387F5A">
              <w:rPr>
                <w:rFonts w:ascii="Tahoma" w:hAnsi="Tahoma" w:cs="Tahoma"/>
                <w:sz w:val="20"/>
                <w:szCs w:val="20"/>
              </w:rPr>
              <w:t>as I explained above.</w:t>
            </w:r>
            <w:r w:rsidR="00672F6E">
              <w:rPr>
                <w:rFonts w:ascii="Tahoma" w:hAnsi="Tahoma" w:cs="Tahoma"/>
                <w:sz w:val="20"/>
                <w:szCs w:val="20"/>
              </w:rPr>
              <w:t xml:space="preserve"> </w:t>
            </w:r>
            <w:r w:rsidR="00405C7C">
              <w:rPr>
                <w:rFonts w:ascii="Tahoma" w:hAnsi="Tahoma" w:cs="Tahoma"/>
                <w:sz w:val="20"/>
                <w:szCs w:val="20"/>
              </w:rPr>
              <w:t xml:space="preserve">Also learned what type of label </w:t>
            </w:r>
            <w:r w:rsidR="009A12D1">
              <w:rPr>
                <w:rFonts w:ascii="Tahoma" w:hAnsi="Tahoma" w:cs="Tahoma"/>
                <w:sz w:val="20"/>
                <w:szCs w:val="20"/>
              </w:rPr>
              <w:t>to look out on a particular 5ttype of food.</w:t>
            </w:r>
            <w:r w:rsidR="008426B0">
              <w:rPr>
                <w:rFonts w:ascii="Tahoma" w:hAnsi="Tahoma" w:cs="Tahoma"/>
                <w:sz w:val="20"/>
                <w:szCs w:val="20"/>
              </w:rPr>
              <w:t xml:space="preserve"> We must be </w:t>
            </w:r>
            <w:r w:rsidR="008E72F2">
              <w:rPr>
                <w:rFonts w:ascii="Tahoma" w:hAnsi="Tahoma" w:cs="Tahoma"/>
                <w:sz w:val="20"/>
                <w:szCs w:val="20"/>
              </w:rPr>
              <w:t>very</w:t>
            </w:r>
            <w:r w:rsidR="008426B0">
              <w:rPr>
                <w:rFonts w:ascii="Tahoma" w:hAnsi="Tahoma" w:cs="Tahoma"/>
                <w:sz w:val="20"/>
                <w:szCs w:val="20"/>
              </w:rPr>
              <w:t xml:space="preserve"> careful about it because about 10 people die every year</w:t>
            </w:r>
            <w:r w:rsidR="00A16DCE">
              <w:rPr>
                <w:rFonts w:ascii="Tahoma" w:hAnsi="Tahoma" w:cs="Tahoma"/>
                <w:sz w:val="20"/>
                <w:szCs w:val="20"/>
              </w:rPr>
              <w:t xml:space="preserve"> from allergic reactions to food.</w:t>
            </w:r>
            <w:r w:rsidR="00DC521B">
              <w:rPr>
                <w:rFonts w:ascii="Tahoma" w:hAnsi="Tahoma" w:cs="Tahoma"/>
                <w:sz w:val="20"/>
                <w:szCs w:val="20"/>
              </w:rPr>
              <w:t xml:space="preserve"> </w:t>
            </w:r>
          </w:p>
          <w:p w14:paraId="31F32003" w14:textId="77777777" w:rsidR="009F3AE3" w:rsidRDefault="009F3AE3" w:rsidP="00447AEC">
            <w:pPr>
              <w:jc w:val="both"/>
              <w:rPr>
                <w:rFonts w:ascii="Tahoma" w:hAnsi="Tahoma" w:cs="Tahoma"/>
                <w:sz w:val="20"/>
                <w:szCs w:val="20"/>
              </w:rPr>
            </w:pPr>
          </w:p>
          <w:p w14:paraId="7BE01A03" w14:textId="3BF488C0" w:rsidR="009F3AE3" w:rsidRDefault="009F3AE3" w:rsidP="00447AEC">
            <w:pPr>
              <w:jc w:val="both"/>
              <w:rPr>
                <w:rFonts w:ascii="Tahoma" w:hAnsi="Tahoma" w:cs="Tahoma"/>
                <w:sz w:val="20"/>
                <w:szCs w:val="20"/>
              </w:rPr>
            </w:pPr>
            <w:r>
              <w:rPr>
                <w:rFonts w:ascii="Tahoma" w:hAnsi="Tahoma" w:cs="Tahoma"/>
                <w:sz w:val="20"/>
                <w:szCs w:val="20"/>
              </w:rPr>
              <w:lastRenderedPageBreak/>
              <w:t>Allergens can cause serious problems, so its important to Monitor the following areas strictly:</w:t>
            </w:r>
          </w:p>
          <w:p w14:paraId="2F2F0CC3" w14:textId="3B09549B" w:rsidR="009F3AE3" w:rsidRDefault="009F3AE3" w:rsidP="00447AEC">
            <w:pPr>
              <w:jc w:val="both"/>
              <w:rPr>
                <w:rFonts w:ascii="Tahoma" w:hAnsi="Tahoma" w:cs="Tahoma"/>
                <w:sz w:val="20"/>
                <w:szCs w:val="20"/>
              </w:rPr>
            </w:pPr>
          </w:p>
          <w:p w14:paraId="0D44AC6C" w14:textId="77777777" w:rsidR="009F3AE3" w:rsidRPr="009F3AE3" w:rsidRDefault="009F3AE3" w:rsidP="009F3AE3">
            <w:pPr>
              <w:numPr>
                <w:ilvl w:val="0"/>
                <w:numId w:val="29"/>
              </w:numPr>
              <w:jc w:val="both"/>
              <w:rPr>
                <w:rFonts w:ascii="Tahoma" w:hAnsi="Tahoma" w:cs="Tahoma"/>
                <w:sz w:val="20"/>
                <w:szCs w:val="20"/>
              </w:rPr>
            </w:pPr>
            <w:r w:rsidRPr="009F3AE3">
              <w:rPr>
                <w:rFonts w:ascii="Tahoma" w:hAnsi="Tahoma" w:cs="Tahoma"/>
                <w:sz w:val="20"/>
                <w:szCs w:val="20"/>
              </w:rPr>
              <w:t> Monitor all ingredients used in food</w:t>
            </w:r>
          </w:p>
          <w:p w14:paraId="1E976442" w14:textId="77777777" w:rsidR="009F3AE3" w:rsidRPr="009F3AE3" w:rsidRDefault="009F3AE3" w:rsidP="009F3AE3">
            <w:pPr>
              <w:numPr>
                <w:ilvl w:val="0"/>
                <w:numId w:val="29"/>
              </w:numPr>
              <w:jc w:val="both"/>
              <w:rPr>
                <w:rFonts w:ascii="Tahoma" w:hAnsi="Tahoma" w:cs="Tahoma"/>
                <w:sz w:val="20"/>
                <w:szCs w:val="20"/>
              </w:rPr>
            </w:pPr>
            <w:r w:rsidRPr="009F3AE3">
              <w:rPr>
                <w:rFonts w:ascii="Tahoma" w:hAnsi="Tahoma" w:cs="Tahoma"/>
                <w:sz w:val="20"/>
                <w:szCs w:val="20"/>
              </w:rPr>
              <w:t> Ensure that suppliers notify any allergy changes</w:t>
            </w:r>
          </w:p>
          <w:p w14:paraId="30EDF438" w14:textId="77777777" w:rsidR="009F3AE3" w:rsidRPr="009F3AE3" w:rsidRDefault="009F3AE3" w:rsidP="009F3AE3">
            <w:pPr>
              <w:numPr>
                <w:ilvl w:val="0"/>
                <w:numId w:val="29"/>
              </w:numPr>
              <w:jc w:val="both"/>
              <w:rPr>
                <w:rFonts w:ascii="Tahoma" w:hAnsi="Tahoma" w:cs="Tahoma"/>
                <w:sz w:val="20"/>
                <w:szCs w:val="20"/>
              </w:rPr>
            </w:pPr>
            <w:r w:rsidRPr="009F3AE3">
              <w:rPr>
                <w:rFonts w:ascii="Tahoma" w:hAnsi="Tahoma" w:cs="Tahoma"/>
                <w:sz w:val="20"/>
                <w:szCs w:val="20"/>
              </w:rPr>
              <w:t> Review each menu item to ensure that all allergens are described</w:t>
            </w:r>
          </w:p>
          <w:p w14:paraId="33BEE3AF" w14:textId="77777777" w:rsidR="009F3AE3" w:rsidRPr="009F3AE3" w:rsidRDefault="009F3AE3" w:rsidP="009F3AE3">
            <w:pPr>
              <w:numPr>
                <w:ilvl w:val="0"/>
                <w:numId w:val="29"/>
              </w:numPr>
              <w:jc w:val="both"/>
              <w:rPr>
                <w:rFonts w:ascii="Tahoma" w:hAnsi="Tahoma" w:cs="Tahoma"/>
                <w:sz w:val="20"/>
                <w:szCs w:val="20"/>
              </w:rPr>
            </w:pPr>
            <w:r w:rsidRPr="009F3AE3">
              <w:rPr>
                <w:rFonts w:ascii="Tahoma" w:hAnsi="Tahoma" w:cs="Tahoma"/>
                <w:sz w:val="20"/>
                <w:szCs w:val="20"/>
              </w:rPr>
              <w:t> Store allergenic-containing ingredients away from non-allergenic containing ingredients</w:t>
            </w:r>
          </w:p>
          <w:p w14:paraId="3D317429" w14:textId="77777777" w:rsidR="009F3AE3" w:rsidRPr="009F3AE3" w:rsidRDefault="009F3AE3" w:rsidP="009F3AE3">
            <w:pPr>
              <w:numPr>
                <w:ilvl w:val="0"/>
                <w:numId w:val="29"/>
              </w:numPr>
              <w:jc w:val="both"/>
              <w:rPr>
                <w:rFonts w:ascii="Tahoma" w:hAnsi="Tahoma" w:cs="Tahoma"/>
                <w:sz w:val="20"/>
                <w:szCs w:val="20"/>
              </w:rPr>
            </w:pPr>
            <w:r w:rsidRPr="009F3AE3">
              <w:rPr>
                <w:rFonts w:ascii="Tahoma" w:hAnsi="Tahoma" w:cs="Tahoma"/>
                <w:sz w:val="20"/>
                <w:szCs w:val="20"/>
              </w:rPr>
              <w:t> Minimise the risk of cross contamination by using separate areas for non-allergen containing dishes and</w:t>
            </w:r>
          </w:p>
          <w:p w14:paraId="2D421C97" w14:textId="77777777" w:rsidR="009F3AE3" w:rsidRPr="009F3AE3" w:rsidRDefault="009F3AE3" w:rsidP="009F3AE3">
            <w:pPr>
              <w:numPr>
                <w:ilvl w:val="0"/>
                <w:numId w:val="29"/>
              </w:numPr>
              <w:jc w:val="both"/>
              <w:rPr>
                <w:rFonts w:ascii="Tahoma" w:hAnsi="Tahoma" w:cs="Tahoma"/>
                <w:sz w:val="20"/>
                <w:szCs w:val="20"/>
              </w:rPr>
            </w:pPr>
            <w:r w:rsidRPr="009F3AE3">
              <w:rPr>
                <w:rFonts w:ascii="Tahoma" w:hAnsi="Tahoma" w:cs="Tahoma"/>
                <w:sz w:val="20"/>
                <w:szCs w:val="20"/>
              </w:rPr>
              <w:t> Ensure everyone is allergen aware</w:t>
            </w:r>
          </w:p>
          <w:p w14:paraId="6FFF87E3" w14:textId="77777777" w:rsidR="009F3AE3" w:rsidRDefault="009F3AE3" w:rsidP="00447AEC">
            <w:pPr>
              <w:jc w:val="both"/>
              <w:rPr>
                <w:rFonts w:ascii="Tahoma" w:hAnsi="Tahoma" w:cs="Tahoma"/>
                <w:sz w:val="20"/>
                <w:szCs w:val="20"/>
              </w:rPr>
            </w:pPr>
          </w:p>
          <w:p w14:paraId="5AAD8421" w14:textId="01724389" w:rsidR="00375882" w:rsidRDefault="00DC521B" w:rsidP="00447AEC">
            <w:pPr>
              <w:jc w:val="both"/>
              <w:rPr>
                <w:rFonts w:ascii="Tahoma" w:hAnsi="Tahoma" w:cs="Tahoma"/>
                <w:sz w:val="20"/>
                <w:szCs w:val="20"/>
              </w:rPr>
            </w:pPr>
            <w:r>
              <w:rPr>
                <w:rFonts w:ascii="Tahoma" w:hAnsi="Tahoma" w:cs="Tahoma"/>
                <w:sz w:val="20"/>
                <w:szCs w:val="20"/>
              </w:rPr>
              <w:t xml:space="preserve">We must also be </w:t>
            </w:r>
            <w:r w:rsidR="005753C9">
              <w:rPr>
                <w:rFonts w:ascii="Tahoma" w:hAnsi="Tahoma" w:cs="Tahoma"/>
                <w:sz w:val="20"/>
                <w:szCs w:val="20"/>
              </w:rPr>
              <w:t>careful</w:t>
            </w:r>
            <w:r>
              <w:rPr>
                <w:rFonts w:ascii="Tahoma" w:hAnsi="Tahoma" w:cs="Tahoma"/>
                <w:sz w:val="20"/>
                <w:szCs w:val="20"/>
              </w:rPr>
              <w:t xml:space="preserve"> to store and ser</w:t>
            </w:r>
            <w:r w:rsidR="000536CC">
              <w:rPr>
                <w:rFonts w:ascii="Tahoma" w:hAnsi="Tahoma" w:cs="Tahoma"/>
                <w:sz w:val="20"/>
                <w:szCs w:val="20"/>
              </w:rPr>
              <w:t>ve food carefully as foods can get Cross-cont</w:t>
            </w:r>
            <w:r w:rsidR="003E5BCC">
              <w:rPr>
                <w:rFonts w:ascii="Tahoma" w:hAnsi="Tahoma" w:cs="Tahoma"/>
                <w:sz w:val="20"/>
                <w:szCs w:val="20"/>
              </w:rPr>
              <w:t>aminated easily.</w:t>
            </w:r>
            <w:r w:rsidR="001C40FB">
              <w:rPr>
                <w:rFonts w:ascii="Tahoma" w:hAnsi="Tahoma" w:cs="Tahoma"/>
                <w:sz w:val="20"/>
                <w:szCs w:val="20"/>
              </w:rPr>
              <w:t xml:space="preserve"> </w:t>
            </w:r>
            <w:r w:rsidR="00F70284">
              <w:rPr>
                <w:rFonts w:ascii="Tahoma" w:hAnsi="Tahoma" w:cs="Tahoma"/>
                <w:sz w:val="20"/>
                <w:szCs w:val="20"/>
              </w:rPr>
              <w:t xml:space="preserve">To avoid cross </w:t>
            </w:r>
            <w:r w:rsidR="009F3AE3">
              <w:rPr>
                <w:rFonts w:ascii="Tahoma" w:hAnsi="Tahoma" w:cs="Tahoma"/>
                <w:sz w:val="20"/>
                <w:szCs w:val="20"/>
              </w:rPr>
              <w:t>contamination,</w:t>
            </w:r>
            <w:r w:rsidR="00F70284">
              <w:rPr>
                <w:rFonts w:ascii="Tahoma" w:hAnsi="Tahoma" w:cs="Tahoma"/>
                <w:sz w:val="20"/>
                <w:szCs w:val="20"/>
              </w:rPr>
              <w:t xml:space="preserve"> </w:t>
            </w:r>
            <w:r w:rsidR="000C5DE0">
              <w:rPr>
                <w:rFonts w:ascii="Tahoma" w:hAnsi="Tahoma" w:cs="Tahoma"/>
                <w:sz w:val="20"/>
                <w:szCs w:val="20"/>
              </w:rPr>
              <w:t xml:space="preserve">we should </w:t>
            </w:r>
            <w:r w:rsidR="009F3AE3">
              <w:rPr>
                <w:rFonts w:ascii="Tahoma" w:hAnsi="Tahoma" w:cs="Tahoma"/>
                <w:sz w:val="20"/>
                <w:szCs w:val="20"/>
              </w:rPr>
              <w:t>take precautions</w:t>
            </w:r>
            <w:r w:rsidR="000C5DE0">
              <w:rPr>
                <w:rFonts w:ascii="Tahoma" w:hAnsi="Tahoma" w:cs="Tahoma"/>
                <w:sz w:val="20"/>
                <w:szCs w:val="20"/>
              </w:rPr>
              <w:t xml:space="preserve"> in the following areas:</w:t>
            </w:r>
          </w:p>
          <w:p w14:paraId="3D10EBFF" w14:textId="5D24D88B" w:rsidR="000C5DE0" w:rsidRDefault="000C5DE0" w:rsidP="00447AEC">
            <w:pPr>
              <w:jc w:val="both"/>
              <w:rPr>
                <w:rFonts w:ascii="Tahoma" w:hAnsi="Tahoma" w:cs="Tahoma"/>
                <w:sz w:val="20"/>
                <w:szCs w:val="20"/>
              </w:rPr>
            </w:pPr>
          </w:p>
          <w:p w14:paraId="69943CBD" w14:textId="0E5B14D4" w:rsidR="009F3AE3" w:rsidRDefault="009F3AE3" w:rsidP="00447AEC">
            <w:pPr>
              <w:jc w:val="both"/>
              <w:rPr>
                <w:rFonts w:ascii="Tahoma" w:hAnsi="Tahoma" w:cs="Tahoma"/>
                <w:sz w:val="20"/>
                <w:szCs w:val="20"/>
              </w:rPr>
            </w:pPr>
            <w:r w:rsidRPr="009F3AE3">
              <w:rPr>
                <w:rFonts w:ascii="Tahoma" w:hAnsi="Tahoma" w:cs="Tahoma"/>
                <w:sz w:val="20"/>
                <w:szCs w:val="20"/>
              </w:rPr>
              <w:drawing>
                <wp:inline distT="0" distB="0" distL="0" distR="0" wp14:anchorId="573AD478" wp14:editId="7B2742D3">
                  <wp:extent cx="2499360" cy="1166224"/>
                  <wp:effectExtent l="0" t="0" r="0" b="0"/>
                  <wp:docPr id="61444" name="Picture 5" descr="A picture containing bird&#10;&#10;Description automatically generated">
                    <a:extLst xmlns:a="http://schemas.openxmlformats.org/drawingml/2006/main">
                      <a:ext uri="{FF2B5EF4-FFF2-40B4-BE49-F238E27FC236}">
                        <a16:creationId xmlns:a16="http://schemas.microsoft.com/office/drawing/2014/main" id="{DB5FA4A6-FBE8-E949-9CAB-8E406891332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44" name="Picture 5" descr="A picture containing bird&#10;&#10;Description automatically generated">
                            <a:extLst>
                              <a:ext uri="{FF2B5EF4-FFF2-40B4-BE49-F238E27FC236}">
                                <a16:creationId xmlns:a16="http://schemas.microsoft.com/office/drawing/2014/main" id="{DB5FA4A6-FBE8-E949-9CAB-8E4068913327}"/>
                              </a:ext>
                            </a:extLst>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53384" cy="1191432"/>
                          </a:xfrm>
                          <a:prstGeom prst="rect">
                            <a:avLst/>
                          </a:prstGeom>
                          <a:noFill/>
                          <a:ln>
                            <a:noFill/>
                          </a:ln>
                        </pic:spPr>
                      </pic:pic>
                    </a:graphicData>
                  </a:graphic>
                </wp:inline>
              </w:drawing>
            </w:r>
          </w:p>
          <w:p w14:paraId="601C5B2A" w14:textId="618316E2" w:rsidR="00375882" w:rsidRDefault="00C85811" w:rsidP="00447AEC">
            <w:pPr>
              <w:jc w:val="both"/>
              <w:rPr>
                <w:rFonts w:ascii="Tahoma" w:hAnsi="Tahoma" w:cs="Tahoma"/>
                <w:sz w:val="20"/>
                <w:szCs w:val="20"/>
              </w:rPr>
            </w:pPr>
            <w:r>
              <w:rPr>
                <w:rFonts w:ascii="Tahoma" w:hAnsi="Tahoma" w:cs="Tahoma"/>
                <w:sz w:val="20"/>
                <w:szCs w:val="20"/>
              </w:rPr>
              <w:t>Finally, all food producer and sellers must remember to display the Food allergy awareness notice sign either on premises or on their website:</w:t>
            </w:r>
          </w:p>
          <w:p w14:paraId="7D11C1DA" w14:textId="6BB5C16A" w:rsidR="00C85811" w:rsidRDefault="00C85811" w:rsidP="00447AEC">
            <w:pPr>
              <w:jc w:val="both"/>
              <w:rPr>
                <w:rFonts w:ascii="Tahoma" w:hAnsi="Tahoma" w:cs="Tahoma"/>
                <w:sz w:val="20"/>
                <w:szCs w:val="20"/>
              </w:rPr>
            </w:pPr>
          </w:p>
          <w:p w14:paraId="36C9FD03" w14:textId="00D6BDA6" w:rsidR="00C85811" w:rsidRDefault="00C85811" w:rsidP="00447AEC">
            <w:pPr>
              <w:jc w:val="both"/>
              <w:rPr>
                <w:rFonts w:ascii="Tahoma" w:hAnsi="Tahoma" w:cs="Tahoma"/>
                <w:sz w:val="20"/>
                <w:szCs w:val="20"/>
              </w:rPr>
            </w:pPr>
            <w:r w:rsidRPr="00C85811">
              <w:rPr>
                <w:rFonts w:ascii="Tahoma" w:hAnsi="Tahoma" w:cs="Tahoma"/>
                <w:sz w:val="20"/>
                <w:szCs w:val="20"/>
              </w:rPr>
              <w:drawing>
                <wp:inline distT="0" distB="0" distL="0" distR="0" wp14:anchorId="493631D7" wp14:editId="4C38B923">
                  <wp:extent cx="4430147" cy="3131820"/>
                  <wp:effectExtent l="0" t="0" r="0" b="0"/>
                  <wp:docPr id="3" name="Picture 4">
                    <a:extLst xmlns:a="http://schemas.openxmlformats.org/drawingml/2006/main">
                      <a:ext uri="{FF2B5EF4-FFF2-40B4-BE49-F238E27FC236}">
                        <a16:creationId xmlns:a16="http://schemas.microsoft.com/office/drawing/2014/main" id="{E683571F-DA6E-704D-A9CD-BAB85CB2B6A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E683571F-DA6E-704D-A9CD-BAB85CB2B6AE}"/>
                              </a:ext>
                            </a:extLst>
                          </pic:cNvPr>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470821" cy="3160574"/>
                          </a:xfrm>
                          <a:prstGeom prst="rect">
                            <a:avLst/>
                          </a:prstGeom>
                        </pic:spPr>
                      </pic:pic>
                    </a:graphicData>
                  </a:graphic>
                </wp:inline>
              </w:drawing>
            </w:r>
          </w:p>
          <w:p w14:paraId="511DAC94" w14:textId="7A728CE4" w:rsidR="00C85811" w:rsidRDefault="00C85811" w:rsidP="00447AEC">
            <w:pPr>
              <w:jc w:val="both"/>
              <w:rPr>
                <w:rFonts w:ascii="Tahoma" w:hAnsi="Tahoma" w:cs="Tahoma"/>
                <w:sz w:val="20"/>
                <w:szCs w:val="20"/>
              </w:rPr>
            </w:pPr>
          </w:p>
          <w:p w14:paraId="179412F2" w14:textId="26A79B2B" w:rsidR="00C85811" w:rsidRDefault="00C85811" w:rsidP="00447AEC">
            <w:pPr>
              <w:jc w:val="both"/>
              <w:rPr>
                <w:rFonts w:ascii="Tahoma" w:hAnsi="Tahoma" w:cs="Tahoma"/>
                <w:sz w:val="20"/>
                <w:szCs w:val="20"/>
              </w:rPr>
            </w:pPr>
          </w:p>
          <w:p w14:paraId="48D61666" w14:textId="58262025" w:rsidR="00C85811" w:rsidRDefault="00C85811" w:rsidP="00447AEC">
            <w:pPr>
              <w:jc w:val="both"/>
              <w:rPr>
                <w:rFonts w:ascii="Tahoma" w:hAnsi="Tahoma" w:cs="Tahoma"/>
                <w:sz w:val="20"/>
                <w:szCs w:val="20"/>
              </w:rPr>
            </w:pPr>
          </w:p>
          <w:p w14:paraId="49AC0428" w14:textId="67284EC4" w:rsidR="00C85811" w:rsidRDefault="00C85811" w:rsidP="00447AEC">
            <w:pPr>
              <w:jc w:val="both"/>
              <w:rPr>
                <w:rFonts w:ascii="Tahoma" w:hAnsi="Tahoma" w:cs="Tahoma"/>
                <w:sz w:val="20"/>
                <w:szCs w:val="20"/>
              </w:rPr>
            </w:pPr>
          </w:p>
          <w:p w14:paraId="5F494AFD" w14:textId="77777777" w:rsidR="00FA6160" w:rsidRDefault="00C85811" w:rsidP="00447AEC">
            <w:pPr>
              <w:jc w:val="both"/>
              <w:rPr>
                <w:rFonts w:ascii="Tahoma" w:hAnsi="Tahoma" w:cs="Tahoma"/>
                <w:sz w:val="20"/>
                <w:szCs w:val="20"/>
              </w:rPr>
            </w:pPr>
            <w:r>
              <w:rPr>
                <w:rFonts w:ascii="Tahoma" w:hAnsi="Tahoma" w:cs="Tahoma"/>
                <w:sz w:val="20"/>
                <w:szCs w:val="20"/>
              </w:rPr>
              <w:t xml:space="preserve">“Food Allergy, Allergens, Food intolerance” We must take this topic very seriously when we are working in the Food and Beverage areas of the Hotel Industries because a) Our Guest’s life is in risk and </w:t>
            </w:r>
            <w:r w:rsidR="00593153">
              <w:rPr>
                <w:rFonts w:ascii="Tahoma" w:hAnsi="Tahoma" w:cs="Tahoma"/>
                <w:sz w:val="20"/>
                <w:szCs w:val="20"/>
              </w:rPr>
              <w:t xml:space="preserve">b) Our business reputation is connected with this, so we must not neglect this and instead we should follow and implement each and every </w:t>
            </w:r>
            <w:proofErr w:type="gramStart"/>
            <w:r w:rsidR="00593153">
              <w:rPr>
                <w:rFonts w:ascii="Tahoma" w:hAnsi="Tahoma" w:cs="Tahoma"/>
                <w:sz w:val="20"/>
                <w:szCs w:val="20"/>
              </w:rPr>
              <w:t>steps</w:t>
            </w:r>
            <w:proofErr w:type="gramEnd"/>
            <w:r w:rsidR="00593153">
              <w:rPr>
                <w:rFonts w:ascii="Tahoma" w:hAnsi="Tahoma" w:cs="Tahoma"/>
                <w:sz w:val="20"/>
                <w:szCs w:val="20"/>
              </w:rPr>
              <w:t xml:space="preserve"> of the legislation of Natash’s Law for food allergies and intolerance.</w:t>
            </w:r>
          </w:p>
          <w:p w14:paraId="293AB718" w14:textId="77777777" w:rsidR="00FA6160" w:rsidRDefault="00FA6160" w:rsidP="00447AEC">
            <w:pPr>
              <w:jc w:val="both"/>
              <w:rPr>
                <w:rFonts w:ascii="Tahoma" w:hAnsi="Tahoma" w:cs="Tahoma"/>
                <w:sz w:val="20"/>
                <w:szCs w:val="20"/>
              </w:rPr>
            </w:pPr>
          </w:p>
          <w:p w14:paraId="1062A60C" w14:textId="17183EBF" w:rsidR="00C85811" w:rsidRDefault="00FA6160" w:rsidP="00447AEC">
            <w:pPr>
              <w:jc w:val="both"/>
              <w:rPr>
                <w:rFonts w:ascii="Tahoma" w:hAnsi="Tahoma" w:cs="Tahoma"/>
                <w:b/>
                <w:bCs/>
                <w:sz w:val="20"/>
                <w:szCs w:val="20"/>
              </w:rPr>
            </w:pPr>
            <w:r>
              <w:rPr>
                <w:rFonts w:ascii="Tahoma" w:hAnsi="Tahoma" w:cs="Tahoma"/>
                <w:sz w:val="20"/>
                <w:szCs w:val="20"/>
              </w:rPr>
              <w:t>According to Herbert, Shemesh and Bender, “</w:t>
            </w:r>
            <w:r w:rsidRPr="00FA6160">
              <w:rPr>
                <w:color w:val="2E2E2E"/>
              </w:rPr>
              <w:t>Current estimates indicate that 4% to 8% of children in the United States are diagnosed with </w:t>
            </w:r>
            <w:hyperlink r:id="rId15" w:tooltip="Learn more about Food Allergy from ScienceDirect's AI-generated Topic Pages" w:history="1">
              <w:r w:rsidRPr="00FA6160">
                <w:rPr>
                  <w:rStyle w:val="Hyperlink"/>
                  <w:color w:val="2E2E2E"/>
                </w:rPr>
                <w:t>food allergy</w:t>
              </w:r>
            </w:hyperlink>
            <w:r w:rsidRPr="00FA6160">
              <w:rPr>
                <w:color w:val="2E2E2E"/>
              </w:rPr>
              <w:t>, and more than 40% of US children with food allergy experience severe allergic reactions</w:t>
            </w:r>
            <w:r>
              <w:rPr>
                <w:rFonts w:ascii="Georgia" w:hAnsi="Georgia"/>
                <w:color w:val="2E2E2E"/>
                <w:sz w:val="27"/>
                <w:szCs w:val="27"/>
              </w:rPr>
              <w:t>”.</w:t>
            </w:r>
            <w:r w:rsidR="00593153">
              <w:rPr>
                <w:rFonts w:ascii="Tahoma" w:hAnsi="Tahoma" w:cs="Tahoma"/>
                <w:sz w:val="20"/>
                <w:szCs w:val="20"/>
              </w:rPr>
              <w:t xml:space="preserve"> </w:t>
            </w:r>
            <w:sdt>
              <w:sdtPr>
                <w:rPr>
                  <w:rFonts w:ascii="Tahoma" w:hAnsi="Tahoma" w:cs="Tahoma"/>
                  <w:b/>
                  <w:bCs/>
                  <w:sz w:val="20"/>
                  <w:szCs w:val="20"/>
                </w:rPr>
                <w:id w:val="1378280245"/>
                <w:citation/>
              </w:sdtPr>
              <w:sdtContent>
                <w:r w:rsidRPr="00FA6160">
                  <w:rPr>
                    <w:rFonts w:ascii="Tahoma" w:hAnsi="Tahoma" w:cs="Tahoma"/>
                    <w:b/>
                    <w:bCs/>
                    <w:sz w:val="20"/>
                    <w:szCs w:val="20"/>
                  </w:rPr>
                  <w:fldChar w:fldCharType="begin"/>
                </w:r>
                <w:r w:rsidRPr="00FA6160">
                  <w:rPr>
                    <w:rFonts w:ascii="Tahoma" w:hAnsi="Tahoma" w:cs="Tahoma"/>
                    <w:b/>
                    <w:bCs/>
                    <w:sz w:val="20"/>
                    <w:szCs w:val="20"/>
                  </w:rPr>
                  <w:instrText xml:space="preserve"> CITATION Her16 \l 2057 </w:instrText>
                </w:r>
                <w:r w:rsidRPr="00FA6160">
                  <w:rPr>
                    <w:rFonts w:ascii="Tahoma" w:hAnsi="Tahoma" w:cs="Tahoma"/>
                    <w:b/>
                    <w:bCs/>
                    <w:sz w:val="20"/>
                    <w:szCs w:val="20"/>
                  </w:rPr>
                  <w:fldChar w:fldCharType="separate"/>
                </w:r>
                <w:r w:rsidRPr="00FA6160">
                  <w:rPr>
                    <w:rFonts w:ascii="Tahoma" w:hAnsi="Tahoma" w:cs="Tahoma"/>
                    <w:b/>
                    <w:bCs/>
                    <w:noProof/>
                    <w:sz w:val="20"/>
                    <w:szCs w:val="20"/>
                  </w:rPr>
                  <w:t>(Herbert, 2016)</w:t>
                </w:r>
                <w:r w:rsidRPr="00FA6160">
                  <w:rPr>
                    <w:rFonts w:ascii="Tahoma" w:hAnsi="Tahoma" w:cs="Tahoma"/>
                    <w:b/>
                    <w:bCs/>
                    <w:sz w:val="20"/>
                    <w:szCs w:val="20"/>
                  </w:rPr>
                  <w:fldChar w:fldCharType="end"/>
                </w:r>
              </w:sdtContent>
            </w:sdt>
          </w:p>
          <w:p w14:paraId="182BEED2" w14:textId="51769930" w:rsidR="00FA6160" w:rsidRDefault="00FA6160" w:rsidP="00447AEC">
            <w:pPr>
              <w:jc w:val="both"/>
              <w:rPr>
                <w:rFonts w:ascii="Tahoma" w:hAnsi="Tahoma" w:cs="Tahoma"/>
                <w:b/>
                <w:bCs/>
                <w:sz w:val="20"/>
                <w:szCs w:val="20"/>
              </w:rPr>
            </w:pPr>
          </w:p>
          <w:p w14:paraId="0B71921D" w14:textId="77777777" w:rsidR="00945821" w:rsidRDefault="00945821" w:rsidP="00447AEC">
            <w:pPr>
              <w:jc w:val="both"/>
              <w:rPr>
                <w:rFonts w:ascii="Tahoma" w:hAnsi="Tahoma" w:cs="Tahoma"/>
                <w:sz w:val="20"/>
                <w:szCs w:val="20"/>
              </w:rPr>
            </w:pPr>
          </w:p>
          <w:p w14:paraId="3BAB9AE0" w14:textId="77777777" w:rsidR="00945821" w:rsidRDefault="00945821" w:rsidP="00447AEC">
            <w:pPr>
              <w:jc w:val="both"/>
              <w:rPr>
                <w:rFonts w:ascii="Tahoma" w:hAnsi="Tahoma" w:cs="Tahoma"/>
                <w:sz w:val="20"/>
                <w:szCs w:val="20"/>
              </w:rPr>
            </w:pPr>
          </w:p>
          <w:p w14:paraId="4DDFB315" w14:textId="1EFF1A95" w:rsidR="00FA6160" w:rsidRPr="00D762D3" w:rsidRDefault="00D762D3" w:rsidP="00447AEC">
            <w:pPr>
              <w:jc w:val="both"/>
              <w:rPr>
                <w:sz w:val="20"/>
                <w:szCs w:val="20"/>
              </w:rPr>
            </w:pPr>
            <w:r w:rsidRPr="00D762D3">
              <w:rPr>
                <w:rFonts w:ascii="Tahoma" w:hAnsi="Tahoma" w:cs="Tahoma"/>
                <w:sz w:val="20"/>
                <w:szCs w:val="20"/>
              </w:rPr>
              <w:t xml:space="preserve">Research </w:t>
            </w:r>
            <w:r>
              <w:rPr>
                <w:rFonts w:ascii="Tahoma" w:hAnsi="Tahoma" w:cs="Tahoma"/>
                <w:sz w:val="20"/>
                <w:szCs w:val="20"/>
              </w:rPr>
              <w:t>on Food allergy in school children it is found that, “</w:t>
            </w:r>
            <w:r w:rsidRPr="00D762D3">
              <w:rPr>
                <w:color w:val="1C1D1E"/>
                <w:shd w:val="clear" w:color="auto" w:fill="FFFFFF"/>
              </w:rPr>
              <w:t>Children have the highest rates of food-related allergic reactions. While 85% of children outgrow allergies including cow's milk and eggs by five years of age, allergies to peanuts and seafood continue into adulthood. The school setting poses a high-risk environment for allergen exposure</w:t>
            </w:r>
            <w:r w:rsidRPr="00D762D3">
              <w:rPr>
                <w:color w:val="1C1D1E"/>
                <w:shd w:val="clear" w:color="auto" w:fill="FFFFFF"/>
              </w:rPr>
              <w:t>”.</w:t>
            </w:r>
            <w:r>
              <w:rPr>
                <w:color w:val="1C1D1E"/>
                <w:shd w:val="clear" w:color="auto" w:fill="FFFFFF"/>
              </w:rPr>
              <w:t xml:space="preserve">  </w:t>
            </w:r>
            <w:sdt>
              <w:sdtPr>
                <w:rPr>
                  <w:b/>
                  <w:bCs/>
                  <w:color w:val="1C1D1E"/>
                  <w:shd w:val="clear" w:color="auto" w:fill="FFFFFF"/>
                </w:rPr>
                <w:id w:val="237840527"/>
                <w:citation/>
              </w:sdtPr>
              <w:sdtContent>
                <w:r w:rsidRPr="00B71474">
                  <w:rPr>
                    <w:b/>
                    <w:bCs/>
                    <w:color w:val="1C1D1E"/>
                    <w:shd w:val="clear" w:color="auto" w:fill="FFFFFF"/>
                  </w:rPr>
                  <w:fldChar w:fldCharType="begin"/>
                </w:r>
                <w:r w:rsidRPr="00B71474">
                  <w:rPr>
                    <w:b/>
                    <w:bCs/>
                    <w:color w:val="1C1D1E"/>
                    <w:shd w:val="clear" w:color="auto" w:fill="FFFFFF"/>
                  </w:rPr>
                  <w:instrText xml:space="preserve"> CITATION Law15 \l 2057 </w:instrText>
                </w:r>
                <w:r w:rsidRPr="00B71474">
                  <w:rPr>
                    <w:b/>
                    <w:bCs/>
                    <w:color w:val="1C1D1E"/>
                    <w:shd w:val="clear" w:color="auto" w:fill="FFFFFF"/>
                  </w:rPr>
                  <w:fldChar w:fldCharType="separate"/>
                </w:r>
                <w:r w:rsidRPr="00B71474">
                  <w:rPr>
                    <w:b/>
                    <w:bCs/>
                    <w:noProof/>
                    <w:color w:val="1C1D1E"/>
                    <w:shd w:val="clear" w:color="auto" w:fill="FFFFFF"/>
                  </w:rPr>
                  <w:t>(Lawlis, 2015)</w:t>
                </w:r>
                <w:r w:rsidRPr="00B71474">
                  <w:rPr>
                    <w:b/>
                    <w:bCs/>
                    <w:color w:val="1C1D1E"/>
                    <w:shd w:val="clear" w:color="auto" w:fill="FFFFFF"/>
                  </w:rPr>
                  <w:fldChar w:fldCharType="end"/>
                </w:r>
              </w:sdtContent>
            </w:sdt>
          </w:p>
          <w:p w14:paraId="2577F7F2" w14:textId="5ECDBCC0" w:rsidR="00C85811" w:rsidRDefault="00C85811" w:rsidP="00447AEC">
            <w:pPr>
              <w:jc w:val="both"/>
              <w:rPr>
                <w:rFonts w:ascii="Tahoma" w:hAnsi="Tahoma" w:cs="Tahoma"/>
                <w:sz w:val="20"/>
                <w:szCs w:val="20"/>
              </w:rPr>
            </w:pPr>
          </w:p>
          <w:p w14:paraId="15CEEBBE" w14:textId="62DCBAE4" w:rsidR="00B71474" w:rsidRPr="00B57F67" w:rsidRDefault="00B57F67" w:rsidP="00447AEC">
            <w:pPr>
              <w:jc w:val="both"/>
              <w:rPr>
                <w:rFonts w:ascii="Tahoma" w:hAnsi="Tahoma" w:cs="Tahoma"/>
                <w:b/>
                <w:bCs/>
                <w:sz w:val="20"/>
                <w:szCs w:val="20"/>
              </w:rPr>
            </w:pPr>
            <w:r w:rsidRPr="00B57F67">
              <w:rPr>
                <w:rFonts w:ascii="Tahoma" w:hAnsi="Tahoma" w:cs="Tahoma"/>
                <w:b/>
                <w:bCs/>
                <w:sz w:val="20"/>
                <w:szCs w:val="20"/>
              </w:rPr>
              <w:t>Advise on managing Food allergies:</w:t>
            </w:r>
          </w:p>
          <w:p w14:paraId="48FAB5C3" w14:textId="551BDA1F" w:rsidR="00B57F67" w:rsidRDefault="00B57F67" w:rsidP="00447AEC">
            <w:pPr>
              <w:jc w:val="both"/>
              <w:rPr>
                <w:rFonts w:ascii="Tahoma" w:hAnsi="Tahoma" w:cs="Tahoma"/>
                <w:sz w:val="20"/>
                <w:szCs w:val="20"/>
              </w:rPr>
            </w:pPr>
          </w:p>
          <w:p w14:paraId="288BC0C3" w14:textId="4B2537AB" w:rsidR="00B57F67" w:rsidRDefault="00B57F67" w:rsidP="00447AEC">
            <w:pPr>
              <w:jc w:val="both"/>
              <w:rPr>
                <w:rFonts w:ascii="Tahoma" w:hAnsi="Tahoma" w:cs="Tahoma"/>
                <w:sz w:val="20"/>
                <w:szCs w:val="20"/>
              </w:rPr>
            </w:pPr>
            <w:r>
              <w:t>After the diagnosis of a specific food allergy, care of the patient shifts to the management of the disease. The goals of management include clarifying the allergy diagnosis (from intolerance, adverse effect, or sensitization), reducing the risk of developing new food allergies, optimizing nutrition, and providing support for living with the disease.</w:t>
            </w:r>
          </w:p>
          <w:p w14:paraId="0A1AC9F7" w14:textId="281DFED6" w:rsidR="00C85811" w:rsidRPr="00B57F67" w:rsidRDefault="00B57F67" w:rsidP="00447AEC">
            <w:pPr>
              <w:jc w:val="both"/>
              <w:rPr>
                <w:rFonts w:ascii="Tahoma" w:hAnsi="Tahoma" w:cs="Tahoma"/>
                <w:b/>
                <w:bCs/>
                <w:sz w:val="20"/>
                <w:szCs w:val="20"/>
              </w:rPr>
            </w:pPr>
            <w:sdt>
              <w:sdtPr>
                <w:rPr>
                  <w:rFonts w:ascii="Tahoma" w:hAnsi="Tahoma" w:cs="Tahoma"/>
                  <w:b/>
                  <w:bCs/>
                  <w:sz w:val="20"/>
                  <w:szCs w:val="20"/>
                </w:rPr>
                <w:id w:val="136394152"/>
                <w:citation/>
              </w:sdtPr>
              <w:sdtContent>
                <w:r w:rsidRPr="00B57F67">
                  <w:rPr>
                    <w:rFonts w:ascii="Tahoma" w:hAnsi="Tahoma" w:cs="Tahoma"/>
                    <w:b/>
                    <w:bCs/>
                    <w:sz w:val="20"/>
                    <w:szCs w:val="20"/>
                  </w:rPr>
                  <w:fldChar w:fldCharType="begin"/>
                </w:r>
                <w:r w:rsidRPr="00B57F67">
                  <w:rPr>
                    <w:rFonts w:ascii="Tahoma" w:hAnsi="Tahoma" w:cs="Tahoma"/>
                    <w:b/>
                    <w:bCs/>
                    <w:sz w:val="20"/>
                    <w:szCs w:val="20"/>
                  </w:rPr>
                  <w:instrText xml:space="preserve"> CITATION Sch20 \l 2057 </w:instrText>
                </w:r>
                <w:r w:rsidRPr="00B57F67">
                  <w:rPr>
                    <w:rFonts w:ascii="Tahoma" w:hAnsi="Tahoma" w:cs="Tahoma"/>
                    <w:b/>
                    <w:bCs/>
                    <w:sz w:val="20"/>
                    <w:szCs w:val="20"/>
                  </w:rPr>
                  <w:fldChar w:fldCharType="separate"/>
                </w:r>
                <w:r w:rsidRPr="00B57F67">
                  <w:rPr>
                    <w:rFonts w:ascii="Tahoma" w:hAnsi="Tahoma" w:cs="Tahoma"/>
                    <w:b/>
                    <w:bCs/>
                    <w:noProof/>
                    <w:sz w:val="20"/>
                    <w:szCs w:val="20"/>
                  </w:rPr>
                  <w:t>(Schauberger, 2020)</w:t>
                </w:r>
                <w:r w:rsidRPr="00B57F67">
                  <w:rPr>
                    <w:rFonts w:ascii="Tahoma" w:hAnsi="Tahoma" w:cs="Tahoma"/>
                    <w:b/>
                    <w:bCs/>
                    <w:sz w:val="20"/>
                    <w:szCs w:val="20"/>
                  </w:rPr>
                  <w:fldChar w:fldCharType="end"/>
                </w:r>
              </w:sdtContent>
            </w:sdt>
          </w:p>
          <w:p w14:paraId="01C1AA01" w14:textId="1AFAFCDC" w:rsidR="00B57F67" w:rsidRDefault="00B57F67" w:rsidP="00447AEC">
            <w:pPr>
              <w:jc w:val="both"/>
              <w:rPr>
                <w:rFonts w:ascii="Tahoma" w:hAnsi="Tahoma" w:cs="Tahoma"/>
                <w:sz w:val="20"/>
                <w:szCs w:val="20"/>
              </w:rPr>
            </w:pPr>
          </w:p>
          <w:p w14:paraId="7D9AACA5" w14:textId="545C4427" w:rsidR="00375882" w:rsidRPr="009354FA" w:rsidRDefault="00B57F67" w:rsidP="00447AEC">
            <w:pPr>
              <w:jc w:val="both"/>
            </w:pPr>
            <w:r>
              <w:t xml:space="preserve">From the above discussion we can see that </w:t>
            </w:r>
            <w:r w:rsidR="009354FA">
              <w:t xml:space="preserve">we must follow strictly the rules and legislation of food allergies and intolerance in our Food and Beverage department of the Hotel. I aim to build my carrier in the hotel </w:t>
            </w:r>
            <w:proofErr w:type="gramStart"/>
            <w:r w:rsidR="009354FA">
              <w:t>industries</w:t>
            </w:r>
            <w:proofErr w:type="gramEnd"/>
            <w:r w:rsidR="009354FA">
              <w:t xml:space="preserve"> and I will be able to use this knowledge and expertise I gathered from Lecture 2 on this topic.</w:t>
            </w:r>
          </w:p>
          <w:p w14:paraId="657F557C" w14:textId="77777777" w:rsidR="00375882" w:rsidRDefault="00375882" w:rsidP="00447AEC">
            <w:pPr>
              <w:jc w:val="both"/>
              <w:rPr>
                <w:rFonts w:ascii="Tahoma" w:hAnsi="Tahoma" w:cs="Tahoma"/>
                <w:sz w:val="20"/>
                <w:szCs w:val="20"/>
              </w:rPr>
            </w:pPr>
          </w:p>
          <w:p w14:paraId="4215162F" w14:textId="77777777" w:rsidR="00375882" w:rsidRDefault="00375882" w:rsidP="00447AEC">
            <w:pPr>
              <w:jc w:val="both"/>
              <w:rPr>
                <w:rFonts w:ascii="Tahoma" w:hAnsi="Tahoma" w:cs="Tahoma"/>
                <w:sz w:val="20"/>
                <w:szCs w:val="20"/>
              </w:rPr>
            </w:pPr>
          </w:p>
          <w:p w14:paraId="411F92ED" w14:textId="77777777" w:rsidR="00375882" w:rsidRDefault="00375882" w:rsidP="00447AEC">
            <w:pPr>
              <w:jc w:val="both"/>
              <w:rPr>
                <w:rFonts w:ascii="Tahoma" w:hAnsi="Tahoma" w:cs="Tahoma"/>
                <w:sz w:val="20"/>
                <w:szCs w:val="20"/>
              </w:rPr>
            </w:pPr>
          </w:p>
          <w:p w14:paraId="0510974C" w14:textId="77777777" w:rsidR="00375882" w:rsidRDefault="00375882" w:rsidP="00447AEC">
            <w:pPr>
              <w:jc w:val="both"/>
              <w:rPr>
                <w:rFonts w:ascii="Tahoma" w:hAnsi="Tahoma" w:cs="Tahoma"/>
                <w:sz w:val="20"/>
                <w:szCs w:val="20"/>
              </w:rPr>
            </w:pPr>
          </w:p>
          <w:p w14:paraId="6B28EBBA" w14:textId="3F5FDEF8" w:rsidR="00375882" w:rsidRDefault="00610354" w:rsidP="00447AEC">
            <w:pPr>
              <w:jc w:val="both"/>
              <w:rPr>
                <w:rFonts w:ascii="Tahoma" w:hAnsi="Tahoma" w:cs="Tahoma"/>
                <w:sz w:val="20"/>
                <w:szCs w:val="20"/>
              </w:rPr>
            </w:pPr>
            <w:r>
              <w:rPr>
                <w:rFonts w:ascii="Tahoma" w:hAnsi="Tahoma" w:cs="Tahoma"/>
                <w:sz w:val="20"/>
                <w:szCs w:val="20"/>
              </w:rPr>
              <w:t xml:space="preserve">   </w:t>
            </w: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r w:rsidR="00F80706" w:rsidRPr="003C3341" w14:paraId="41CF42AD" w14:textId="77777777" w:rsidTr="00A91FD6">
        <w:trPr>
          <w:trHeight w:val="2494"/>
        </w:trPr>
        <w:tc>
          <w:tcPr>
            <w:tcW w:w="11182" w:type="dxa"/>
            <w:gridSpan w:val="2"/>
          </w:tcPr>
          <w:p w14:paraId="5164444F" w14:textId="77777777" w:rsidR="00F80706" w:rsidRDefault="00F80706" w:rsidP="00A65C1D">
            <w:pPr>
              <w:rPr>
                <w:rFonts w:ascii="Tahoma" w:hAnsi="Tahoma" w:cs="Tahoma"/>
                <w:sz w:val="20"/>
                <w:szCs w:val="20"/>
              </w:rPr>
            </w:pPr>
          </w:p>
          <w:p w14:paraId="455AE87F" w14:textId="77777777" w:rsidR="009354FA" w:rsidRDefault="009354FA" w:rsidP="00A65C1D">
            <w:pPr>
              <w:rPr>
                <w:rFonts w:ascii="Tahoma" w:hAnsi="Tahoma" w:cs="Tahoma"/>
                <w:sz w:val="20"/>
                <w:szCs w:val="20"/>
              </w:rPr>
            </w:pPr>
          </w:p>
          <w:p w14:paraId="5BD7E1DA" w14:textId="77777777" w:rsidR="009354FA" w:rsidRDefault="009354FA" w:rsidP="00A65C1D">
            <w:pPr>
              <w:rPr>
                <w:rFonts w:ascii="Tahoma" w:hAnsi="Tahoma" w:cs="Tahoma"/>
                <w:sz w:val="20"/>
                <w:szCs w:val="20"/>
              </w:rPr>
            </w:pPr>
          </w:p>
          <w:p w14:paraId="1AC98FBC" w14:textId="77777777" w:rsidR="009354FA" w:rsidRDefault="009354FA" w:rsidP="00A65C1D">
            <w:pPr>
              <w:rPr>
                <w:rFonts w:ascii="Tahoma" w:hAnsi="Tahoma" w:cs="Tahoma"/>
                <w:sz w:val="20"/>
                <w:szCs w:val="20"/>
              </w:rPr>
            </w:pPr>
          </w:p>
          <w:p w14:paraId="1413EF08" w14:textId="77777777" w:rsidR="009354FA" w:rsidRDefault="009354FA" w:rsidP="00A65C1D">
            <w:pPr>
              <w:rPr>
                <w:rFonts w:ascii="Tahoma" w:hAnsi="Tahoma" w:cs="Tahoma"/>
                <w:sz w:val="20"/>
                <w:szCs w:val="20"/>
              </w:rPr>
            </w:pPr>
          </w:p>
          <w:p w14:paraId="4EB88FFE" w14:textId="77777777" w:rsidR="009354FA" w:rsidRDefault="009354FA" w:rsidP="00A65C1D">
            <w:pPr>
              <w:rPr>
                <w:rFonts w:ascii="Tahoma" w:hAnsi="Tahoma" w:cs="Tahoma"/>
                <w:sz w:val="20"/>
                <w:szCs w:val="20"/>
              </w:rPr>
            </w:pPr>
          </w:p>
          <w:p w14:paraId="4DE12688" w14:textId="77777777" w:rsidR="009354FA" w:rsidRDefault="009354FA" w:rsidP="00A65C1D">
            <w:pPr>
              <w:rPr>
                <w:rFonts w:ascii="Tahoma" w:hAnsi="Tahoma" w:cs="Tahoma"/>
                <w:sz w:val="20"/>
                <w:szCs w:val="20"/>
              </w:rPr>
            </w:pPr>
          </w:p>
          <w:p w14:paraId="2065E90A" w14:textId="77777777" w:rsidR="009354FA" w:rsidRDefault="009354FA" w:rsidP="00A65C1D">
            <w:pPr>
              <w:rPr>
                <w:rFonts w:ascii="Tahoma" w:hAnsi="Tahoma" w:cs="Tahoma"/>
                <w:sz w:val="20"/>
                <w:szCs w:val="20"/>
              </w:rPr>
            </w:pPr>
          </w:p>
          <w:p w14:paraId="127D91B0" w14:textId="77777777" w:rsidR="009354FA" w:rsidRDefault="009354FA" w:rsidP="00A65C1D">
            <w:pPr>
              <w:rPr>
                <w:rFonts w:ascii="Tahoma" w:hAnsi="Tahoma" w:cs="Tahoma"/>
                <w:sz w:val="20"/>
                <w:szCs w:val="20"/>
              </w:rPr>
            </w:pPr>
          </w:p>
          <w:p w14:paraId="2C9681C0" w14:textId="77777777" w:rsidR="009354FA" w:rsidRDefault="009354FA" w:rsidP="00A65C1D">
            <w:pPr>
              <w:rPr>
                <w:rFonts w:ascii="Tahoma" w:hAnsi="Tahoma" w:cs="Tahoma"/>
                <w:sz w:val="20"/>
                <w:szCs w:val="20"/>
              </w:rPr>
            </w:pPr>
          </w:p>
          <w:p w14:paraId="05C8B895" w14:textId="77777777" w:rsidR="009354FA" w:rsidRDefault="009354FA" w:rsidP="00A65C1D">
            <w:pPr>
              <w:rPr>
                <w:rFonts w:ascii="Tahoma" w:hAnsi="Tahoma" w:cs="Tahoma"/>
                <w:sz w:val="20"/>
                <w:szCs w:val="20"/>
              </w:rPr>
            </w:pPr>
          </w:p>
          <w:p w14:paraId="2C9D0BE1" w14:textId="77777777" w:rsidR="009354FA" w:rsidRDefault="009354FA" w:rsidP="00A65C1D">
            <w:pPr>
              <w:rPr>
                <w:rFonts w:ascii="Tahoma" w:hAnsi="Tahoma" w:cs="Tahoma"/>
                <w:sz w:val="20"/>
                <w:szCs w:val="20"/>
              </w:rPr>
            </w:pPr>
          </w:p>
          <w:p w14:paraId="0E9C44E2" w14:textId="77777777" w:rsidR="009354FA" w:rsidRDefault="009354FA" w:rsidP="00A65C1D">
            <w:pPr>
              <w:rPr>
                <w:rFonts w:ascii="Tahoma" w:hAnsi="Tahoma" w:cs="Tahoma"/>
                <w:sz w:val="20"/>
                <w:szCs w:val="20"/>
              </w:rPr>
            </w:pPr>
          </w:p>
          <w:p w14:paraId="79397C42" w14:textId="77777777" w:rsidR="009354FA" w:rsidRDefault="009354FA" w:rsidP="00A65C1D">
            <w:pPr>
              <w:rPr>
                <w:rFonts w:ascii="Tahoma" w:hAnsi="Tahoma" w:cs="Tahoma"/>
                <w:sz w:val="20"/>
                <w:szCs w:val="20"/>
              </w:rPr>
            </w:pPr>
          </w:p>
          <w:p w14:paraId="7C3E1732" w14:textId="77777777" w:rsidR="009354FA" w:rsidRDefault="009354FA" w:rsidP="00A65C1D">
            <w:pPr>
              <w:rPr>
                <w:rFonts w:ascii="Tahoma" w:hAnsi="Tahoma" w:cs="Tahoma"/>
                <w:sz w:val="20"/>
                <w:szCs w:val="20"/>
              </w:rPr>
            </w:pPr>
          </w:p>
          <w:p w14:paraId="06133E52" w14:textId="77777777" w:rsidR="009354FA" w:rsidRDefault="009354FA" w:rsidP="00A65C1D">
            <w:pPr>
              <w:rPr>
                <w:rFonts w:ascii="Tahoma" w:hAnsi="Tahoma" w:cs="Tahoma"/>
                <w:sz w:val="20"/>
                <w:szCs w:val="20"/>
              </w:rPr>
            </w:pPr>
          </w:p>
          <w:p w14:paraId="6386A5CA" w14:textId="77777777" w:rsidR="009354FA" w:rsidRDefault="009354FA" w:rsidP="00A65C1D">
            <w:pPr>
              <w:rPr>
                <w:rFonts w:ascii="Tahoma" w:hAnsi="Tahoma" w:cs="Tahoma"/>
                <w:sz w:val="20"/>
                <w:szCs w:val="20"/>
              </w:rPr>
            </w:pPr>
          </w:p>
          <w:p w14:paraId="099CD877" w14:textId="77777777" w:rsidR="009354FA" w:rsidRDefault="009354FA" w:rsidP="00A65C1D">
            <w:pPr>
              <w:rPr>
                <w:rFonts w:ascii="Tahoma" w:hAnsi="Tahoma" w:cs="Tahoma"/>
                <w:sz w:val="20"/>
                <w:szCs w:val="20"/>
              </w:rPr>
            </w:pPr>
          </w:p>
          <w:p w14:paraId="7F9C53F0" w14:textId="77777777" w:rsidR="009354FA" w:rsidRDefault="009354FA" w:rsidP="00A65C1D">
            <w:pPr>
              <w:rPr>
                <w:rFonts w:ascii="Tahoma" w:hAnsi="Tahoma" w:cs="Tahoma"/>
                <w:sz w:val="20"/>
                <w:szCs w:val="20"/>
              </w:rPr>
            </w:pPr>
          </w:p>
          <w:p w14:paraId="45AE1571" w14:textId="77777777" w:rsidR="009354FA" w:rsidRDefault="009354FA" w:rsidP="00A65C1D">
            <w:pPr>
              <w:rPr>
                <w:rFonts w:ascii="Tahoma" w:hAnsi="Tahoma" w:cs="Tahoma"/>
                <w:sz w:val="20"/>
                <w:szCs w:val="20"/>
              </w:rPr>
            </w:pPr>
          </w:p>
          <w:p w14:paraId="46368921" w14:textId="4161478F" w:rsidR="009354FA" w:rsidRDefault="009354FA" w:rsidP="00A65C1D">
            <w:pPr>
              <w:rPr>
                <w:rFonts w:ascii="Tahoma" w:hAnsi="Tahoma" w:cs="Tahoma"/>
                <w:sz w:val="20"/>
                <w:szCs w:val="20"/>
              </w:rPr>
            </w:pPr>
          </w:p>
          <w:p w14:paraId="4C031E07" w14:textId="2EA3CDA8" w:rsidR="00945821" w:rsidRDefault="00945821" w:rsidP="00A65C1D">
            <w:pPr>
              <w:rPr>
                <w:rFonts w:ascii="Tahoma" w:hAnsi="Tahoma" w:cs="Tahoma"/>
                <w:sz w:val="20"/>
                <w:szCs w:val="20"/>
              </w:rPr>
            </w:pPr>
          </w:p>
          <w:p w14:paraId="5D157B13" w14:textId="1C1F67F7" w:rsidR="00945821" w:rsidRDefault="00945821" w:rsidP="00A65C1D">
            <w:pPr>
              <w:rPr>
                <w:rFonts w:ascii="Tahoma" w:hAnsi="Tahoma" w:cs="Tahoma"/>
                <w:sz w:val="20"/>
                <w:szCs w:val="20"/>
              </w:rPr>
            </w:pPr>
          </w:p>
          <w:p w14:paraId="7BE41CF5" w14:textId="7937E5FA" w:rsidR="00945821" w:rsidRDefault="00945821" w:rsidP="00A65C1D">
            <w:pPr>
              <w:rPr>
                <w:rFonts w:ascii="Tahoma" w:hAnsi="Tahoma" w:cs="Tahoma"/>
                <w:sz w:val="20"/>
                <w:szCs w:val="20"/>
              </w:rPr>
            </w:pPr>
          </w:p>
          <w:p w14:paraId="707E9523" w14:textId="432C6084" w:rsidR="00945821" w:rsidRDefault="00945821" w:rsidP="00A65C1D">
            <w:pPr>
              <w:rPr>
                <w:rFonts w:ascii="Tahoma" w:hAnsi="Tahoma" w:cs="Tahoma"/>
                <w:sz w:val="20"/>
                <w:szCs w:val="20"/>
              </w:rPr>
            </w:pPr>
          </w:p>
          <w:p w14:paraId="187F8B16" w14:textId="70078A61" w:rsidR="00945821" w:rsidRDefault="00945821" w:rsidP="00A65C1D">
            <w:pPr>
              <w:rPr>
                <w:rFonts w:ascii="Tahoma" w:hAnsi="Tahoma" w:cs="Tahoma"/>
                <w:sz w:val="20"/>
                <w:szCs w:val="20"/>
              </w:rPr>
            </w:pPr>
          </w:p>
          <w:p w14:paraId="6C549EB3" w14:textId="055935C9" w:rsidR="00945821" w:rsidRDefault="00945821" w:rsidP="00A65C1D">
            <w:pPr>
              <w:rPr>
                <w:rFonts w:ascii="Tahoma" w:hAnsi="Tahoma" w:cs="Tahoma"/>
                <w:sz w:val="20"/>
                <w:szCs w:val="20"/>
              </w:rPr>
            </w:pPr>
          </w:p>
          <w:p w14:paraId="4A712421" w14:textId="7183E418" w:rsidR="00945821" w:rsidRDefault="00945821" w:rsidP="00A65C1D">
            <w:pPr>
              <w:rPr>
                <w:rFonts w:ascii="Tahoma" w:hAnsi="Tahoma" w:cs="Tahoma"/>
                <w:sz w:val="20"/>
                <w:szCs w:val="20"/>
              </w:rPr>
            </w:pPr>
          </w:p>
          <w:p w14:paraId="6BD27250" w14:textId="0378622C" w:rsidR="00945821" w:rsidRDefault="00945821" w:rsidP="00A65C1D">
            <w:pPr>
              <w:rPr>
                <w:rFonts w:ascii="Tahoma" w:hAnsi="Tahoma" w:cs="Tahoma"/>
                <w:sz w:val="20"/>
                <w:szCs w:val="20"/>
              </w:rPr>
            </w:pPr>
          </w:p>
          <w:p w14:paraId="53417C08" w14:textId="77777777" w:rsidR="00945821" w:rsidRDefault="00945821" w:rsidP="00A65C1D">
            <w:pPr>
              <w:rPr>
                <w:rFonts w:ascii="Tahoma" w:hAnsi="Tahoma" w:cs="Tahoma"/>
                <w:sz w:val="20"/>
                <w:szCs w:val="20"/>
              </w:rPr>
            </w:pPr>
          </w:p>
          <w:p w14:paraId="7DF1D6ED" w14:textId="35379D57" w:rsidR="009354FA" w:rsidRDefault="009354FA" w:rsidP="00A65C1D">
            <w:pPr>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lastRenderedPageBreak/>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sdt>
            <w:sdtPr>
              <w:id w:val="1197433234"/>
              <w:docPartObj>
                <w:docPartGallery w:val="Bibliographies"/>
                <w:docPartUnique/>
              </w:docPartObj>
            </w:sdtPr>
            <w:sdtEndPr>
              <w:rPr>
                <w:rFonts w:ascii="Times New Roman" w:eastAsia="Times New Roman" w:hAnsi="Times New Roman" w:cs="Times New Roman"/>
                <w:color w:val="auto"/>
                <w:sz w:val="24"/>
                <w:szCs w:val="24"/>
                <w:lang w:val="en-GB" w:eastAsia="en-GB"/>
              </w:rPr>
            </w:sdtEndPr>
            <w:sdtContent>
              <w:p w14:paraId="5683C110" w14:textId="58FAAC47" w:rsidR="009354FA" w:rsidRDefault="009354FA">
                <w:pPr>
                  <w:pStyle w:val="Heading1"/>
                </w:pPr>
                <w:r>
                  <w:t>References</w:t>
                </w:r>
              </w:p>
              <w:sdt>
                <w:sdtPr>
                  <w:id w:val="-573587230"/>
                  <w:bibliography/>
                </w:sdtPr>
                <w:sdtContent>
                  <w:p w14:paraId="67A34B07" w14:textId="77777777" w:rsidR="009354FA" w:rsidRDefault="009354FA" w:rsidP="009354FA">
                    <w:pPr>
                      <w:pStyle w:val="Bibliography"/>
                      <w:numPr>
                        <w:ilvl w:val="0"/>
                        <w:numId w:val="30"/>
                      </w:numPr>
                      <w:rPr>
                        <w:noProof/>
                        <w:lang w:val="en-US"/>
                      </w:rPr>
                    </w:pPr>
                    <w:r>
                      <w:fldChar w:fldCharType="begin"/>
                    </w:r>
                    <w:r>
                      <w:instrText xml:space="preserve"> BIBLIOGRAPHY </w:instrText>
                    </w:r>
                    <w:r>
                      <w:fldChar w:fldCharType="separate"/>
                    </w:r>
                    <w:r>
                      <w:rPr>
                        <w:noProof/>
                        <w:lang w:val="en-US"/>
                      </w:rPr>
                      <w:t xml:space="preserve">Government.co.uk. (2019). </w:t>
                    </w:r>
                    <w:r>
                      <w:rPr>
                        <w:i/>
                        <w:iCs/>
                        <w:noProof/>
                        <w:lang w:val="en-US"/>
                      </w:rPr>
                      <w:t>Natash's Legacy becoms Law.</w:t>
                    </w:r>
                    <w:r>
                      <w:rPr>
                        <w:noProof/>
                        <w:lang w:val="en-US"/>
                      </w:rPr>
                      <w:t xml:space="preserve"> London: Department of environment, Food and Rural affairs, Food Standard Agency, and The Rt Hon Lord Goldsmith.</w:t>
                    </w:r>
                  </w:p>
                  <w:p w14:paraId="7E822D3F" w14:textId="77777777" w:rsidR="009354FA" w:rsidRDefault="009354FA" w:rsidP="009354FA">
                    <w:pPr>
                      <w:pStyle w:val="Bibliography"/>
                      <w:numPr>
                        <w:ilvl w:val="0"/>
                        <w:numId w:val="30"/>
                      </w:numPr>
                      <w:rPr>
                        <w:noProof/>
                        <w:lang w:val="en-US"/>
                      </w:rPr>
                    </w:pPr>
                    <w:r>
                      <w:rPr>
                        <w:noProof/>
                        <w:lang w:val="en-US"/>
                      </w:rPr>
                      <w:t xml:space="preserve">Herbert, L. P. (2016). Clinical Management of Psychological Concerns Related to Food Allergy. </w:t>
                    </w:r>
                    <w:r>
                      <w:rPr>
                        <w:i/>
                        <w:iCs/>
                        <w:noProof/>
                        <w:lang w:val="en-US"/>
                      </w:rPr>
                      <w:t>The Journal of Allergy and Clinical Immunology: In Practice</w:t>
                    </w:r>
                    <w:r>
                      <w:rPr>
                        <w:noProof/>
                        <w:lang w:val="en-US"/>
                      </w:rPr>
                      <w:t>, 205 - 213.</w:t>
                    </w:r>
                  </w:p>
                  <w:p w14:paraId="630EC4B1" w14:textId="77777777" w:rsidR="009354FA" w:rsidRDefault="009354FA" w:rsidP="009354FA">
                    <w:pPr>
                      <w:pStyle w:val="Bibliography"/>
                      <w:numPr>
                        <w:ilvl w:val="0"/>
                        <w:numId w:val="30"/>
                      </w:numPr>
                      <w:rPr>
                        <w:noProof/>
                        <w:lang w:val="en-US"/>
                      </w:rPr>
                    </w:pPr>
                    <w:r>
                      <w:rPr>
                        <w:noProof/>
                        <w:lang w:val="en-US"/>
                      </w:rPr>
                      <w:t xml:space="preserve">Lawlis, T. B. (2015). Food Allergy in Schools: The Importance of Government Involvement. </w:t>
                    </w:r>
                    <w:r>
                      <w:rPr>
                        <w:i/>
                        <w:iCs/>
                        <w:noProof/>
                        <w:lang w:val="en-US"/>
                      </w:rPr>
                      <w:t>Current Protocols</w:t>
                    </w:r>
                    <w:r>
                      <w:rPr>
                        <w:noProof/>
                        <w:lang w:val="en-US"/>
                      </w:rPr>
                      <w:t>, 82 -87.</w:t>
                    </w:r>
                  </w:p>
                  <w:p w14:paraId="489CAF6A" w14:textId="77777777" w:rsidR="009354FA" w:rsidRDefault="009354FA" w:rsidP="009354FA">
                    <w:pPr>
                      <w:pStyle w:val="Bibliography"/>
                      <w:numPr>
                        <w:ilvl w:val="0"/>
                        <w:numId w:val="30"/>
                      </w:numPr>
                      <w:rPr>
                        <w:noProof/>
                        <w:lang w:val="en-US"/>
                      </w:rPr>
                    </w:pPr>
                    <w:r>
                      <w:rPr>
                        <w:noProof/>
                        <w:lang w:val="en-US"/>
                      </w:rPr>
                      <w:t xml:space="preserve">Mak, W. A. (2021). </w:t>
                    </w:r>
                    <w:r>
                      <w:rPr>
                        <w:i/>
                        <w:iCs/>
                        <w:noProof/>
                        <w:lang w:val="en-US"/>
                      </w:rPr>
                      <w:t>Natasha's Legacy becomes Law.</w:t>
                    </w:r>
                    <w:r>
                      <w:rPr>
                        <w:noProof/>
                        <w:lang w:val="en-US"/>
                      </w:rPr>
                      <w:t xml:space="preserve"> London: Government of the U.K.</w:t>
                    </w:r>
                  </w:p>
                  <w:p w14:paraId="3E024BAD" w14:textId="77777777" w:rsidR="009354FA" w:rsidRDefault="009354FA" w:rsidP="009354FA">
                    <w:pPr>
                      <w:pStyle w:val="Bibliography"/>
                      <w:numPr>
                        <w:ilvl w:val="0"/>
                        <w:numId w:val="30"/>
                      </w:numPr>
                      <w:rPr>
                        <w:noProof/>
                        <w:lang w:val="en-US"/>
                      </w:rPr>
                    </w:pPr>
                    <w:r>
                      <w:rPr>
                        <w:noProof/>
                        <w:lang w:val="en-US"/>
                      </w:rPr>
                      <w:t xml:space="preserve">Schauberger, E. M. (2020). Food Allergy Management. </w:t>
                    </w:r>
                    <w:r>
                      <w:rPr>
                        <w:i/>
                        <w:iCs/>
                        <w:noProof/>
                        <w:lang w:val="en-US"/>
                      </w:rPr>
                      <w:t>J Food Allergy USA.</w:t>
                    </w:r>
                    <w:r>
                      <w:rPr>
                        <w:noProof/>
                        <w:lang w:val="en-US"/>
                      </w:rPr>
                      <w:t>, 1 to 5.</w:t>
                    </w:r>
                  </w:p>
                  <w:p w14:paraId="17927169" w14:textId="4AF5F667" w:rsidR="009354FA" w:rsidRDefault="009354FA" w:rsidP="009354FA">
                    <w:r>
                      <w:rPr>
                        <w:b/>
                        <w:bCs/>
                        <w:noProof/>
                      </w:rPr>
                      <w:fldChar w:fldCharType="end"/>
                    </w:r>
                  </w:p>
                </w:sdtContent>
              </w:sdt>
            </w:sdtContent>
          </w:sdt>
          <w:p w14:paraId="4F228F5D" w14:textId="77777777"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6"/>
      <w:footerReference w:type="default" r:id="rId17"/>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7E353" w14:textId="77777777" w:rsidR="007467C5" w:rsidRDefault="007467C5">
      <w:r>
        <w:separator/>
      </w:r>
    </w:p>
  </w:endnote>
  <w:endnote w:type="continuationSeparator" w:id="0">
    <w:p w14:paraId="63E7B176" w14:textId="77777777" w:rsidR="007467C5" w:rsidRDefault="007467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26FE6E" w14:textId="77777777" w:rsidR="007467C5" w:rsidRDefault="007467C5">
      <w:r>
        <w:separator/>
      </w:r>
    </w:p>
  </w:footnote>
  <w:footnote w:type="continuationSeparator" w:id="0">
    <w:p w14:paraId="1F803786" w14:textId="77777777" w:rsidR="007467C5" w:rsidRDefault="007467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AD5DE5"/>
    <w:multiLevelType w:val="hybridMultilevel"/>
    <w:tmpl w:val="EA509A5E"/>
    <w:lvl w:ilvl="0" w:tplc="75EEB36E">
      <w:start w:val="1"/>
      <w:numFmt w:val="bullet"/>
      <w:lvlText w:val="•"/>
      <w:lvlJc w:val="left"/>
      <w:pPr>
        <w:tabs>
          <w:tab w:val="num" w:pos="720"/>
        </w:tabs>
        <w:ind w:left="720" w:hanging="360"/>
      </w:pPr>
      <w:rPr>
        <w:rFonts w:ascii="Arial" w:hAnsi="Arial" w:hint="default"/>
      </w:rPr>
    </w:lvl>
    <w:lvl w:ilvl="1" w:tplc="20D2972C" w:tentative="1">
      <w:start w:val="1"/>
      <w:numFmt w:val="bullet"/>
      <w:lvlText w:val="•"/>
      <w:lvlJc w:val="left"/>
      <w:pPr>
        <w:tabs>
          <w:tab w:val="num" w:pos="1440"/>
        </w:tabs>
        <w:ind w:left="1440" w:hanging="360"/>
      </w:pPr>
      <w:rPr>
        <w:rFonts w:ascii="Arial" w:hAnsi="Arial" w:hint="default"/>
      </w:rPr>
    </w:lvl>
    <w:lvl w:ilvl="2" w:tplc="1E981AB6" w:tentative="1">
      <w:start w:val="1"/>
      <w:numFmt w:val="bullet"/>
      <w:lvlText w:val="•"/>
      <w:lvlJc w:val="left"/>
      <w:pPr>
        <w:tabs>
          <w:tab w:val="num" w:pos="2160"/>
        </w:tabs>
        <w:ind w:left="2160" w:hanging="360"/>
      </w:pPr>
      <w:rPr>
        <w:rFonts w:ascii="Arial" w:hAnsi="Arial" w:hint="default"/>
      </w:rPr>
    </w:lvl>
    <w:lvl w:ilvl="3" w:tplc="34E47248" w:tentative="1">
      <w:start w:val="1"/>
      <w:numFmt w:val="bullet"/>
      <w:lvlText w:val="•"/>
      <w:lvlJc w:val="left"/>
      <w:pPr>
        <w:tabs>
          <w:tab w:val="num" w:pos="2880"/>
        </w:tabs>
        <w:ind w:left="2880" w:hanging="360"/>
      </w:pPr>
      <w:rPr>
        <w:rFonts w:ascii="Arial" w:hAnsi="Arial" w:hint="default"/>
      </w:rPr>
    </w:lvl>
    <w:lvl w:ilvl="4" w:tplc="C94C20E6" w:tentative="1">
      <w:start w:val="1"/>
      <w:numFmt w:val="bullet"/>
      <w:lvlText w:val="•"/>
      <w:lvlJc w:val="left"/>
      <w:pPr>
        <w:tabs>
          <w:tab w:val="num" w:pos="3600"/>
        </w:tabs>
        <w:ind w:left="3600" w:hanging="360"/>
      </w:pPr>
      <w:rPr>
        <w:rFonts w:ascii="Arial" w:hAnsi="Arial" w:hint="default"/>
      </w:rPr>
    </w:lvl>
    <w:lvl w:ilvl="5" w:tplc="83721F44" w:tentative="1">
      <w:start w:val="1"/>
      <w:numFmt w:val="bullet"/>
      <w:lvlText w:val="•"/>
      <w:lvlJc w:val="left"/>
      <w:pPr>
        <w:tabs>
          <w:tab w:val="num" w:pos="4320"/>
        </w:tabs>
        <w:ind w:left="4320" w:hanging="360"/>
      </w:pPr>
      <w:rPr>
        <w:rFonts w:ascii="Arial" w:hAnsi="Arial" w:hint="default"/>
      </w:rPr>
    </w:lvl>
    <w:lvl w:ilvl="6" w:tplc="BE66CCE0" w:tentative="1">
      <w:start w:val="1"/>
      <w:numFmt w:val="bullet"/>
      <w:lvlText w:val="•"/>
      <w:lvlJc w:val="left"/>
      <w:pPr>
        <w:tabs>
          <w:tab w:val="num" w:pos="5040"/>
        </w:tabs>
        <w:ind w:left="5040" w:hanging="360"/>
      </w:pPr>
      <w:rPr>
        <w:rFonts w:ascii="Arial" w:hAnsi="Arial" w:hint="default"/>
      </w:rPr>
    </w:lvl>
    <w:lvl w:ilvl="7" w:tplc="5886A034" w:tentative="1">
      <w:start w:val="1"/>
      <w:numFmt w:val="bullet"/>
      <w:lvlText w:val="•"/>
      <w:lvlJc w:val="left"/>
      <w:pPr>
        <w:tabs>
          <w:tab w:val="num" w:pos="5760"/>
        </w:tabs>
        <w:ind w:left="5760" w:hanging="360"/>
      </w:pPr>
      <w:rPr>
        <w:rFonts w:ascii="Arial" w:hAnsi="Arial" w:hint="default"/>
      </w:rPr>
    </w:lvl>
    <w:lvl w:ilvl="8" w:tplc="52D05EB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DC37EA"/>
    <w:multiLevelType w:val="hybridMultilevel"/>
    <w:tmpl w:val="B06CCA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4"/>
  </w:num>
  <w:num w:numId="2">
    <w:abstractNumId w:val="5"/>
  </w:num>
  <w:num w:numId="3">
    <w:abstractNumId w:val="29"/>
  </w:num>
  <w:num w:numId="4">
    <w:abstractNumId w:val="6"/>
  </w:num>
  <w:num w:numId="5">
    <w:abstractNumId w:val="25"/>
  </w:num>
  <w:num w:numId="6">
    <w:abstractNumId w:val="7"/>
  </w:num>
  <w:num w:numId="7">
    <w:abstractNumId w:val="0"/>
  </w:num>
  <w:num w:numId="8">
    <w:abstractNumId w:val="28"/>
  </w:num>
  <w:num w:numId="9">
    <w:abstractNumId w:val="17"/>
  </w:num>
  <w:num w:numId="10">
    <w:abstractNumId w:val="20"/>
  </w:num>
  <w:num w:numId="11">
    <w:abstractNumId w:val="4"/>
  </w:num>
  <w:num w:numId="12">
    <w:abstractNumId w:val="15"/>
  </w:num>
  <w:num w:numId="13">
    <w:abstractNumId w:val="2"/>
  </w:num>
  <w:num w:numId="14">
    <w:abstractNumId w:val="11"/>
  </w:num>
  <w:num w:numId="15">
    <w:abstractNumId w:val="19"/>
  </w:num>
  <w:num w:numId="16">
    <w:abstractNumId w:val="21"/>
  </w:num>
  <w:num w:numId="17">
    <w:abstractNumId w:val="1"/>
  </w:num>
  <w:num w:numId="18">
    <w:abstractNumId w:val="27"/>
  </w:num>
  <w:num w:numId="19">
    <w:abstractNumId w:val="9"/>
  </w:num>
  <w:num w:numId="20">
    <w:abstractNumId w:val="22"/>
  </w:num>
  <w:num w:numId="21">
    <w:abstractNumId w:val="13"/>
  </w:num>
  <w:num w:numId="22">
    <w:abstractNumId w:val="18"/>
  </w:num>
  <w:num w:numId="23">
    <w:abstractNumId w:val="26"/>
  </w:num>
  <w:num w:numId="24">
    <w:abstractNumId w:val="12"/>
  </w:num>
  <w:num w:numId="25">
    <w:abstractNumId w:val="24"/>
  </w:num>
  <w:num w:numId="26">
    <w:abstractNumId w:val="8"/>
  </w:num>
  <w:num w:numId="27">
    <w:abstractNumId w:val="23"/>
  </w:num>
  <w:num w:numId="28">
    <w:abstractNumId w:val="16"/>
  </w:num>
  <w:num w:numId="29">
    <w:abstractNumId w:val="3"/>
  </w:num>
  <w:num w:numId="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07448"/>
    <w:rsid w:val="00011878"/>
    <w:rsid w:val="00012738"/>
    <w:rsid w:val="000304DF"/>
    <w:rsid w:val="00040CE8"/>
    <w:rsid w:val="0004729E"/>
    <w:rsid w:val="000536CC"/>
    <w:rsid w:val="00076F40"/>
    <w:rsid w:val="00077E55"/>
    <w:rsid w:val="00085CFD"/>
    <w:rsid w:val="000A0C53"/>
    <w:rsid w:val="000B2F4F"/>
    <w:rsid w:val="000C5DE0"/>
    <w:rsid w:val="000D182C"/>
    <w:rsid w:val="000F2E7C"/>
    <w:rsid w:val="00106042"/>
    <w:rsid w:val="00112CE0"/>
    <w:rsid w:val="001207C1"/>
    <w:rsid w:val="00162FE2"/>
    <w:rsid w:val="0016591D"/>
    <w:rsid w:val="001703BD"/>
    <w:rsid w:val="00170A87"/>
    <w:rsid w:val="00175268"/>
    <w:rsid w:val="0018111F"/>
    <w:rsid w:val="0018449A"/>
    <w:rsid w:val="001A59E7"/>
    <w:rsid w:val="001B5BE9"/>
    <w:rsid w:val="001B69C8"/>
    <w:rsid w:val="001B6DB4"/>
    <w:rsid w:val="001C2341"/>
    <w:rsid w:val="001C40FB"/>
    <w:rsid w:val="001C5C4E"/>
    <w:rsid w:val="001D4369"/>
    <w:rsid w:val="001D4719"/>
    <w:rsid w:val="001E720E"/>
    <w:rsid w:val="001F49E8"/>
    <w:rsid w:val="001F6A44"/>
    <w:rsid w:val="00202878"/>
    <w:rsid w:val="00204306"/>
    <w:rsid w:val="00211708"/>
    <w:rsid w:val="002274AA"/>
    <w:rsid w:val="0023003D"/>
    <w:rsid w:val="002314D4"/>
    <w:rsid w:val="002430D4"/>
    <w:rsid w:val="00244B89"/>
    <w:rsid w:val="00244F84"/>
    <w:rsid w:val="0025294F"/>
    <w:rsid w:val="002659F5"/>
    <w:rsid w:val="00283BE2"/>
    <w:rsid w:val="00294842"/>
    <w:rsid w:val="002B5747"/>
    <w:rsid w:val="002C31A4"/>
    <w:rsid w:val="002E127C"/>
    <w:rsid w:val="002F7DD0"/>
    <w:rsid w:val="00301AD0"/>
    <w:rsid w:val="003036C9"/>
    <w:rsid w:val="0032684A"/>
    <w:rsid w:val="00332099"/>
    <w:rsid w:val="00340C62"/>
    <w:rsid w:val="003478CE"/>
    <w:rsid w:val="00352E70"/>
    <w:rsid w:val="003605B1"/>
    <w:rsid w:val="003617CF"/>
    <w:rsid w:val="00364940"/>
    <w:rsid w:val="00365786"/>
    <w:rsid w:val="00366D9C"/>
    <w:rsid w:val="00375882"/>
    <w:rsid w:val="00382DB9"/>
    <w:rsid w:val="00387F5A"/>
    <w:rsid w:val="00396412"/>
    <w:rsid w:val="003A7C2C"/>
    <w:rsid w:val="003B771C"/>
    <w:rsid w:val="003C3341"/>
    <w:rsid w:val="003C7A6E"/>
    <w:rsid w:val="003C7C45"/>
    <w:rsid w:val="003E2C20"/>
    <w:rsid w:val="003E36D1"/>
    <w:rsid w:val="003E46A6"/>
    <w:rsid w:val="003E5822"/>
    <w:rsid w:val="003E5BCC"/>
    <w:rsid w:val="003F52F1"/>
    <w:rsid w:val="00405C7C"/>
    <w:rsid w:val="00414F02"/>
    <w:rsid w:val="004325B5"/>
    <w:rsid w:val="00433DBF"/>
    <w:rsid w:val="004341F2"/>
    <w:rsid w:val="00442F02"/>
    <w:rsid w:val="0044343A"/>
    <w:rsid w:val="00444EC9"/>
    <w:rsid w:val="00445A58"/>
    <w:rsid w:val="00447AEC"/>
    <w:rsid w:val="00451947"/>
    <w:rsid w:val="00456590"/>
    <w:rsid w:val="004639B7"/>
    <w:rsid w:val="00463A17"/>
    <w:rsid w:val="004737FF"/>
    <w:rsid w:val="00474A29"/>
    <w:rsid w:val="00486E62"/>
    <w:rsid w:val="004A1026"/>
    <w:rsid w:val="004B113B"/>
    <w:rsid w:val="004C08E2"/>
    <w:rsid w:val="004C29BF"/>
    <w:rsid w:val="004C7E23"/>
    <w:rsid w:val="00500A4C"/>
    <w:rsid w:val="005036DE"/>
    <w:rsid w:val="00507B89"/>
    <w:rsid w:val="005102DD"/>
    <w:rsid w:val="00517154"/>
    <w:rsid w:val="00522176"/>
    <w:rsid w:val="00522B05"/>
    <w:rsid w:val="00542C5B"/>
    <w:rsid w:val="00552EED"/>
    <w:rsid w:val="00566333"/>
    <w:rsid w:val="005753C9"/>
    <w:rsid w:val="00593153"/>
    <w:rsid w:val="005A03A8"/>
    <w:rsid w:val="005C6352"/>
    <w:rsid w:val="005D0DDE"/>
    <w:rsid w:val="005D5D0B"/>
    <w:rsid w:val="005F578F"/>
    <w:rsid w:val="00610354"/>
    <w:rsid w:val="0062012D"/>
    <w:rsid w:val="00643CB9"/>
    <w:rsid w:val="0066732A"/>
    <w:rsid w:val="00672F6E"/>
    <w:rsid w:val="00677D1F"/>
    <w:rsid w:val="00692F83"/>
    <w:rsid w:val="00693644"/>
    <w:rsid w:val="00697481"/>
    <w:rsid w:val="006A0E32"/>
    <w:rsid w:val="006A4F97"/>
    <w:rsid w:val="006C4640"/>
    <w:rsid w:val="006F4FB6"/>
    <w:rsid w:val="006F501B"/>
    <w:rsid w:val="00700E93"/>
    <w:rsid w:val="00702077"/>
    <w:rsid w:val="00725A64"/>
    <w:rsid w:val="00725F0E"/>
    <w:rsid w:val="00734189"/>
    <w:rsid w:val="00735BB1"/>
    <w:rsid w:val="00744482"/>
    <w:rsid w:val="007451E8"/>
    <w:rsid w:val="007454FA"/>
    <w:rsid w:val="007467C5"/>
    <w:rsid w:val="007543A5"/>
    <w:rsid w:val="0078654A"/>
    <w:rsid w:val="0079230B"/>
    <w:rsid w:val="00795F10"/>
    <w:rsid w:val="007964C6"/>
    <w:rsid w:val="00797115"/>
    <w:rsid w:val="007A2A75"/>
    <w:rsid w:val="007A5E44"/>
    <w:rsid w:val="007B170B"/>
    <w:rsid w:val="007D18CA"/>
    <w:rsid w:val="007E500C"/>
    <w:rsid w:val="007E7BB4"/>
    <w:rsid w:val="007F055A"/>
    <w:rsid w:val="007F418B"/>
    <w:rsid w:val="00801714"/>
    <w:rsid w:val="00802CA9"/>
    <w:rsid w:val="00814801"/>
    <w:rsid w:val="0082407E"/>
    <w:rsid w:val="00826699"/>
    <w:rsid w:val="008270A9"/>
    <w:rsid w:val="008426B0"/>
    <w:rsid w:val="0085363D"/>
    <w:rsid w:val="008673F2"/>
    <w:rsid w:val="00877037"/>
    <w:rsid w:val="00895843"/>
    <w:rsid w:val="00896126"/>
    <w:rsid w:val="008B4B9C"/>
    <w:rsid w:val="008B534C"/>
    <w:rsid w:val="008C34B5"/>
    <w:rsid w:val="008D1662"/>
    <w:rsid w:val="008E2A5A"/>
    <w:rsid w:val="008E6FBA"/>
    <w:rsid w:val="008E72F2"/>
    <w:rsid w:val="008F038C"/>
    <w:rsid w:val="008F0B0D"/>
    <w:rsid w:val="008F0D83"/>
    <w:rsid w:val="00911484"/>
    <w:rsid w:val="00911C43"/>
    <w:rsid w:val="009139BF"/>
    <w:rsid w:val="009234A5"/>
    <w:rsid w:val="00923E76"/>
    <w:rsid w:val="009354FA"/>
    <w:rsid w:val="009363F7"/>
    <w:rsid w:val="00943433"/>
    <w:rsid w:val="009448FE"/>
    <w:rsid w:val="00945821"/>
    <w:rsid w:val="00946B23"/>
    <w:rsid w:val="009470B5"/>
    <w:rsid w:val="00956D46"/>
    <w:rsid w:val="00985CF1"/>
    <w:rsid w:val="009940E9"/>
    <w:rsid w:val="009A12D1"/>
    <w:rsid w:val="009B1D87"/>
    <w:rsid w:val="009C438C"/>
    <w:rsid w:val="009C6C9E"/>
    <w:rsid w:val="009C6CAE"/>
    <w:rsid w:val="009D0DDA"/>
    <w:rsid w:val="009E29D0"/>
    <w:rsid w:val="009F3AE3"/>
    <w:rsid w:val="00A02728"/>
    <w:rsid w:val="00A14DA0"/>
    <w:rsid w:val="00A16DCE"/>
    <w:rsid w:val="00A368AA"/>
    <w:rsid w:val="00A43B8E"/>
    <w:rsid w:val="00A44FA9"/>
    <w:rsid w:val="00A45D42"/>
    <w:rsid w:val="00A551C6"/>
    <w:rsid w:val="00A5520C"/>
    <w:rsid w:val="00A57045"/>
    <w:rsid w:val="00A64372"/>
    <w:rsid w:val="00A656E2"/>
    <w:rsid w:val="00A65C1D"/>
    <w:rsid w:val="00A70B23"/>
    <w:rsid w:val="00A77C7A"/>
    <w:rsid w:val="00A8432F"/>
    <w:rsid w:val="00A90107"/>
    <w:rsid w:val="00AA11D8"/>
    <w:rsid w:val="00AA1309"/>
    <w:rsid w:val="00AA1380"/>
    <w:rsid w:val="00AC67EF"/>
    <w:rsid w:val="00AD310F"/>
    <w:rsid w:val="00AE467F"/>
    <w:rsid w:val="00AE5AB9"/>
    <w:rsid w:val="00AE799D"/>
    <w:rsid w:val="00B00678"/>
    <w:rsid w:val="00B02DE3"/>
    <w:rsid w:val="00B03469"/>
    <w:rsid w:val="00B10EAB"/>
    <w:rsid w:val="00B11E4B"/>
    <w:rsid w:val="00B2038B"/>
    <w:rsid w:val="00B21F2E"/>
    <w:rsid w:val="00B258DE"/>
    <w:rsid w:val="00B26343"/>
    <w:rsid w:val="00B44B68"/>
    <w:rsid w:val="00B57B7D"/>
    <w:rsid w:val="00B57F67"/>
    <w:rsid w:val="00B60FDF"/>
    <w:rsid w:val="00B61256"/>
    <w:rsid w:val="00B71474"/>
    <w:rsid w:val="00B73A1C"/>
    <w:rsid w:val="00B945EA"/>
    <w:rsid w:val="00B949BC"/>
    <w:rsid w:val="00BA53CD"/>
    <w:rsid w:val="00BB5FB3"/>
    <w:rsid w:val="00BC31F4"/>
    <w:rsid w:val="00BC4D17"/>
    <w:rsid w:val="00BC5717"/>
    <w:rsid w:val="00BC7442"/>
    <w:rsid w:val="00BC7F1B"/>
    <w:rsid w:val="00BE2584"/>
    <w:rsid w:val="00BF60FD"/>
    <w:rsid w:val="00C01B1C"/>
    <w:rsid w:val="00C10069"/>
    <w:rsid w:val="00C21568"/>
    <w:rsid w:val="00C31F33"/>
    <w:rsid w:val="00C414B0"/>
    <w:rsid w:val="00C421F0"/>
    <w:rsid w:val="00C44B74"/>
    <w:rsid w:val="00C50AE7"/>
    <w:rsid w:val="00C534BA"/>
    <w:rsid w:val="00C6009E"/>
    <w:rsid w:val="00C72708"/>
    <w:rsid w:val="00C76757"/>
    <w:rsid w:val="00C76B13"/>
    <w:rsid w:val="00C85811"/>
    <w:rsid w:val="00C85B9B"/>
    <w:rsid w:val="00CA1BF5"/>
    <w:rsid w:val="00CB67B6"/>
    <w:rsid w:val="00CC2F73"/>
    <w:rsid w:val="00CC557E"/>
    <w:rsid w:val="00CC63E6"/>
    <w:rsid w:val="00CC6DCB"/>
    <w:rsid w:val="00CD008D"/>
    <w:rsid w:val="00CD461B"/>
    <w:rsid w:val="00CD68D6"/>
    <w:rsid w:val="00CF235B"/>
    <w:rsid w:val="00D05754"/>
    <w:rsid w:val="00D1657F"/>
    <w:rsid w:val="00D17B29"/>
    <w:rsid w:val="00D22441"/>
    <w:rsid w:val="00D64FB2"/>
    <w:rsid w:val="00D7430C"/>
    <w:rsid w:val="00D762D3"/>
    <w:rsid w:val="00D80D6E"/>
    <w:rsid w:val="00D833FD"/>
    <w:rsid w:val="00D95816"/>
    <w:rsid w:val="00DA09FA"/>
    <w:rsid w:val="00DB6E2E"/>
    <w:rsid w:val="00DC521B"/>
    <w:rsid w:val="00DD00CB"/>
    <w:rsid w:val="00DE6434"/>
    <w:rsid w:val="00E00580"/>
    <w:rsid w:val="00E26639"/>
    <w:rsid w:val="00E30C3C"/>
    <w:rsid w:val="00E3190E"/>
    <w:rsid w:val="00E42568"/>
    <w:rsid w:val="00E672A4"/>
    <w:rsid w:val="00E84533"/>
    <w:rsid w:val="00E8468B"/>
    <w:rsid w:val="00EA469F"/>
    <w:rsid w:val="00EB1AD3"/>
    <w:rsid w:val="00EB4BAF"/>
    <w:rsid w:val="00EB562E"/>
    <w:rsid w:val="00EB6DE7"/>
    <w:rsid w:val="00EC0BAC"/>
    <w:rsid w:val="00EC294D"/>
    <w:rsid w:val="00ED52B6"/>
    <w:rsid w:val="00EE55D7"/>
    <w:rsid w:val="00EE65C2"/>
    <w:rsid w:val="00EF41E3"/>
    <w:rsid w:val="00F007E2"/>
    <w:rsid w:val="00F118EC"/>
    <w:rsid w:val="00F34E01"/>
    <w:rsid w:val="00F37A71"/>
    <w:rsid w:val="00F43CED"/>
    <w:rsid w:val="00F51904"/>
    <w:rsid w:val="00F537E9"/>
    <w:rsid w:val="00F70284"/>
    <w:rsid w:val="00F720CF"/>
    <w:rsid w:val="00F80706"/>
    <w:rsid w:val="00F92AEC"/>
    <w:rsid w:val="00F93D9C"/>
    <w:rsid w:val="00FA27C0"/>
    <w:rsid w:val="00FA3FE8"/>
    <w:rsid w:val="00FA6160"/>
    <w:rsid w:val="00FB2CA9"/>
    <w:rsid w:val="00FC7773"/>
    <w:rsid w:val="00FD0ECE"/>
    <w:rsid w:val="00FE0F9F"/>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uiPriority w:val="9"/>
    <w:qFormat/>
    <w:rsid w:val="009354FA"/>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styleId="NoSpacing">
    <w:name w:val="No Spacing"/>
    <w:uiPriority w:val="1"/>
    <w:qFormat/>
    <w:rsid w:val="00B02DE3"/>
    <w:rPr>
      <w:sz w:val="24"/>
      <w:szCs w:val="24"/>
    </w:rPr>
  </w:style>
  <w:style w:type="character" w:styleId="Hyperlink">
    <w:name w:val="Hyperlink"/>
    <w:basedOn w:val="DefaultParagraphFont"/>
    <w:uiPriority w:val="99"/>
    <w:unhideWhenUsed/>
    <w:rsid w:val="00EE65C2"/>
    <w:rPr>
      <w:color w:val="0000FF"/>
      <w:u w:val="single"/>
    </w:rPr>
  </w:style>
  <w:style w:type="character" w:styleId="FollowedHyperlink">
    <w:name w:val="FollowedHyperlink"/>
    <w:basedOn w:val="DefaultParagraphFont"/>
    <w:semiHidden/>
    <w:unhideWhenUsed/>
    <w:rsid w:val="00AE5AB9"/>
    <w:rPr>
      <w:color w:val="800080" w:themeColor="followedHyperlink"/>
      <w:u w:val="single"/>
    </w:rPr>
  </w:style>
  <w:style w:type="character" w:customStyle="1" w:styleId="Heading1Char">
    <w:name w:val="Heading 1 Char"/>
    <w:basedOn w:val="DefaultParagraphFont"/>
    <w:link w:val="Heading1"/>
    <w:uiPriority w:val="9"/>
    <w:rsid w:val="009354FA"/>
    <w:rPr>
      <w:rFonts w:asciiTheme="majorHAnsi" w:eastAsiaTheme="majorEastAsia" w:hAnsiTheme="majorHAnsi" w:cstheme="majorBidi"/>
      <w:color w:val="365F91" w:themeColor="accent1" w:themeShade="BF"/>
      <w:sz w:val="32"/>
      <w:szCs w:val="32"/>
      <w:lang w:val="en-US" w:eastAsia="en-US"/>
    </w:rPr>
  </w:style>
  <w:style w:type="paragraph" w:styleId="Bibliography">
    <w:name w:val="Bibliography"/>
    <w:basedOn w:val="Normal"/>
    <w:next w:val="Normal"/>
    <w:uiPriority w:val="37"/>
    <w:unhideWhenUsed/>
    <w:rsid w:val="009354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1391">
      <w:bodyDiv w:val="1"/>
      <w:marLeft w:val="0"/>
      <w:marRight w:val="0"/>
      <w:marTop w:val="0"/>
      <w:marBottom w:val="0"/>
      <w:divBdr>
        <w:top w:val="none" w:sz="0" w:space="0" w:color="auto"/>
        <w:left w:val="none" w:sz="0" w:space="0" w:color="auto"/>
        <w:bottom w:val="none" w:sz="0" w:space="0" w:color="auto"/>
        <w:right w:val="none" w:sz="0" w:space="0" w:color="auto"/>
      </w:divBdr>
      <w:divsChild>
        <w:div w:id="960766283">
          <w:marLeft w:val="331"/>
          <w:marRight w:val="0"/>
          <w:marTop w:val="0"/>
          <w:marBottom w:val="0"/>
          <w:divBdr>
            <w:top w:val="none" w:sz="0" w:space="0" w:color="auto"/>
            <w:left w:val="none" w:sz="0" w:space="0" w:color="auto"/>
            <w:bottom w:val="none" w:sz="0" w:space="0" w:color="auto"/>
            <w:right w:val="none" w:sz="0" w:space="0" w:color="auto"/>
          </w:divBdr>
        </w:div>
        <w:div w:id="1611742936">
          <w:marLeft w:val="331"/>
          <w:marRight w:val="0"/>
          <w:marTop w:val="0"/>
          <w:marBottom w:val="0"/>
          <w:divBdr>
            <w:top w:val="none" w:sz="0" w:space="0" w:color="auto"/>
            <w:left w:val="none" w:sz="0" w:space="0" w:color="auto"/>
            <w:bottom w:val="none" w:sz="0" w:space="0" w:color="auto"/>
            <w:right w:val="none" w:sz="0" w:space="0" w:color="auto"/>
          </w:divBdr>
        </w:div>
        <w:div w:id="35351235">
          <w:marLeft w:val="331"/>
          <w:marRight w:val="0"/>
          <w:marTop w:val="0"/>
          <w:marBottom w:val="0"/>
          <w:divBdr>
            <w:top w:val="none" w:sz="0" w:space="0" w:color="auto"/>
            <w:left w:val="none" w:sz="0" w:space="0" w:color="auto"/>
            <w:bottom w:val="none" w:sz="0" w:space="0" w:color="auto"/>
            <w:right w:val="none" w:sz="0" w:space="0" w:color="auto"/>
          </w:divBdr>
        </w:div>
        <w:div w:id="136337611">
          <w:marLeft w:val="331"/>
          <w:marRight w:val="0"/>
          <w:marTop w:val="0"/>
          <w:marBottom w:val="0"/>
          <w:divBdr>
            <w:top w:val="none" w:sz="0" w:space="0" w:color="auto"/>
            <w:left w:val="none" w:sz="0" w:space="0" w:color="auto"/>
            <w:bottom w:val="none" w:sz="0" w:space="0" w:color="auto"/>
            <w:right w:val="none" w:sz="0" w:space="0" w:color="auto"/>
          </w:divBdr>
        </w:div>
        <w:div w:id="1164317712">
          <w:marLeft w:val="331"/>
          <w:marRight w:val="0"/>
          <w:marTop w:val="0"/>
          <w:marBottom w:val="0"/>
          <w:divBdr>
            <w:top w:val="none" w:sz="0" w:space="0" w:color="auto"/>
            <w:left w:val="none" w:sz="0" w:space="0" w:color="auto"/>
            <w:bottom w:val="none" w:sz="0" w:space="0" w:color="auto"/>
            <w:right w:val="none" w:sz="0" w:space="0" w:color="auto"/>
          </w:divBdr>
        </w:div>
        <w:div w:id="1090545798">
          <w:marLeft w:val="331"/>
          <w:marRight w:val="0"/>
          <w:marTop w:val="0"/>
          <w:marBottom w:val="0"/>
          <w:divBdr>
            <w:top w:val="none" w:sz="0" w:space="0" w:color="auto"/>
            <w:left w:val="none" w:sz="0" w:space="0" w:color="auto"/>
            <w:bottom w:val="none" w:sz="0" w:space="0" w:color="auto"/>
            <w:right w:val="none" w:sz="0" w:space="0" w:color="auto"/>
          </w:divBdr>
        </w:div>
      </w:divsChild>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321663731">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685447289">
      <w:bodyDiv w:val="1"/>
      <w:marLeft w:val="0"/>
      <w:marRight w:val="0"/>
      <w:marTop w:val="0"/>
      <w:marBottom w:val="0"/>
      <w:divBdr>
        <w:top w:val="none" w:sz="0" w:space="0" w:color="auto"/>
        <w:left w:val="none" w:sz="0" w:space="0" w:color="auto"/>
        <w:bottom w:val="none" w:sz="0" w:space="0" w:color="auto"/>
        <w:right w:val="none" w:sz="0" w:space="0" w:color="auto"/>
      </w:divBdr>
    </w:div>
    <w:div w:id="717516433">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88805751">
      <w:bodyDiv w:val="1"/>
      <w:marLeft w:val="0"/>
      <w:marRight w:val="0"/>
      <w:marTop w:val="0"/>
      <w:marBottom w:val="0"/>
      <w:divBdr>
        <w:top w:val="none" w:sz="0" w:space="0" w:color="auto"/>
        <w:left w:val="none" w:sz="0" w:space="0" w:color="auto"/>
        <w:bottom w:val="none" w:sz="0" w:space="0" w:color="auto"/>
        <w:right w:val="none" w:sz="0" w:space="0" w:color="auto"/>
      </w:divBdr>
    </w:div>
    <w:div w:id="1612592866">
      <w:bodyDiv w:val="1"/>
      <w:marLeft w:val="0"/>
      <w:marRight w:val="0"/>
      <w:marTop w:val="0"/>
      <w:marBottom w:val="0"/>
      <w:divBdr>
        <w:top w:val="none" w:sz="0" w:space="0" w:color="auto"/>
        <w:left w:val="none" w:sz="0" w:space="0" w:color="auto"/>
        <w:bottom w:val="none" w:sz="0" w:space="0" w:color="auto"/>
        <w:right w:val="none" w:sz="0" w:space="0" w:color="auto"/>
      </w:divBdr>
    </w:div>
    <w:div w:id="1617255837">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637145">
      <w:bodyDiv w:val="1"/>
      <w:marLeft w:val="0"/>
      <w:marRight w:val="0"/>
      <w:marTop w:val="0"/>
      <w:marBottom w:val="0"/>
      <w:divBdr>
        <w:top w:val="none" w:sz="0" w:space="0" w:color="auto"/>
        <w:left w:val="none" w:sz="0" w:space="0" w:color="auto"/>
        <w:bottom w:val="none" w:sz="0" w:space="0" w:color="auto"/>
        <w:right w:val="none" w:sz="0" w:space="0" w:color="auto"/>
      </w:divBdr>
    </w:div>
    <w:div w:id="174614833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yperlink" Target="https://www.sciencedirect.com/topics/medicine-and-dentistry/food-allergy" TargetMode="External"/><Relationship Id="rId10" Type="http://schemas.openxmlformats.org/officeDocument/2006/relationships/hyperlink" Target="https://www.gov.uk/government/news/natashas-legacy-becomes-law"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food.gov.uk/" TargetMode="External"/><Relationship Id="rId14" Type="http://schemas.openxmlformats.org/officeDocument/2006/relationships/image" Target="media/image5.emf"/></Relationships>
</file>

<file path=word/_rels/header1.xml.rels><?xml version="1.0" encoding="UTF-8" standalone="yes"?>
<Relationships xmlns="http://schemas.openxmlformats.org/package/2006/relationships"><Relationship Id="rId1"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Mak21</b:Tag>
    <b:SourceType>Report</b:SourceType>
    <b:Guid>{D370B5E9-23D4-480D-B0BC-EE8FC6E7EBAC}</b:Guid>
    <b:Title>Natasha's Legacy becomes Law</b:Title>
    <b:Year>2021</b:Year>
    <b:City>London</b:City>
    <b:Publisher>Government of the U.K.</b:Publisher>
    <b:Author>
      <b:Author>
        <b:NameList>
          <b:Person>
            <b:Last>Mak</b:Last>
            <b:First>Wan.</b:First>
            <b:Middle>Andrea Martiniiz</b:Middle>
          </b:Person>
        </b:NameList>
      </b:Author>
    </b:Author>
    <b:RefOrder>2</b:RefOrder>
  </b:Source>
  <b:Source>
    <b:Tag>Gov19</b:Tag>
    <b:SourceType>Report</b:SourceType>
    <b:Guid>{2A2232B2-5C31-4DA6-A826-17D6BC6A650F}</b:Guid>
    <b:Author>
      <b:Author>
        <b:Corporate>Government.co.uk</b:Corporate>
      </b:Author>
    </b:Author>
    <b:Title>Natash's Legacy becoms Law</b:Title>
    <b:Year>2019</b:Year>
    <b:Publisher>Department of environment, Food and Rural affairs, Food Standard Agency, and The Rt Hon Lord Goldsmith</b:Publisher>
    <b:City>London</b:City>
    <b:RefOrder>1</b:RefOrder>
  </b:Source>
  <b:Source>
    <b:Tag>Her16</b:Tag>
    <b:SourceType>JournalArticle</b:SourceType>
    <b:Guid>{4926E6D0-F8EB-4030-93C6-833BED9CAC9A}</b:Guid>
    <b:Title>Clinical Management of Psychological Concerns Related to Food Allergy</b:Title>
    <b:Year>2016</b:Year>
    <b:Author>
      <b:Author>
        <b:NameList>
          <b:Person>
            <b:Last>Herbert</b:Last>
            <b:First>Linda</b:First>
            <b:Middle>PhD, Eyal Shemesh PhD, Bruce Bender PhD.</b:Middle>
          </b:Person>
        </b:NameList>
      </b:Author>
    </b:Author>
    <b:JournalName>The Journal of Allergy and Clinical Immunology: In Practice</b:JournalName>
    <b:Pages>205 - 213</b:Pages>
    <b:RefOrder>3</b:RefOrder>
  </b:Source>
  <b:Source>
    <b:Tag>Law15</b:Tag>
    <b:SourceType>JournalArticle</b:SourceType>
    <b:Guid>{5BA47F0F-14B6-49FD-AF87-A9538F4CC57E}</b:Guid>
    <b:Author>
      <b:Author>
        <b:NameList>
          <b:Person>
            <b:Last>Lawlis</b:Last>
            <b:First>T.</b:First>
            <b:Middle>Bakonyi, S. Williams, LT</b:Middle>
          </b:Person>
        </b:NameList>
      </b:Author>
    </b:Author>
    <b:Title>Food Allergy in Schools: The Importance of Government Involvement</b:Title>
    <b:JournalName>Current Protocols</b:JournalName>
    <b:Year>2015</b:Year>
    <b:Pages>82 -87</b:Pages>
    <b:RefOrder>4</b:RefOrder>
  </b:Source>
  <b:Source>
    <b:Tag>Sch20</b:Tag>
    <b:SourceType>JournalArticle</b:SourceType>
    <b:Guid>{24035908-F631-4EBB-809E-4373C9755C4A}</b:Guid>
    <b:Author>
      <b:Author>
        <b:NameList>
          <b:Person>
            <b:Last>Schauberger</b:Last>
            <b:First>Eric</b:First>
            <b:Middle>M. Anne Marie Singh</b:Middle>
          </b:Person>
        </b:NameList>
      </b:Author>
    </b:Author>
    <b:Title>Food Allergy Management</b:Title>
    <b:JournalName>J Food Allergy USA.</b:JournalName>
    <b:Year>2020</b:Year>
    <b:Pages>1 to 5</b:Pages>
    <b:RefOrder>5</b:RefOrder>
  </b:Source>
</b:Sources>
</file>

<file path=customXml/itemProps1.xml><?xml version="1.0" encoding="utf-8"?>
<ds:datastoreItem xmlns:ds="http://schemas.openxmlformats.org/officeDocument/2006/customXml" ds:itemID="{56C70656-0523-4A27-A58C-D2FEA15E32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426</TotalTime>
  <Pages>5</Pages>
  <Words>1184</Words>
  <Characters>6233</Characters>
  <Application>Microsoft Office Word</Application>
  <DocSecurity>0</DocSecurity>
  <Lines>271</Lines>
  <Paragraphs>63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Shahina Islam</cp:lastModifiedBy>
  <cp:revision>125</cp:revision>
  <cp:lastPrinted>2020-09-28T20:53:00Z</cp:lastPrinted>
  <dcterms:created xsi:type="dcterms:W3CDTF">2021-10-19T22:23:00Z</dcterms:created>
  <dcterms:modified xsi:type="dcterms:W3CDTF">2021-10-20T16:38:00Z</dcterms:modified>
</cp:coreProperties>
</file>