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31F7C" w14:textId="77777777" w:rsidR="000F7848" w:rsidRDefault="000F7848" w:rsidP="000F7848">
      <w:pPr>
        <w:pStyle w:val="NormalWeb"/>
        <w:spacing w:before="0" w:beforeAutospacing="0" w:after="0" w:afterAutospacing="0"/>
        <w:ind w:left="-180" w:right="-334"/>
      </w:pPr>
      <w:r>
        <w:rPr>
          <w:noProof/>
        </w:rPr>
        <w:drawing>
          <wp:inline distT="0" distB="0" distL="0" distR="0" wp14:anchorId="56E9C971" wp14:editId="43817297">
            <wp:extent cx="1906270" cy="633095"/>
            <wp:effectExtent l="25400" t="25400" r="11430" b="14605"/>
            <wp:docPr id="1" name="Picture 1"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3095"/>
                    </a:xfrm>
                    <a:prstGeom prst="rect">
                      <a:avLst/>
                    </a:prstGeom>
                    <a:noFill/>
                    <a:ln w="19050" cmpd="sng">
                      <a:solidFill>
                        <a:srgbClr val="000000"/>
                      </a:solidFill>
                      <a:miter lim="800000"/>
                      <a:headEnd/>
                      <a:tailEnd/>
                    </a:ln>
                    <a:effectLst/>
                  </pic:spPr>
                </pic:pic>
              </a:graphicData>
            </a:graphic>
          </wp:inline>
        </w:drawing>
      </w:r>
    </w:p>
    <w:p w14:paraId="085BC3B9" w14:textId="77777777" w:rsidR="000F7848" w:rsidRDefault="000F7848" w:rsidP="000F7848">
      <w:pPr>
        <w:pStyle w:val="NormalWeb"/>
        <w:spacing w:before="0" w:beforeAutospacing="0" w:after="0" w:afterAutospacing="0"/>
        <w:ind w:left="-180" w:right="-334"/>
      </w:pPr>
    </w:p>
    <w:p w14:paraId="4370446F" w14:textId="77777777" w:rsidR="000F7848" w:rsidRDefault="000F7848" w:rsidP="000F7848">
      <w:pPr>
        <w:pStyle w:val="NormalWeb"/>
        <w:spacing w:before="0" w:beforeAutospacing="0" w:after="0" w:afterAutospacing="0"/>
        <w:ind w:left="-180" w:right="-334"/>
      </w:pPr>
    </w:p>
    <w:p w14:paraId="44FE20F4" w14:textId="77777777" w:rsidR="000F7848" w:rsidRDefault="000F7848" w:rsidP="000F7848">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443072E" w14:textId="77777777" w:rsidR="000F7848" w:rsidRPr="00230F35" w:rsidRDefault="000F7848" w:rsidP="000F784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A77680B" w14:textId="77777777" w:rsidR="000F7848" w:rsidRPr="00230F35" w:rsidRDefault="000F7848" w:rsidP="000F7848">
      <w:pPr>
        <w:rPr>
          <w:rFonts w:ascii="Arial" w:hAnsi="Arial" w:cs="Arial"/>
          <w:sz w:val="28"/>
          <w:szCs w:val="28"/>
          <w:lang w:val="cy-GB"/>
        </w:rPr>
      </w:pPr>
    </w:p>
    <w:p w14:paraId="51DF6342" w14:textId="77777777" w:rsidR="000F7848" w:rsidRDefault="000F7848" w:rsidP="000F7848">
      <w:pPr>
        <w:pStyle w:val="Heading3"/>
        <w:jc w:val="center"/>
        <w:rPr>
          <w:lang w:val="cy-GB"/>
        </w:rPr>
      </w:pPr>
      <w:r>
        <w:rPr>
          <w:lang w:val="cy-GB"/>
        </w:rPr>
        <w:t>THIS SHEET MUST BE THE FIRST PAGE OF THE ASSIGNMENT YOU ARE SUBMITTING  (DO NOT SEND AS A SEPARATE FILE)</w:t>
      </w:r>
    </w:p>
    <w:p w14:paraId="01EFBF29" w14:textId="77777777" w:rsidR="000F7848" w:rsidRDefault="000F7848" w:rsidP="000F7848">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5"/>
        <w:gridCol w:w="423"/>
        <w:gridCol w:w="1499"/>
        <w:gridCol w:w="286"/>
        <w:gridCol w:w="1793"/>
      </w:tblGrid>
      <w:tr w:rsidR="000F7848" w:rsidRPr="00230F35" w14:paraId="426BE6E3" w14:textId="77777777" w:rsidTr="00EA6B3B">
        <w:trPr>
          <w:trHeight w:val="614"/>
        </w:trPr>
        <w:tc>
          <w:tcPr>
            <w:tcW w:w="8856" w:type="dxa"/>
            <w:gridSpan w:val="5"/>
          </w:tcPr>
          <w:p w14:paraId="658535C0" w14:textId="77777777" w:rsidR="000F7848" w:rsidRPr="00230F35" w:rsidRDefault="000F7848" w:rsidP="00EA6B3B">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0F7848" w:rsidRPr="00230F35" w14:paraId="696E4438" w14:textId="77777777" w:rsidTr="00EA6B3B">
        <w:trPr>
          <w:trHeight w:val="718"/>
        </w:trPr>
        <w:tc>
          <w:tcPr>
            <w:tcW w:w="8856" w:type="dxa"/>
            <w:gridSpan w:val="5"/>
          </w:tcPr>
          <w:p w14:paraId="40855EAB" w14:textId="61F151B0" w:rsidR="000F7848" w:rsidRDefault="000F7848"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Luke Collin</w:t>
            </w:r>
          </w:p>
          <w:p w14:paraId="578D958B" w14:textId="77777777" w:rsidR="000F7848" w:rsidRPr="00230F35" w:rsidRDefault="000F7848" w:rsidP="00EA6B3B">
            <w:pPr>
              <w:pStyle w:val="NormalWeb"/>
              <w:spacing w:before="0" w:beforeAutospacing="0" w:after="0" w:afterAutospacing="0"/>
              <w:ind w:right="34"/>
              <w:rPr>
                <w:rFonts w:ascii="Arial" w:hAnsi="Arial" w:cs="Arial"/>
                <w:sz w:val="22"/>
                <w:szCs w:val="22"/>
              </w:rPr>
            </w:pPr>
          </w:p>
          <w:p w14:paraId="6DAEE403" w14:textId="0292B514" w:rsidR="000F7848" w:rsidRPr="00230F35" w:rsidRDefault="000F7848"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2307915@student.uwtsd.ac.uk</w:t>
            </w:r>
          </w:p>
        </w:tc>
      </w:tr>
      <w:tr w:rsidR="000F7848" w:rsidRPr="00230F35" w14:paraId="514AB866" w14:textId="77777777" w:rsidTr="00EA6B3B">
        <w:trPr>
          <w:trHeight w:val="849"/>
        </w:trPr>
        <w:tc>
          <w:tcPr>
            <w:tcW w:w="4788" w:type="dxa"/>
          </w:tcPr>
          <w:p w14:paraId="463BFF5F" w14:textId="285135CA" w:rsidR="000F7848" w:rsidRPr="00230F35" w:rsidRDefault="000F7848"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HPCA7016</w:t>
            </w:r>
          </w:p>
          <w:p w14:paraId="06C0AFFD" w14:textId="77777777" w:rsidR="000F7848" w:rsidRPr="00230F35" w:rsidRDefault="000F7848" w:rsidP="00EA6B3B">
            <w:pPr>
              <w:pStyle w:val="NormalWeb"/>
              <w:spacing w:before="0" w:beforeAutospacing="0" w:after="0" w:afterAutospacing="0"/>
              <w:ind w:right="34"/>
              <w:rPr>
                <w:rFonts w:ascii="Arial" w:hAnsi="Arial" w:cs="Arial"/>
                <w:sz w:val="22"/>
                <w:szCs w:val="22"/>
              </w:rPr>
            </w:pPr>
          </w:p>
          <w:p w14:paraId="292C3389" w14:textId="7E03F005" w:rsidR="000F7848" w:rsidRDefault="000F7848"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Researching Contemporary Cosmologies</w:t>
            </w:r>
          </w:p>
          <w:p w14:paraId="1FC1D235" w14:textId="77777777" w:rsidR="000F7848" w:rsidRDefault="000F7848" w:rsidP="00EA6B3B">
            <w:pPr>
              <w:pStyle w:val="NormalWeb"/>
              <w:spacing w:before="0" w:beforeAutospacing="0" w:after="0" w:afterAutospacing="0"/>
              <w:ind w:right="34"/>
              <w:rPr>
                <w:rFonts w:ascii="Arial" w:hAnsi="Arial" w:cs="Arial"/>
                <w:sz w:val="22"/>
                <w:szCs w:val="22"/>
              </w:rPr>
            </w:pPr>
          </w:p>
          <w:p w14:paraId="69AA0103" w14:textId="77777777" w:rsidR="000F7848" w:rsidRPr="00230F35" w:rsidRDefault="000F7848" w:rsidP="00EA6B3B">
            <w:pPr>
              <w:pStyle w:val="NormalWeb"/>
              <w:spacing w:before="0" w:beforeAutospacing="0" w:after="0" w:afterAutospacing="0"/>
              <w:ind w:right="34"/>
              <w:rPr>
                <w:rFonts w:ascii="Arial" w:hAnsi="Arial" w:cs="Arial"/>
                <w:sz w:val="22"/>
                <w:szCs w:val="22"/>
              </w:rPr>
            </w:pPr>
          </w:p>
        </w:tc>
        <w:tc>
          <w:tcPr>
            <w:tcW w:w="2266" w:type="dxa"/>
            <w:gridSpan w:val="3"/>
          </w:tcPr>
          <w:p w14:paraId="61021534" w14:textId="77777777" w:rsidR="000F7848" w:rsidRDefault="000F7848"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9F5AE0D" w14:textId="4B39D4B3" w:rsidR="000F7848" w:rsidRPr="00230F35" w:rsidRDefault="000F7848" w:rsidP="00EA6B3B">
            <w:pPr>
              <w:pStyle w:val="NormalWeb"/>
              <w:spacing w:before="0" w:beforeAutospacing="0" w:after="0" w:afterAutospacing="0"/>
              <w:ind w:right="34"/>
              <w:rPr>
                <w:rFonts w:ascii="Arial" w:hAnsi="Arial" w:cs="Arial"/>
                <w:sz w:val="22"/>
                <w:szCs w:val="22"/>
              </w:rPr>
            </w:pPr>
            <w:r>
              <w:rPr>
                <w:rFonts w:ascii="Arial" w:hAnsi="Arial" w:cs="Arial"/>
                <w:sz w:val="22"/>
                <w:szCs w:val="22"/>
              </w:rPr>
              <w:t>2307915</w:t>
            </w:r>
          </w:p>
        </w:tc>
        <w:tc>
          <w:tcPr>
            <w:tcW w:w="1802" w:type="dxa"/>
          </w:tcPr>
          <w:p w14:paraId="2122FA06" w14:textId="77777777" w:rsidR="000F7848" w:rsidRPr="00230F35" w:rsidRDefault="000F7848"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5DE6EBA" w14:textId="0EACD165" w:rsidR="000F7848" w:rsidRPr="00230F35" w:rsidRDefault="000F7848"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0F7848" w:rsidRPr="00230F35" w14:paraId="4A9ED1FC" w14:textId="77777777" w:rsidTr="00EA6B3B">
        <w:trPr>
          <w:trHeight w:val="1139"/>
        </w:trPr>
        <w:tc>
          <w:tcPr>
            <w:tcW w:w="8856" w:type="dxa"/>
            <w:gridSpan w:val="5"/>
          </w:tcPr>
          <w:p w14:paraId="3A91114C" w14:textId="7AC56254" w:rsidR="000F7848" w:rsidRPr="00230F35" w:rsidRDefault="000F7848"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A critical comparison of two secondary sources</w:t>
            </w:r>
          </w:p>
          <w:p w14:paraId="6A516E31" w14:textId="77777777" w:rsidR="000F7848" w:rsidRPr="00230F35" w:rsidRDefault="000F7848" w:rsidP="00EA6B3B">
            <w:pPr>
              <w:pStyle w:val="NormalWeb"/>
              <w:spacing w:before="0" w:beforeAutospacing="0" w:after="0" w:afterAutospacing="0"/>
              <w:ind w:right="34"/>
              <w:rPr>
                <w:rFonts w:ascii="Arial" w:hAnsi="Arial" w:cs="Arial"/>
                <w:sz w:val="22"/>
                <w:szCs w:val="22"/>
              </w:rPr>
            </w:pPr>
          </w:p>
          <w:p w14:paraId="50FD48FB" w14:textId="77777777" w:rsidR="000F7848" w:rsidRDefault="000F7848" w:rsidP="00EA6B3B">
            <w:pPr>
              <w:pStyle w:val="NormalWeb"/>
              <w:spacing w:before="0" w:beforeAutospacing="0" w:after="0" w:afterAutospacing="0"/>
              <w:ind w:right="34"/>
              <w:rPr>
                <w:rFonts w:ascii="Arial" w:hAnsi="Arial" w:cs="Arial"/>
                <w:sz w:val="22"/>
                <w:szCs w:val="22"/>
              </w:rPr>
            </w:pPr>
          </w:p>
          <w:p w14:paraId="1FE5B6B4" w14:textId="76816077" w:rsidR="000F7848" w:rsidRPr="00230F35" w:rsidRDefault="000F7848"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17</w:t>
            </w:r>
            <w:r w:rsidRPr="000F7848">
              <w:rPr>
                <w:rFonts w:ascii="Arial" w:hAnsi="Arial" w:cs="Arial"/>
                <w:sz w:val="22"/>
                <w:szCs w:val="22"/>
                <w:vertAlign w:val="superscript"/>
              </w:rPr>
              <w:t>th</w:t>
            </w:r>
            <w:r>
              <w:rPr>
                <w:rFonts w:ascii="Arial" w:hAnsi="Arial" w:cs="Arial"/>
                <w:sz w:val="22"/>
                <w:szCs w:val="22"/>
              </w:rPr>
              <w:t xml:space="preserve"> March 2025</w:t>
            </w:r>
          </w:p>
        </w:tc>
      </w:tr>
      <w:tr w:rsidR="000F7848" w:rsidRPr="00230F35" w14:paraId="460B06CB" w14:textId="77777777" w:rsidTr="00EA6B3B">
        <w:trPr>
          <w:trHeight w:val="978"/>
        </w:trPr>
        <w:tc>
          <w:tcPr>
            <w:tcW w:w="8856" w:type="dxa"/>
            <w:gridSpan w:val="5"/>
            <w:tcBorders>
              <w:bottom w:val="single" w:sz="4" w:space="0" w:color="000000"/>
            </w:tcBorders>
          </w:tcPr>
          <w:p w14:paraId="49EA8C09" w14:textId="37BFEDE8" w:rsidR="000F7848" w:rsidRPr="00230F35" w:rsidRDefault="000F7848" w:rsidP="00EA6B3B">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Pr>
                <w:rFonts w:ascii="Arial" w:hAnsi="Arial" w:cs="Arial"/>
                <w:sz w:val="22"/>
                <w:szCs w:val="22"/>
              </w:rPr>
              <w:t>x</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0F7848" w:rsidRPr="00230F35" w14:paraId="51628CF3" w14:textId="77777777" w:rsidTr="00EA6B3B">
        <w:trPr>
          <w:trHeight w:val="978"/>
        </w:trPr>
        <w:tc>
          <w:tcPr>
            <w:tcW w:w="8856" w:type="dxa"/>
            <w:gridSpan w:val="5"/>
            <w:shd w:val="clear" w:color="auto" w:fill="D9D9D9"/>
          </w:tcPr>
          <w:p w14:paraId="30106533" w14:textId="77777777" w:rsidR="000F7848" w:rsidRPr="00230F35" w:rsidRDefault="000F7848"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0072C00" w14:textId="3E59072C" w:rsidR="000F7848" w:rsidRDefault="000F7848"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roofErr w:type="spellStart"/>
            <w:proofErr w:type="gramStart"/>
            <w:r>
              <w:rPr>
                <w:rFonts w:ascii="Arial" w:hAnsi="Arial" w:cs="Arial"/>
                <w:sz w:val="22"/>
                <w:szCs w:val="22"/>
              </w:rPr>
              <w:t>L.Collin</w:t>
            </w:r>
            <w:proofErr w:type="spellEnd"/>
            <w:proofErr w:type="gramEnd"/>
            <w:r w:rsidRPr="00230F35">
              <w:rPr>
                <w:rFonts w:ascii="Arial" w:hAnsi="Arial" w:cs="Arial"/>
                <w:sz w:val="22"/>
                <w:szCs w:val="22"/>
              </w:rPr>
              <w:t>…………………………………</w:t>
            </w:r>
          </w:p>
          <w:p w14:paraId="2E2FA0A4" w14:textId="77777777" w:rsidR="000F7848" w:rsidRDefault="000F7848" w:rsidP="00EA6B3B">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14:paraId="74328699" w14:textId="77777777" w:rsidR="000F7848" w:rsidRPr="00230F35" w:rsidRDefault="000F7848" w:rsidP="00EA6B3B">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0F7848" w:rsidRPr="00230F35" w14:paraId="1AC8386F" w14:textId="77777777" w:rsidTr="00EA6B3B">
        <w:trPr>
          <w:trHeight w:val="3972"/>
        </w:trPr>
        <w:tc>
          <w:tcPr>
            <w:tcW w:w="8856" w:type="dxa"/>
            <w:gridSpan w:val="5"/>
          </w:tcPr>
          <w:p w14:paraId="4CC6195F" w14:textId="77777777" w:rsidR="000F7848" w:rsidRDefault="000F7848" w:rsidP="00EA6B3B">
            <w:pPr>
              <w:rPr>
                <w:rFonts w:ascii="Arial" w:hAnsi="Arial"/>
                <w:b/>
              </w:rPr>
            </w:pPr>
          </w:p>
          <w:p w14:paraId="66C83C35" w14:textId="77777777" w:rsidR="000F7848" w:rsidRPr="00116CE6" w:rsidRDefault="000F7848" w:rsidP="00EA6B3B">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9"/>
              <w:gridCol w:w="1611"/>
            </w:tblGrid>
            <w:tr w:rsidR="000F7848" w:rsidRPr="00116CE6" w14:paraId="6ECE3332" w14:textId="77777777" w:rsidTr="00EA6B3B">
              <w:tc>
                <w:tcPr>
                  <w:tcW w:w="6970" w:type="dxa"/>
                </w:tcPr>
                <w:p w14:paraId="2ABAB045" w14:textId="77777777" w:rsidR="000F7848" w:rsidRPr="00116CE6" w:rsidRDefault="000F7848" w:rsidP="00EA6B3B">
                  <w:pPr>
                    <w:rPr>
                      <w:rFonts w:ascii="Arial" w:hAnsi="Arial"/>
                      <w:sz w:val="20"/>
                      <w:szCs w:val="20"/>
                    </w:rPr>
                  </w:pPr>
                </w:p>
                <w:p w14:paraId="570919F0" w14:textId="77777777" w:rsidR="000F7848" w:rsidRPr="00116CE6" w:rsidRDefault="000F7848" w:rsidP="00EA6B3B">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334E1FC" w14:textId="77777777" w:rsidR="000F7848" w:rsidRPr="00116CE6" w:rsidRDefault="000F7848" w:rsidP="00EA6B3B">
                  <w:pPr>
                    <w:rPr>
                      <w:rFonts w:ascii="Arial" w:hAnsi="Arial"/>
                      <w:sz w:val="20"/>
                      <w:szCs w:val="20"/>
                    </w:rPr>
                  </w:pPr>
                </w:p>
              </w:tc>
            </w:tr>
            <w:tr w:rsidR="000F7848" w:rsidRPr="00116CE6" w14:paraId="46BB3A4C" w14:textId="77777777" w:rsidTr="00EA6B3B">
              <w:tc>
                <w:tcPr>
                  <w:tcW w:w="6970" w:type="dxa"/>
                </w:tcPr>
                <w:p w14:paraId="778EFD45" w14:textId="77777777" w:rsidR="000F7848" w:rsidRPr="00116CE6" w:rsidRDefault="000F7848" w:rsidP="00EA6B3B">
                  <w:pPr>
                    <w:rPr>
                      <w:rFonts w:ascii="Arial" w:hAnsi="Arial"/>
                      <w:sz w:val="20"/>
                      <w:szCs w:val="20"/>
                    </w:rPr>
                  </w:pPr>
                </w:p>
                <w:p w14:paraId="439746DD" w14:textId="77777777" w:rsidR="000F7848" w:rsidRPr="00116CE6" w:rsidRDefault="000F7848" w:rsidP="00EA6B3B">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D865D6F" w14:textId="77777777" w:rsidR="000F7848" w:rsidRPr="00116CE6" w:rsidRDefault="000F7848" w:rsidP="00EA6B3B">
                  <w:pPr>
                    <w:rPr>
                      <w:rFonts w:ascii="Arial" w:hAnsi="Arial"/>
                      <w:sz w:val="20"/>
                      <w:szCs w:val="20"/>
                    </w:rPr>
                  </w:pPr>
                </w:p>
              </w:tc>
            </w:tr>
            <w:tr w:rsidR="000F7848" w:rsidRPr="00116CE6" w14:paraId="2131AF7C" w14:textId="77777777" w:rsidTr="00EA6B3B">
              <w:tc>
                <w:tcPr>
                  <w:tcW w:w="6970" w:type="dxa"/>
                </w:tcPr>
                <w:p w14:paraId="17B860AF" w14:textId="77777777" w:rsidR="000F7848" w:rsidRPr="00116CE6" w:rsidRDefault="000F7848" w:rsidP="00EA6B3B">
                  <w:pPr>
                    <w:rPr>
                      <w:rFonts w:ascii="Arial" w:hAnsi="Arial"/>
                      <w:sz w:val="20"/>
                      <w:szCs w:val="20"/>
                    </w:rPr>
                  </w:pPr>
                </w:p>
                <w:p w14:paraId="1761E2B5" w14:textId="77777777" w:rsidR="000F7848" w:rsidRPr="00116CE6" w:rsidRDefault="000F7848" w:rsidP="00EA6B3B">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142F806" w14:textId="77777777" w:rsidR="000F7848" w:rsidRPr="00116CE6" w:rsidRDefault="000F7848" w:rsidP="00EA6B3B">
                  <w:pPr>
                    <w:rPr>
                      <w:rFonts w:ascii="Arial" w:hAnsi="Arial"/>
                      <w:sz w:val="20"/>
                      <w:szCs w:val="20"/>
                    </w:rPr>
                  </w:pPr>
                </w:p>
              </w:tc>
            </w:tr>
            <w:tr w:rsidR="000F7848" w:rsidRPr="00116CE6" w14:paraId="4B72191F" w14:textId="77777777" w:rsidTr="00EA6B3B">
              <w:tc>
                <w:tcPr>
                  <w:tcW w:w="6970" w:type="dxa"/>
                </w:tcPr>
                <w:p w14:paraId="0A25EF75" w14:textId="77777777" w:rsidR="000F7848" w:rsidRDefault="000F7848" w:rsidP="00EA6B3B">
                  <w:pPr>
                    <w:rPr>
                      <w:rFonts w:ascii="Arial" w:hAnsi="Arial"/>
                      <w:sz w:val="20"/>
                      <w:szCs w:val="20"/>
                    </w:rPr>
                  </w:pPr>
                </w:p>
                <w:p w14:paraId="6C6012F3" w14:textId="77777777" w:rsidR="000F7848" w:rsidRPr="00022345" w:rsidRDefault="000F7848" w:rsidP="00EA6B3B">
                  <w:pPr>
                    <w:rPr>
                      <w:rFonts w:ascii="Arial" w:hAnsi="Arial"/>
                      <w:b/>
                      <w:sz w:val="20"/>
                      <w:szCs w:val="20"/>
                    </w:rPr>
                  </w:pPr>
                  <w:r w:rsidRPr="00022345">
                    <w:rPr>
                      <w:rFonts w:ascii="Arial" w:hAnsi="Arial"/>
                      <w:b/>
                      <w:sz w:val="20"/>
                      <w:szCs w:val="20"/>
                    </w:rPr>
                    <w:t>Final Mark</w:t>
                  </w:r>
                </w:p>
                <w:p w14:paraId="3CC3DE00" w14:textId="77777777" w:rsidR="000F7848" w:rsidRPr="00116CE6" w:rsidRDefault="000F7848" w:rsidP="00EA6B3B">
                  <w:pPr>
                    <w:rPr>
                      <w:rFonts w:ascii="Arial" w:hAnsi="Arial"/>
                      <w:sz w:val="20"/>
                      <w:szCs w:val="20"/>
                    </w:rPr>
                  </w:pPr>
                </w:p>
              </w:tc>
              <w:tc>
                <w:tcPr>
                  <w:tcW w:w="1660" w:type="dxa"/>
                </w:tcPr>
                <w:p w14:paraId="41288B3A" w14:textId="77777777" w:rsidR="000F7848" w:rsidRPr="00116CE6" w:rsidRDefault="000F7848" w:rsidP="00EA6B3B">
                  <w:pPr>
                    <w:rPr>
                      <w:rFonts w:ascii="Arial" w:hAnsi="Arial"/>
                      <w:sz w:val="20"/>
                      <w:szCs w:val="20"/>
                    </w:rPr>
                  </w:pPr>
                </w:p>
              </w:tc>
            </w:tr>
          </w:tbl>
          <w:p w14:paraId="733A870F" w14:textId="77777777" w:rsidR="000F7848" w:rsidRDefault="000F7848" w:rsidP="00EA6B3B">
            <w:pPr>
              <w:pStyle w:val="NormalWeb"/>
              <w:spacing w:before="0" w:beforeAutospacing="0" w:after="0" w:afterAutospacing="0"/>
              <w:ind w:left="142" w:right="34"/>
              <w:rPr>
                <w:rFonts w:ascii="Arial" w:hAnsi="Arial" w:cs="Arial"/>
                <w:b/>
                <w:sz w:val="22"/>
                <w:szCs w:val="22"/>
              </w:rPr>
            </w:pPr>
          </w:p>
          <w:p w14:paraId="275C519F" w14:textId="77777777" w:rsidR="000F7848" w:rsidRPr="00230F35" w:rsidRDefault="000F7848" w:rsidP="00EA6B3B">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BB40E51" w14:textId="77777777" w:rsidR="000F7848" w:rsidRDefault="000F7848" w:rsidP="00EA6B3B">
            <w:pPr>
              <w:pStyle w:val="NormalWeb"/>
              <w:spacing w:before="0" w:beforeAutospacing="0" w:after="0" w:afterAutospacing="0"/>
              <w:rPr>
                <w:rFonts w:ascii="Arial" w:hAnsi="Arial" w:cs="Arial"/>
                <w:b/>
                <w:sz w:val="22"/>
                <w:szCs w:val="22"/>
              </w:rPr>
            </w:pPr>
          </w:p>
          <w:p w14:paraId="6595ECD3" w14:textId="77777777" w:rsidR="000F7848" w:rsidRDefault="000F7848" w:rsidP="00EA6B3B">
            <w:pPr>
              <w:pStyle w:val="NormalWeb"/>
              <w:spacing w:before="0" w:beforeAutospacing="0" w:after="0" w:afterAutospacing="0"/>
              <w:rPr>
                <w:rFonts w:ascii="Arial" w:hAnsi="Arial" w:cs="Arial"/>
                <w:b/>
                <w:sz w:val="22"/>
                <w:szCs w:val="22"/>
              </w:rPr>
            </w:pPr>
          </w:p>
          <w:p w14:paraId="43AB4BB8" w14:textId="77777777" w:rsidR="000F7848" w:rsidRDefault="000F7848" w:rsidP="00EA6B3B">
            <w:pPr>
              <w:pStyle w:val="NormalWeb"/>
              <w:spacing w:before="0" w:beforeAutospacing="0" w:after="0" w:afterAutospacing="0"/>
              <w:rPr>
                <w:rFonts w:ascii="Arial" w:hAnsi="Arial" w:cs="Arial"/>
                <w:b/>
                <w:sz w:val="22"/>
                <w:szCs w:val="22"/>
              </w:rPr>
            </w:pPr>
          </w:p>
          <w:p w14:paraId="1D84AF5B" w14:textId="77777777" w:rsidR="000F7848" w:rsidRDefault="000F7848" w:rsidP="00EA6B3B">
            <w:pPr>
              <w:pStyle w:val="NormalWeb"/>
              <w:spacing w:before="0" w:beforeAutospacing="0" w:after="0" w:afterAutospacing="0"/>
              <w:rPr>
                <w:rFonts w:ascii="Arial" w:hAnsi="Arial" w:cs="Arial"/>
                <w:b/>
                <w:sz w:val="22"/>
                <w:szCs w:val="22"/>
              </w:rPr>
            </w:pPr>
          </w:p>
          <w:p w14:paraId="064803EA" w14:textId="77777777" w:rsidR="000F7848" w:rsidRDefault="000F7848" w:rsidP="00EA6B3B">
            <w:pPr>
              <w:pStyle w:val="NormalWeb"/>
              <w:spacing w:before="0" w:beforeAutospacing="0" w:after="0" w:afterAutospacing="0"/>
              <w:rPr>
                <w:rFonts w:ascii="Arial" w:hAnsi="Arial" w:cs="Arial"/>
                <w:b/>
                <w:sz w:val="22"/>
                <w:szCs w:val="22"/>
              </w:rPr>
            </w:pPr>
          </w:p>
          <w:p w14:paraId="13CAD0EC" w14:textId="77777777" w:rsidR="000F7848" w:rsidRPr="00230F35" w:rsidRDefault="000F7848" w:rsidP="00EA6B3B">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66BDA7F4" w14:textId="77777777" w:rsidR="000F7848" w:rsidRDefault="000F7848" w:rsidP="00EA6B3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4E11AA7" w14:textId="77777777" w:rsidR="000F7848" w:rsidRPr="00001C3B" w:rsidRDefault="000F7848" w:rsidP="00EA6B3B">
            <w:pPr>
              <w:pStyle w:val="NormalWeb"/>
              <w:rPr>
                <w:rFonts w:ascii="Arial" w:hAnsi="Arial" w:cs="Arial"/>
                <w:sz w:val="22"/>
                <w:szCs w:val="22"/>
              </w:rPr>
            </w:pPr>
          </w:p>
        </w:tc>
      </w:tr>
      <w:tr w:rsidR="000F7848" w:rsidRPr="00230F35" w14:paraId="79F56193" w14:textId="77777777" w:rsidTr="00EA6B3B">
        <w:trPr>
          <w:trHeight w:val="492"/>
        </w:trPr>
        <w:tc>
          <w:tcPr>
            <w:tcW w:w="6768" w:type="dxa"/>
            <w:gridSpan w:val="3"/>
          </w:tcPr>
          <w:p w14:paraId="0E29C3E8" w14:textId="77777777" w:rsidR="000F7848" w:rsidRPr="00230F35" w:rsidRDefault="000F7848" w:rsidP="00EA6B3B">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734D5CFE" w14:textId="77777777" w:rsidR="000F7848" w:rsidRPr="00230F35" w:rsidRDefault="000F7848" w:rsidP="00EA6B3B">
            <w:pPr>
              <w:pStyle w:val="NormalWeb"/>
              <w:spacing w:after="0"/>
              <w:ind w:left="142" w:right="34"/>
              <w:rPr>
                <w:rFonts w:ascii="Arial" w:hAnsi="Arial" w:cs="Arial"/>
                <w:sz w:val="22"/>
                <w:szCs w:val="22"/>
              </w:rPr>
            </w:pPr>
            <w:r w:rsidRPr="00230F35">
              <w:rPr>
                <w:rFonts w:ascii="Arial" w:hAnsi="Arial" w:cs="Arial"/>
                <w:sz w:val="22"/>
                <w:szCs w:val="22"/>
              </w:rPr>
              <w:t>Date:</w:t>
            </w:r>
          </w:p>
        </w:tc>
      </w:tr>
      <w:tr w:rsidR="000F7848" w:rsidRPr="002F467C" w14:paraId="7A4CD72A" w14:textId="77777777" w:rsidTr="00EA6B3B">
        <w:tc>
          <w:tcPr>
            <w:tcW w:w="8856" w:type="dxa"/>
            <w:gridSpan w:val="5"/>
          </w:tcPr>
          <w:p w14:paraId="55AD346B" w14:textId="77777777" w:rsidR="000F7848" w:rsidRPr="00230F35" w:rsidRDefault="000F7848" w:rsidP="00EA6B3B">
            <w:pPr>
              <w:pStyle w:val="NormalWeb"/>
              <w:spacing w:before="0" w:beforeAutospacing="0" w:after="0" w:afterAutospacing="0"/>
              <w:ind w:right="-334"/>
              <w:rPr>
                <w:rFonts w:ascii="Arial" w:hAnsi="Arial" w:cs="Arial"/>
                <w:bCs/>
                <w:i/>
                <w:sz w:val="22"/>
                <w:szCs w:val="22"/>
              </w:rPr>
            </w:pPr>
          </w:p>
          <w:p w14:paraId="70C0DBFD" w14:textId="77777777" w:rsidR="000F7848" w:rsidRPr="00230F35" w:rsidRDefault="000F7848" w:rsidP="00EA6B3B">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1C46110" w14:textId="77777777" w:rsidR="000F7848" w:rsidRPr="00230F35" w:rsidRDefault="000F7848" w:rsidP="00EA6B3B">
            <w:pPr>
              <w:pStyle w:val="NormalWeb"/>
              <w:spacing w:before="0" w:beforeAutospacing="0" w:after="0" w:afterAutospacing="0"/>
              <w:ind w:right="-334"/>
              <w:rPr>
                <w:rFonts w:ascii="Arial" w:hAnsi="Arial" w:cs="Arial"/>
                <w:b/>
                <w:bCs/>
                <w:sz w:val="22"/>
                <w:szCs w:val="22"/>
              </w:rPr>
            </w:pPr>
          </w:p>
          <w:p w14:paraId="55CC68DF" w14:textId="77777777" w:rsidR="000F7848" w:rsidRPr="00230F35" w:rsidRDefault="000F7848" w:rsidP="00EA6B3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1DE0067C" w14:textId="77777777" w:rsidR="000F7848" w:rsidRPr="00230F35" w:rsidRDefault="000F7848" w:rsidP="00EA6B3B">
            <w:pPr>
              <w:pStyle w:val="NormalWeb"/>
              <w:spacing w:before="0" w:beforeAutospacing="0" w:after="0" w:afterAutospacing="0"/>
              <w:ind w:right="-334"/>
              <w:rPr>
                <w:rFonts w:ascii="Arial" w:hAnsi="Arial" w:cs="Arial"/>
                <w:bCs/>
                <w:sz w:val="22"/>
                <w:szCs w:val="22"/>
              </w:rPr>
            </w:pPr>
          </w:p>
          <w:p w14:paraId="366583DC" w14:textId="77777777" w:rsidR="000F7848" w:rsidRPr="00230F35" w:rsidRDefault="000F7848" w:rsidP="00EA6B3B">
            <w:pPr>
              <w:pStyle w:val="NormalWeb"/>
              <w:spacing w:before="0" w:beforeAutospacing="0" w:after="0" w:afterAutospacing="0"/>
              <w:ind w:right="-334"/>
              <w:rPr>
                <w:rFonts w:ascii="Arial" w:hAnsi="Arial" w:cs="Arial"/>
                <w:bCs/>
                <w:sz w:val="22"/>
                <w:szCs w:val="22"/>
              </w:rPr>
            </w:pPr>
          </w:p>
          <w:p w14:paraId="6F806D54" w14:textId="77777777" w:rsidR="000F7848" w:rsidRPr="00230F35" w:rsidRDefault="000F7848" w:rsidP="00EA6B3B">
            <w:pPr>
              <w:pStyle w:val="NormalWeb"/>
              <w:spacing w:before="0" w:beforeAutospacing="0" w:after="0" w:afterAutospacing="0"/>
              <w:ind w:right="-334"/>
              <w:rPr>
                <w:rFonts w:ascii="Arial" w:hAnsi="Arial" w:cs="Arial"/>
                <w:bCs/>
                <w:sz w:val="22"/>
                <w:szCs w:val="22"/>
              </w:rPr>
            </w:pPr>
          </w:p>
          <w:p w14:paraId="2CEF2AA0" w14:textId="77777777" w:rsidR="000F7848" w:rsidRPr="00230F35" w:rsidRDefault="000F7848" w:rsidP="00EA6B3B">
            <w:pPr>
              <w:pStyle w:val="NormalWeb"/>
              <w:spacing w:before="0" w:beforeAutospacing="0" w:after="0" w:afterAutospacing="0"/>
              <w:ind w:right="-334"/>
              <w:rPr>
                <w:rFonts w:ascii="Arial" w:hAnsi="Arial" w:cs="Arial"/>
                <w:bCs/>
                <w:sz w:val="22"/>
                <w:szCs w:val="22"/>
              </w:rPr>
            </w:pPr>
          </w:p>
          <w:p w14:paraId="6E430062" w14:textId="77777777" w:rsidR="000F7848" w:rsidRPr="00230F35" w:rsidRDefault="000F7848" w:rsidP="00EA6B3B">
            <w:pPr>
              <w:pStyle w:val="NormalWeb"/>
              <w:spacing w:before="0" w:beforeAutospacing="0" w:after="0" w:afterAutospacing="0"/>
              <w:ind w:right="-334"/>
              <w:rPr>
                <w:rFonts w:ascii="Arial" w:hAnsi="Arial" w:cs="Arial"/>
                <w:bCs/>
                <w:sz w:val="22"/>
                <w:szCs w:val="22"/>
              </w:rPr>
            </w:pPr>
          </w:p>
          <w:p w14:paraId="1B729BA7" w14:textId="77777777" w:rsidR="000F7848" w:rsidRPr="00230F35" w:rsidRDefault="000F7848" w:rsidP="00EA6B3B">
            <w:pPr>
              <w:pStyle w:val="NormalWeb"/>
              <w:spacing w:before="0" w:beforeAutospacing="0" w:after="0" w:afterAutospacing="0"/>
              <w:ind w:right="-334"/>
              <w:rPr>
                <w:rFonts w:ascii="Arial" w:hAnsi="Arial" w:cs="Arial"/>
                <w:bCs/>
                <w:sz w:val="22"/>
                <w:szCs w:val="22"/>
              </w:rPr>
            </w:pPr>
          </w:p>
          <w:p w14:paraId="16CA0673" w14:textId="77777777" w:rsidR="000F7848" w:rsidRPr="00230F35" w:rsidRDefault="000F7848" w:rsidP="00EA6B3B">
            <w:pPr>
              <w:pStyle w:val="NormalWeb"/>
              <w:spacing w:before="0" w:beforeAutospacing="0" w:after="0" w:afterAutospacing="0"/>
              <w:ind w:right="-334"/>
              <w:rPr>
                <w:rFonts w:ascii="Arial" w:hAnsi="Arial" w:cs="Arial"/>
                <w:bCs/>
                <w:sz w:val="22"/>
                <w:szCs w:val="22"/>
              </w:rPr>
            </w:pPr>
          </w:p>
          <w:p w14:paraId="5F6626C4" w14:textId="77777777" w:rsidR="000F7848" w:rsidRPr="00230F35" w:rsidRDefault="000F7848" w:rsidP="00EA6B3B">
            <w:pPr>
              <w:pStyle w:val="NormalWeb"/>
              <w:spacing w:before="0" w:beforeAutospacing="0" w:after="0" w:afterAutospacing="0"/>
              <w:ind w:right="-334"/>
              <w:rPr>
                <w:rFonts w:ascii="Arial" w:hAnsi="Arial" w:cs="Arial"/>
                <w:bCs/>
                <w:sz w:val="22"/>
                <w:szCs w:val="22"/>
              </w:rPr>
            </w:pPr>
          </w:p>
          <w:p w14:paraId="6CEA27DC" w14:textId="77777777" w:rsidR="000F7848" w:rsidRDefault="000F7848" w:rsidP="00EA6B3B">
            <w:pPr>
              <w:pStyle w:val="NormalWeb"/>
              <w:spacing w:before="0" w:beforeAutospacing="0" w:after="0" w:afterAutospacing="0"/>
              <w:ind w:right="-334"/>
              <w:rPr>
                <w:rFonts w:ascii="Arial" w:hAnsi="Arial" w:cs="Arial"/>
                <w:bCs/>
                <w:sz w:val="22"/>
                <w:szCs w:val="22"/>
              </w:rPr>
            </w:pPr>
          </w:p>
          <w:p w14:paraId="6E080A05" w14:textId="77777777" w:rsidR="000F7848" w:rsidRPr="00230F35" w:rsidRDefault="000F7848" w:rsidP="00EA6B3B">
            <w:pPr>
              <w:pStyle w:val="NormalWeb"/>
              <w:spacing w:before="0" w:beforeAutospacing="0" w:after="0" w:afterAutospacing="0"/>
              <w:ind w:right="-334"/>
              <w:rPr>
                <w:rFonts w:ascii="Arial" w:hAnsi="Arial" w:cs="Arial"/>
                <w:bCs/>
                <w:sz w:val="22"/>
                <w:szCs w:val="22"/>
              </w:rPr>
            </w:pPr>
          </w:p>
          <w:p w14:paraId="45755F9F" w14:textId="77777777" w:rsidR="000F7848" w:rsidRPr="00230F35" w:rsidRDefault="000F7848" w:rsidP="00EA6B3B">
            <w:pPr>
              <w:pStyle w:val="NormalWeb"/>
              <w:spacing w:before="0" w:beforeAutospacing="0" w:after="0" w:afterAutospacing="0"/>
              <w:ind w:right="-334"/>
              <w:rPr>
                <w:rFonts w:ascii="Arial" w:hAnsi="Arial" w:cs="Arial"/>
                <w:bCs/>
                <w:sz w:val="22"/>
                <w:szCs w:val="22"/>
              </w:rPr>
            </w:pPr>
          </w:p>
          <w:p w14:paraId="42E22FB4" w14:textId="77777777" w:rsidR="000F7848" w:rsidRPr="00230F35" w:rsidRDefault="000F7848" w:rsidP="00EA6B3B">
            <w:pPr>
              <w:pStyle w:val="NormalWeb"/>
              <w:spacing w:before="0" w:beforeAutospacing="0" w:after="0" w:afterAutospacing="0"/>
              <w:ind w:right="-334"/>
              <w:rPr>
                <w:rFonts w:ascii="Arial" w:hAnsi="Arial" w:cs="Arial"/>
                <w:bCs/>
                <w:sz w:val="22"/>
                <w:szCs w:val="22"/>
              </w:rPr>
            </w:pPr>
          </w:p>
        </w:tc>
      </w:tr>
      <w:tr w:rsidR="000F7848" w:rsidRPr="002F467C" w14:paraId="3D44B9F1" w14:textId="77777777" w:rsidTr="00EA6B3B">
        <w:trPr>
          <w:trHeight w:val="720"/>
        </w:trPr>
        <w:tc>
          <w:tcPr>
            <w:tcW w:w="5211" w:type="dxa"/>
            <w:gridSpan w:val="2"/>
          </w:tcPr>
          <w:p w14:paraId="70E77119" w14:textId="77777777" w:rsidR="000F7848" w:rsidRPr="00230F35" w:rsidRDefault="000F7848" w:rsidP="00EA6B3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9EABC3F" w14:textId="77777777" w:rsidR="000F7848" w:rsidRPr="00230F35" w:rsidRDefault="000F7848" w:rsidP="00EA6B3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0F7848" w:rsidRPr="002F467C" w14:paraId="5790FCEB" w14:textId="77777777" w:rsidTr="00EA6B3B">
        <w:trPr>
          <w:trHeight w:val="720"/>
        </w:trPr>
        <w:tc>
          <w:tcPr>
            <w:tcW w:w="8856" w:type="dxa"/>
            <w:gridSpan w:val="5"/>
          </w:tcPr>
          <w:p w14:paraId="109E328A" w14:textId="77777777" w:rsidR="000F7848" w:rsidRPr="00B34964" w:rsidRDefault="000F7848" w:rsidP="00EA6B3B">
            <w:pPr>
              <w:rPr>
                <w:rFonts w:ascii="Arial" w:hAnsi="Arial" w:cs="Arial"/>
                <w:b/>
                <w:sz w:val="22"/>
                <w:szCs w:val="22"/>
              </w:rPr>
            </w:pPr>
            <w:r w:rsidRPr="00B34964">
              <w:rPr>
                <w:rFonts w:ascii="Arial" w:hAnsi="Arial" w:cs="Arial"/>
                <w:b/>
                <w:sz w:val="22"/>
                <w:szCs w:val="22"/>
              </w:rPr>
              <w:t>External Examiner’s comments (if relevant)</w:t>
            </w:r>
          </w:p>
          <w:p w14:paraId="20057F66" w14:textId="77777777" w:rsidR="000F7848" w:rsidRPr="00230F35" w:rsidRDefault="000F7848" w:rsidP="00EA6B3B">
            <w:pPr>
              <w:pStyle w:val="NormalWeb"/>
              <w:spacing w:before="0" w:beforeAutospacing="0" w:after="0" w:afterAutospacing="0"/>
              <w:ind w:right="-334"/>
              <w:rPr>
                <w:rFonts w:ascii="Arial" w:hAnsi="Arial" w:cs="Arial"/>
                <w:bCs/>
                <w:sz w:val="22"/>
                <w:szCs w:val="22"/>
              </w:rPr>
            </w:pPr>
          </w:p>
          <w:p w14:paraId="0DF5266D" w14:textId="77777777" w:rsidR="000F7848" w:rsidRPr="00230F35" w:rsidRDefault="000F7848" w:rsidP="00EA6B3B">
            <w:pPr>
              <w:pStyle w:val="NormalWeb"/>
              <w:spacing w:before="0" w:beforeAutospacing="0" w:after="0" w:afterAutospacing="0"/>
              <w:ind w:right="-334"/>
              <w:rPr>
                <w:rFonts w:ascii="Arial" w:hAnsi="Arial" w:cs="Arial"/>
                <w:bCs/>
                <w:sz w:val="22"/>
                <w:szCs w:val="22"/>
              </w:rPr>
            </w:pPr>
          </w:p>
          <w:p w14:paraId="10CFEA2F" w14:textId="77777777" w:rsidR="000F7848" w:rsidRPr="00230F35" w:rsidRDefault="000F7848" w:rsidP="00EA6B3B">
            <w:pPr>
              <w:pStyle w:val="NormalWeb"/>
              <w:spacing w:before="0" w:beforeAutospacing="0" w:after="0" w:afterAutospacing="0"/>
              <w:ind w:right="-334"/>
              <w:rPr>
                <w:rFonts w:ascii="Arial" w:hAnsi="Arial" w:cs="Arial"/>
                <w:bCs/>
                <w:sz w:val="22"/>
                <w:szCs w:val="22"/>
              </w:rPr>
            </w:pPr>
          </w:p>
          <w:p w14:paraId="1357C499" w14:textId="77777777" w:rsidR="000F7848" w:rsidRPr="00230F35" w:rsidRDefault="000F7848" w:rsidP="00EA6B3B">
            <w:pPr>
              <w:pStyle w:val="NormalWeb"/>
              <w:spacing w:before="0" w:beforeAutospacing="0" w:after="0" w:afterAutospacing="0"/>
              <w:ind w:right="-334"/>
              <w:rPr>
                <w:rFonts w:ascii="Arial" w:hAnsi="Arial" w:cs="Arial"/>
                <w:bCs/>
                <w:sz w:val="22"/>
                <w:szCs w:val="22"/>
              </w:rPr>
            </w:pPr>
          </w:p>
          <w:p w14:paraId="291DEBEA" w14:textId="77777777" w:rsidR="000F7848" w:rsidRPr="00230F35" w:rsidRDefault="000F7848" w:rsidP="00EA6B3B">
            <w:pPr>
              <w:pStyle w:val="NormalWeb"/>
              <w:spacing w:before="0" w:beforeAutospacing="0" w:after="0" w:afterAutospacing="0"/>
              <w:ind w:right="-334"/>
              <w:rPr>
                <w:rFonts w:ascii="Arial" w:hAnsi="Arial" w:cs="Arial"/>
                <w:bCs/>
                <w:sz w:val="22"/>
                <w:szCs w:val="22"/>
              </w:rPr>
            </w:pPr>
          </w:p>
          <w:p w14:paraId="7BF02AAC" w14:textId="77777777" w:rsidR="000F7848" w:rsidRPr="00230F35" w:rsidRDefault="000F7848" w:rsidP="00EA6B3B">
            <w:pPr>
              <w:pStyle w:val="NormalWeb"/>
              <w:spacing w:before="0" w:beforeAutospacing="0" w:after="0" w:afterAutospacing="0"/>
              <w:ind w:right="-334"/>
              <w:rPr>
                <w:rFonts w:ascii="Arial" w:hAnsi="Arial" w:cs="Arial"/>
                <w:bCs/>
                <w:sz w:val="22"/>
                <w:szCs w:val="22"/>
              </w:rPr>
            </w:pPr>
          </w:p>
          <w:p w14:paraId="47A2114E" w14:textId="77777777" w:rsidR="000F7848" w:rsidRPr="00230F35" w:rsidRDefault="000F7848" w:rsidP="00EA6B3B">
            <w:pPr>
              <w:pStyle w:val="NormalWeb"/>
              <w:spacing w:before="0" w:beforeAutospacing="0" w:after="0" w:afterAutospacing="0"/>
              <w:ind w:right="-334"/>
              <w:rPr>
                <w:rFonts w:ascii="Arial" w:hAnsi="Arial" w:cs="Arial"/>
                <w:bCs/>
                <w:sz w:val="22"/>
                <w:szCs w:val="22"/>
              </w:rPr>
            </w:pPr>
          </w:p>
          <w:p w14:paraId="2F7EAAE3" w14:textId="77777777" w:rsidR="000F7848" w:rsidRPr="00230F35" w:rsidRDefault="000F7848" w:rsidP="00EA6B3B">
            <w:pPr>
              <w:pStyle w:val="NormalWeb"/>
              <w:spacing w:before="0" w:beforeAutospacing="0" w:after="0" w:afterAutospacing="0"/>
              <w:ind w:right="-334"/>
              <w:rPr>
                <w:rFonts w:ascii="Arial" w:hAnsi="Arial" w:cs="Arial"/>
                <w:bCs/>
                <w:sz w:val="22"/>
                <w:szCs w:val="22"/>
              </w:rPr>
            </w:pPr>
          </w:p>
          <w:p w14:paraId="296EA03B" w14:textId="77777777" w:rsidR="000F7848" w:rsidRDefault="000F7848" w:rsidP="00EA6B3B">
            <w:pPr>
              <w:pStyle w:val="NormalWeb"/>
              <w:spacing w:before="0" w:beforeAutospacing="0" w:after="0" w:afterAutospacing="0"/>
              <w:ind w:right="-334"/>
              <w:rPr>
                <w:rFonts w:ascii="Arial" w:hAnsi="Arial" w:cs="Arial"/>
                <w:bCs/>
                <w:sz w:val="22"/>
                <w:szCs w:val="22"/>
              </w:rPr>
            </w:pPr>
          </w:p>
          <w:p w14:paraId="1405C224" w14:textId="77777777" w:rsidR="000F7848" w:rsidRPr="00230F35" w:rsidRDefault="000F7848" w:rsidP="00EA6B3B">
            <w:pPr>
              <w:pStyle w:val="NormalWeb"/>
              <w:spacing w:before="0" w:beforeAutospacing="0" w:after="0" w:afterAutospacing="0"/>
              <w:ind w:right="-334"/>
              <w:rPr>
                <w:rFonts w:ascii="Arial" w:hAnsi="Arial" w:cs="Arial"/>
                <w:bCs/>
                <w:sz w:val="22"/>
                <w:szCs w:val="22"/>
              </w:rPr>
            </w:pPr>
          </w:p>
          <w:p w14:paraId="3BF5963A" w14:textId="77777777" w:rsidR="000F7848" w:rsidRPr="00230F35" w:rsidRDefault="000F7848" w:rsidP="00EA6B3B">
            <w:pPr>
              <w:pStyle w:val="NormalWeb"/>
              <w:spacing w:before="0" w:beforeAutospacing="0" w:after="0" w:afterAutospacing="0"/>
              <w:ind w:right="-334"/>
              <w:rPr>
                <w:rFonts w:ascii="Arial" w:hAnsi="Arial" w:cs="Arial"/>
                <w:bCs/>
                <w:sz w:val="22"/>
                <w:szCs w:val="22"/>
              </w:rPr>
            </w:pPr>
          </w:p>
        </w:tc>
      </w:tr>
      <w:tr w:rsidR="000F7848" w:rsidRPr="002F467C" w14:paraId="0F514FC9" w14:textId="77777777" w:rsidTr="00EA6B3B">
        <w:trPr>
          <w:trHeight w:val="720"/>
        </w:trPr>
        <w:tc>
          <w:tcPr>
            <w:tcW w:w="5211" w:type="dxa"/>
            <w:gridSpan w:val="2"/>
          </w:tcPr>
          <w:p w14:paraId="7043B902" w14:textId="77777777" w:rsidR="000F7848" w:rsidRPr="00230F35" w:rsidRDefault="000F7848" w:rsidP="00EA6B3B">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711D624E" w14:textId="77777777" w:rsidR="000F7848" w:rsidRPr="00230F35" w:rsidRDefault="000F7848" w:rsidP="00EA6B3B">
            <w:pPr>
              <w:rPr>
                <w:rFonts w:ascii="Arial" w:hAnsi="Arial" w:cs="Arial"/>
                <w:sz w:val="22"/>
                <w:szCs w:val="22"/>
              </w:rPr>
            </w:pPr>
            <w:r w:rsidRPr="00230F35">
              <w:rPr>
                <w:rFonts w:ascii="Arial" w:hAnsi="Arial" w:cs="Arial"/>
                <w:sz w:val="22"/>
                <w:szCs w:val="22"/>
              </w:rPr>
              <w:t>Date:</w:t>
            </w:r>
          </w:p>
        </w:tc>
      </w:tr>
    </w:tbl>
    <w:p w14:paraId="3D6E98D4" w14:textId="77777777" w:rsidR="000F7848" w:rsidRPr="00D67BF8" w:rsidRDefault="000F7848" w:rsidP="000F7848">
      <w:pPr>
        <w:pStyle w:val="NormalWeb"/>
        <w:spacing w:before="0" w:beforeAutospacing="0" w:after="0" w:afterAutospacing="0"/>
        <w:ind w:right="-334"/>
        <w:rPr>
          <w:rFonts w:ascii="Trebuchet MS" w:hAnsi="Trebuchet MS" w:cs="Tahoma"/>
          <w:bCs/>
          <w:sz w:val="24"/>
          <w:szCs w:val="24"/>
        </w:rPr>
      </w:pPr>
    </w:p>
    <w:p w14:paraId="03C5BD09" w14:textId="77777777" w:rsidR="000F7848" w:rsidRDefault="000F7848"/>
    <w:p w14:paraId="41CC1757" w14:textId="77777777" w:rsidR="000F7848" w:rsidRDefault="000F7848"/>
    <w:p w14:paraId="49A73623" w14:textId="77777777" w:rsidR="000F7848" w:rsidRDefault="000F7848"/>
    <w:p w14:paraId="345795A2" w14:textId="77777777" w:rsidR="000F7848" w:rsidRDefault="000F7848"/>
    <w:p w14:paraId="432E5787" w14:textId="7C50D17C" w:rsidR="000F7848" w:rsidRPr="009B4A4D" w:rsidRDefault="000F7848" w:rsidP="000F7848">
      <w:pPr>
        <w:pStyle w:val="NormalWeb"/>
        <w:spacing w:before="0" w:beforeAutospacing="0" w:after="0" w:afterAutospacing="0" w:line="360" w:lineRule="auto"/>
        <w:ind w:right="-334"/>
        <w:jc w:val="center"/>
        <w:rPr>
          <w:rFonts w:ascii="Times New Roman" w:hAnsi="Times New Roman"/>
          <w:bCs/>
          <w:sz w:val="32"/>
          <w:szCs w:val="32"/>
          <w:u w:val="single"/>
        </w:rPr>
      </w:pPr>
      <w:r w:rsidRPr="009B4A4D">
        <w:rPr>
          <w:rFonts w:ascii="Times New Roman" w:hAnsi="Times New Roman"/>
          <w:bCs/>
          <w:sz w:val="32"/>
          <w:szCs w:val="32"/>
          <w:u w:val="single"/>
        </w:rPr>
        <w:t>HPCA70</w:t>
      </w:r>
      <w:r>
        <w:rPr>
          <w:rFonts w:ascii="Times New Roman" w:hAnsi="Times New Roman"/>
          <w:bCs/>
          <w:sz w:val="32"/>
          <w:szCs w:val="32"/>
          <w:u w:val="single"/>
        </w:rPr>
        <w:t>1</w:t>
      </w:r>
      <w:r>
        <w:rPr>
          <w:rFonts w:ascii="Times New Roman" w:hAnsi="Times New Roman"/>
          <w:bCs/>
          <w:sz w:val="32"/>
          <w:szCs w:val="32"/>
          <w:u w:val="single"/>
        </w:rPr>
        <w:t>6</w:t>
      </w:r>
      <w:r w:rsidRPr="009B4A4D">
        <w:rPr>
          <w:rFonts w:ascii="Times New Roman" w:hAnsi="Times New Roman"/>
          <w:bCs/>
          <w:sz w:val="32"/>
          <w:szCs w:val="32"/>
          <w:u w:val="single"/>
        </w:rPr>
        <w:t>: Essay One</w:t>
      </w:r>
    </w:p>
    <w:p w14:paraId="63E0A743" w14:textId="77777777" w:rsidR="000F7848" w:rsidRPr="009B4A4D" w:rsidRDefault="000F7848" w:rsidP="000F7848">
      <w:pPr>
        <w:pStyle w:val="NormalWeb"/>
        <w:spacing w:before="0" w:beforeAutospacing="0" w:after="0" w:afterAutospacing="0" w:line="360" w:lineRule="auto"/>
        <w:ind w:right="-334"/>
        <w:jc w:val="center"/>
        <w:rPr>
          <w:rFonts w:ascii="Times New Roman" w:hAnsi="Times New Roman"/>
          <w:bCs/>
          <w:sz w:val="32"/>
          <w:szCs w:val="32"/>
          <w:u w:val="single"/>
        </w:rPr>
      </w:pPr>
    </w:p>
    <w:p w14:paraId="3C7DB1A5" w14:textId="77777777" w:rsidR="000F7848" w:rsidRDefault="000F7848" w:rsidP="000F7848">
      <w:pPr>
        <w:pStyle w:val="NormalWeb"/>
        <w:spacing w:before="0" w:beforeAutospacing="0" w:after="0" w:afterAutospacing="0" w:line="360" w:lineRule="auto"/>
        <w:ind w:right="-334"/>
        <w:jc w:val="center"/>
        <w:rPr>
          <w:rFonts w:ascii="Times New Roman" w:hAnsi="Times New Roman"/>
          <w:bCs/>
          <w:sz w:val="32"/>
          <w:szCs w:val="32"/>
          <w:u w:val="single"/>
        </w:rPr>
      </w:pPr>
      <w:r w:rsidRPr="009B4A4D">
        <w:rPr>
          <w:rFonts w:ascii="Times New Roman" w:hAnsi="Times New Roman"/>
          <w:bCs/>
          <w:sz w:val="32"/>
          <w:szCs w:val="32"/>
          <w:u w:val="single"/>
        </w:rPr>
        <w:t>Luke Collin</w:t>
      </w:r>
    </w:p>
    <w:p w14:paraId="3D14EDE5" w14:textId="77777777" w:rsidR="000F7848" w:rsidRDefault="000F7848" w:rsidP="000F7848">
      <w:pPr>
        <w:pStyle w:val="NormalWeb"/>
        <w:spacing w:before="0" w:beforeAutospacing="0" w:after="0" w:afterAutospacing="0" w:line="360" w:lineRule="auto"/>
        <w:ind w:right="-334"/>
        <w:jc w:val="center"/>
        <w:rPr>
          <w:rFonts w:ascii="Times New Roman" w:hAnsi="Times New Roman"/>
          <w:bCs/>
          <w:sz w:val="32"/>
          <w:szCs w:val="32"/>
          <w:u w:val="single"/>
        </w:rPr>
      </w:pPr>
    </w:p>
    <w:p w14:paraId="66F733B2" w14:textId="77777777" w:rsidR="000F7848" w:rsidRPr="00F43577" w:rsidRDefault="000F7848" w:rsidP="000F7848">
      <w:pPr>
        <w:pStyle w:val="NormalWeb"/>
        <w:spacing w:before="0" w:beforeAutospacing="0" w:after="0" w:afterAutospacing="0" w:line="360" w:lineRule="auto"/>
        <w:ind w:right="-334"/>
        <w:jc w:val="center"/>
        <w:rPr>
          <w:rFonts w:ascii="Times New Roman" w:hAnsi="Times New Roman"/>
          <w:bCs/>
          <w:sz w:val="32"/>
          <w:szCs w:val="32"/>
          <w:u w:val="single"/>
        </w:rPr>
      </w:pPr>
      <w:r w:rsidRPr="00F43577">
        <w:rPr>
          <w:rFonts w:ascii="Times New Roman" w:hAnsi="Times New Roman"/>
          <w:sz w:val="32"/>
          <w:szCs w:val="32"/>
          <w:u w:val="single"/>
        </w:rPr>
        <w:t>A critical comparison of two secondary sources</w:t>
      </w:r>
    </w:p>
    <w:p w14:paraId="3D34B2FE" w14:textId="77777777" w:rsidR="000F7848" w:rsidRPr="00D736FB" w:rsidRDefault="000F7848" w:rsidP="000F7848">
      <w:pPr>
        <w:pStyle w:val="NormalWeb"/>
        <w:spacing w:line="360" w:lineRule="auto"/>
        <w:jc w:val="both"/>
        <w:rPr>
          <w:rFonts w:ascii="Times New Roman" w:hAnsi="Times New Roman"/>
          <w:bCs/>
          <w:sz w:val="24"/>
          <w:szCs w:val="24"/>
          <w:u w:val="single"/>
        </w:rPr>
      </w:pPr>
      <w:r>
        <w:rPr>
          <w:rFonts w:ascii="Times New Roman" w:hAnsi="Times New Roman"/>
          <w:bCs/>
          <w:sz w:val="24"/>
          <w:szCs w:val="24"/>
          <w:u w:val="single"/>
        </w:rPr>
        <w:t>Introduction</w:t>
      </w:r>
    </w:p>
    <w:p w14:paraId="1A9ADDE3" w14:textId="09DFDA42" w:rsidR="00DC7087" w:rsidRDefault="00A568AD" w:rsidP="00295D74">
      <w:pPr>
        <w:spacing w:line="360" w:lineRule="auto"/>
        <w:jc w:val="both"/>
      </w:pPr>
      <w:r>
        <w:t>Human beings must believe in something, it is essential to our existence</w:t>
      </w:r>
      <w:r>
        <w:rPr>
          <w:rStyle w:val="FootnoteReference"/>
        </w:rPr>
        <w:footnoteReference w:id="1"/>
      </w:r>
      <w:r>
        <w:t>. Beliefs provide direction and act as our guiding principles</w:t>
      </w:r>
      <w:r>
        <w:rPr>
          <w:rStyle w:val="FootnoteReference"/>
        </w:rPr>
        <w:footnoteReference w:id="2"/>
      </w:r>
      <w:r>
        <w:t xml:space="preserve">. One such belief is reincarnation. </w:t>
      </w:r>
      <w:r w:rsidR="001F7D70">
        <w:t xml:space="preserve">Reincarnation </w:t>
      </w:r>
      <w:r w:rsidR="007A2155">
        <w:t>is derived from Latin, meaning “to take on the flesh again”</w:t>
      </w:r>
      <w:r w:rsidR="007A2155">
        <w:rPr>
          <w:rStyle w:val="FootnoteReference"/>
        </w:rPr>
        <w:footnoteReference w:id="3"/>
      </w:r>
      <w:r w:rsidR="007A2155">
        <w:t xml:space="preserve">. It </w:t>
      </w:r>
      <w:r w:rsidR="001F7D70">
        <w:t>is defined as being the belief in that</w:t>
      </w:r>
      <w:r w:rsidR="007A2155">
        <w:t xml:space="preserve"> we, as humans</w:t>
      </w:r>
      <w:r w:rsidR="004F4CA0">
        <w:t>,</w:t>
      </w:r>
      <w:r w:rsidR="007A2155">
        <w:t xml:space="preserve"> can come back again in a different body</w:t>
      </w:r>
      <w:r w:rsidR="007A2155">
        <w:rPr>
          <w:rStyle w:val="FootnoteReference"/>
        </w:rPr>
        <w:footnoteReference w:id="4"/>
      </w:r>
      <w:r w:rsidR="004F4CA0">
        <w:t>. Its purpose is for our</w:t>
      </w:r>
      <w:r w:rsidR="007A2155">
        <w:t xml:space="preserve"> </w:t>
      </w:r>
      <w:r w:rsidR="004F4CA0">
        <w:t>spiritual growth and the soul’s</w:t>
      </w:r>
      <w:r w:rsidR="007A2155">
        <w:t xml:space="preserve"> </w:t>
      </w:r>
      <w:r w:rsidR="004F4CA0">
        <w:t>development, thus implying that the soul lives on after death</w:t>
      </w:r>
      <w:r w:rsidR="004F4CA0">
        <w:rPr>
          <w:rStyle w:val="FootnoteReference"/>
        </w:rPr>
        <w:footnoteReference w:id="5"/>
      </w:r>
      <w:r w:rsidR="004F4CA0">
        <w:t xml:space="preserve">. </w:t>
      </w:r>
      <w:r w:rsidR="001F7D70">
        <w:t xml:space="preserve">When one hears of such </w:t>
      </w:r>
      <w:r w:rsidR="00F02249">
        <w:t xml:space="preserve">a </w:t>
      </w:r>
      <w:r w:rsidR="001F7D70">
        <w:t>topic, thoughts about eastern religions tend to appear.</w:t>
      </w:r>
      <w:r w:rsidR="00DC7087">
        <w:t xml:space="preserve"> </w:t>
      </w:r>
      <w:r w:rsidR="001F7D70">
        <w:t>In the east, reincarnation is a central ideology within the religion</w:t>
      </w:r>
      <w:r w:rsidR="00F02249">
        <w:t>s</w:t>
      </w:r>
      <w:r w:rsidR="001F7D70">
        <w:t xml:space="preserve"> of Buddhism</w:t>
      </w:r>
      <w:r w:rsidR="004F4CA0">
        <w:rPr>
          <w:rStyle w:val="FootnoteReference"/>
        </w:rPr>
        <w:footnoteReference w:id="6"/>
      </w:r>
      <w:r w:rsidR="0056047C">
        <w:t xml:space="preserve">, </w:t>
      </w:r>
      <w:r w:rsidR="004F4CA0">
        <w:t>Hinduism, Sikhism</w:t>
      </w:r>
      <w:r w:rsidR="00F02249">
        <w:t>. It</w:t>
      </w:r>
      <w:r w:rsidR="004F4CA0">
        <w:t xml:space="preserve"> can be found </w:t>
      </w:r>
      <w:r w:rsidR="00F02249">
        <w:t>within</w:t>
      </w:r>
      <w:r w:rsidR="004F4CA0">
        <w:t xml:space="preserve"> some tribal religions </w:t>
      </w:r>
      <w:r w:rsidR="00F02249">
        <w:t>in</w:t>
      </w:r>
      <w:r w:rsidR="004F4CA0">
        <w:t xml:space="preserve"> Africa and </w:t>
      </w:r>
      <w:r w:rsidR="00F02249">
        <w:t>America but is</w:t>
      </w:r>
      <w:r w:rsidR="004F4CA0">
        <w:t xml:space="preserve"> not present within the Judeo-Christian faiths</w:t>
      </w:r>
      <w:r w:rsidR="004F4CA0">
        <w:rPr>
          <w:rStyle w:val="FootnoteReference"/>
        </w:rPr>
        <w:footnoteReference w:id="7"/>
      </w:r>
      <w:r w:rsidR="004F4CA0">
        <w:t xml:space="preserve">. </w:t>
      </w:r>
      <w:r w:rsidR="001F7D70">
        <w:t xml:space="preserve">However, reincarnation </w:t>
      </w:r>
      <w:r w:rsidR="007A2155">
        <w:t xml:space="preserve">is </w:t>
      </w:r>
      <w:r w:rsidR="001F7D70">
        <w:t>widely believed in the west</w:t>
      </w:r>
      <w:r w:rsidR="003E574D">
        <w:t>,</w:t>
      </w:r>
      <w:r w:rsidR="005E3222">
        <w:t xml:space="preserve"> not only by those of the </w:t>
      </w:r>
      <w:proofErr w:type="gramStart"/>
      <w:r w:rsidR="005E3222">
        <w:t>aforementioned faiths</w:t>
      </w:r>
      <w:proofErr w:type="gramEnd"/>
      <w:r w:rsidR="005E3222">
        <w:t xml:space="preserve"> or those that </w:t>
      </w:r>
      <w:r w:rsidR="003027D9">
        <w:t>ascribe</w:t>
      </w:r>
      <w:r w:rsidR="005E3222">
        <w:t xml:space="preserve"> to the New Age thought, but</w:t>
      </w:r>
      <w:r w:rsidR="00F02249">
        <w:t xml:space="preserve"> also</w:t>
      </w:r>
      <w:r w:rsidR="005E3222">
        <w:t xml:space="preserve"> by those who don’t</w:t>
      </w:r>
      <w:r w:rsidR="009A4A0B">
        <w:rPr>
          <w:rStyle w:val="FootnoteReference"/>
        </w:rPr>
        <w:footnoteReference w:id="8"/>
      </w:r>
      <w:r w:rsidR="009A4A0B">
        <w:t>.</w:t>
      </w:r>
      <w:r w:rsidR="001F7D70">
        <w:t xml:space="preserve"> </w:t>
      </w:r>
    </w:p>
    <w:p w14:paraId="06FFA49F" w14:textId="77777777" w:rsidR="00DC7087" w:rsidRDefault="00DC7087" w:rsidP="00295D74">
      <w:pPr>
        <w:spacing w:line="360" w:lineRule="auto"/>
        <w:jc w:val="both"/>
      </w:pPr>
    </w:p>
    <w:p w14:paraId="73602EE9" w14:textId="006C747A" w:rsidR="00FA655C" w:rsidRDefault="001F7D70" w:rsidP="00295D74">
      <w:pPr>
        <w:spacing w:line="360" w:lineRule="auto"/>
        <w:jc w:val="both"/>
      </w:pPr>
      <w:r>
        <w:t xml:space="preserve">This essay will examine the prevalence of reincarnation within the west by referring to two secondary sources that have gathered </w:t>
      </w:r>
      <w:r w:rsidR="007A2155">
        <w:t xml:space="preserve">interpretivist </w:t>
      </w:r>
      <w:r>
        <w:t>qualitative research data</w:t>
      </w:r>
      <w:r w:rsidR="00FA655C">
        <w:t xml:space="preserve">. The first source </w:t>
      </w:r>
      <w:r w:rsidR="006E1AD4">
        <w:t xml:space="preserve">to be analysed </w:t>
      </w:r>
      <w:r w:rsidR="00FA655C">
        <w:t>is ‘</w:t>
      </w:r>
      <w:r w:rsidR="00FA655C">
        <w:rPr>
          <w:i/>
          <w:iCs/>
        </w:rPr>
        <w:t xml:space="preserve">Inconsistency of Belief among Roman Catholic Girls: Concerning </w:t>
      </w:r>
      <w:r w:rsidR="00FA655C">
        <w:rPr>
          <w:i/>
          <w:iCs/>
        </w:rPr>
        <w:lastRenderedPageBreak/>
        <w:t xml:space="preserve">Religion, Astrology, Reincarnation’ </w:t>
      </w:r>
      <w:r w:rsidR="006E1AD4">
        <w:t>by T.L Brink in 1978, and the second source to be examined is ‘</w:t>
      </w:r>
      <w:r w:rsidR="006E1AD4" w:rsidRPr="006E1AD4">
        <w:rPr>
          <w:i/>
          <w:iCs/>
        </w:rPr>
        <w:t>A Very Private Belief: Reincarnation in Contemporary England</w:t>
      </w:r>
      <w:r w:rsidR="006E1AD4">
        <w:t xml:space="preserve">’ by Tony Walter and Helen Waterhouse in </w:t>
      </w:r>
      <w:r w:rsidR="00295D74">
        <w:t>1999.</w:t>
      </w:r>
      <w:r w:rsidR="00DC7087">
        <w:t xml:space="preserve"> Upon a th</w:t>
      </w:r>
      <w:r w:rsidR="003027D9">
        <w:t>orough</w:t>
      </w:r>
      <w:r w:rsidR="00DC7087">
        <w:t xml:space="preserve"> investigation into these sources individually, a discussion</w:t>
      </w:r>
      <w:r w:rsidR="00F02249">
        <w:t xml:space="preserve"> whereby the sources are critically compared</w:t>
      </w:r>
      <w:r w:rsidR="00DC7087">
        <w:t xml:space="preserve"> will </w:t>
      </w:r>
      <w:r w:rsidR="00F02249">
        <w:t>take place, it will</w:t>
      </w:r>
      <w:r w:rsidR="00DC7087">
        <w:t xml:space="preserve"> assess their similarities and differences. Lastly, </w:t>
      </w:r>
      <w:r w:rsidR="00DC7087" w:rsidRPr="00540E3F">
        <w:rPr>
          <w:rFonts w:eastAsia="Times New Roman"/>
          <w:lang w:eastAsia="en-GB"/>
        </w:rPr>
        <w:t xml:space="preserve">the essay will be concluded by </w:t>
      </w:r>
      <w:r w:rsidR="00DC7087" w:rsidRPr="00540E3F">
        <w:rPr>
          <w:rFonts w:eastAsia="Times New Roman"/>
          <w:lang w:eastAsia="en-GB"/>
        </w:rPr>
        <w:t>summarising</w:t>
      </w:r>
      <w:r w:rsidR="00DC7087" w:rsidRPr="00540E3F">
        <w:rPr>
          <w:rFonts w:eastAsia="Times New Roman"/>
          <w:lang w:eastAsia="en-GB"/>
        </w:rPr>
        <w:t xml:space="preserve"> what has been found.</w:t>
      </w:r>
    </w:p>
    <w:p w14:paraId="4910C403" w14:textId="77777777" w:rsidR="00295D74" w:rsidRDefault="00295D74" w:rsidP="00295D74">
      <w:pPr>
        <w:spacing w:line="360" w:lineRule="auto"/>
        <w:jc w:val="both"/>
      </w:pPr>
    </w:p>
    <w:p w14:paraId="62D1E024" w14:textId="252E2035" w:rsidR="00295D74" w:rsidRDefault="00295D74" w:rsidP="00295D74">
      <w:pPr>
        <w:spacing w:line="360" w:lineRule="auto"/>
        <w:jc w:val="both"/>
        <w:rPr>
          <w:u w:val="single"/>
        </w:rPr>
      </w:pPr>
      <w:r w:rsidRPr="00295D74">
        <w:rPr>
          <w:u w:val="single"/>
        </w:rPr>
        <w:t>Inconsistency of belief</w:t>
      </w:r>
    </w:p>
    <w:p w14:paraId="4163D692" w14:textId="77777777" w:rsidR="00295D74" w:rsidRDefault="00295D74" w:rsidP="00295D74">
      <w:pPr>
        <w:spacing w:line="360" w:lineRule="auto"/>
        <w:jc w:val="both"/>
        <w:rPr>
          <w:u w:val="single"/>
        </w:rPr>
      </w:pPr>
    </w:p>
    <w:p w14:paraId="218CE0E1" w14:textId="105BBBF0" w:rsidR="00330818" w:rsidRDefault="00295D74" w:rsidP="00295D74">
      <w:pPr>
        <w:spacing w:line="360" w:lineRule="auto"/>
        <w:jc w:val="both"/>
      </w:pPr>
      <w:r w:rsidRPr="00295D74">
        <w:t xml:space="preserve">The paper by </w:t>
      </w:r>
      <w:r w:rsidR="008E393A">
        <w:t xml:space="preserve">T.L Brink, </w:t>
      </w:r>
      <w:r w:rsidR="008E393A">
        <w:t>‘</w:t>
      </w:r>
      <w:r w:rsidR="008E393A">
        <w:rPr>
          <w:i/>
          <w:iCs/>
        </w:rPr>
        <w:t>Inconsistency of Belief among Roman Catholic Girls: Concerning Religion, Astrology, Reincarnation’</w:t>
      </w:r>
      <w:r w:rsidR="002F1DC6">
        <w:rPr>
          <w:i/>
          <w:iCs/>
        </w:rPr>
        <w:t xml:space="preserve"> </w:t>
      </w:r>
      <w:r w:rsidR="002F1DC6">
        <w:t>published in 1978,</w:t>
      </w:r>
      <w:r w:rsidR="008E393A">
        <w:rPr>
          <w:i/>
          <w:iCs/>
        </w:rPr>
        <w:t xml:space="preserve"> </w:t>
      </w:r>
      <w:r w:rsidR="008E393A">
        <w:t>focusses on the religious attitudes of 227 junior and senior students from a Catholic girl’s high school in Chicago. The subjects come from working class families who are of Polish and Italian descent. The data was collected through the completion of questionaries that were issued during class time.</w:t>
      </w:r>
      <w:r w:rsidR="003D7C00">
        <w:t xml:space="preserve"> </w:t>
      </w:r>
      <w:r w:rsidR="00330818">
        <w:t>The</w:t>
      </w:r>
      <w:r w:rsidR="002F1DC6">
        <w:t xml:space="preserve"> </w:t>
      </w:r>
      <w:r w:rsidR="00330818">
        <w:t xml:space="preserve">questionaries consisted of questions related to the beliefs of Astrology and Reincarnation. </w:t>
      </w:r>
      <w:r w:rsidR="005E3222">
        <w:t xml:space="preserve">Using a functionalist perspective, Brink’s </w:t>
      </w:r>
      <w:r w:rsidR="00330818" w:rsidRPr="00F02249">
        <w:t xml:space="preserve">hopes </w:t>
      </w:r>
      <w:r w:rsidR="00C40FFA" w:rsidRPr="00F02249">
        <w:t>were</w:t>
      </w:r>
      <w:r w:rsidR="00330818" w:rsidRPr="00F02249">
        <w:t xml:space="preserve"> to find a correlation between </w:t>
      </w:r>
      <w:r w:rsidR="000C7F18" w:rsidRPr="00F02249">
        <w:t>the pre-existing</w:t>
      </w:r>
      <w:r w:rsidR="00330818" w:rsidRPr="00F02249">
        <w:t xml:space="preserve"> Catholic religious doctrine and how that worked </w:t>
      </w:r>
      <w:r w:rsidR="000C7F18" w:rsidRPr="00F02249">
        <w:t>alongside the</w:t>
      </w:r>
      <w:r w:rsidR="00330818" w:rsidRPr="00F02249">
        <w:t xml:space="preserve"> beliefs of astrology and </w:t>
      </w:r>
      <w:r w:rsidR="000C7F18" w:rsidRPr="00F02249">
        <w:t>reincarnation</w:t>
      </w:r>
      <w:r w:rsidR="00330818" w:rsidRPr="00F02249">
        <w:t xml:space="preserve"> on an </w:t>
      </w:r>
      <w:r w:rsidR="000C7F18" w:rsidRPr="00F02249">
        <w:t>individual</w:t>
      </w:r>
      <w:r w:rsidR="00330818" w:rsidRPr="00F02249">
        <w:t xml:space="preserve"> level</w:t>
      </w:r>
      <w:r w:rsidR="000C7F18" w:rsidRPr="00F02249">
        <w:t>.</w:t>
      </w:r>
      <w:r w:rsidR="000C7F18">
        <w:t xml:space="preserve"> </w:t>
      </w:r>
      <w:r w:rsidR="000C7F18" w:rsidRPr="003D7C00">
        <w:t xml:space="preserve">Brink </w:t>
      </w:r>
      <w:r w:rsidR="003D7C00" w:rsidRPr="003D7C00">
        <w:t>hypothesises that the school</w:t>
      </w:r>
      <w:r w:rsidR="003D7C00">
        <w:t>-</w:t>
      </w:r>
      <w:r w:rsidR="003D7C00" w:rsidRPr="003D7C00">
        <w:t>girls acceptance of one of these three beliefs (</w:t>
      </w:r>
      <w:r w:rsidR="006379F4">
        <w:t>r</w:t>
      </w:r>
      <w:r w:rsidR="003D7C00" w:rsidRPr="003D7C00">
        <w:t xml:space="preserve">eincarnation, </w:t>
      </w:r>
      <w:r w:rsidR="006379F4">
        <w:t>c</w:t>
      </w:r>
      <w:r w:rsidR="003D7C00" w:rsidRPr="003D7C00">
        <w:t xml:space="preserve">atholic doctrine or </w:t>
      </w:r>
      <w:r w:rsidR="006379F4">
        <w:t>a</w:t>
      </w:r>
      <w:r w:rsidR="003D7C00" w:rsidRPr="003D7C00">
        <w:t>strology) will likely show a rejection of the others</w:t>
      </w:r>
      <w:r w:rsidR="003D7C00">
        <w:rPr>
          <w:rStyle w:val="FootnoteReference"/>
        </w:rPr>
        <w:footnoteReference w:id="9"/>
      </w:r>
      <w:r w:rsidR="003D7C00" w:rsidRPr="003D7C00">
        <w:t>.</w:t>
      </w:r>
      <w:r w:rsidR="003D7C00">
        <w:rPr>
          <w:highlight w:val="green"/>
        </w:rPr>
        <w:t xml:space="preserve"> </w:t>
      </w:r>
    </w:p>
    <w:p w14:paraId="268CAECE" w14:textId="77777777" w:rsidR="00B063ED" w:rsidRDefault="00B063ED" w:rsidP="00295D74">
      <w:pPr>
        <w:spacing w:line="360" w:lineRule="auto"/>
        <w:jc w:val="both"/>
      </w:pPr>
    </w:p>
    <w:p w14:paraId="05295D3E" w14:textId="29EA5B98" w:rsidR="00CD67C6" w:rsidRDefault="008E393A" w:rsidP="00295D74">
      <w:pPr>
        <w:spacing w:line="360" w:lineRule="auto"/>
        <w:jc w:val="both"/>
      </w:pPr>
      <w:r>
        <w:t>Brink displayed his findings in the below table (see fig.1)</w:t>
      </w:r>
      <w:r w:rsidR="00330818">
        <w:t>, which provided varied results. He believes that his hypothesis was not met</w:t>
      </w:r>
      <w:r w:rsidR="00450978">
        <w:t>, stating that “acceptance of one belief system was no assurance that incompatible beliefs would be rejected”</w:t>
      </w:r>
      <w:r w:rsidR="00450978">
        <w:rPr>
          <w:rStyle w:val="FootnoteReference"/>
        </w:rPr>
        <w:footnoteReference w:id="10"/>
      </w:r>
      <w:r w:rsidR="00450978">
        <w:t>.</w:t>
      </w:r>
      <w:r w:rsidR="00330818">
        <w:t xml:space="preserve"> </w:t>
      </w:r>
    </w:p>
    <w:p w14:paraId="24AECE85" w14:textId="77777777" w:rsidR="000C7F18" w:rsidRDefault="000C7F18" w:rsidP="00295D74">
      <w:pPr>
        <w:spacing w:line="360" w:lineRule="auto"/>
        <w:jc w:val="both"/>
      </w:pPr>
    </w:p>
    <w:p w14:paraId="6096DAFD" w14:textId="3D11F392" w:rsidR="000C7F18" w:rsidRDefault="000C7F18" w:rsidP="00295D74">
      <w:pPr>
        <w:spacing w:line="360" w:lineRule="auto"/>
        <w:jc w:val="both"/>
      </w:pPr>
      <w:r>
        <w:rPr>
          <w:noProof/>
          <w14:ligatures w14:val="standardContextual"/>
        </w:rPr>
        <w:lastRenderedPageBreak/>
        <w:drawing>
          <wp:anchor distT="0" distB="0" distL="114300" distR="114300" simplePos="0" relativeHeight="251658240" behindDoc="1" locked="0" layoutInCell="1" allowOverlap="1" wp14:anchorId="266FDC12" wp14:editId="6C64BC1D">
            <wp:simplePos x="0" y="0"/>
            <wp:positionH relativeFrom="column">
              <wp:posOffset>358580</wp:posOffset>
            </wp:positionH>
            <wp:positionV relativeFrom="paragraph">
              <wp:posOffset>192405</wp:posOffset>
            </wp:positionV>
            <wp:extent cx="4500245" cy="3646170"/>
            <wp:effectExtent l="0" t="0" r="0" b="0"/>
            <wp:wrapTight wrapText="bothSides">
              <wp:wrapPolygon edited="0">
                <wp:start x="0" y="0"/>
                <wp:lineTo x="0" y="21517"/>
                <wp:lineTo x="21518" y="21517"/>
                <wp:lineTo x="21518" y="0"/>
                <wp:lineTo x="0" y="0"/>
              </wp:wrapPolygon>
            </wp:wrapTight>
            <wp:docPr id="644598877" name="Picture 1" descr="A table of numbers and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598877" name="Picture 1" descr="A table of numbers and words&#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4500245" cy="3646170"/>
                    </a:xfrm>
                    <a:prstGeom prst="rect">
                      <a:avLst/>
                    </a:prstGeom>
                  </pic:spPr>
                </pic:pic>
              </a:graphicData>
            </a:graphic>
            <wp14:sizeRelH relativeFrom="page">
              <wp14:pctWidth>0</wp14:pctWidth>
            </wp14:sizeRelH>
            <wp14:sizeRelV relativeFrom="page">
              <wp14:pctHeight>0</wp14:pctHeight>
            </wp14:sizeRelV>
          </wp:anchor>
        </w:drawing>
      </w:r>
    </w:p>
    <w:p w14:paraId="60B8FAE1" w14:textId="5A991044" w:rsidR="000C7F18" w:rsidRDefault="000C7F18" w:rsidP="00295D74">
      <w:pPr>
        <w:spacing w:line="360" w:lineRule="auto"/>
        <w:jc w:val="both"/>
      </w:pPr>
    </w:p>
    <w:p w14:paraId="6C8D147F" w14:textId="77777777" w:rsidR="000C7F18" w:rsidRDefault="000C7F18" w:rsidP="00295D74">
      <w:pPr>
        <w:spacing w:line="360" w:lineRule="auto"/>
        <w:jc w:val="both"/>
      </w:pPr>
    </w:p>
    <w:p w14:paraId="01E08089" w14:textId="77777777" w:rsidR="000C7F18" w:rsidRDefault="000C7F18" w:rsidP="00295D74">
      <w:pPr>
        <w:spacing w:line="360" w:lineRule="auto"/>
        <w:jc w:val="both"/>
      </w:pPr>
    </w:p>
    <w:p w14:paraId="1E2AA07E" w14:textId="77777777" w:rsidR="000C7F18" w:rsidRPr="006E1AD4" w:rsidRDefault="000C7F18" w:rsidP="00295D74">
      <w:pPr>
        <w:spacing w:line="360" w:lineRule="auto"/>
        <w:jc w:val="both"/>
      </w:pPr>
    </w:p>
    <w:p w14:paraId="0338B1AB" w14:textId="77777777" w:rsidR="00FA655C" w:rsidRDefault="00FA655C"/>
    <w:p w14:paraId="608CAE10" w14:textId="77777777" w:rsidR="000C7F18" w:rsidRDefault="000C7F18"/>
    <w:p w14:paraId="343E67F0" w14:textId="77777777" w:rsidR="000C7F18" w:rsidRDefault="000C7F18"/>
    <w:p w14:paraId="2A94AD52" w14:textId="77777777" w:rsidR="000C7F18" w:rsidRDefault="000C7F18"/>
    <w:p w14:paraId="716F5ADE" w14:textId="77777777" w:rsidR="000C7F18" w:rsidRDefault="000C7F18"/>
    <w:p w14:paraId="440265CE" w14:textId="77777777" w:rsidR="000C7F18" w:rsidRDefault="000C7F18"/>
    <w:p w14:paraId="7DE776B6" w14:textId="77777777" w:rsidR="000C7F18" w:rsidRDefault="000C7F18"/>
    <w:p w14:paraId="3C00780E" w14:textId="77777777" w:rsidR="000C7F18" w:rsidRDefault="000C7F18"/>
    <w:p w14:paraId="21E2B5E8" w14:textId="77777777" w:rsidR="000C7F18" w:rsidRDefault="000C7F18"/>
    <w:p w14:paraId="0CCFFADC" w14:textId="77777777" w:rsidR="000C7F18" w:rsidRDefault="000C7F18"/>
    <w:p w14:paraId="6274096A" w14:textId="77777777" w:rsidR="000C7F18" w:rsidRDefault="000C7F18"/>
    <w:p w14:paraId="6B4E95AB" w14:textId="77777777" w:rsidR="000C7F18" w:rsidRDefault="000C7F18"/>
    <w:p w14:paraId="21B274A1" w14:textId="77777777" w:rsidR="000C7F18" w:rsidRDefault="000C7F18"/>
    <w:p w14:paraId="30E4A20C" w14:textId="77777777" w:rsidR="000C7F18" w:rsidRDefault="000C7F18"/>
    <w:p w14:paraId="2986D1EF" w14:textId="77777777" w:rsidR="000C7F18" w:rsidRDefault="000C7F18"/>
    <w:p w14:paraId="4403EB4A" w14:textId="63F73DE2" w:rsidR="000C7F18" w:rsidRPr="00870C04" w:rsidRDefault="00870C04" w:rsidP="00870C04">
      <w:pPr>
        <w:pStyle w:val="Heading3"/>
        <w:rPr>
          <w:rFonts w:ascii="Times New Roman" w:hAnsi="Times New Roman" w:cs="Times New Roman"/>
          <w:b w:val="0"/>
          <w:bCs w:val="0"/>
        </w:rPr>
      </w:pPr>
      <w:r>
        <w:rPr>
          <w:rFonts w:ascii="Times New Roman" w:hAnsi="Times New Roman" w:cs="Times New Roman"/>
          <w:b w:val="0"/>
          <w:bCs w:val="0"/>
        </w:rPr>
        <w:t xml:space="preserve">   </w:t>
      </w:r>
      <w:r w:rsidR="000C7F18" w:rsidRPr="00870C04">
        <w:rPr>
          <w:rFonts w:ascii="Times New Roman" w:hAnsi="Times New Roman" w:cs="Times New Roman"/>
          <w:b w:val="0"/>
          <w:bCs w:val="0"/>
        </w:rPr>
        <w:t>Figure 1: The results of Brink’s questionnaire. Taken from Brink (1978), p.83</w:t>
      </w:r>
      <w:r w:rsidR="00FA5B5B">
        <w:rPr>
          <w:rStyle w:val="FootnoteReference"/>
          <w:rFonts w:ascii="Times New Roman" w:hAnsi="Times New Roman" w:cs="Times New Roman"/>
          <w:b w:val="0"/>
          <w:bCs w:val="0"/>
        </w:rPr>
        <w:footnoteReference w:id="11"/>
      </w:r>
      <w:r w:rsidR="000C7F18" w:rsidRPr="00870C04">
        <w:rPr>
          <w:rFonts w:ascii="Times New Roman" w:hAnsi="Times New Roman" w:cs="Times New Roman"/>
          <w:b w:val="0"/>
          <w:bCs w:val="0"/>
        </w:rPr>
        <w:t>.</w:t>
      </w:r>
    </w:p>
    <w:p w14:paraId="1EC5B822" w14:textId="77777777" w:rsidR="000C7F18" w:rsidRDefault="000C7F18"/>
    <w:p w14:paraId="036CB90E" w14:textId="77777777" w:rsidR="000C7F18" w:rsidRDefault="000C7F18"/>
    <w:p w14:paraId="1F469145" w14:textId="32C3121C" w:rsidR="000C7F18" w:rsidRDefault="00C40FFA" w:rsidP="00D403DC">
      <w:pPr>
        <w:spacing w:line="360" w:lineRule="auto"/>
        <w:jc w:val="both"/>
      </w:pPr>
      <w:proofErr w:type="gramStart"/>
      <w:r>
        <w:t>In order to</w:t>
      </w:r>
      <w:proofErr w:type="gramEnd"/>
      <w:r>
        <w:t xml:space="preserve"> establish </w:t>
      </w:r>
      <w:r w:rsidR="00A93771">
        <w:t>causation</w:t>
      </w:r>
      <w:r>
        <w:t xml:space="preserve"> </w:t>
      </w:r>
      <w:r w:rsidR="00A93771">
        <w:t>for</w:t>
      </w:r>
      <w:r>
        <w:t xml:space="preserve"> his results, Brink</w:t>
      </w:r>
      <w:r w:rsidR="00A93771">
        <w:t xml:space="preserve"> looks at three possible reasons. The first is the condition of American Culture. He</w:t>
      </w:r>
      <w:r w:rsidR="00D403DC">
        <w:t xml:space="preserve"> is of the assumption that society is</w:t>
      </w:r>
      <w:r w:rsidR="00A93771">
        <w:t xml:space="preserve"> being fragmented </w:t>
      </w:r>
      <w:r w:rsidR="00D403DC">
        <w:t xml:space="preserve">and the </w:t>
      </w:r>
      <w:r w:rsidR="00A93771">
        <w:t xml:space="preserve">rise of </w:t>
      </w:r>
      <w:r>
        <w:t>countercultur</w:t>
      </w:r>
      <w:r w:rsidR="00D403DC">
        <w:t>al movements</w:t>
      </w:r>
      <w:r>
        <w:t xml:space="preserve"> may be responsible for the drop</w:t>
      </w:r>
      <w:r w:rsidR="006D6328">
        <w:t xml:space="preserve"> </w:t>
      </w:r>
      <w:r>
        <w:t xml:space="preserve">in the belief of traditional religious doctrine. </w:t>
      </w:r>
      <w:r w:rsidR="00D403DC">
        <w:t xml:space="preserve">The second reason that he </w:t>
      </w:r>
      <w:r w:rsidR="00C2458A">
        <w:t>highlights</w:t>
      </w:r>
      <w:r w:rsidR="00D403DC">
        <w:t xml:space="preserve"> are the changes </w:t>
      </w:r>
      <w:r>
        <w:t>within religious education</w:t>
      </w:r>
      <w:r w:rsidR="00D403DC">
        <w:t>,</w:t>
      </w:r>
      <w:r>
        <w:t xml:space="preserve"> as it stimulates personal growth rather than adhering to a set of practices</w:t>
      </w:r>
      <w:r w:rsidR="00B66691">
        <w:rPr>
          <w:rStyle w:val="FootnoteReference"/>
        </w:rPr>
        <w:footnoteReference w:id="12"/>
      </w:r>
      <w:r w:rsidR="00B66691">
        <w:t>.</w:t>
      </w:r>
      <w:r>
        <w:t xml:space="preserve"> </w:t>
      </w:r>
      <w:r w:rsidR="00D403DC">
        <w:t>The last possible cause is down to the societal, familial and educational backgrounds in which an adolescent is exposed to</w:t>
      </w:r>
      <w:r w:rsidR="00B66691">
        <w:rPr>
          <w:rStyle w:val="FootnoteReference"/>
        </w:rPr>
        <w:footnoteReference w:id="13"/>
      </w:r>
      <w:r w:rsidR="00B66691">
        <w:t>.</w:t>
      </w:r>
    </w:p>
    <w:p w14:paraId="242949C0" w14:textId="77777777" w:rsidR="00D403DC" w:rsidRDefault="00D403DC" w:rsidP="00D403DC">
      <w:pPr>
        <w:spacing w:line="360" w:lineRule="auto"/>
        <w:jc w:val="both"/>
      </w:pPr>
    </w:p>
    <w:p w14:paraId="78EA178A" w14:textId="0C02D0BD" w:rsidR="00D403DC" w:rsidRDefault="00D403DC" w:rsidP="00D403DC">
      <w:pPr>
        <w:spacing w:line="360" w:lineRule="auto"/>
        <w:jc w:val="both"/>
      </w:pPr>
      <w:r>
        <w:t xml:space="preserve">The study by </w:t>
      </w:r>
      <w:proofErr w:type="spellStart"/>
      <w:r>
        <w:t>Wuthnow</w:t>
      </w:r>
      <w:proofErr w:type="spellEnd"/>
      <w:r>
        <w:t xml:space="preserve"> in 1976</w:t>
      </w:r>
      <w:r w:rsidR="00832E5E">
        <w:t>,</w:t>
      </w:r>
      <w:r w:rsidR="00942C31">
        <w:t xml:space="preserve"> sourced in Brink’s work,</w:t>
      </w:r>
      <w:r w:rsidR="00832E5E">
        <w:t xml:space="preserve"> analys</w:t>
      </w:r>
      <w:r w:rsidR="00942C31">
        <w:t>ed</w:t>
      </w:r>
      <w:r w:rsidR="00832E5E">
        <w:t xml:space="preserve"> the correlation between marginality and the belief in astrology</w:t>
      </w:r>
      <w:r w:rsidR="00942C31">
        <w:t>. It was</w:t>
      </w:r>
      <w:r w:rsidR="00832E5E">
        <w:t xml:space="preserve"> </w:t>
      </w:r>
      <w:r>
        <w:t xml:space="preserve">found that those who were alienated from religious activities, were more </w:t>
      </w:r>
      <w:r w:rsidR="002240B4">
        <w:t>likely</w:t>
      </w:r>
      <w:r>
        <w:t xml:space="preserve"> to express belief in reincarnation or astrology</w:t>
      </w:r>
      <w:r w:rsidR="00FA5B5B">
        <w:rPr>
          <w:rStyle w:val="FootnoteReference"/>
        </w:rPr>
        <w:footnoteReference w:id="14"/>
      </w:r>
      <w:r>
        <w:t xml:space="preserve">. </w:t>
      </w:r>
      <w:r w:rsidR="003027D9">
        <w:t>Another set of studies in which Brink refers to is one from 1950</w:t>
      </w:r>
      <w:r w:rsidR="003027D9">
        <w:rPr>
          <w:rStyle w:val="FootnoteReference"/>
        </w:rPr>
        <w:footnoteReference w:id="15"/>
      </w:r>
      <w:r w:rsidR="003027D9">
        <w:t xml:space="preserve"> and the other from </w:t>
      </w:r>
      <w:r w:rsidR="003027D9">
        <w:lastRenderedPageBreak/>
        <w:t>1959</w:t>
      </w:r>
      <w:r w:rsidR="003027D9">
        <w:rPr>
          <w:rStyle w:val="FootnoteReference"/>
        </w:rPr>
        <w:footnoteReference w:id="16"/>
      </w:r>
      <w:r w:rsidR="003027D9">
        <w:t>, both by Erik Erikson, that found that having mixed beliefs is reflective of adolescent development ages</w:t>
      </w:r>
      <w:r w:rsidR="003027D9">
        <w:rPr>
          <w:rStyle w:val="FootnoteReference"/>
        </w:rPr>
        <w:footnoteReference w:id="17"/>
      </w:r>
      <w:r w:rsidR="003027D9">
        <w:t xml:space="preserve">. </w:t>
      </w:r>
      <w:r w:rsidR="00C2458A">
        <w:t>With th</w:t>
      </w:r>
      <w:r w:rsidR="00DA5D8B">
        <w:t>ese</w:t>
      </w:r>
      <w:r w:rsidR="00C2458A">
        <w:t xml:space="preserve"> stud</w:t>
      </w:r>
      <w:r w:rsidR="00DA5D8B">
        <w:t>ies</w:t>
      </w:r>
      <w:r w:rsidR="00C2458A">
        <w:t xml:space="preserve"> in mind, Brink concludes that those who believe in reincarnation or astrology are not </w:t>
      </w:r>
      <w:r w:rsidR="006D6328">
        <w:t xml:space="preserve">any </w:t>
      </w:r>
      <w:r w:rsidR="00C2458A">
        <w:t>less likely to also hold belief in the Roman Catholic Religion</w:t>
      </w:r>
      <w:r w:rsidR="00DA5D8B">
        <w:rPr>
          <w:rStyle w:val="FootnoteReference"/>
        </w:rPr>
        <w:footnoteReference w:id="18"/>
      </w:r>
      <w:r w:rsidR="00C2458A">
        <w:t xml:space="preserve">. </w:t>
      </w:r>
    </w:p>
    <w:p w14:paraId="0F86C635" w14:textId="77777777" w:rsidR="00C2458A" w:rsidRDefault="00C2458A" w:rsidP="00D403DC">
      <w:pPr>
        <w:spacing w:line="360" w:lineRule="auto"/>
        <w:jc w:val="both"/>
      </w:pPr>
    </w:p>
    <w:p w14:paraId="6F728569" w14:textId="3B0CF51D" w:rsidR="00C2458A" w:rsidRDefault="00C2458A" w:rsidP="00D403DC">
      <w:pPr>
        <w:spacing w:line="360" w:lineRule="auto"/>
        <w:jc w:val="both"/>
        <w:rPr>
          <w:u w:val="single"/>
        </w:rPr>
      </w:pPr>
      <w:r w:rsidRPr="00C2458A">
        <w:rPr>
          <w:u w:val="single"/>
        </w:rPr>
        <w:t>A very private bel</w:t>
      </w:r>
      <w:r>
        <w:rPr>
          <w:u w:val="single"/>
        </w:rPr>
        <w:t>ie</w:t>
      </w:r>
      <w:r w:rsidRPr="00C2458A">
        <w:rPr>
          <w:u w:val="single"/>
        </w:rPr>
        <w:t>f</w:t>
      </w:r>
    </w:p>
    <w:p w14:paraId="7871B355" w14:textId="77777777" w:rsidR="008D1AF0" w:rsidRDefault="008D1AF0" w:rsidP="00D403DC">
      <w:pPr>
        <w:spacing w:line="360" w:lineRule="auto"/>
        <w:jc w:val="both"/>
      </w:pPr>
    </w:p>
    <w:p w14:paraId="3A9706EA" w14:textId="213F69A9" w:rsidR="00EA5A1E" w:rsidRDefault="00C2458A" w:rsidP="00D403DC">
      <w:pPr>
        <w:spacing w:line="360" w:lineRule="auto"/>
        <w:jc w:val="both"/>
      </w:pPr>
      <w:r>
        <w:t xml:space="preserve">The publication by </w:t>
      </w:r>
      <w:r>
        <w:t>Tony Walter and Helen Waterhouse</w:t>
      </w:r>
      <w:r>
        <w:t>, ‘</w:t>
      </w:r>
      <w:r w:rsidRPr="006E1AD4">
        <w:rPr>
          <w:i/>
          <w:iCs/>
        </w:rPr>
        <w:t>A Very Private Belief: Reincarnation in Contemporary England</w:t>
      </w:r>
      <w:r>
        <w:t>’</w:t>
      </w:r>
      <w:r w:rsidR="002F1DC6">
        <w:t xml:space="preserve"> published in 1999</w:t>
      </w:r>
      <w:r>
        <w:t xml:space="preserve">, </w:t>
      </w:r>
      <w:r w:rsidR="00FE5AB5">
        <w:t xml:space="preserve">assesses </w:t>
      </w:r>
      <w:r w:rsidR="00FE4E95">
        <w:t xml:space="preserve">how members of the British public view the subject of reincarnation. This was </w:t>
      </w:r>
      <w:r w:rsidR="00D84BB7">
        <w:t>established</w:t>
      </w:r>
      <w:r w:rsidR="00FE4E95">
        <w:t xml:space="preserve"> </w:t>
      </w:r>
      <w:r w:rsidR="00852AB9">
        <w:t>using</w:t>
      </w:r>
      <w:r w:rsidR="00FE4E95">
        <w:t xml:space="preserve"> a survey, in which those who expressed their interest in participating in this study were interviewed. </w:t>
      </w:r>
      <w:r w:rsidR="00D84BB7">
        <w:t xml:space="preserve">This was achieved through engagement of the local radio which enabled listeners to call Helen Waterhouse to participate. </w:t>
      </w:r>
      <w:r w:rsidR="00FE4E95">
        <w:t>There were 30 participants</w:t>
      </w:r>
      <w:r w:rsidR="00852AB9">
        <w:t xml:space="preserve"> </w:t>
      </w:r>
      <w:r w:rsidR="00852AB9">
        <w:t>altogether</w:t>
      </w:r>
      <w:r w:rsidR="00852AB9">
        <w:t>,</w:t>
      </w:r>
      <w:r w:rsidR="00FE4E95">
        <w:t xml:space="preserve"> in which 21 were school children with a mixed age of 11, 14-15, and 17-18. The other 9 participants were adults whose ages ranged from under 40 to 80 plus. </w:t>
      </w:r>
      <w:r w:rsidR="0053552D">
        <w:t>There were two groups who were purposely avoided f</w:t>
      </w:r>
      <w:r w:rsidR="006C162D">
        <w:t>o</w:t>
      </w:r>
      <w:r w:rsidR="0053552D">
        <w:t xml:space="preserve">r this study, one was </w:t>
      </w:r>
      <w:r w:rsidR="006C162D">
        <w:t>individuals</w:t>
      </w:r>
      <w:r w:rsidR="0053552D">
        <w:t xml:space="preserve"> who belonged to the faiths of </w:t>
      </w:r>
      <w:r w:rsidR="006C162D">
        <w:t>Buddhism</w:t>
      </w:r>
      <w:r w:rsidR="0053552D">
        <w:t xml:space="preserve">, </w:t>
      </w:r>
      <w:r w:rsidR="006C162D">
        <w:t>Hinduism</w:t>
      </w:r>
      <w:r w:rsidR="0053552D">
        <w:t xml:space="preserve"> and </w:t>
      </w:r>
      <w:r w:rsidR="006C162D">
        <w:t>Sikhism</w:t>
      </w:r>
      <w:r w:rsidR="0053552D">
        <w:t>, and the other w</w:t>
      </w:r>
      <w:r w:rsidR="006C162D">
        <w:t>as</w:t>
      </w:r>
      <w:r w:rsidR="0053552D">
        <w:t xml:space="preserve"> those who ascribe to the New Age philosophy. </w:t>
      </w:r>
      <w:r w:rsidR="006C162D">
        <w:t xml:space="preserve">This was done because these individuals will </w:t>
      </w:r>
      <w:r w:rsidR="00B37FDA">
        <w:t xml:space="preserve">have already an established belief in </w:t>
      </w:r>
      <w:r w:rsidR="006C162D">
        <w:t>reincarnation due to religious doctrine</w:t>
      </w:r>
      <w:r w:rsidR="00B37FDA">
        <w:t>,</w:t>
      </w:r>
      <w:r w:rsidR="006C162D">
        <w:t xml:space="preserve"> whereas those who do not, are likely to have a different response when interviewed. </w:t>
      </w:r>
      <w:r w:rsidR="00B37FDA">
        <w:t xml:space="preserve">The interview aimed to find out </w:t>
      </w:r>
      <w:r w:rsidR="008F2B1D">
        <w:t xml:space="preserve">if the </w:t>
      </w:r>
      <w:r w:rsidR="00CC2409">
        <w:t>belief</w:t>
      </w:r>
      <w:r w:rsidR="008F2B1D">
        <w:t xml:space="preserve"> in reincarnation was prevalent amongst members of the public and how this belief may affect their personal lives</w:t>
      </w:r>
      <w:r w:rsidR="00B66691">
        <w:rPr>
          <w:rStyle w:val="FootnoteReference"/>
        </w:rPr>
        <w:footnoteReference w:id="19"/>
      </w:r>
      <w:r w:rsidR="008F2B1D">
        <w:t xml:space="preserve">. </w:t>
      </w:r>
    </w:p>
    <w:p w14:paraId="126FCD37" w14:textId="77777777" w:rsidR="00EA5A1E" w:rsidRDefault="00EA5A1E" w:rsidP="00D403DC">
      <w:pPr>
        <w:spacing w:line="360" w:lineRule="auto"/>
        <w:jc w:val="both"/>
      </w:pPr>
    </w:p>
    <w:p w14:paraId="45D17B1C" w14:textId="58892AE5" w:rsidR="00C2458A" w:rsidRDefault="00B37FDA" w:rsidP="00D403DC">
      <w:pPr>
        <w:spacing w:line="360" w:lineRule="auto"/>
        <w:jc w:val="both"/>
      </w:pPr>
      <w:r>
        <w:t xml:space="preserve">The results were varied, with some </w:t>
      </w:r>
      <w:r w:rsidR="008F2B1D">
        <w:t>respondents</w:t>
      </w:r>
      <w:r>
        <w:t xml:space="preserve"> saying ‘</w:t>
      </w:r>
      <w:r w:rsidR="008F2B1D">
        <w:t>yes’,</w:t>
      </w:r>
      <w:r>
        <w:t xml:space="preserve"> they believe in </w:t>
      </w:r>
      <w:r w:rsidR="008F2B1D">
        <w:t>reincarnation,</w:t>
      </w:r>
      <w:r>
        <w:t xml:space="preserve"> but many </w:t>
      </w:r>
      <w:r w:rsidR="008F2B1D">
        <w:t xml:space="preserve">also </w:t>
      </w:r>
      <w:r>
        <w:t>s</w:t>
      </w:r>
      <w:r w:rsidR="008F2B1D">
        <w:t>aid</w:t>
      </w:r>
      <w:r>
        <w:t xml:space="preserve"> ‘maybe’. </w:t>
      </w:r>
      <w:r w:rsidR="008F2B1D">
        <w:t>There</w:t>
      </w:r>
      <w:r>
        <w:t xml:space="preserve"> </w:t>
      </w:r>
      <w:r w:rsidR="008F2B1D">
        <w:t>were</w:t>
      </w:r>
      <w:r>
        <w:t xml:space="preserve"> </w:t>
      </w:r>
      <w:r w:rsidR="008F2B1D">
        <w:t>several</w:t>
      </w:r>
      <w:r>
        <w:t xml:space="preserve"> </w:t>
      </w:r>
      <w:r w:rsidR="008F2B1D">
        <w:t>respondents</w:t>
      </w:r>
      <w:r>
        <w:t xml:space="preserve"> who talked about </w:t>
      </w:r>
      <w:r w:rsidR="008F2B1D">
        <w:t>their</w:t>
      </w:r>
      <w:r>
        <w:t xml:space="preserve"> </w:t>
      </w:r>
      <w:r w:rsidR="008F2B1D">
        <w:t>first- and second-hand</w:t>
      </w:r>
      <w:r>
        <w:t xml:space="preserve"> experiences</w:t>
      </w:r>
      <w:r>
        <w:rPr>
          <w:rStyle w:val="FootnoteReference"/>
        </w:rPr>
        <w:footnoteReference w:id="20"/>
      </w:r>
      <w:r>
        <w:t xml:space="preserve">. </w:t>
      </w:r>
      <w:r w:rsidR="00EA5A1E">
        <w:t>Walter and Waterhouse concluded that their results proved that the belief in reincarnation had little effect on people’s daily lives</w:t>
      </w:r>
      <w:r w:rsidR="00EC5CB7">
        <w:t>.</w:t>
      </w:r>
      <w:r w:rsidR="00EA5A1E">
        <w:t xml:space="preserve"> </w:t>
      </w:r>
      <w:r w:rsidR="00EC5CB7" w:rsidRPr="00B66691">
        <w:t>Suggesting</w:t>
      </w:r>
      <w:r w:rsidR="00EA5A1E">
        <w:t xml:space="preserve"> that having a belief in reincarnation did not </w:t>
      </w:r>
      <w:r w:rsidR="00A7504E">
        <w:t>interrupt</w:t>
      </w:r>
      <w:r w:rsidR="00EA5A1E">
        <w:t xml:space="preserve"> people’s membership to the church nor </w:t>
      </w:r>
      <w:r w:rsidR="00EA5A1E">
        <w:lastRenderedPageBreak/>
        <w:t xml:space="preserve">that individuals had to ascribe to New </w:t>
      </w:r>
      <w:r w:rsidR="00A7504E">
        <w:t>A</w:t>
      </w:r>
      <w:r w:rsidR="00EA5A1E">
        <w:t>ge thought</w:t>
      </w:r>
      <w:r w:rsidR="00A7504E">
        <w:t>. The authors state that the belief in reincarnation does not have to be “integrated into a systemic worldview”</w:t>
      </w:r>
      <w:r w:rsidR="00EA5A1E">
        <w:rPr>
          <w:rStyle w:val="FootnoteReference"/>
        </w:rPr>
        <w:footnoteReference w:id="21"/>
      </w:r>
      <w:r w:rsidR="00EA5A1E">
        <w:t>.</w:t>
      </w:r>
    </w:p>
    <w:p w14:paraId="1D08F0A5" w14:textId="77777777" w:rsidR="008F2B1D" w:rsidRDefault="008F2B1D" w:rsidP="00D403DC">
      <w:pPr>
        <w:spacing w:line="360" w:lineRule="auto"/>
        <w:jc w:val="both"/>
      </w:pPr>
    </w:p>
    <w:p w14:paraId="7E5F3DC7" w14:textId="29C4CE4D" w:rsidR="008F2B1D" w:rsidRDefault="008F2B1D" w:rsidP="00D403DC">
      <w:pPr>
        <w:spacing w:line="360" w:lineRule="auto"/>
        <w:jc w:val="both"/>
        <w:rPr>
          <w:u w:val="single"/>
        </w:rPr>
      </w:pPr>
      <w:r>
        <w:rPr>
          <w:u w:val="single"/>
        </w:rPr>
        <w:t>Discussion</w:t>
      </w:r>
    </w:p>
    <w:p w14:paraId="2D9D7A62" w14:textId="77777777" w:rsidR="00267B86" w:rsidRDefault="00267B86" w:rsidP="00D403DC">
      <w:pPr>
        <w:spacing w:line="360" w:lineRule="auto"/>
        <w:jc w:val="both"/>
        <w:rPr>
          <w:u w:val="single"/>
        </w:rPr>
      </w:pPr>
    </w:p>
    <w:p w14:paraId="347105A3" w14:textId="6D3545A0" w:rsidR="00267B86" w:rsidRDefault="00267B86" w:rsidP="00267B86">
      <w:pPr>
        <w:spacing w:line="360" w:lineRule="auto"/>
        <w:jc w:val="both"/>
      </w:pPr>
      <w:r w:rsidRPr="00E07CB6">
        <w:t>Prior to starting the discussion, it is important to address the term ‘New Age’</w:t>
      </w:r>
      <w:r w:rsidR="00E07CB6" w:rsidRPr="00E07CB6">
        <w:t xml:space="preserve">, </w:t>
      </w:r>
      <w:r w:rsidRPr="00E07CB6">
        <w:t xml:space="preserve">what </w:t>
      </w:r>
      <w:r w:rsidR="00E07CB6" w:rsidRPr="00E07CB6">
        <w:t xml:space="preserve">this term encompasses and the systems of </w:t>
      </w:r>
      <w:r w:rsidRPr="00E07CB6">
        <w:t xml:space="preserve">belief </w:t>
      </w:r>
      <w:r w:rsidR="00E07CB6" w:rsidRPr="00E07CB6">
        <w:t>that are attributed to it.</w:t>
      </w:r>
      <w:r>
        <w:t xml:space="preserve"> New Age thought has been associated as a driving factor of the increased belief of reincarnation in the western world</w:t>
      </w:r>
      <w:r w:rsidR="003B7820">
        <w:rPr>
          <w:rStyle w:val="FootnoteReference"/>
        </w:rPr>
        <w:footnoteReference w:id="22"/>
      </w:r>
      <w:r>
        <w:t>. Although the modern New Age movement began to take form in the eighteenth century, it was in the late 19</w:t>
      </w:r>
      <w:r w:rsidRPr="007727C5">
        <w:rPr>
          <w:vertAlign w:val="superscript"/>
        </w:rPr>
        <w:t>th</w:t>
      </w:r>
      <w:r>
        <w:t xml:space="preserve"> century that the movements philosophy became widespread</w:t>
      </w:r>
      <w:r>
        <w:rPr>
          <w:rStyle w:val="FootnoteReference"/>
        </w:rPr>
        <w:footnoteReference w:id="23"/>
      </w:r>
      <w:r>
        <w:t>. This was enabled by the teachings of the Theosophical Society, a collective of individuals influenced by eastern tradition and spirituality, headed by the occultist, Helena Blavatsky (1831-1891) and the spiritualist, Henry Steel Olcott (1832-1907)</w:t>
      </w:r>
      <w:r>
        <w:rPr>
          <w:rStyle w:val="FootnoteReference"/>
        </w:rPr>
        <w:footnoteReference w:id="24"/>
      </w:r>
      <w:r>
        <w:t xml:space="preserve">. It was in Blavatsky’s book </w:t>
      </w:r>
      <w:r w:rsidRPr="007727C5">
        <w:rPr>
          <w:i/>
          <w:iCs/>
        </w:rPr>
        <w:t>Isis Unveiled</w:t>
      </w:r>
      <w:r>
        <w:t>, that she described a broad structure of history based on Hindu cosmology. She described what reincarnation is, how it works and what it aims to achieve on an individual, collective and spiritual level</w:t>
      </w:r>
      <w:r>
        <w:rPr>
          <w:rStyle w:val="FootnoteReference"/>
        </w:rPr>
        <w:footnoteReference w:id="25"/>
      </w:r>
      <w:r>
        <w:t>. The Theosophical society taught two theories regarding rebirth. These were reincarnation and metempsychosis</w:t>
      </w:r>
      <w:r>
        <w:rPr>
          <w:rStyle w:val="FootnoteReference"/>
        </w:rPr>
        <w:footnoteReference w:id="26"/>
      </w:r>
      <w:r>
        <w:t xml:space="preserve">. </w:t>
      </w:r>
    </w:p>
    <w:p w14:paraId="56AEB87C" w14:textId="77777777" w:rsidR="00267B86" w:rsidRDefault="00267B86" w:rsidP="00267B86">
      <w:pPr>
        <w:spacing w:line="360" w:lineRule="auto"/>
        <w:jc w:val="both"/>
      </w:pPr>
    </w:p>
    <w:p w14:paraId="224EB584" w14:textId="710CCD9F" w:rsidR="00267B86" w:rsidRPr="009A4A0B" w:rsidRDefault="00267B86" w:rsidP="00D403DC">
      <w:pPr>
        <w:spacing w:line="360" w:lineRule="auto"/>
        <w:jc w:val="both"/>
      </w:pPr>
      <w:r>
        <w:t>The Theosophical Society laid the foundations for the New Age movement in the west</w:t>
      </w:r>
      <w:r>
        <w:rPr>
          <w:rStyle w:val="FootnoteReference"/>
        </w:rPr>
        <w:footnoteReference w:id="27"/>
      </w:r>
      <w:r>
        <w:t>. According to Campion, the Theosophical Society had an international network that spanned from America to Europe and into India. Although its membership was never huge, its teachings were spread most by its members</w:t>
      </w:r>
      <w:r>
        <w:rPr>
          <w:rStyle w:val="FootnoteReference"/>
        </w:rPr>
        <w:footnoteReference w:id="28"/>
      </w:r>
      <w:r>
        <w:t>. The New Age movement that became popular in the 1960’s and 70’s</w:t>
      </w:r>
      <w:r>
        <w:rPr>
          <w:rStyle w:val="FootnoteReference"/>
        </w:rPr>
        <w:footnoteReference w:id="29"/>
      </w:r>
      <w:r>
        <w:t xml:space="preserve">, saw three to five million Americans ascribe to the beliefs and philosophies of the movement in the 1980’s. In his book </w:t>
      </w:r>
      <w:r>
        <w:rPr>
          <w:i/>
          <w:iCs/>
        </w:rPr>
        <w:t xml:space="preserve">New Religious Movements, </w:t>
      </w:r>
      <w:r>
        <w:lastRenderedPageBreak/>
        <w:t>Elijah Siegler believes that ‘New Age’ ideas have now generally become mainstream</w:t>
      </w:r>
      <w:r>
        <w:rPr>
          <w:rStyle w:val="FootnoteReference"/>
        </w:rPr>
        <w:footnoteReference w:id="30"/>
      </w:r>
      <w:r>
        <w:t>. A</w:t>
      </w:r>
      <w:r w:rsidRPr="00790982">
        <w:t>rticl</w:t>
      </w:r>
      <w:r>
        <w:t>es from 2016 state that the term ‘New Age’ is rarely used as the movement’s beliefs have now become widespread across the world</w:t>
      </w:r>
      <w:r>
        <w:rPr>
          <w:rStyle w:val="FootnoteReference"/>
        </w:rPr>
        <w:footnoteReference w:id="31"/>
      </w:r>
      <w:r w:rsidR="00ED43CF">
        <w:t>,</w:t>
      </w:r>
      <w:r>
        <w:t xml:space="preserve"> meanwhile religious writers state that the New Age movement is a cult</w:t>
      </w:r>
      <w:r>
        <w:rPr>
          <w:rStyle w:val="FootnoteReference"/>
        </w:rPr>
        <w:footnoteReference w:id="32"/>
      </w:r>
      <w:r>
        <w:t>.</w:t>
      </w:r>
    </w:p>
    <w:p w14:paraId="34A5A07B" w14:textId="64FFAC7D" w:rsidR="003027D9" w:rsidRDefault="00267B86" w:rsidP="00D403DC">
      <w:pPr>
        <w:spacing w:line="360" w:lineRule="auto"/>
        <w:jc w:val="both"/>
        <w:rPr>
          <w:u w:val="single"/>
        </w:rPr>
      </w:pPr>
      <w:r>
        <w:rPr>
          <w:u w:val="single"/>
        </w:rPr>
        <w:t xml:space="preserve"> </w:t>
      </w:r>
    </w:p>
    <w:p w14:paraId="5AFD1196" w14:textId="6DE980EF" w:rsidR="009A4A0B" w:rsidRDefault="00E07CB6" w:rsidP="00D403DC">
      <w:pPr>
        <w:spacing w:line="360" w:lineRule="auto"/>
        <w:jc w:val="both"/>
      </w:pPr>
      <w:r>
        <w:t>B</w:t>
      </w:r>
      <w:r w:rsidR="00897CE4">
        <w:t xml:space="preserve">oth sources </w:t>
      </w:r>
      <w:r w:rsidR="009A4A0B">
        <w:t xml:space="preserve">in this essay </w:t>
      </w:r>
      <w:r w:rsidR="00897CE4">
        <w:t xml:space="preserve">address the belief in reincarnation, </w:t>
      </w:r>
      <w:r>
        <w:t xml:space="preserve">however, </w:t>
      </w:r>
      <w:r w:rsidR="00897CE4">
        <w:t xml:space="preserve">the methodology certainly sets them apart. The study by </w:t>
      </w:r>
      <w:r w:rsidR="005E3222">
        <w:t xml:space="preserve">Brink, </w:t>
      </w:r>
      <w:r w:rsidR="00897CE4">
        <w:t xml:space="preserve">aiming to </w:t>
      </w:r>
      <w:r w:rsidR="005E3222">
        <w:t xml:space="preserve">find if those that follow the Catholic doctrines would be resistant to the New Age beliefs of reincarnation and Astrology, </w:t>
      </w:r>
      <w:r w:rsidR="00897CE4">
        <w:t xml:space="preserve">was carried out at random in </w:t>
      </w:r>
      <w:r w:rsidR="009A4A0B">
        <w:t>a controlled</w:t>
      </w:r>
      <w:r w:rsidR="00897CE4">
        <w:t xml:space="preserve"> </w:t>
      </w:r>
      <w:r w:rsidR="005E3222">
        <w:t>classroom</w:t>
      </w:r>
      <w:r w:rsidR="00897CE4">
        <w:t xml:space="preserve"> setting</w:t>
      </w:r>
      <w:r w:rsidR="005E3222">
        <w:t>.</w:t>
      </w:r>
      <w:r w:rsidR="009A4A0B">
        <w:t xml:space="preserve"> </w:t>
      </w:r>
      <w:r w:rsidR="005E3222">
        <w:t>A</w:t>
      </w:r>
      <w:r w:rsidR="00897CE4">
        <w:t xml:space="preserve">lthough </w:t>
      </w:r>
      <w:r w:rsidR="005E3222">
        <w:t xml:space="preserve">the </w:t>
      </w:r>
      <w:r w:rsidR="00897CE4">
        <w:t xml:space="preserve">results were mixed, they </w:t>
      </w:r>
      <w:r w:rsidR="005E3222">
        <w:t xml:space="preserve">were </w:t>
      </w:r>
      <w:r w:rsidR="00897CE4">
        <w:t>successfully able to identify the change within beliefs of the younger generation</w:t>
      </w:r>
      <w:r w:rsidR="00202091">
        <w:rPr>
          <w:rStyle w:val="FootnoteReference"/>
        </w:rPr>
        <w:footnoteReference w:id="33"/>
      </w:r>
      <w:r w:rsidR="00897CE4">
        <w:t xml:space="preserve">. However, with the work carried out by </w:t>
      </w:r>
      <w:r w:rsidR="005E3222">
        <w:t>Tony Walter and Helen Waterhouse</w:t>
      </w:r>
      <w:r w:rsidR="005E3222">
        <w:t xml:space="preserve">, </w:t>
      </w:r>
      <w:r w:rsidR="00897CE4">
        <w:t>the</w:t>
      </w:r>
      <w:r w:rsidR="005E3222">
        <w:t xml:space="preserve">ir </w:t>
      </w:r>
      <w:r w:rsidR="00ED43CF">
        <w:t>method</w:t>
      </w:r>
      <w:r w:rsidR="00897CE4">
        <w:t xml:space="preserve"> to recruit participants was through a radio show.</w:t>
      </w:r>
      <w:r w:rsidR="009A4A0B">
        <w:t xml:space="preserve"> </w:t>
      </w:r>
      <w:r w:rsidR="00897CE4" w:rsidRPr="009A4A0B">
        <w:t>Their aim was t</w:t>
      </w:r>
      <w:r w:rsidR="00CC2409" w:rsidRPr="009A4A0B">
        <w:t xml:space="preserve">o </w:t>
      </w:r>
      <w:r w:rsidR="00CC2409" w:rsidRPr="009A4A0B">
        <w:t>find out if the belief in reincarnation was prevalent amongst members of the public and how this belief may affect their personal lives</w:t>
      </w:r>
      <w:r w:rsidR="00202091">
        <w:rPr>
          <w:rStyle w:val="FootnoteReference"/>
        </w:rPr>
        <w:footnoteReference w:id="34"/>
      </w:r>
      <w:r w:rsidR="00875730">
        <w:t>.</w:t>
      </w:r>
      <w:r w:rsidR="00897CE4">
        <w:t xml:space="preserve"> </w:t>
      </w:r>
      <w:r w:rsidR="00875730">
        <w:t>H</w:t>
      </w:r>
      <w:r w:rsidR="00897CE4">
        <w:t>owever</w:t>
      </w:r>
      <w:r w:rsidR="00875730">
        <w:t>,</w:t>
      </w:r>
      <w:r w:rsidR="00897CE4">
        <w:t xml:space="preserve"> </w:t>
      </w:r>
      <w:r w:rsidR="00ED43CF" w:rsidRPr="00ED43CF">
        <w:t>because they made the contents of the study public</w:t>
      </w:r>
      <w:r w:rsidR="00ED43CF">
        <w:t xml:space="preserve"> knowledge,</w:t>
      </w:r>
      <w:r w:rsidR="00ED43CF" w:rsidRPr="00ED43CF">
        <w:t xml:space="preserve"> </w:t>
      </w:r>
      <w:proofErr w:type="gramStart"/>
      <w:r w:rsidR="00ED43CF" w:rsidRPr="00ED43CF">
        <w:t>in order to</w:t>
      </w:r>
      <w:proofErr w:type="gramEnd"/>
      <w:r w:rsidR="00ED43CF" w:rsidRPr="00ED43CF">
        <w:t xml:space="preserve"> reach the desired audience, it is likely </w:t>
      </w:r>
      <w:r w:rsidR="00ED43CF">
        <w:t>those</w:t>
      </w:r>
      <w:r w:rsidR="00ED43CF" w:rsidRPr="00ED43CF">
        <w:t xml:space="preserve"> who chose to be involved already held some sort of belief or knowledge regarding reincarnation.</w:t>
      </w:r>
      <w:r w:rsidR="00ED43CF">
        <w:t xml:space="preserve">  </w:t>
      </w:r>
      <w:r w:rsidR="00897CE4">
        <w:t xml:space="preserve">Therefore, the likelihood of reaching non/disbelievers was very limited which makes this study slightly bias. </w:t>
      </w:r>
      <w:r w:rsidR="009A4A0B">
        <w:t xml:space="preserve">The unpredictability of having participants call made the study </w:t>
      </w:r>
      <w:r w:rsidR="00132233">
        <w:t>less</w:t>
      </w:r>
      <w:r w:rsidR="009A4A0B">
        <w:t xml:space="preserve"> controlled in comparison to that of Brink’s. It also relied on members of the public to tell the truth about their beliefs too</w:t>
      </w:r>
      <w:r w:rsidR="00D702FF">
        <w:t>,</w:t>
      </w:r>
      <w:r w:rsidR="009A4A0B">
        <w:t xml:space="preserve"> as many may be members of religions that hold a belief in reincarnation or individuals that may be identif</w:t>
      </w:r>
      <w:r w:rsidR="00132233">
        <w:t>ied</w:t>
      </w:r>
      <w:r w:rsidR="009A4A0B">
        <w:t xml:space="preserve"> as a ‘New Ager</w:t>
      </w:r>
      <w:r w:rsidR="00132233">
        <w:t>’ but</w:t>
      </w:r>
      <w:r w:rsidR="009A4A0B">
        <w:t xml:space="preserve"> did not state so for the study. There are many uncontrolled elements that can be found. These can also add to further biases in the study.  </w:t>
      </w:r>
    </w:p>
    <w:p w14:paraId="2A0292ED" w14:textId="77777777" w:rsidR="009A4A0B" w:rsidRDefault="009A4A0B" w:rsidP="00D403DC">
      <w:pPr>
        <w:spacing w:line="360" w:lineRule="auto"/>
        <w:jc w:val="both"/>
      </w:pPr>
    </w:p>
    <w:p w14:paraId="672923A7" w14:textId="2D812D0A" w:rsidR="00B50F3A" w:rsidRDefault="00CC2409" w:rsidP="00D403DC">
      <w:pPr>
        <w:spacing w:line="360" w:lineRule="auto"/>
        <w:jc w:val="both"/>
      </w:pPr>
      <w:r>
        <w:t>In their conclusion, they established that their participants did not display the lifestyle that is associated with the New Age, however, the</w:t>
      </w:r>
      <w:r w:rsidR="00875730">
        <w:t>ir</w:t>
      </w:r>
      <w:r>
        <w:t xml:space="preserve"> choice of wording “It has little to do with New Age, unless one defines that movement so diffusely as to be unmeasurable”</w:t>
      </w:r>
      <w:r w:rsidR="00043246">
        <w:rPr>
          <w:rStyle w:val="FootnoteReference"/>
        </w:rPr>
        <w:footnoteReference w:id="35"/>
      </w:r>
      <w:r>
        <w:t xml:space="preserve"> may be </w:t>
      </w:r>
      <w:r>
        <w:lastRenderedPageBreak/>
        <w:t xml:space="preserve">reflective of some personal bias’s. </w:t>
      </w:r>
      <w:r w:rsidR="00A011E3">
        <w:t>If</w:t>
      </w:r>
      <w:r w:rsidR="009A4A0B">
        <w:t xml:space="preserve"> Walter and Waterhouse are unable to identify what the New Age is, then</w:t>
      </w:r>
      <w:r w:rsidR="00132233">
        <w:t xml:space="preserve"> it remains questionable</w:t>
      </w:r>
      <w:r w:rsidR="009A4A0B">
        <w:t xml:space="preserve"> how they</w:t>
      </w:r>
      <w:r w:rsidR="00132233">
        <w:t xml:space="preserve"> were</w:t>
      </w:r>
      <w:r w:rsidR="009A4A0B">
        <w:t xml:space="preserve"> sure that they can avoid it in the study</w:t>
      </w:r>
      <w:r w:rsidR="00132233">
        <w:t>.</w:t>
      </w:r>
      <w:r w:rsidR="009A4A0B">
        <w:t xml:space="preserve"> </w:t>
      </w:r>
    </w:p>
    <w:p w14:paraId="14F81FDE" w14:textId="77777777" w:rsidR="00B50F3A" w:rsidRDefault="00B50F3A" w:rsidP="00D403DC">
      <w:pPr>
        <w:spacing w:line="360" w:lineRule="auto"/>
        <w:jc w:val="both"/>
      </w:pPr>
    </w:p>
    <w:p w14:paraId="3A4D9EA8" w14:textId="50AEEE8F" w:rsidR="00897CE4" w:rsidRDefault="006379F4" w:rsidP="00D403DC">
      <w:pPr>
        <w:spacing w:line="360" w:lineRule="auto"/>
        <w:jc w:val="both"/>
      </w:pPr>
      <w:r>
        <w:t xml:space="preserve">In his study, Brink makes it clear in his hypothesis that he hopes to find if the schoolgirls who accept one belief, will likely reject the others. The issue with the three options (Catholic doctrine, astrology and reincarnation) is that astrology and reincarnation can often be found to interlink. According to the </w:t>
      </w:r>
      <w:r>
        <w:rPr>
          <w:i/>
          <w:iCs/>
        </w:rPr>
        <w:t>Times of India,</w:t>
      </w:r>
      <w:r>
        <w:t xml:space="preserve"> “while astrology </w:t>
      </w:r>
      <w:r w:rsidR="008426FE">
        <w:t>doesn’t provide definitive proof of reincarnation, it offers a framework for understanding how past life experiences may influence our present circumstances and soul journey”</w:t>
      </w:r>
      <w:r w:rsidR="008426FE">
        <w:rPr>
          <w:rStyle w:val="FootnoteReference"/>
        </w:rPr>
        <w:footnoteReference w:id="36"/>
      </w:r>
      <w:r w:rsidR="008426FE">
        <w:t xml:space="preserve">. Although this article comes from India and </w:t>
      </w:r>
      <w:proofErr w:type="gramStart"/>
      <w:r w:rsidR="008426FE">
        <w:t>the majority of</w:t>
      </w:r>
      <w:proofErr w:type="gramEnd"/>
      <w:r w:rsidR="008426FE">
        <w:t xml:space="preserve"> astrological practitioners </w:t>
      </w:r>
      <w:r w:rsidR="00727C85">
        <w:t>ascribe to</w:t>
      </w:r>
      <w:r w:rsidR="008426FE">
        <w:t xml:space="preserve"> the Hindu faith</w:t>
      </w:r>
      <w:r w:rsidR="00727C85">
        <w:rPr>
          <w:rStyle w:val="FootnoteReference"/>
        </w:rPr>
        <w:footnoteReference w:id="37"/>
      </w:r>
      <w:r w:rsidR="008426FE">
        <w:t xml:space="preserve">, this philosophical belief has been present in the west for a very long time. This is evident in astrological books from the early 2000’s such as </w:t>
      </w:r>
      <w:r w:rsidR="008426FE">
        <w:rPr>
          <w:i/>
          <w:iCs/>
        </w:rPr>
        <w:t xml:space="preserve">Past Life Astrology </w:t>
      </w:r>
      <w:r w:rsidR="008426FE">
        <w:t>by Judy Hall in 2003</w:t>
      </w:r>
      <w:r w:rsidR="008426FE">
        <w:rPr>
          <w:rStyle w:val="FootnoteReference"/>
        </w:rPr>
        <w:footnoteReference w:id="38"/>
      </w:r>
      <w:r w:rsidR="008426FE">
        <w:t>.</w:t>
      </w:r>
    </w:p>
    <w:p w14:paraId="73559617" w14:textId="77777777" w:rsidR="00C37C1F" w:rsidRDefault="00C37C1F" w:rsidP="00D403DC">
      <w:pPr>
        <w:spacing w:line="360" w:lineRule="auto"/>
        <w:jc w:val="both"/>
      </w:pPr>
    </w:p>
    <w:p w14:paraId="0062DCF6" w14:textId="72CCC7A5" w:rsidR="00B37FDA" w:rsidRDefault="00B50F3A" w:rsidP="00D403DC">
      <w:pPr>
        <w:spacing w:line="360" w:lineRule="auto"/>
        <w:jc w:val="both"/>
      </w:pPr>
      <w:r>
        <w:t xml:space="preserve">Another criticism is that both articles are </w:t>
      </w:r>
      <w:r w:rsidR="00132CAA">
        <w:t>dated,</w:t>
      </w:r>
      <w:r>
        <w:t xml:space="preserve"> and </w:t>
      </w:r>
      <w:r w:rsidR="00132CAA">
        <w:t xml:space="preserve">it could be </w:t>
      </w:r>
      <w:r w:rsidR="00A011E3">
        <w:t>argued</w:t>
      </w:r>
      <w:r w:rsidR="00132CAA">
        <w:t xml:space="preserve"> that they </w:t>
      </w:r>
      <w:r>
        <w:t xml:space="preserve">no longer reflect the current </w:t>
      </w:r>
      <w:r w:rsidR="00132CAA">
        <w:t>number</w:t>
      </w:r>
      <w:r>
        <w:t xml:space="preserve"> of indiv</w:t>
      </w:r>
      <w:r w:rsidR="00132CAA">
        <w:t>iduals</w:t>
      </w:r>
      <w:r>
        <w:t xml:space="preserve"> in the west who believe in reincarnation. To build upon the </w:t>
      </w:r>
      <w:r w:rsidR="00A072E4">
        <w:t>efforts</w:t>
      </w:r>
      <w:r>
        <w:t xml:space="preserve"> of </w:t>
      </w:r>
      <w:r w:rsidR="00200477">
        <w:t>Brink</w:t>
      </w:r>
      <w:r w:rsidR="00132CAA">
        <w:t xml:space="preserve">, </w:t>
      </w:r>
      <w:r>
        <w:t xml:space="preserve">the work carried out by </w:t>
      </w:r>
      <w:proofErr w:type="spellStart"/>
      <w:r w:rsidR="005D1FDF">
        <w:t>Gecewicz</w:t>
      </w:r>
      <w:proofErr w:type="spellEnd"/>
      <w:r w:rsidR="005D1FDF">
        <w:t xml:space="preserve"> </w:t>
      </w:r>
      <w:r w:rsidR="00A072E4">
        <w:t xml:space="preserve">in 2017 </w:t>
      </w:r>
      <w:r>
        <w:t>has established that the belief in reincarnation has</w:t>
      </w:r>
      <w:r w:rsidR="006751D0">
        <w:t xml:space="preserve"> </w:t>
      </w:r>
      <w:r w:rsidR="00132CAA">
        <w:t xml:space="preserve">not </w:t>
      </w:r>
      <w:r w:rsidR="006751D0">
        <w:t xml:space="preserve">significantly </w:t>
      </w:r>
      <w:r w:rsidR="00132CAA">
        <w:t xml:space="preserve">increased </w:t>
      </w:r>
      <w:r w:rsidR="005D1FDF">
        <w:t xml:space="preserve">amongst the American public and does not </w:t>
      </w:r>
      <w:r w:rsidR="00875730">
        <w:t>affect</w:t>
      </w:r>
      <w:r w:rsidR="005D1FDF">
        <w:t xml:space="preserve"> their held religious beliefs (see fig.2)</w:t>
      </w:r>
      <w:r w:rsidR="006751D0">
        <w:t>.</w:t>
      </w:r>
      <w:r w:rsidR="00132CAA">
        <w:t xml:space="preserve"> </w:t>
      </w:r>
      <w:r w:rsidR="005D1FDF">
        <w:t xml:space="preserve">Although this study only looks at adults, statistics from </w:t>
      </w:r>
      <w:r w:rsidR="00987097">
        <w:t>2015</w:t>
      </w:r>
      <w:r w:rsidR="00987097">
        <w:rPr>
          <w:rStyle w:val="FootnoteReference"/>
        </w:rPr>
        <w:footnoteReference w:id="39"/>
      </w:r>
      <w:r w:rsidR="00987097">
        <w:t xml:space="preserve"> and </w:t>
      </w:r>
      <w:r w:rsidR="005D1FDF">
        <w:t>2016 do prove much the same amongst the American youth</w:t>
      </w:r>
      <w:r w:rsidR="005D1FDF">
        <w:rPr>
          <w:rStyle w:val="FootnoteReference"/>
        </w:rPr>
        <w:footnoteReference w:id="40"/>
      </w:r>
      <w:r w:rsidR="005D1FDF">
        <w:t xml:space="preserve">. </w:t>
      </w:r>
      <w:r w:rsidR="00132CAA">
        <w:t xml:space="preserve">It is interesting to note that YouGov polls in 2021 concluded that the number of believers amongst </w:t>
      </w:r>
      <w:r w:rsidR="00132CAA">
        <w:t>members of th</w:t>
      </w:r>
      <w:r w:rsidR="00132CAA">
        <w:t xml:space="preserve">e </w:t>
      </w:r>
      <w:r w:rsidR="00132CAA">
        <w:t>British public</w:t>
      </w:r>
      <w:r w:rsidR="00132CAA">
        <w:t xml:space="preserve"> are also low</w:t>
      </w:r>
      <w:r w:rsidR="005D1FDF">
        <w:rPr>
          <w:rStyle w:val="FootnoteReference"/>
        </w:rPr>
        <w:footnoteReference w:id="41"/>
      </w:r>
      <w:r w:rsidR="00132CAA">
        <w:t xml:space="preserve">. </w:t>
      </w:r>
      <w:r w:rsidR="00690BE8">
        <w:t xml:space="preserve">However, it can be said that </w:t>
      </w:r>
      <w:r w:rsidR="00EA5A1E">
        <w:t>Brink’</w:t>
      </w:r>
      <w:r w:rsidR="00690BE8">
        <w:t xml:space="preserve">s study was focussed on a small area within America whereas the newer figures </w:t>
      </w:r>
      <w:r w:rsidR="00690BE8">
        <w:lastRenderedPageBreak/>
        <w:t>have been collected nationwide.</w:t>
      </w:r>
      <w:r w:rsidR="00527DAE">
        <w:t xml:space="preserve"> As for England, t</w:t>
      </w:r>
      <w:r w:rsidR="00690BE8">
        <w:t>his is also the case with the numbers provided from the British YouGov poll too</w:t>
      </w:r>
      <w:r w:rsidR="00527DAE">
        <w:t xml:space="preserve">, whereas </w:t>
      </w:r>
      <w:r w:rsidR="00EA5A1E">
        <w:t xml:space="preserve">Walter and Waterhouse’s </w:t>
      </w:r>
      <w:r w:rsidR="00527DAE">
        <w:t xml:space="preserve">sample was collected at random and by chance. </w:t>
      </w:r>
      <w:r w:rsidR="00690BE8">
        <w:t xml:space="preserve"> </w:t>
      </w:r>
    </w:p>
    <w:p w14:paraId="274C8057" w14:textId="77777777" w:rsidR="005D1FDF" w:rsidRDefault="005D1FDF" w:rsidP="00D403DC">
      <w:pPr>
        <w:spacing w:line="360" w:lineRule="auto"/>
        <w:jc w:val="both"/>
      </w:pPr>
    </w:p>
    <w:p w14:paraId="1EC2755E" w14:textId="7A729557" w:rsidR="005D1FDF" w:rsidRDefault="005D1FDF" w:rsidP="00D403DC">
      <w:pPr>
        <w:spacing w:line="360" w:lineRule="auto"/>
        <w:jc w:val="both"/>
      </w:pPr>
      <w:r>
        <w:rPr>
          <w:noProof/>
          <w14:ligatures w14:val="standardContextual"/>
        </w:rPr>
        <w:drawing>
          <wp:anchor distT="0" distB="0" distL="114300" distR="114300" simplePos="0" relativeHeight="251659264" behindDoc="1" locked="0" layoutInCell="1" allowOverlap="1" wp14:anchorId="26932273" wp14:editId="18CF7BEC">
            <wp:simplePos x="0" y="0"/>
            <wp:positionH relativeFrom="column">
              <wp:posOffset>787400</wp:posOffset>
            </wp:positionH>
            <wp:positionV relativeFrom="paragraph">
              <wp:posOffset>260985</wp:posOffset>
            </wp:positionV>
            <wp:extent cx="3660140" cy="2110105"/>
            <wp:effectExtent l="0" t="0" r="0" b="0"/>
            <wp:wrapTight wrapText="bothSides">
              <wp:wrapPolygon edited="0">
                <wp:start x="0" y="0"/>
                <wp:lineTo x="0" y="21450"/>
                <wp:lineTo x="21510" y="21450"/>
                <wp:lineTo x="21510" y="0"/>
                <wp:lineTo x="0" y="0"/>
              </wp:wrapPolygon>
            </wp:wrapTight>
            <wp:docPr id="810785615" name="Picture 2" descr="A table of numbers and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785615" name="Picture 2" descr="A table of numbers and a number of people&#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3660140" cy="2110105"/>
                    </a:xfrm>
                    <a:prstGeom prst="rect">
                      <a:avLst/>
                    </a:prstGeom>
                  </pic:spPr>
                </pic:pic>
              </a:graphicData>
            </a:graphic>
            <wp14:sizeRelH relativeFrom="page">
              <wp14:pctWidth>0</wp14:pctWidth>
            </wp14:sizeRelH>
            <wp14:sizeRelV relativeFrom="page">
              <wp14:pctHeight>0</wp14:pctHeight>
            </wp14:sizeRelV>
          </wp:anchor>
        </w:drawing>
      </w:r>
    </w:p>
    <w:p w14:paraId="46B2EF78" w14:textId="77777777" w:rsidR="00B37FDA" w:rsidRDefault="00B37FDA" w:rsidP="00D403DC">
      <w:pPr>
        <w:spacing w:line="360" w:lineRule="auto"/>
        <w:jc w:val="both"/>
      </w:pPr>
    </w:p>
    <w:p w14:paraId="05BD6631" w14:textId="56EEC312" w:rsidR="006C162D" w:rsidRDefault="006C162D" w:rsidP="00D403DC">
      <w:pPr>
        <w:spacing w:line="360" w:lineRule="auto"/>
        <w:jc w:val="both"/>
      </w:pPr>
    </w:p>
    <w:p w14:paraId="5D071350" w14:textId="77777777" w:rsidR="006C162D" w:rsidRDefault="006C162D" w:rsidP="00D403DC">
      <w:pPr>
        <w:spacing w:line="360" w:lineRule="auto"/>
        <w:jc w:val="both"/>
      </w:pPr>
    </w:p>
    <w:p w14:paraId="137A2871" w14:textId="77777777" w:rsidR="005D1FDF" w:rsidRDefault="005D1FDF" w:rsidP="00D403DC">
      <w:pPr>
        <w:spacing w:line="360" w:lineRule="auto"/>
        <w:jc w:val="both"/>
      </w:pPr>
    </w:p>
    <w:p w14:paraId="2BEF7F66" w14:textId="77777777" w:rsidR="005D1FDF" w:rsidRDefault="005D1FDF" w:rsidP="00D403DC">
      <w:pPr>
        <w:spacing w:line="360" w:lineRule="auto"/>
        <w:jc w:val="both"/>
      </w:pPr>
    </w:p>
    <w:p w14:paraId="315E1E15" w14:textId="77777777" w:rsidR="005D1FDF" w:rsidRDefault="005D1FDF" w:rsidP="00D403DC">
      <w:pPr>
        <w:spacing w:line="360" w:lineRule="auto"/>
        <w:jc w:val="both"/>
      </w:pPr>
    </w:p>
    <w:p w14:paraId="6DCEC10D" w14:textId="77777777" w:rsidR="005D1FDF" w:rsidRDefault="005D1FDF" w:rsidP="00D403DC">
      <w:pPr>
        <w:spacing w:line="360" w:lineRule="auto"/>
        <w:jc w:val="both"/>
      </w:pPr>
    </w:p>
    <w:p w14:paraId="01B3477B" w14:textId="77777777" w:rsidR="005D1FDF" w:rsidRDefault="005D1FDF" w:rsidP="00D403DC">
      <w:pPr>
        <w:spacing w:line="360" w:lineRule="auto"/>
        <w:jc w:val="both"/>
      </w:pPr>
    </w:p>
    <w:p w14:paraId="402B9D98" w14:textId="729A8CFA" w:rsidR="005D1FDF" w:rsidRPr="005D1FDF" w:rsidRDefault="005D1FDF" w:rsidP="00D403DC">
      <w:pPr>
        <w:spacing w:line="360" w:lineRule="auto"/>
        <w:jc w:val="both"/>
        <w:rPr>
          <w:sz w:val="20"/>
          <w:szCs w:val="20"/>
        </w:rPr>
      </w:pPr>
      <w:r w:rsidRPr="005D1FDF">
        <w:rPr>
          <w:sz w:val="20"/>
          <w:szCs w:val="20"/>
        </w:rPr>
        <w:t xml:space="preserve">Figure 2: Statistics showing New Age beliefs amongst Christians. Taken from </w:t>
      </w:r>
      <w:proofErr w:type="spellStart"/>
      <w:r w:rsidRPr="005D1FDF">
        <w:rPr>
          <w:sz w:val="20"/>
          <w:szCs w:val="20"/>
        </w:rPr>
        <w:t>PewResearchCenter</w:t>
      </w:r>
      <w:proofErr w:type="spellEnd"/>
      <w:r w:rsidRPr="005D1FDF">
        <w:rPr>
          <w:sz w:val="20"/>
          <w:szCs w:val="20"/>
        </w:rPr>
        <w:t xml:space="preserve"> (2017)</w:t>
      </w:r>
      <w:r w:rsidRPr="005D1FDF">
        <w:rPr>
          <w:rStyle w:val="FootnoteReference"/>
          <w:sz w:val="20"/>
          <w:szCs w:val="20"/>
        </w:rPr>
        <w:footnoteReference w:id="42"/>
      </w:r>
      <w:r w:rsidRPr="005D1FDF">
        <w:rPr>
          <w:sz w:val="20"/>
          <w:szCs w:val="20"/>
        </w:rPr>
        <w:t>.</w:t>
      </w:r>
    </w:p>
    <w:p w14:paraId="7713E9E1" w14:textId="77777777" w:rsidR="005D1FDF" w:rsidRDefault="005D1FDF" w:rsidP="00D403DC">
      <w:pPr>
        <w:spacing w:line="360" w:lineRule="auto"/>
        <w:jc w:val="both"/>
      </w:pPr>
    </w:p>
    <w:p w14:paraId="725F2247" w14:textId="77777777" w:rsidR="005D1FDF" w:rsidRDefault="005D1FDF" w:rsidP="00D403DC">
      <w:pPr>
        <w:spacing w:line="360" w:lineRule="auto"/>
        <w:jc w:val="both"/>
      </w:pPr>
    </w:p>
    <w:p w14:paraId="5B9BD33F" w14:textId="74024B35" w:rsidR="005D1FDF" w:rsidRDefault="00A11A04" w:rsidP="00D403DC">
      <w:pPr>
        <w:spacing w:line="360" w:lineRule="auto"/>
        <w:jc w:val="both"/>
      </w:pPr>
      <w:r>
        <w:t>It could be argued that within Brink’s study, the participants were specifically selected due to their Italian and Polish background. Both countries are known to be heavily religious and as proven in a 2018 study, these countries rank within the top 15 most religious countries in Europe</w:t>
      </w:r>
      <w:r>
        <w:rPr>
          <w:rStyle w:val="FootnoteReference"/>
        </w:rPr>
        <w:footnoteReference w:id="43"/>
      </w:r>
      <w:r>
        <w:t>. The cultural background of the schoolgirls likely aided in Brink’s results showing that views on their religion didn’t necessarily change despite having belief in reincarnation and astrology.</w:t>
      </w:r>
      <w:r w:rsidR="00C37C1F">
        <w:t xml:space="preserve"> It </w:t>
      </w:r>
      <w:r w:rsidR="005152B2">
        <w:t>should be</w:t>
      </w:r>
      <w:r w:rsidR="00C37C1F">
        <w:t xml:space="preserve"> questioned </w:t>
      </w:r>
      <w:r w:rsidR="005152B2">
        <w:t>whether</w:t>
      </w:r>
      <w:r w:rsidR="00C37C1F">
        <w:t xml:space="preserve"> Brink specifically chose this demographic in the hopes of achieving a certain result which displays a level bias. However, this study could have been equally balanced if Brink also studied another sample taken from non-Catholic </w:t>
      </w:r>
      <w:r w:rsidR="00B12591">
        <w:t>schoolgirls</w:t>
      </w:r>
      <w:r w:rsidR="00C37C1F">
        <w:t xml:space="preserve"> from a different area and compared those results to achieve a broader understanding of the rise in belief in reincarnation. </w:t>
      </w:r>
    </w:p>
    <w:p w14:paraId="3ED158A1" w14:textId="77777777" w:rsidR="00D702FF" w:rsidRDefault="00D702FF" w:rsidP="00D403DC">
      <w:pPr>
        <w:spacing w:line="360" w:lineRule="auto"/>
        <w:jc w:val="both"/>
      </w:pPr>
    </w:p>
    <w:p w14:paraId="7B0068F2" w14:textId="5A0CE4D5" w:rsidR="00D702FF" w:rsidRDefault="00D702FF" w:rsidP="00D403DC">
      <w:pPr>
        <w:spacing w:line="360" w:lineRule="auto"/>
        <w:jc w:val="both"/>
      </w:pPr>
      <w:r>
        <w:t xml:space="preserve">Due to the location of Brink’s study taking place in Chicago, his results may have been affected by the cities immigrant population. According to a study carried out by Hooper </w:t>
      </w:r>
      <w:r>
        <w:lastRenderedPageBreak/>
        <w:t xml:space="preserve">and Groves in 2014, Chicago was one of the main cities in the United States to </w:t>
      </w:r>
      <w:r w:rsidR="00E46AC8">
        <w:t>receive</w:t>
      </w:r>
      <w:r>
        <w:t xml:space="preserve"> </w:t>
      </w:r>
      <w:proofErr w:type="gramStart"/>
      <w:r>
        <w:t>a large number of</w:t>
      </w:r>
      <w:proofErr w:type="gramEnd"/>
      <w:r>
        <w:t xml:space="preserve"> Chinese and Indian immigrants in the 1970’s and 80’s</w:t>
      </w:r>
      <w:r w:rsidR="00E46AC8">
        <w:rPr>
          <w:rStyle w:val="FootnoteReference"/>
        </w:rPr>
        <w:footnoteReference w:id="44"/>
      </w:r>
      <w:r>
        <w:t xml:space="preserve">. Therefore, it is then possible that a cultural blending may have taken place and eastern religious doctrines may have also disseminated such as reincarnation and astrology. </w:t>
      </w:r>
      <w:r w:rsidR="00E46AC8">
        <w:t xml:space="preserve">In comparison, Walter and Waterhouse conducted their </w:t>
      </w:r>
      <w:r w:rsidR="009849ED">
        <w:t xml:space="preserve">1999 </w:t>
      </w:r>
      <w:r w:rsidR="00E46AC8">
        <w:t xml:space="preserve">study at the homes of the participants in Bristol, Bath and Taunton. </w:t>
      </w:r>
      <w:r w:rsidR="009849ED">
        <w:t xml:space="preserve">Although immigration for these specific areas is rather difficult to obtain from the 1990’s, data from that period for England </w:t>
      </w:r>
      <w:r w:rsidR="00875C8B">
        <w:t>shows</w:t>
      </w:r>
      <w:r w:rsidR="009849ED">
        <w:t xml:space="preserve"> that immigration in general was very low</w:t>
      </w:r>
      <w:r w:rsidR="00875C8B">
        <w:rPr>
          <w:rStyle w:val="FootnoteReference"/>
        </w:rPr>
        <w:footnoteReference w:id="45"/>
      </w:r>
      <w:r w:rsidR="009849ED">
        <w:t xml:space="preserve">. However, it did identify that </w:t>
      </w:r>
      <w:r w:rsidR="00202091">
        <w:t>most</w:t>
      </w:r>
      <w:r w:rsidR="009849ED">
        <w:t xml:space="preserve"> migrants that did relocate in England were Asians. This</w:t>
      </w:r>
      <w:r w:rsidR="00E46AC8">
        <w:t xml:space="preserve"> may </w:t>
      </w:r>
      <w:r w:rsidR="009849ED">
        <w:t>indicate</w:t>
      </w:r>
      <w:r w:rsidR="00E46AC8">
        <w:t xml:space="preserve"> that immigration </w:t>
      </w:r>
      <w:r w:rsidR="009849ED">
        <w:t>could</w:t>
      </w:r>
      <w:r w:rsidR="00E46AC8">
        <w:t xml:space="preserve"> be a cause of a belief in reincarnation</w:t>
      </w:r>
      <w:r w:rsidR="009849ED">
        <w:t xml:space="preserve"> as migrants bring their religious practices with them</w:t>
      </w:r>
      <w:r w:rsidR="00E46AC8">
        <w:t xml:space="preserve">. </w:t>
      </w:r>
      <w:r w:rsidR="00565388">
        <w:t xml:space="preserve">If both studies were conducted in areas with low to non-immigration from Asians, the number of individuals who believe in reincarnation may also be found to be significantly low. </w:t>
      </w:r>
      <w:r w:rsidR="00870E2F">
        <w:t>This would require further work as there are a very limited number of studies, not including those that address regions, counties or states by comparison.</w:t>
      </w:r>
    </w:p>
    <w:p w14:paraId="5BB7130E" w14:textId="77777777" w:rsidR="00B12591" w:rsidRDefault="00B12591" w:rsidP="00D403DC">
      <w:pPr>
        <w:spacing w:line="360" w:lineRule="auto"/>
        <w:jc w:val="both"/>
      </w:pPr>
    </w:p>
    <w:p w14:paraId="1A569DE1" w14:textId="33E7C8B4" w:rsidR="005E3222" w:rsidRDefault="00B12591" w:rsidP="00F57715">
      <w:pPr>
        <w:spacing w:line="360" w:lineRule="auto"/>
        <w:jc w:val="both"/>
      </w:pPr>
      <w:r>
        <w:t>Brink suggested that the rise in counter cultural movements may have been responsible for the drop in religious belief</w:t>
      </w:r>
      <w:r w:rsidR="00AB45CC">
        <w:rPr>
          <w:rStyle w:val="FootnoteReference"/>
        </w:rPr>
        <w:footnoteReference w:id="46"/>
      </w:r>
      <w:r>
        <w:t>.</w:t>
      </w:r>
      <w:r w:rsidR="00C03E64">
        <w:t xml:space="preserve"> </w:t>
      </w:r>
      <w:r>
        <w:t xml:space="preserve"> </w:t>
      </w:r>
      <w:r w:rsidR="00C03E64">
        <w:t>In the 1960’s, the sociologist Peter Berger stated “from being in a world dominated by Christianity to one with a wide range of belief systems, people are no longer united by a set of beliefs”</w:t>
      </w:r>
      <w:r w:rsidR="00C03E64">
        <w:rPr>
          <w:rStyle w:val="FootnoteReference"/>
        </w:rPr>
        <w:footnoteReference w:id="47"/>
      </w:r>
      <w:r w:rsidR="00C03E64">
        <w:t>.</w:t>
      </w:r>
      <w:r w:rsidR="00C03E64">
        <w:t xml:space="preserve"> It appears that decline in religious belief was occurring well before Brink’s article in 1978. More recent studies into religions decline have uncovered other reasons. </w:t>
      </w:r>
      <w:r>
        <w:t>According to Inglehart, most high-income countries in the west were becoming less religious</w:t>
      </w:r>
      <w:r w:rsidR="00402B89">
        <w:t xml:space="preserve"> and the reasons for this was due to modern ideas around homosexuality, gender equality, divorce, abortion, as well as higher life expectancy than in the past</w:t>
      </w:r>
      <w:r>
        <w:rPr>
          <w:rStyle w:val="FootnoteReference"/>
        </w:rPr>
        <w:footnoteReference w:id="48"/>
      </w:r>
      <w:r>
        <w:t xml:space="preserve">. </w:t>
      </w:r>
    </w:p>
    <w:p w14:paraId="77419219" w14:textId="77777777" w:rsidR="00F57715" w:rsidRDefault="00F57715" w:rsidP="00F57715">
      <w:pPr>
        <w:spacing w:line="360" w:lineRule="auto"/>
        <w:jc w:val="both"/>
      </w:pPr>
    </w:p>
    <w:p w14:paraId="64A3154F" w14:textId="18823D0C" w:rsidR="00B063ED" w:rsidRDefault="00B063ED" w:rsidP="00B063ED">
      <w:pPr>
        <w:spacing w:line="360" w:lineRule="auto"/>
        <w:jc w:val="both"/>
      </w:pPr>
      <w:r>
        <w:lastRenderedPageBreak/>
        <w:t>Tony Walter</w:t>
      </w:r>
      <w:r w:rsidR="005E3222">
        <w:t xml:space="preserve">’s later study in 2001, </w:t>
      </w:r>
      <w:r w:rsidR="005E3222">
        <w:rPr>
          <w:i/>
          <w:iCs/>
        </w:rPr>
        <w:t>Reincarnation, Modernity and</w:t>
      </w:r>
      <w:r w:rsidR="005E3222" w:rsidRPr="005E3222">
        <w:rPr>
          <w:i/>
          <w:iCs/>
        </w:rPr>
        <w:t xml:space="preserve"> </w:t>
      </w:r>
      <w:r w:rsidR="005E3222">
        <w:rPr>
          <w:i/>
          <w:iCs/>
        </w:rPr>
        <w:t>Identity</w:t>
      </w:r>
      <w:r w:rsidR="005E3222" w:rsidRPr="005E3222">
        <w:rPr>
          <w:rStyle w:val="FootnoteReference"/>
        </w:rPr>
        <w:footnoteReference w:id="49"/>
      </w:r>
      <w:r w:rsidR="005E3222" w:rsidRPr="005E3222">
        <w:t>,</w:t>
      </w:r>
      <w:r w:rsidR="005E3222">
        <w:t xml:space="preserve"> looks at a shift in beliefs in reincarnation percentage rates at the beginning of his paper. He found that </w:t>
      </w:r>
      <w:r>
        <w:t xml:space="preserve">the belief in reincarnation in Britain has substantially increased since a study </w:t>
      </w:r>
      <w:r w:rsidR="005E3222">
        <w:t xml:space="preserve">that </w:t>
      </w:r>
      <w:r>
        <w:t>was carried out in the late 1940’s</w:t>
      </w:r>
      <w:r w:rsidR="005E3222">
        <w:t xml:space="preserve"> </w:t>
      </w:r>
      <w:r>
        <w:t>show</w:t>
      </w:r>
      <w:r w:rsidR="005E3222">
        <w:t>ing</w:t>
      </w:r>
      <w:r>
        <w:t xml:space="preserve"> only 4% of the population held belief in reincarnation</w:t>
      </w:r>
      <w:r>
        <w:rPr>
          <w:rStyle w:val="FootnoteReference"/>
        </w:rPr>
        <w:footnoteReference w:id="50"/>
      </w:r>
      <w:r>
        <w:t xml:space="preserve">. Although, it is undeniable that a belief in reincarnation is increasing </w:t>
      </w:r>
      <w:r w:rsidR="00165FE0">
        <w:t>due to New Age thought becoming mainstream</w:t>
      </w:r>
      <w:r w:rsidR="00165FE0">
        <w:rPr>
          <w:rStyle w:val="FootnoteReference"/>
        </w:rPr>
        <w:footnoteReference w:id="51"/>
      </w:r>
      <w:r>
        <w:t xml:space="preserve">, </w:t>
      </w:r>
      <w:r w:rsidR="005E3222">
        <w:t xml:space="preserve">the study in which Walter is referencing </w:t>
      </w:r>
      <w:r>
        <w:t>was carried out in a small part of London</w:t>
      </w:r>
      <w:r w:rsidR="0044043D">
        <w:t>. Walter</w:t>
      </w:r>
      <w:r>
        <w:t xml:space="preserve"> used this study in his works to prove that belief was increasing in Britain</w:t>
      </w:r>
      <w:r w:rsidR="00F0223D">
        <w:t>.</w:t>
      </w:r>
      <w:r>
        <w:t xml:space="preserve"> </w:t>
      </w:r>
      <w:r w:rsidR="00F0223D">
        <w:t>H</w:t>
      </w:r>
      <w:r>
        <w:t xml:space="preserve">owever, </w:t>
      </w:r>
      <w:r w:rsidR="00F0223D">
        <w:t xml:space="preserve">to get an accurate representation from the British public, Walter would have to also carry out studies in Scotland, </w:t>
      </w:r>
      <w:r>
        <w:t xml:space="preserve">Wales and </w:t>
      </w:r>
      <w:r w:rsidR="00F0223D">
        <w:t xml:space="preserve">Northern </w:t>
      </w:r>
      <w:r>
        <w:t xml:space="preserve">Ireland </w:t>
      </w:r>
      <w:r w:rsidR="0044043D">
        <w:t xml:space="preserve">which </w:t>
      </w:r>
      <w:r>
        <w:t>make up</w:t>
      </w:r>
      <w:r w:rsidR="00F0223D">
        <w:t xml:space="preserve"> the rest of</w:t>
      </w:r>
      <w:r>
        <w:t xml:space="preserve"> Britain. The anthropologist, Geoffrey </w:t>
      </w:r>
      <w:proofErr w:type="spellStart"/>
      <w:r>
        <w:t>Gorer</w:t>
      </w:r>
      <w:proofErr w:type="spellEnd"/>
      <w:r>
        <w:t>, provided data on the same topic covering various regions of England that showed a one percent increase in the belief by 1955</w:t>
      </w:r>
      <w:r>
        <w:rPr>
          <w:rStyle w:val="FootnoteReference"/>
        </w:rPr>
        <w:footnoteReference w:id="52"/>
      </w:r>
      <w:r>
        <w:t xml:space="preserve">. </w:t>
      </w:r>
    </w:p>
    <w:p w14:paraId="301AF87A" w14:textId="77777777" w:rsidR="00B063ED" w:rsidRDefault="00B063ED" w:rsidP="00B063ED">
      <w:pPr>
        <w:spacing w:line="360" w:lineRule="auto"/>
        <w:jc w:val="both"/>
      </w:pPr>
    </w:p>
    <w:p w14:paraId="33F300C5" w14:textId="454BD02E" w:rsidR="001220D6" w:rsidRDefault="00B063ED" w:rsidP="001220D6">
      <w:pPr>
        <w:spacing w:line="360" w:lineRule="auto"/>
        <w:jc w:val="both"/>
      </w:pPr>
      <w:r>
        <w:t>Although not solely covering England but looking at Britain as a whole, the European Values Survey conducted in 1990 had found that the belief in reincarnation in Britain had reached 24%</w:t>
      </w:r>
      <w:r>
        <w:rPr>
          <w:rStyle w:val="FootnoteReference"/>
        </w:rPr>
        <w:footnoteReference w:id="53"/>
      </w:r>
      <w:r>
        <w:t xml:space="preserve">. </w:t>
      </w:r>
      <w:r w:rsidR="001220D6">
        <w:t>This would be fairly accurate as Walter and Waterhouse state in their work in 1999 that around 20% of the English population believe in reincarnation</w:t>
      </w:r>
      <w:r w:rsidR="001220D6">
        <w:rPr>
          <w:rStyle w:val="FootnoteReference"/>
        </w:rPr>
        <w:footnoteReference w:id="54"/>
      </w:r>
      <w:r w:rsidR="001220D6">
        <w:t xml:space="preserve">. </w:t>
      </w:r>
      <w:r w:rsidR="001220D6">
        <w:t>What both studies were able to establish, was firstly that a belief in reincarnation is spreading among the western world, although slowly</w:t>
      </w:r>
      <w:r w:rsidR="0044043D">
        <w:t>.</w:t>
      </w:r>
      <w:r w:rsidR="001220D6">
        <w:t xml:space="preserve"> </w:t>
      </w:r>
      <w:r w:rsidR="0044043D">
        <w:t>S</w:t>
      </w:r>
      <w:r w:rsidR="001220D6">
        <w:t xml:space="preserve">econdly, </w:t>
      </w:r>
      <w:r w:rsidR="0044043D">
        <w:t xml:space="preserve">they proved </w:t>
      </w:r>
      <w:r w:rsidR="001220D6">
        <w:t xml:space="preserve">that it has little to no </w:t>
      </w:r>
      <w:r w:rsidR="001220D6">
        <w:t>effect</w:t>
      </w:r>
      <w:r w:rsidR="001220D6">
        <w:t xml:space="preserve"> on those that hold Christian religious beliefs. </w:t>
      </w:r>
    </w:p>
    <w:p w14:paraId="591B7C44" w14:textId="77777777" w:rsidR="00E46F33" w:rsidRDefault="00E46F33"/>
    <w:p w14:paraId="6B2ADE06" w14:textId="532A29E1" w:rsidR="003A2170" w:rsidRDefault="005D1FDF" w:rsidP="003A2170">
      <w:pPr>
        <w:spacing w:line="360" w:lineRule="auto"/>
        <w:jc w:val="both"/>
        <w:rPr>
          <w:u w:val="single"/>
        </w:rPr>
      </w:pPr>
      <w:r>
        <w:rPr>
          <w:u w:val="single"/>
        </w:rPr>
        <w:t>Conclusion</w:t>
      </w:r>
    </w:p>
    <w:p w14:paraId="694059E6" w14:textId="77777777" w:rsidR="005D1FDF" w:rsidRDefault="005D1FDF" w:rsidP="003A2170">
      <w:pPr>
        <w:spacing w:line="360" w:lineRule="auto"/>
        <w:jc w:val="both"/>
        <w:rPr>
          <w:u w:val="single"/>
        </w:rPr>
      </w:pPr>
    </w:p>
    <w:p w14:paraId="47CC3E74" w14:textId="196C234C" w:rsidR="00C655F8" w:rsidRDefault="00910BDB" w:rsidP="003A2170">
      <w:pPr>
        <w:spacing w:line="360" w:lineRule="auto"/>
        <w:jc w:val="both"/>
        <w:rPr>
          <w:bCs/>
        </w:rPr>
      </w:pPr>
      <w:r>
        <w:rPr>
          <w:bCs/>
        </w:rPr>
        <w:t xml:space="preserve">The two sources discussed in this essay </w:t>
      </w:r>
      <w:r w:rsidR="008D043C">
        <w:rPr>
          <w:bCs/>
        </w:rPr>
        <w:t xml:space="preserve">not only </w:t>
      </w:r>
      <w:r>
        <w:rPr>
          <w:bCs/>
        </w:rPr>
        <w:t>demonstrate the</w:t>
      </w:r>
      <w:r>
        <w:rPr>
          <w:bCs/>
        </w:rPr>
        <w:t xml:space="preserve"> </w:t>
      </w:r>
      <w:r w:rsidR="008D043C">
        <w:rPr>
          <w:bCs/>
        </w:rPr>
        <w:t xml:space="preserve">increase </w:t>
      </w:r>
      <w:r w:rsidR="00C85AD4">
        <w:rPr>
          <w:bCs/>
        </w:rPr>
        <w:t>in</w:t>
      </w:r>
      <w:r w:rsidR="008D043C">
        <w:rPr>
          <w:bCs/>
        </w:rPr>
        <w:t xml:space="preserve"> popularity of belief in reincarnation but also the impact that it may have in people’s lives. The sources individually concluded tha</w:t>
      </w:r>
      <w:r w:rsidR="00F57715">
        <w:rPr>
          <w:bCs/>
        </w:rPr>
        <w:t xml:space="preserve">t </w:t>
      </w:r>
      <w:r w:rsidR="008D043C">
        <w:rPr>
          <w:bCs/>
        </w:rPr>
        <w:t xml:space="preserve">it didn’t </w:t>
      </w:r>
      <w:r w:rsidR="00202091">
        <w:rPr>
          <w:bCs/>
        </w:rPr>
        <w:t>affect</w:t>
      </w:r>
      <w:r w:rsidR="008D043C">
        <w:rPr>
          <w:bCs/>
        </w:rPr>
        <w:t xml:space="preserve"> </w:t>
      </w:r>
      <w:r w:rsidR="00F57715">
        <w:rPr>
          <w:bCs/>
        </w:rPr>
        <w:t xml:space="preserve">other beliefs that people may have as found with Brink’s study, nor did it </w:t>
      </w:r>
      <w:r w:rsidR="00202091">
        <w:rPr>
          <w:bCs/>
        </w:rPr>
        <w:t>affect</w:t>
      </w:r>
      <w:r w:rsidR="00F57715">
        <w:rPr>
          <w:bCs/>
        </w:rPr>
        <w:t xml:space="preserve"> people’s everyday</w:t>
      </w:r>
      <w:r w:rsidR="008D043C">
        <w:rPr>
          <w:bCs/>
        </w:rPr>
        <w:t xml:space="preserve"> lives </w:t>
      </w:r>
      <w:r w:rsidR="00F57715">
        <w:rPr>
          <w:bCs/>
        </w:rPr>
        <w:t xml:space="preserve">or church memberships </w:t>
      </w:r>
      <w:r w:rsidR="008D043C">
        <w:rPr>
          <w:bCs/>
        </w:rPr>
        <w:t xml:space="preserve">as proven </w:t>
      </w:r>
      <w:r w:rsidR="00F57715">
        <w:rPr>
          <w:bCs/>
        </w:rPr>
        <w:t>by</w:t>
      </w:r>
      <w:r w:rsidR="008D043C">
        <w:rPr>
          <w:bCs/>
        </w:rPr>
        <w:t xml:space="preserve"> </w:t>
      </w:r>
      <w:r w:rsidR="00F57715">
        <w:rPr>
          <w:bCs/>
        </w:rPr>
        <w:t>Walter and W</w:t>
      </w:r>
      <w:r w:rsidR="008D043C">
        <w:rPr>
          <w:bCs/>
        </w:rPr>
        <w:t>aterhouse</w:t>
      </w:r>
      <w:r w:rsidR="00F57715">
        <w:rPr>
          <w:bCs/>
        </w:rPr>
        <w:t xml:space="preserve">’s. Both sources were similar only </w:t>
      </w:r>
      <w:r w:rsidR="00C655F8">
        <w:rPr>
          <w:bCs/>
        </w:rPr>
        <w:t>due to research topic, but</w:t>
      </w:r>
      <w:r w:rsidR="00F57715">
        <w:rPr>
          <w:bCs/>
        </w:rPr>
        <w:t xml:space="preserve"> </w:t>
      </w:r>
      <w:r w:rsidR="00F57715">
        <w:rPr>
          <w:bCs/>
        </w:rPr>
        <w:lastRenderedPageBreak/>
        <w:t>their methodologies set them apart</w:t>
      </w:r>
      <w:r w:rsidR="00C655F8">
        <w:rPr>
          <w:bCs/>
        </w:rPr>
        <w:t>. Brink’s study was more controlled within a classroom setting using questionnaires, meanwhile Walter and Waterhouse attracted participants through a radio show and then conducted interviews at the participants homes. Individual biases may have been evident in both sources, as Brink likely targeted the religious schoolgirls in hopes to attain a certain result while neglecting youth who do not adhere to religious doctrine for an accurate representation. The biases within Walter and Waterhouse’s work lay in how participants were obtained as it is likely that those willing to participate will have a pre-existing interest in the topic or experiences with reincarnation, while non-believers will be unlikely to participate.</w:t>
      </w:r>
    </w:p>
    <w:p w14:paraId="5B57DFC5" w14:textId="77777777" w:rsidR="00C655F8" w:rsidRDefault="00C655F8" w:rsidP="003A2170">
      <w:pPr>
        <w:spacing w:line="360" w:lineRule="auto"/>
        <w:jc w:val="both"/>
        <w:rPr>
          <w:bCs/>
        </w:rPr>
      </w:pPr>
    </w:p>
    <w:p w14:paraId="0FC7B546" w14:textId="7B81FA25" w:rsidR="00992655" w:rsidRDefault="00C655F8" w:rsidP="003A2170">
      <w:pPr>
        <w:spacing w:line="360" w:lineRule="auto"/>
        <w:jc w:val="both"/>
        <w:rPr>
          <w:bCs/>
        </w:rPr>
      </w:pPr>
      <w:r>
        <w:rPr>
          <w:bCs/>
        </w:rPr>
        <w:t xml:space="preserve">The rise and prevalence of belief in reincarnation has been made possible according to Brink through the decline in religion and counter-cultural movements. Due to further research, it can be established that the rise of belief in reincarnation may be related to immigration in the areas in which both studies were conducted, Chicago and South-West England. Further research has also uncovered that high-income countries in the west were becoming less religious due to liberal ideas around homosexuality, gender, divorce and abortion rights. </w:t>
      </w:r>
    </w:p>
    <w:p w14:paraId="6426D6B3" w14:textId="77777777" w:rsidR="000D3935" w:rsidRDefault="000D3935" w:rsidP="003A2170">
      <w:pPr>
        <w:spacing w:line="360" w:lineRule="auto"/>
        <w:jc w:val="both"/>
        <w:rPr>
          <w:bCs/>
        </w:rPr>
      </w:pPr>
    </w:p>
    <w:p w14:paraId="3D4197A9" w14:textId="07EEDAF7" w:rsidR="007A2155" w:rsidRPr="00057C43" w:rsidRDefault="000D3935" w:rsidP="003A2170">
      <w:pPr>
        <w:spacing w:line="360" w:lineRule="auto"/>
        <w:jc w:val="both"/>
        <w:rPr>
          <w:bCs/>
        </w:rPr>
      </w:pPr>
      <w:r>
        <w:rPr>
          <w:bCs/>
        </w:rPr>
        <w:t xml:space="preserve">Both sources discussed in this essay are very much relevant today as they not only showed a decline within religious doctrine, but also the rise of ‘New age’ thought in the west. Therefore, it could be argued that these sources showed a statistical trend emerging before a belief in reincarnation became mainstream as highlighted by Siegler. It can be concluded that although the belief in reincarnation has been proven to be on the rise slowly, human beings must evidently, believe in something. In western countries, faith in religious doctrine is diminishing and the space that it leaves must be filled by something else, whether that be the </w:t>
      </w:r>
      <w:r w:rsidR="00FC3E59">
        <w:rPr>
          <w:bCs/>
        </w:rPr>
        <w:t>belief</w:t>
      </w:r>
      <w:r w:rsidR="00057C43">
        <w:rPr>
          <w:bCs/>
        </w:rPr>
        <w:t xml:space="preserve">s in reincarnation </w:t>
      </w:r>
      <w:r w:rsidR="00FC3E59">
        <w:rPr>
          <w:bCs/>
        </w:rPr>
        <w:t>or not</w:t>
      </w:r>
      <w:r>
        <w:rPr>
          <w:bCs/>
        </w:rPr>
        <w:t xml:space="preserve">. </w:t>
      </w:r>
    </w:p>
    <w:p w14:paraId="56AFB17F" w14:textId="77777777" w:rsidR="005F64A6" w:rsidRDefault="005F64A6" w:rsidP="003A2170">
      <w:pPr>
        <w:spacing w:line="360" w:lineRule="auto"/>
        <w:jc w:val="both"/>
        <w:rPr>
          <w:u w:val="single"/>
        </w:rPr>
      </w:pPr>
    </w:p>
    <w:p w14:paraId="59C589EF" w14:textId="77777777" w:rsidR="00AD722C" w:rsidRDefault="00AD722C" w:rsidP="005F64A6">
      <w:pPr>
        <w:spacing w:line="360" w:lineRule="auto"/>
        <w:jc w:val="center"/>
        <w:rPr>
          <w:u w:val="single"/>
        </w:rPr>
      </w:pPr>
    </w:p>
    <w:p w14:paraId="40810515" w14:textId="77777777" w:rsidR="00AD722C" w:rsidRDefault="00AD722C" w:rsidP="005F64A6">
      <w:pPr>
        <w:spacing w:line="360" w:lineRule="auto"/>
        <w:jc w:val="center"/>
        <w:rPr>
          <w:u w:val="single"/>
        </w:rPr>
      </w:pPr>
    </w:p>
    <w:p w14:paraId="7064A1A9" w14:textId="77777777" w:rsidR="00AD722C" w:rsidRDefault="00AD722C" w:rsidP="005F64A6">
      <w:pPr>
        <w:spacing w:line="360" w:lineRule="auto"/>
        <w:jc w:val="center"/>
        <w:rPr>
          <w:u w:val="single"/>
        </w:rPr>
      </w:pPr>
    </w:p>
    <w:p w14:paraId="4F306720" w14:textId="77777777" w:rsidR="00AD722C" w:rsidRDefault="00AD722C" w:rsidP="005F64A6">
      <w:pPr>
        <w:spacing w:line="360" w:lineRule="auto"/>
        <w:jc w:val="center"/>
        <w:rPr>
          <w:u w:val="single"/>
        </w:rPr>
      </w:pPr>
    </w:p>
    <w:p w14:paraId="50B29B2B" w14:textId="77777777" w:rsidR="00AD722C" w:rsidRDefault="00AD722C" w:rsidP="005F64A6">
      <w:pPr>
        <w:spacing w:line="360" w:lineRule="auto"/>
        <w:jc w:val="center"/>
        <w:rPr>
          <w:u w:val="single"/>
        </w:rPr>
      </w:pPr>
    </w:p>
    <w:p w14:paraId="2EFE2F3C" w14:textId="77777777" w:rsidR="00AD722C" w:rsidRDefault="00AD722C" w:rsidP="005F64A6">
      <w:pPr>
        <w:spacing w:line="360" w:lineRule="auto"/>
        <w:jc w:val="center"/>
        <w:rPr>
          <w:u w:val="single"/>
        </w:rPr>
      </w:pPr>
    </w:p>
    <w:p w14:paraId="2AC18B01" w14:textId="77777777" w:rsidR="00AD722C" w:rsidRDefault="00AD722C" w:rsidP="00B66691">
      <w:pPr>
        <w:spacing w:line="360" w:lineRule="auto"/>
        <w:rPr>
          <w:u w:val="single"/>
        </w:rPr>
      </w:pPr>
    </w:p>
    <w:p w14:paraId="28C7C594" w14:textId="77777777" w:rsidR="00AD722C" w:rsidRDefault="00AD722C" w:rsidP="00B66691">
      <w:pPr>
        <w:spacing w:line="360" w:lineRule="auto"/>
        <w:rPr>
          <w:u w:val="single"/>
        </w:rPr>
      </w:pPr>
    </w:p>
    <w:p w14:paraId="12C6DF14" w14:textId="77777777" w:rsidR="00057C43" w:rsidRDefault="00057C43" w:rsidP="00B66691">
      <w:pPr>
        <w:spacing w:line="360" w:lineRule="auto"/>
        <w:rPr>
          <w:u w:val="single"/>
        </w:rPr>
      </w:pPr>
    </w:p>
    <w:p w14:paraId="0655F84A" w14:textId="0BF3F341" w:rsidR="005F64A6" w:rsidRDefault="005F64A6" w:rsidP="005F64A6">
      <w:pPr>
        <w:spacing w:line="360" w:lineRule="auto"/>
        <w:jc w:val="center"/>
        <w:rPr>
          <w:u w:val="single"/>
        </w:rPr>
      </w:pPr>
      <w:r w:rsidRPr="00AD722C">
        <w:rPr>
          <w:u w:val="single"/>
        </w:rPr>
        <w:t>Bibliography</w:t>
      </w:r>
    </w:p>
    <w:p w14:paraId="23388641" w14:textId="77777777" w:rsidR="00AD722C" w:rsidRDefault="00AD722C" w:rsidP="005F64A6">
      <w:pPr>
        <w:spacing w:line="360" w:lineRule="auto"/>
        <w:jc w:val="center"/>
        <w:rPr>
          <w:u w:val="single"/>
        </w:rPr>
      </w:pPr>
    </w:p>
    <w:p w14:paraId="25EA48E5" w14:textId="77777777" w:rsidR="00AD722C" w:rsidRDefault="00AD722C" w:rsidP="005F64A6">
      <w:pPr>
        <w:spacing w:line="360" w:lineRule="auto"/>
        <w:jc w:val="center"/>
        <w:rPr>
          <w:u w:val="single"/>
        </w:rPr>
      </w:pPr>
    </w:p>
    <w:p w14:paraId="734F96A8" w14:textId="77777777" w:rsidR="00AD722C" w:rsidRDefault="00AD722C" w:rsidP="00AD722C">
      <w:pPr>
        <w:spacing w:line="360" w:lineRule="auto"/>
        <w:jc w:val="both"/>
      </w:pPr>
      <w:r>
        <w:t xml:space="preserve">Brink, T.L. </w:t>
      </w:r>
      <w:r w:rsidRPr="00FA5B5B">
        <w:t>‘Inconsistency of Belief among Roman Catholic Girls: Concerning Religion, Astrology, Reincarnation’</w:t>
      </w:r>
      <w:r>
        <w:t xml:space="preserve"> in </w:t>
      </w:r>
      <w:r>
        <w:rPr>
          <w:i/>
          <w:iCs/>
        </w:rPr>
        <w:t xml:space="preserve">Review of Religious Research, </w:t>
      </w:r>
      <w:r>
        <w:t>vol.20 (1), (California: College of Notre Dame, 1978).</w:t>
      </w:r>
    </w:p>
    <w:p w14:paraId="3BA63BC4" w14:textId="77777777" w:rsidR="00AD722C" w:rsidRDefault="00AD722C" w:rsidP="00AD722C">
      <w:pPr>
        <w:pStyle w:val="FootnoteText"/>
        <w:spacing w:line="360" w:lineRule="auto"/>
        <w:rPr>
          <w:sz w:val="24"/>
          <w:szCs w:val="24"/>
        </w:rPr>
      </w:pPr>
    </w:p>
    <w:p w14:paraId="3C34DE3A" w14:textId="1F7A8DFF" w:rsidR="00AD722C" w:rsidRPr="005F64A6" w:rsidRDefault="00AD722C" w:rsidP="00AD722C">
      <w:pPr>
        <w:pStyle w:val="FootnoteText"/>
        <w:spacing w:line="360" w:lineRule="auto"/>
        <w:rPr>
          <w:sz w:val="24"/>
          <w:szCs w:val="24"/>
        </w:rPr>
      </w:pPr>
      <w:r w:rsidRPr="005F64A6">
        <w:rPr>
          <w:sz w:val="24"/>
          <w:szCs w:val="24"/>
        </w:rPr>
        <w:t xml:space="preserve">Britannica, </w:t>
      </w:r>
      <w:r w:rsidRPr="005F64A6">
        <w:rPr>
          <w:i/>
          <w:iCs/>
          <w:sz w:val="24"/>
          <w:szCs w:val="24"/>
        </w:rPr>
        <w:t xml:space="preserve">New Age Movement </w:t>
      </w:r>
      <w:r w:rsidRPr="005F64A6">
        <w:rPr>
          <w:sz w:val="24"/>
          <w:szCs w:val="24"/>
        </w:rPr>
        <w:t>(2025) https://www.britannica.com/topic/Transcendental-Meditation [accessed 7th February 2025].</w:t>
      </w:r>
    </w:p>
    <w:p w14:paraId="491B6D17" w14:textId="77777777" w:rsidR="00AD722C" w:rsidRDefault="00AD722C" w:rsidP="00AD722C">
      <w:pPr>
        <w:pStyle w:val="FootnoteText"/>
        <w:spacing w:line="360" w:lineRule="auto"/>
        <w:rPr>
          <w:sz w:val="24"/>
          <w:szCs w:val="24"/>
        </w:rPr>
      </w:pPr>
    </w:p>
    <w:p w14:paraId="5A91A8DF" w14:textId="5BA44C99" w:rsidR="00AD722C" w:rsidRPr="005F64A6" w:rsidRDefault="00AD722C" w:rsidP="00AD722C">
      <w:pPr>
        <w:pStyle w:val="FootnoteText"/>
        <w:spacing w:line="360" w:lineRule="auto"/>
        <w:rPr>
          <w:sz w:val="24"/>
          <w:szCs w:val="24"/>
        </w:rPr>
      </w:pPr>
      <w:r w:rsidRPr="005F64A6">
        <w:rPr>
          <w:sz w:val="24"/>
          <w:szCs w:val="24"/>
        </w:rPr>
        <w:t xml:space="preserve">Campion, N. </w:t>
      </w:r>
      <w:r w:rsidRPr="005F64A6">
        <w:rPr>
          <w:i/>
          <w:iCs/>
          <w:sz w:val="24"/>
          <w:szCs w:val="24"/>
        </w:rPr>
        <w:t xml:space="preserve">The New Age in the Modern West: Counterculture, Utopia and Prophecy from the Late Eighteenth Century to the Present Day </w:t>
      </w:r>
      <w:r w:rsidRPr="005F64A6">
        <w:rPr>
          <w:sz w:val="24"/>
          <w:szCs w:val="24"/>
        </w:rPr>
        <w:t>(London: Bloomsbury, 2016).</w:t>
      </w:r>
    </w:p>
    <w:p w14:paraId="1DC646AA" w14:textId="77777777" w:rsidR="00AD722C" w:rsidRDefault="00AD722C" w:rsidP="00AD722C">
      <w:pPr>
        <w:spacing w:line="360" w:lineRule="auto"/>
        <w:rPr>
          <w:u w:val="single"/>
        </w:rPr>
      </w:pPr>
    </w:p>
    <w:p w14:paraId="2662D19C" w14:textId="77777777" w:rsidR="00AD722C" w:rsidRPr="005F64A6" w:rsidRDefault="00AD722C" w:rsidP="00AD722C">
      <w:pPr>
        <w:pStyle w:val="FootnoteText"/>
        <w:spacing w:line="360" w:lineRule="auto"/>
        <w:rPr>
          <w:sz w:val="24"/>
          <w:szCs w:val="24"/>
        </w:rPr>
      </w:pPr>
      <w:proofErr w:type="spellStart"/>
      <w:r w:rsidRPr="005F64A6">
        <w:rPr>
          <w:sz w:val="24"/>
          <w:szCs w:val="24"/>
        </w:rPr>
        <w:t>Chajes</w:t>
      </w:r>
      <w:proofErr w:type="spellEnd"/>
      <w:r w:rsidRPr="005F64A6">
        <w:rPr>
          <w:sz w:val="24"/>
          <w:szCs w:val="24"/>
        </w:rPr>
        <w:t xml:space="preserve">, J. ‘Reincarnation in H.P. Blavatsky’s The Secret Doctrine’, in </w:t>
      </w:r>
      <w:r w:rsidRPr="005F64A6">
        <w:rPr>
          <w:i/>
          <w:iCs/>
          <w:sz w:val="24"/>
          <w:szCs w:val="24"/>
        </w:rPr>
        <w:t xml:space="preserve">Correspondences </w:t>
      </w:r>
      <w:r w:rsidRPr="005F64A6">
        <w:rPr>
          <w:sz w:val="24"/>
          <w:szCs w:val="24"/>
        </w:rPr>
        <w:t xml:space="preserve">vol.5 (United Kingdom: </w:t>
      </w:r>
      <w:proofErr w:type="spellStart"/>
      <w:r w:rsidRPr="005F64A6">
        <w:rPr>
          <w:sz w:val="24"/>
          <w:szCs w:val="24"/>
        </w:rPr>
        <w:t>Aren</w:t>
      </w:r>
      <w:proofErr w:type="spellEnd"/>
      <w:r w:rsidRPr="005F64A6">
        <w:rPr>
          <w:sz w:val="24"/>
          <w:szCs w:val="24"/>
        </w:rPr>
        <w:t xml:space="preserve"> Roukema, 2017).</w:t>
      </w:r>
    </w:p>
    <w:p w14:paraId="3A45E4AF" w14:textId="77777777" w:rsidR="00AD722C" w:rsidRDefault="00AD722C" w:rsidP="00AD722C">
      <w:pPr>
        <w:pStyle w:val="FootnoteText"/>
        <w:spacing w:line="360" w:lineRule="auto"/>
        <w:rPr>
          <w:sz w:val="24"/>
          <w:szCs w:val="24"/>
        </w:rPr>
      </w:pPr>
    </w:p>
    <w:p w14:paraId="3BF6DFA0" w14:textId="2FFA8ED2" w:rsidR="00AD722C" w:rsidRDefault="00AD722C" w:rsidP="00AD722C">
      <w:pPr>
        <w:pStyle w:val="FootnoteText"/>
        <w:spacing w:line="360" w:lineRule="auto"/>
        <w:rPr>
          <w:sz w:val="24"/>
          <w:szCs w:val="24"/>
        </w:rPr>
      </w:pPr>
      <w:proofErr w:type="spellStart"/>
      <w:r w:rsidRPr="00AD722C">
        <w:rPr>
          <w:sz w:val="24"/>
          <w:szCs w:val="24"/>
        </w:rPr>
        <w:t>Dinic</w:t>
      </w:r>
      <w:proofErr w:type="spellEnd"/>
      <w:r w:rsidRPr="00AD722C">
        <w:rPr>
          <w:sz w:val="24"/>
          <w:szCs w:val="24"/>
        </w:rPr>
        <w:t xml:space="preserve">, M. </w:t>
      </w:r>
      <w:r w:rsidRPr="00AD722C">
        <w:rPr>
          <w:i/>
          <w:iCs/>
          <w:sz w:val="24"/>
          <w:szCs w:val="24"/>
        </w:rPr>
        <w:t xml:space="preserve">YouGov Death Study: Britons on life and death </w:t>
      </w:r>
      <w:r w:rsidRPr="00AD722C">
        <w:rPr>
          <w:sz w:val="24"/>
          <w:szCs w:val="24"/>
        </w:rPr>
        <w:t xml:space="preserve">(2021) https://yougov.co.uk/society/articles/37398-yougov-death-study-britons-life-after-death [accessed 7th February 2025]. </w:t>
      </w:r>
    </w:p>
    <w:p w14:paraId="5CAE7A27" w14:textId="77777777" w:rsidR="00AD722C" w:rsidRDefault="00AD722C" w:rsidP="00AD722C">
      <w:pPr>
        <w:pStyle w:val="FootnoteText"/>
        <w:spacing w:line="360" w:lineRule="auto"/>
        <w:rPr>
          <w:sz w:val="24"/>
          <w:szCs w:val="24"/>
        </w:rPr>
      </w:pPr>
    </w:p>
    <w:p w14:paraId="1DAF5C12" w14:textId="77777777" w:rsidR="00AD722C" w:rsidRDefault="00AD722C" w:rsidP="00AD722C">
      <w:pPr>
        <w:pStyle w:val="FootnoteText"/>
        <w:spacing w:line="360" w:lineRule="auto"/>
        <w:rPr>
          <w:sz w:val="24"/>
          <w:szCs w:val="24"/>
        </w:rPr>
      </w:pPr>
      <w:r w:rsidRPr="005F64A6">
        <w:rPr>
          <w:sz w:val="24"/>
          <w:szCs w:val="24"/>
        </w:rPr>
        <w:t xml:space="preserve">Erikson, E. H. </w:t>
      </w:r>
      <w:r w:rsidRPr="005F64A6">
        <w:rPr>
          <w:i/>
          <w:iCs/>
          <w:sz w:val="24"/>
          <w:szCs w:val="24"/>
        </w:rPr>
        <w:t xml:space="preserve">Childhood and society </w:t>
      </w:r>
      <w:r w:rsidRPr="005F64A6">
        <w:rPr>
          <w:sz w:val="24"/>
          <w:szCs w:val="24"/>
        </w:rPr>
        <w:t>(New York: Norton, 1950).</w:t>
      </w:r>
    </w:p>
    <w:p w14:paraId="6B6BD6CF" w14:textId="77777777" w:rsidR="00AD722C" w:rsidRDefault="00AD722C" w:rsidP="00AD722C">
      <w:pPr>
        <w:pStyle w:val="FootnoteText"/>
        <w:spacing w:line="360" w:lineRule="auto"/>
        <w:rPr>
          <w:sz w:val="24"/>
          <w:szCs w:val="24"/>
        </w:rPr>
      </w:pPr>
    </w:p>
    <w:p w14:paraId="56448501" w14:textId="6A4F64A0" w:rsidR="00AD722C" w:rsidRDefault="00AD722C" w:rsidP="00AD722C">
      <w:pPr>
        <w:pStyle w:val="FootnoteText"/>
        <w:spacing w:line="360" w:lineRule="auto"/>
        <w:rPr>
          <w:sz w:val="24"/>
          <w:szCs w:val="24"/>
        </w:rPr>
      </w:pPr>
      <w:r w:rsidRPr="005F64A6">
        <w:rPr>
          <w:sz w:val="24"/>
          <w:szCs w:val="24"/>
        </w:rPr>
        <w:t xml:space="preserve">Erikson, E. H. </w:t>
      </w:r>
      <w:r w:rsidRPr="005F64A6">
        <w:rPr>
          <w:i/>
          <w:iCs/>
          <w:sz w:val="24"/>
          <w:szCs w:val="24"/>
        </w:rPr>
        <w:t xml:space="preserve">Identity and the life cycle </w:t>
      </w:r>
      <w:r w:rsidRPr="005F64A6">
        <w:rPr>
          <w:sz w:val="24"/>
          <w:szCs w:val="24"/>
        </w:rPr>
        <w:t>(New York: Norton, 1959).</w:t>
      </w:r>
    </w:p>
    <w:p w14:paraId="25E93DB1" w14:textId="77777777" w:rsidR="00AD722C" w:rsidRDefault="00AD722C" w:rsidP="00AD722C">
      <w:pPr>
        <w:pStyle w:val="FootnoteText"/>
        <w:spacing w:line="360" w:lineRule="auto"/>
        <w:rPr>
          <w:sz w:val="24"/>
          <w:szCs w:val="24"/>
        </w:rPr>
      </w:pPr>
    </w:p>
    <w:p w14:paraId="4640847D" w14:textId="6ACC394D" w:rsidR="00AD722C" w:rsidRDefault="00AD722C" w:rsidP="00AD722C">
      <w:pPr>
        <w:pStyle w:val="FootnoteText"/>
        <w:spacing w:line="360" w:lineRule="auto"/>
        <w:rPr>
          <w:sz w:val="24"/>
          <w:szCs w:val="24"/>
        </w:rPr>
      </w:pPr>
      <w:r w:rsidRPr="00AD722C">
        <w:rPr>
          <w:sz w:val="24"/>
          <w:szCs w:val="24"/>
        </w:rPr>
        <w:t xml:space="preserve">Evans, J. and </w:t>
      </w:r>
      <w:proofErr w:type="spellStart"/>
      <w:r w:rsidRPr="00AD722C">
        <w:rPr>
          <w:sz w:val="24"/>
          <w:szCs w:val="24"/>
        </w:rPr>
        <w:t>Baronavski</w:t>
      </w:r>
      <w:proofErr w:type="spellEnd"/>
      <w:r w:rsidRPr="00AD722C">
        <w:rPr>
          <w:sz w:val="24"/>
          <w:szCs w:val="24"/>
        </w:rPr>
        <w:t xml:space="preserve">, C. </w:t>
      </w:r>
      <w:r w:rsidRPr="00AD722C">
        <w:rPr>
          <w:i/>
          <w:iCs/>
          <w:sz w:val="24"/>
          <w:szCs w:val="24"/>
        </w:rPr>
        <w:t xml:space="preserve">How do European countries differ in religious commitment? Use our interactive map to find out </w:t>
      </w:r>
      <w:r w:rsidRPr="00AD722C">
        <w:rPr>
          <w:sz w:val="24"/>
          <w:szCs w:val="24"/>
        </w:rPr>
        <w:t>(2018) https://www.pewresearch.org/short-reads/2018/12/05/how-do-european-countries-differ-in-religious-commitment/ [accessed 7</w:t>
      </w:r>
      <w:r w:rsidRPr="00AD722C">
        <w:rPr>
          <w:sz w:val="24"/>
          <w:szCs w:val="24"/>
          <w:vertAlign w:val="superscript"/>
        </w:rPr>
        <w:t>th</w:t>
      </w:r>
      <w:r w:rsidRPr="00AD722C">
        <w:rPr>
          <w:sz w:val="24"/>
          <w:szCs w:val="24"/>
        </w:rPr>
        <w:t xml:space="preserve"> February 2025].</w:t>
      </w:r>
    </w:p>
    <w:p w14:paraId="6DC695CA" w14:textId="77777777" w:rsidR="00AD722C" w:rsidRDefault="00AD722C" w:rsidP="00AD722C">
      <w:pPr>
        <w:pStyle w:val="FootnoteText"/>
        <w:spacing w:line="360" w:lineRule="auto"/>
        <w:rPr>
          <w:sz w:val="24"/>
          <w:szCs w:val="24"/>
        </w:rPr>
      </w:pPr>
    </w:p>
    <w:p w14:paraId="5C30CF3E" w14:textId="3788B1E7" w:rsidR="00AD722C" w:rsidRDefault="00AD722C" w:rsidP="00AD722C">
      <w:pPr>
        <w:pStyle w:val="FootnoteText"/>
        <w:spacing w:line="360" w:lineRule="auto"/>
        <w:rPr>
          <w:sz w:val="24"/>
          <w:szCs w:val="24"/>
        </w:rPr>
      </w:pPr>
      <w:proofErr w:type="spellStart"/>
      <w:r w:rsidRPr="00AD722C">
        <w:rPr>
          <w:sz w:val="24"/>
          <w:szCs w:val="24"/>
        </w:rPr>
        <w:t>Gecewicz</w:t>
      </w:r>
      <w:proofErr w:type="spellEnd"/>
      <w:r w:rsidRPr="00AD722C">
        <w:rPr>
          <w:sz w:val="24"/>
          <w:szCs w:val="24"/>
        </w:rPr>
        <w:t xml:space="preserve">, </w:t>
      </w:r>
      <w:proofErr w:type="spellStart"/>
      <w:proofErr w:type="gramStart"/>
      <w:r w:rsidRPr="00AD722C">
        <w:rPr>
          <w:sz w:val="24"/>
          <w:szCs w:val="24"/>
        </w:rPr>
        <w:t>C.</w:t>
      </w:r>
      <w:r w:rsidRPr="00AD722C">
        <w:rPr>
          <w:i/>
          <w:iCs/>
          <w:sz w:val="24"/>
          <w:szCs w:val="24"/>
        </w:rPr>
        <w:t>‘</w:t>
      </w:r>
      <w:proofErr w:type="gramEnd"/>
      <w:r w:rsidRPr="00AD722C">
        <w:rPr>
          <w:i/>
          <w:iCs/>
          <w:sz w:val="24"/>
          <w:szCs w:val="24"/>
        </w:rPr>
        <w:t>New</w:t>
      </w:r>
      <w:proofErr w:type="spellEnd"/>
      <w:r w:rsidRPr="00AD722C">
        <w:rPr>
          <w:i/>
          <w:iCs/>
          <w:sz w:val="24"/>
          <w:szCs w:val="24"/>
        </w:rPr>
        <w:t xml:space="preserve"> Age’ beliefs common among both religious and nonreligious Americans </w:t>
      </w:r>
      <w:r w:rsidRPr="00AD722C">
        <w:rPr>
          <w:sz w:val="24"/>
          <w:szCs w:val="24"/>
        </w:rPr>
        <w:t>(2018) https://www.pewresearch.org/short-reads/2018/10/01/new-age-beliefs-common-among-both-religious-and-nonreligious-</w:t>
      </w:r>
      <w:r w:rsidRPr="00AD722C">
        <w:rPr>
          <w:sz w:val="24"/>
          <w:szCs w:val="24"/>
        </w:rPr>
        <w:lastRenderedPageBreak/>
        <w:t>americans/#:~:text=Overall%2C%20roughly%20six%2Din%2D,%25)%20and%20astrology%20(29%25).[accessed 7</w:t>
      </w:r>
      <w:r w:rsidRPr="00AD722C">
        <w:rPr>
          <w:sz w:val="24"/>
          <w:szCs w:val="24"/>
          <w:vertAlign w:val="superscript"/>
        </w:rPr>
        <w:t>th</w:t>
      </w:r>
      <w:r w:rsidRPr="00AD722C">
        <w:rPr>
          <w:sz w:val="24"/>
          <w:szCs w:val="24"/>
        </w:rPr>
        <w:t xml:space="preserve"> February 2025]. </w:t>
      </w:r>
    </w:p>
    <w:p w14:paraId="20B4B8E7" w14:textId="77777777" w:rsidR="00AD722C" w:rsidRDefault="00AD722C" w:rsidP="00AD722C">
      <w:pPr>
        <w:pStyle w:val="FootnoteText"/>
        <w:spacing w:line="360" w:lineRule="auto"/>
        <w:rPr>
          <w:sz w:val="24"/>
          <w:szCs w:val="24"/>
        </w:rPr>
      </w:pPr>
    </w:p>
    <w:p w14:paraId="676A3E30" w14:textId="4F9C7DAE" w:rsidR="00AD722C" w:rsidRPr="00AD722C" w:rsidRDefault="00AD722C" w:rsidP="00AD722C">
      <w:pPr>
        <w:pStyle w:val="FootnoteText"/>
        <w:spacing w:line="360" w:lineRule="auto"/>
        <w:rPr>
          <w:sz w:val="24"/>
          <w:szCs w:val="24"/>
        </w:rPr>
      </w:pPr>
      <w:proofErr w:type="spellStart"/>
      <w:r w:rsidRPr="005F64A6">
        <w:rPr>
          <w:sz w:val="24"/>
          <w:szCs w:val="24"/>
        </w:rPr>
        <w:t>Gleiser</w:t>
      </w:r>
      <w:proofErr w:type="spellEnd"/>
      <w:r w:rsidRPr="005F64A6">
        <w:rPr>
          <w:sz w:val="24"/>
          <w:szCs w:val="24"/>
        </w:rPr>
        <w:t xml:space="preserve">, M. </w:t>
      </w:r>
      <w:r w:rsidRPr="005F64A6">
        <w:rPr>
          <w:i/>
          <w:iCs/>
          <w:sz w:val="24"/>
          <w:szCs w:val="24"/>
        </w:rPr>
        <w:t xml:space="preserve">All humans are believers </w:t>
      </w:r>
      <w:r w:rsidRPr="005F64A6">
        <w:rPr>
          <w:sz w:val="24"/>
          <w:szCs w:val="24"/>
        </w:rPr>
        <w:t>(2022) https://bigthink.com/13-8/belief-science-religion/ [accessed 7</w:t>
      </w:r>
      <w:r w:rsidRPr="005F64A6">
        <w:rPr>
          <w:sz w:val="24"/>
          <w:szCs w:val="24"/>
          <w:vertAlign w:val="superscript"/>
        </w:rPr>
        <w:t>th</w:t>
      </w:r>
      <w:r w:rsidRPr="005F64A6">
        <w:rPr>
          <w:sz w:val="24"/>
          <w:szCs w:val="24"/>
        </w:rPr>
        <w:t xml:space="preserve"> February 2025].</w:t>
      </w:r>
    </w:p>
    <w:p w14:paraId="55A1D1B5" w14:textId="77777777" w:rsidR="00AD722C" w:rsidRDefault="00AD722C" w:rsidP="00AD722C">
      <w:pPr>
        <w:spacing w:line="360" w:lineRule="auto"/>
        <w:jc w:val="center"/>
        <w:rPr>
          <w:u w:val="single"/>
        </w:rPr>
      </w:pPr>
    </w:p>
    <w:p w14:paraId="49390208" w14:textId="3FC2D7AD" w:rsidR="00AD722C" w:rsidRDefault="00AD722C" w:rsidP="00AD722C">
      <w:pPr>
        <w:pStyle w:val="FootnoteText"/>
        <w:spacing w:line="360" w:lineRule="auto"/>
        <w:rPr>
          <w:sz w:val="24"/>
          <w:szCs w:val="24"/>
        </w:rPr>
      </w:pPr>
      <w:proofErr w:type="spellStart"/>
      <w:r w:rsidRPr="00AD722C">
        <w:rPr>
          <w:sz w:val="24"/>
          <w:szCs w:val="24"/>
        </w:rPr>
        <w:t>Gorer</w:t>
      </w:r>
      <w:proofErr w:type="spellEnd"/>
      <w:r w:rsidRPr="00AD722C">
        <w:rPr>
          <w:sz w:val="24"/>
          <w:szCs w:val="24"/>
        </w:rPr>
        <w:t xml:space="preserve">, </w:t>
      </w:r>
      <w:r w:rsidRPr="00AD722C">
        <w:rPr>
          <w:sz w:val="24"/>
          <w:szCs w:val="24"/>
        </w:rPr>
        <w:t xml:space="preserve">G. </w:t>
      </w:r>
      <w:r w:rsidRPr="00AD722C">
        <w:rPr>
          <w:i/>
          <w:iCs/>
          <w:sz w:val="24"/>
          <w:szCs w:val="24"/>
        </w:rPr>
        <w:t xml:space="preserve">Exploring English character </w:t>
      </w:r>
      <w:r w:rsidRPr="00AD722C">
        <w:rPr>
          <w:sz w:val="24"/>
          <w:szCs w:val="24"/>
        </w:rPr>
        <w:t>(London: Cresset, 1955)</w:t>
      </w:r>
      <w:r w:rsidRPr="00AD722C">
        <w:rPr>
          <w:sz w:val="24"/>
          <w:szCs w:val="24"/>
        </w:rPr>
        <w:t>.</w:t>
      </w:r>
    </w:p>
    <w:p w14:paraId="1EB9AAB5" w14:textId="77777777" w:rsidR="00AD722C" w:rsidRDefault="00AD722C" w:rsidP="00AD722C">
      <w:pPr>
        <w:pStyle w:val="FootnoteText"/>
        <w:spacing w:line="360" w:lineRule="auto"/>
        <w:rPr>
          <w:sz w:val="24"/>
          <w:szCs w:val="24"/>
        </w:rPr>
      </w:pPr>
    </w:p>
    <w:p w14:paraId="6C4CD167" w14:textId="5785147B" w:rsidR="00AD722C" w:rsidRDefault="00AD722C" w:rsidP="00AD722C">
      <w:pPr>
        <w:pStyle w:val="FootnoteText"/>
        <w:spacing w:line="360" w:lineRule="auto"/>
        <w:rPr>
          <w:sz w:val="24"/>
          <w:szCs w:val="24"/>
        </w:rPr>
      </w:pPr>
      <w:r w:rsidRPr="00AD722C">
        <w:rPr>
          <w:sz w:val="24"/>
          <w:szCs w:val="24"/>
        </w:rPr>
        <w:t xml:space="preserve">Hall, J. </w:t>
      </w:r>
      <w:r w:rsidRPr="00AD722C">
        <w:rPr>
          <w:i/>
          <w:iCs/>
          <w:sz w:val="24"/>
          <w:szCs w:val="24"/>
        </w:rPr>
        <w:t xml:space="preserve">Past Life Astrology </w:t>
      </w:r>
      <w:r w:rsidRPr="00AD722C">
        <w:rPr>
          <w:sz w:val="24"/>
          <w:szCs w:val="24"/>
        </w:rPr>
        <w:t xml:space="preserve">(London: </w:t>
      </w:r>
      <w:proofErr w:type="spellStart"/>
      <w:r w:rsidRPr="00AD722C">
        <w:rPr>
          <w:sz w:val="24"/>
          <w:szCs w:val="24"/>
        </w:rPr>
        <w:t>Godsfield</w:t>
      </w:r>
      <w:proofErr w:type="spellEnd"/>
      <w:r w:rsidRPr="00AD722C">
        <w:rPr>
          <w:sz w:val="24"/>
          <w:szCs w:val="24"/>
        </w:rPr>
        <w:t xml:space="preserve"> Press, 2003).</w:t>
      </w:r>
    </w:p>
    <w:p w14:paraId="7E3AB68E" w14:textId="77777777" w:rsidR="00AD722C" w:rsidRDefault="00AD722C" w:rsidP="00AD722C">
      <w:pPr>
        <w:pStyle w:val="FootnoteText"/>
        <w:spacing w:line="360" w:lineRule="auto"/>
        <w:rPr>
          <w:sz w:val="24"/>
          <w:szCs w:val="24"/>
        </w:rPr>
      </w:pPr>
    </w:p>
    <w:p w14:paraId="4AF62FAF" w14:textId="73FE8C94" w:rsidR="00AD722C" w:rsidRDefault="00AD722C" w:rsidP="00AD722C">
      <w:pPr>
        <w:pStyle w:val="FootnoteText"/>
        <w:spacing w:line="360" w:lineRule="auto"/>
        <w:rPr>
          <w:sz w:val="24"/>
          <w:szCs w:val="24"/>
        </w:rPr>
      </w:pPr>
      <w:r w:rsidRPr="00AD722C">
        <w:rPr>
          <w:sz w:val="24"/>
          <w:szCs w:val="24"/>
        </w:rPr>
        <w:t xml:space="preserve">Heller, R. </w:t>
      </w:r>
      <w:r w:rsidRPr="00AD722C">
        <w:rPr>
          <w:i/>
          <w:iCs/>
          <w:sz w:val="24"/>
          <w:szCs w:val="24"/>
        </w:rPr>
        <w:t xml:space="preserve">The New Age 40 Year's Later </w:t>
      </w:r>
      <w:r w:rsidRPr="00AD722C">
        <w:rPr>
          <w:sz w:val="24"/>
          <w:szCs w:val="24"/>
        </w:rPr>
        <w:t>(2016) https://www.huffpost.com/entry/the-new-age-40-years-late_b_9765486 [accessed 7th February 2025].</w:t>
      </w:r>
    </w:p>
    <w:p w14:paraId="2B80F75A" w14:textId="77777777" w:rsidR="00AD722C" w:rsidRDefault="00AD722C" w:rsidP="00AD722C">
      <w:pPr>
        <w:pStyle w:val="FootnoteText"/>
        <w:spacing w:line="360" w:lineRule="auto"/>
        <w:rPr>
          <w:sz w:val="24"/>
          <w:szCs w:val="24"/>
        </w:rPr>
      </w:pPr>
    </w:p>
    <w:p w14:paraId="0092AECC" w14:textId="72DFDC03" w:rsidR="00AD722C" w:rsidRDefault="00AD722C" w:rsidP="00AD722C">
      <w:pPr>
        <w:pStyle w:val="FootnoteText"/>
        <w:spacing w:line="360" w:lineRule="auto"/>
        <w:rPr>
          <w:sz w:val="24"/>
          <w:szCs w:val="24"/>
        </w:rPr>
      </w:pPr>
      <w:r w:rsidRPr="00AD722C">
        <w:rPr>
          <w:sz w:val="24"/>
          <w:szCs w:val="24"/>
        </w:rPr>
        <w:t xml:space="preserve">Hooper, K. and Groves, S. ‘A Comparative Analysis of the Migration and Integration of Indian and Chinese Immigrants in the United States’, in </w:t>
      </w:r>
      <w:r w:rsidRPr="00AD722C">
        <w:rPr>
          <w:i/>
          <w:iCs/>
          <w:sz w:val="24"/>
          <w:szCs w:val="24"/>
        </w:rPr>
        <w:t xml:space="preserve">INTERACT Research Report </w:t>
      </w:r>
      <w:r w:rsidRPr="00AD722C">
        <w:rPr>
          <w:sz w:val="24"/>
          <w:szCs w:val="24"/>
        </w:rPr>
        <w:t>Number 32 (Italy: European University Institute, 2014).</w:t>
      </w:r>
    </w:p>
    <w:p w14:paraId="69BAD9EA" w14:textId="77777777" w:rsidR="00AD722C" w:rsidRDefault="00AD722C" w:rsidP="00AD722C">
      <w:pPr>
        <w:pStyle w:val="FootnoteText"/>
        <w:spacing w:line="360" w:lineRule="auto"/>
        <w:rPr>
          <w:sz w:val="24"/>
          <w:szCs w:val="24"/>
        </w:rPr>
      </w:pPr>
    </w:p>
    <w:p w14:paraId="76A4E935" w14:textId="48DAFC76" w:rsidR="00AD722C" w:rsidRDefault="00AD722C" w:rsidP="00AD722C">
      <w:pPr>
        <w:pStyle w:val="FootnoteText"/>
        <w:spacing w:line="360" w:lineRule="auto"/>
        <w:rPr>
          <w:sz w:val="24"/>
          <w:szCs w:val="24"/>
        </w:rPr>
      </w:pPr>
      <w:r w:rsidRPr="00AD722C">
        <w:rPr>
          <w:sz w:val="24"/>
          <w:szCs w:val="24"/>
        </w:rPr>
        <w:t xml:space="preserve">Inglehart, R.F. </w:t>
      </w:r>
      <w:r w:rsidRPr="00AD722C">
        <w:rPr>
          <w:i/>
          <w:iCs/>
          <w:sz w:val="24"/>
          <w:szCs w:val="24"/>
        </w:rPr>
        <w:t xml:space="preserve">Why is religion suddenly declining? </w:t>
      </w:r>
      <w:r w:rsidRPr="00AD722C">
        <w:rPr>
          <w:sz w:val="24"/>
          <w:szCs w:val="24"/>
        </w:rPr>
        <w:t>(2020) https://blog.oup.com/2020/12/why-is-religion-suddenly-declining/ [accessed 7</w:t>
      </w:r>
      <w:r w:rsidRPr="00AD722C">
        <w:rPr>
          <w:sz w:val="24"/>
          <w:szCs w:val="24"/>
          <w:vertAlign w:val="superscript"/>
        </w:rPr>
        <w:t>th</w:t>
      </w:r>
      <w:r w:rsidRPr="00AD722C">
        <w:rPr>
          <w:sz w:val="24"/>
          <w:szCs w:val="24"/>
        </w:rPr>
        <w:t xml:space="preserve"> February 2025].</w:t>
      </w:r>
    </w:p>
    <w:p w14:paraId="62DADDE9" w14:textId="77777777" w:rsidR="00AD722C" w:rsidRPr="00AD722C" w:rsidRDefault="00AD722C" w:rsidP="00AD722C">
      <w:pPr>
        <w:pStyle w:val="FootnoteText"/>
        <w:spacing w:line="360" w:lineRule="auto"/>
        <w:rPr>
          <w:sz w:val="24"/>
          <w:szCs w:val="24"/>
        </w:rPr>
      </w:pPr>
    </w:p>
    <w:p w14:paraId="01801C79" w14:textId="77777777" w:rsidR="00AD722C" w:rsidRDefault="00AD722C" w:rsidP="00AD722C">
      <w:pPr>
        <w:pStyle w:val="FootnoteText"/>
        <w:spacing w:line="360" w:lineRule="auto"/>
        <w:rPr>
          <w:sz w:val="24"/>
          <w:szCs w:val="24"/>
        </w:rPr>
      </w:pPr>
      <w:proofErr w:type="spellStart"/>
      <w:r w:rsidRPr="00AD722C">
        <w:rPr>
          <w:sz w:val="24"/>
          <w:szCs w:val="24"/>
        </w:rPr>
        <w:t>Lambdin</w:t>
      </w:r>
      <w:proofErr w:type="spellEnd"/>
      <w:r w:rsidRPr="00AD722C">
        <w:rPr>
          <w:sz w:val="24"/>
          <w:szCs w:val="24"/>
        </w:rPr>
        <w:t xml:space="preserve">, A. </w:t>
      </w:r>
      <w:r w:rsidRPr="00AD722C">
        <w:rPr>
          <w:i/>
          <w:iCs/>
          <w:sz w:val="24"/>
          <w:szCs w:val="24"/>
        </w:rPr>
        <w:t xml:space="preserve">New Age Movement – It’s Pervasive Influence Today </w:t>
      </w:r>
      <w:r w:rsidRPr="00AD722C">
        <w:rPr>
          <w:sz w:val="24"/>
          <w:szCs w:val="24"/>
        </w:rPr>
        <w:t>(2025) https://bluecollarbiblicalscholar.blog/2025/02/12/new-age-movement-its-pervasive-influence-today/ [accessed 7</w:t>
      </w:r>
      <w:r w:rsidRPr="00AD722C">
        <w:rPr>
          <w:sz w:val="24"/>
          <w:szCs w:val="24"/>
          <w:vertAlign w:val="superscript"/>
        </w:rPr>
        <w:t>th</w:t>
      </w:r>
      <w:r w:rsidRPr="00AD722C">
        <w:rPr>
          <w:sz w:val="24"/>
          <w:szCs w:val="24"/>
        </w:rPr>
        <w:t xml:space="preserve"> February 2025].</w:t>
      </w:r>
    </w:p>
    <w:p w14:paraId="43654A05" w14:textId="77777777" w:rsidR="00AD722C" w:rsidRPr="00AD722C" w:rsidRDefault="00AD722C" w:rsidP="00AD722C">
      <w:pPr>
        <w:pStyle w:val="FootnoteText"/>
        <w:spacing w:line="360" w:lineRule="auto"/>
        <w:rPr>
          <w:sz w:val="24"/>
          <w:szCs w:val="24"/>
        </w:rPr>
      </w:pPr>
    </w:p>
    <w:p w14:paraId="096F10C0" w14:textId="77777777" w:rsidR="00AD722C" w:rsidRPr="005F64A6" w:rsidRDefault="00AD722C" w:rsidP="00AD722C">
      <w:pPr>
        <w:pStyle w:val="FootnoteText"/>
        <w:spacing w:line="360" w:lineRule="auto"/>
        <w:rPr>
          <w:sz w:val="24"/>
          <w:szCs w:val="24"/>
        </w:rPr>
      </w:pPr>
      <w:r w:rsidRPr="005F64A6">
        <w:rPr>
          <w:sz w:val="24"/>
          <w:szCs w:val="24"/>
        </w:rPr>
        <w:t xml:space="preserve">Levin, J. ‘New Age Healing: Origins, Definitions, and Implications for Religion and Medicine’, in </w:t>
      </w:r>
      <w:r w:rsidRPr="005F64A6">
        <w:rPr>
          <w:i/>
          <w:iCs/>
          <w:sz w:val="24"/>
          <w:szCs w:val="24"/>
        </w:rPr>
        <w:t xml:space="preserve">Religions </w:t>
      </w:r>
      <w:r w:rsidRPr="005F64A6">
        <w:rPr>
          <w:sz w:val="24"/>
          <w:szCs w:val="24"/>
        </w:rPr>
        <w:t>vol.13 (777), (Switzerland: MDPI, 2022).</w:t>
      </w:r>
    </w:p>
    <w:p w14:paraId="55C635F3" w14:textId="77777777" w:rsidR="00AD722C" w:rsidRDefault="00AD722C" w:rsidP="00AD722C">
      <w:pPr>
        <w:pStyle w:val="FootnoteText"/>
        <w:spacing w:line="360" w:lineRule="auto"/>
        <w:rPr>
          <w:sz w:val="24"/>
          <w:szCs w:val="24"/>
        </w:rPr>
      </w:pPr>
    </w:p>
    <w:p w14:paraId="18D5BD42" w14:textId="77777777" w:rsidR="00AD722C" w:rsidRPr="00AD722C" w:rsidRDefault="00AD722C" w:rsidP="00AD722C">
      <w:pPr>
        <w:pStyle w:val="FootnoteText"/>
        <w:spacing w:line="360" w:lineRule="auto"/>
        <w:rPr>
          <w:sz w:val="24"/>
          <w:szCs w:val="24"/>
        </w:rPr>
      </w:pPr>
      <w:r w:rsidRPr="00AD722C">
        <w:rPr>
          <w:sz w:val="24"/>
          <w:szCs w:val="24"/>
        </w:rPr>
        <w:t xml:space="preserve">Mass Observation, </w:t>
      </w:r>
      <w:r w:rsidRPr="00AD722C">
        <w:rPr>
          <w:i/>
          <w:iCs/>
          <w:sz w:val="24"/>
          <w:szCs w:val="24"/>
        </w:rPr>
        <w:t xml:space="preserve">Puzzled people: A study in popular attitudes to religion, ethics, progress, and politics inn a London brough </w:t>
      </w:r>
      <w:r w:rsidRPr="00AD722C">
        <w:rPr>
          <w:sz w:val="24"/>
          <w:szCs w:val="24"/>
        </w:rPr>
        <w:t>(London: Gollancz, 1947).</w:t>
      </w:r>
    </w:p>
    <w:p w14:paraId="02C50A64" w14:textId="77777777" w:rsidR="00AD722C" w:rsidRDefault="00AD722C" w:rsidP="00AD722C">
      <w:pPr>
        <w:spacing w:line="360" w:lineRule="auto"/>
        <w:rPr>
          <w:u w:val="single"/>
        </w:rPr>
      </w:pPr>
    </w:p>
    <w:p w14:paraId="1A0BEE1C" w14:textId="12F3ECC7" w:rsidR="00AD722C" w:rsidRDefault="00AD722C" w:rsidP="00AD722C">
      <w:pPr>
        <w:pStyle w:val="FootnoteText"/>
        <w:spacing w:line="360" w:lineRule="auto"/>
        <w:rPr>
          <w:sz w:val="24"/>
          <w:szCs w:val="24"/>
        </w:rPr>
      </w:pPr>
      <w:r w:rsidRPr="00AD722C">
        <w:rPr>
          <w:sz w:val="24"/>
          <w:szCs w:val="24"/>
        </w:rPr>
        <w:t xml:space="preserve">Migration Watch UK, </w:t>
      </w:r>
      <w:r w:rsidRPr="00AD722C">
        <w:rPr>
          <w:i/>
          <w:iCs/>
          <w:sz w:val="24"/>
          <w:szCs w:val="24"/>
        </w:rPr>
        <w:t xml:space="preserve">Migration Statistics Over Time </w:t>
      </w:r>
      <w:r w:rsidRPr="00AD722C">
        <w:rPr>
          <w:sz w:val="24"/>
          <w:szCs w:val="24"/>
        </w:rPr>
        <w:t>(2025) https://www.migrationwatchuk.org/migration-statistics-over-time [accessed 7th February 2025].</w:t>
      </w:r>
    </w:p>
    <w:p w14:paraId="53FB55A9" w14:textId="77777777" w:rsidR="00AD722C" w:rsidRDefault="00AD722C" w:rsidP="00AD722C">
      <w:pPr>
        <w:pStyle w:val="FootnoteText"/>
        <w:spacing w:line="360" w:lineRule="auto"/>
        <w:rPr>
          <w:sz w:val="24"/>
          <w:szCs w:val="24"/>
        </w:rPr>
      </w:pPr>
    </w:p>
    <w:p w14:paraId="5CF00602" w14:textId="77777777" w:rsidR="00AD722C" w:rsidRDefault="00AD722C" w:rsidP="00AD722C">
      <w:pPr>
        <w:spacing w:line="360" w:lineRule="auto"/>
        <w:jc w:val="both"/>
      </w:pPr>
      <w:r>
        <w:t xml:space="preserve">Nagaraj A.K, </w:t>
      </w:r>
      <w:proofErr w:type="spellStart"/>
      <w:r>
        <w:t>Nanjegowda</w:t>
      </w:r>
      <w:proofErr w:type="spellEnd"/>
      <w:r>
        <w:t xml:space="preserve"> R.B, </w:t>
      </w:r>
      <w:proofErr w:type="spellStart"/>
      <w:r>
        <w:t>Purushothama</w:t>
      </w:r>
      <w:proofErr w:type="spellEnd"/>
      <w:r>
        <w:t xml:space="preserve"> S.M, ‘The mystery of reincarnation’, in </w:t>
      </w:r>
      <w:r>
        <w:rPr>
          <w:i/>
          <w:iCs/>
        </w:rPr>
        <w:t xml:space="preserve">Indian Journal of Psychiatry, </w:t>
      </w:r>
      <w:r>
        <w:t xml:space="preserve">vol.55 (2), (India: Wolters Kluwer – </w:t>
      </w:r>
      <w:proofErr w:type="spellStart"/>
      <w:r>
        <w:t>Medknow</w:t>
      </w:r>
      <w:proofErr w:type="spellEnd"/>
      <w:r>
        <w:t xml:space="preserve"> Publications, 2015).</w:t>
      </w:r>
    </w:p>
    <w:p w14:paraId="533BACAD" w14:textId="77777777" w:rsidR="00AD722C" w:rsidRDefault="00AD722C" w:rsidP="00AD722C">
      <w:pPr>
        <w:spacing w:line="360" w:lineRule="auto"/>
        <w:jc w:val="both"/>
      </w:pPr>
    </w:p>
    <w:p w14:paraId="750150E9" w14:textId="1AEB30BA" w:rsidR="00AD722C" w:rsidRDefault="00AD722C" w:rsidP="00AD722C">
      <w:pPr>
        <w:pStyle w:val="FootnoteText"/>
        <w:spacing w:line="360" w:lineRule="auto"/>
        <w:rPr>
          <w:sz w:val="24"/>
          <w:szCs w:val="24"/>
        </w:rPr>
      </w:pPr>
      <w:r w:rsidRPr="005F64A6">
        <w:rPr>
          <w:sz w:val="24"/>
          <w:szCs w:val="24"/>
        </w:rPr>
        <w:t xml:space="preserve">Prothero, S. ‘From Spiritualism to Theosophy: “Uplifting” a Democratic Tradition’, in </w:t>
      </w:r>
      <w:r w:rsidRPr="005F64A6">
        <w:rPr>
          <w:i/>
          <w:iCs/>
          <w:sz w:val="24"/>
          <w:szCs w:val="24"/>
        </w:rPr>
        <w:t xml:space="preserve">A Journal of Interpretation </w:t>
      </w:r>
      <w:r w:rsidRPr="005F64A6">
        <w:rPr>
          <w:sz w:val="24"/>
          <w:szCs w:val="24"/>
        </w:rPr>
        <w:t>vol.3 (2), (California: University of California Press, 1993).</w:t>
      </w:r>
    </w:p>
    <w:p w14:paraId="02418316" w14:textId="77777777" w:rsidR="00AD722C" w:rsidRDefault="00AD722C" w:rsidP="00AD722C">
      <w:pPr>
        <w:pStyle w:val="FootnoteText"/>
        <w:spacing w:line="360" w:lineRule="auto"/>
        <w:rPr>
          <w:sz w:val="24"/>
          <w:szCs w:val="24"/>
        </w:rPr>
      </w:pPr>
    </w:p>
    <w:p w14:paraId="2D124C3F" w14:textId="5A9A8089" w:rsidR="00AD722C" w:rsidRPr="00AD722C" w:rsidRDefault="00AD722C" w:rsidP="00AD722C">
      <w:pPr>
        <w:pStyle w:val="FootnoteText"/>
        <w:spacing w:line="360" w:lineRule="auto"/>
        <w:rPr>
          <w:sz w:val="24"/>
          <w:szCs w:val="24"/>
        </w:rPr>
      </w:pPr>
      <w:r w:rsidRPr="00AD791C">
        <w:rPr>
          <w:sz w:val="24"/>
          <w:szCs w:val="24"/>
        </w:rPr>
        <w:t>Rao, T.S.S, Asha, M. R, Rao, K.S</w:t>
      </w:r>
      <w:r>
        <w:rPr>
          <w:sz w:val="24"/>
          <w:szCs w:val="24"/>
        </w:rPr>
        <w:t>.</w:t>
      </w:r>
      <w:r w:rsidRPr="00AD791C">
        <w:rPr>
          <w:sz w:val="24"/>
          <w:szCs w:val="24"/>
        </w:rPr>
        <w:t xml:space="preserve"> J and </w:t>
      </w:r>
      <w:proofErr w:type="spellStart"/>
      <w:r w:rsidRPr="00AD791C">
        <w:rPr>
          <w:sz w:val="24"/>
          <w:szCs w:val="24"/>
        </w:rPr>
        <w:t>Vasudevaraju</w:t>
      </w:r>
      <w:proofErr w:type="spellEnd"/>
      <w:r w:rsidRPr="00AD791C">
        <w:rPr>
          <w:sz w:val="24"/>
          <w:szCs w:val="24"/>
        </w:rPr>
        <w:t>, P. ‘The biochemistry of belief’</w:t>
      </w:r>
      <w:r w:rsidRPr="00AD791C">
        <w:rPr>
          <w:i/>
          <w:iCs/>
          <w:sz w:val="24"/>
          <w:szCs w:val="24"/>
        </w:rPr>
        <w:t xml:space="preserve"> </w:t>
      </w:r>
      <w:r w:rsidRPr="00AD791C">
        <w:rPr>
          <w:sz w:val="24"/>
          <w:szCs w:val="24"/>
        </w:rPr>
        <w:t xml:space="preserve">in </w:t>
      </w:r>
      <w:r w:rsidRPr="00AD791C">
        <w:rPr>
          <w:i/>
          <w:iCs/>
          <w:sz w:val="24"/>
          <w:szCs w:val="24"/>
        </w:rPr>
        <w:t xml:space="preserve">Indian Journal of Psychiatry </w:t>
      </w:r>
      <w:r w:rsidRPr="00AD791C">
        <w:rPr>
          <w:sz w:val="24"/>
          <w:szCs w:val="24"/>
        </w:rPr>
        <w:t xml:space="preserve">vol.51 (4), (India: Wolters Kluwer – </w:t>
      </w:r>
      <w:proofErr w:type="spellStart"/>
      <w:r w:rsidRPr="00AD791C">
        <w:rPr>
          <w:sz w:val="24"/>
          <w:szCs w:val="24"/>
        </w:rPr>
        <w:t>Medknow</w:t>
      </w:r>
      <w:proofErr w:type="spellEnd"/>
      <w:r w:rsidRPr="00AD791C">
        <w:rPr>
          <w:sz w:val="24"/>
          <w:szCs w:val="24"/>
        </w:rPr>
        <w:t xml:space="preserve"> Publications, 2009).</w:t>
      </w:r>
    </w:p>
    <w:p w14:paraId="7595917B" w14:textId="77777777" w:rsidR="00AD722C" w:rsidRPr="00AD722C" w:rsidRDefault="00AD722C" w:rsidP="00AD722C">
      <w:pPr>
        <w:pStyle w:val="FootnoteText"/>
        <w:spacing w:line="360" w:lineRule="auto"/>
        <w:rPr>
          <w:sz w:val="24"/>
          <w:szCs w:val="24"/>
        </w:rPr>
      </w:pPr>
    </w:p>
    <w:p w14:paraId="1C2DB2E2" w14:textId="77777777" w:rsidR="00AD722C" w:rsidRPr="00AD722C" w:rsidRDefault="00AD722C" w:rsidP="00AD722C">
      <w:pPr>
        <w:pStyle w:val="FootnoteText"/>
        <w:spacing w:line="360" w:lineRule="auto"/>
        <w:rPr>
          <w:sz w:val="24"/>
          <w:szCs w:val="24"/>
        </w:rPr>
      </w:pPr>
      <w:r w:rsidRPr="00AD722C">
        <w:rPr>
          <w:sz w:val="24"/>
          <w:szCs w:val="24"/>
        </w:rPr>
        <w:t xml:space="preserve">Reaves, D. ‘Peter Berger and the Rise and Fall of the Theory of Secularization’, in </w:t>
      </w:r>
      <w:r w:rsidRPr="00AD722C">
        <w:rPr>
          <w:i/>
          <w:iCs/>
          <w:sz w:val="24"/>
          <w:szCs w:val="24"/>
        </w:rPr>
        <w:t xml:space="preserve">Denison Journal of Religion </w:t>
      </w:r>
      <w:r w:rsidRPr="00AD722C">
        <w:rPr>
          <w:sz w:val="24"/>
          <w:szCs w:val="24"/>
        </w:rPr>
        <w:t>vol.11 (3), (Ohio: Denison Digital Commons, 2012).</w:t>
      </w:r>
    </w:p>
    <w:p w14:paraId="0E0661CE" w14:textId="77777777" w:rsidR="00AD722C" w:rsidRPr="00AD722C" w:rsidRDefault="00AD722C" w:rsidP="00AD722C">
      <w:pPr>
        <w:pStyle w:val="FootnoteText"/>
        <w:spacing w:line="360" w:lineRule="auto"/>
        <w:rPr>
          <w:sz w:val="24"/>
          <w:szCs w:val="24"/>
        </w:rPr>
      </w:pPr>
    </w:p>
    <w:p w14:paraId="03CAB7AD" w14:textId="1DAC59DA" w:rsidR="00AD722C" w:rsidRDefault="00AD722C" w:rsidP="00AD722C">
      <w:pPr>
        <w:pStyle w:val="FootnoteText"/>
        <w:spacing w:line="360" w:lineRule="auto"/>
        <w:rPr>
          <w:sz w:val="24"/>
          <w:szCs w:val="24"/>
        </w:rPr>
      </w:pPr>
      <w:r w:rsidRPr="00AD722C">
        <w:rPr>
          <w:sz w:val="24"/>
          <w:szCs w:val="24"/>
        </w:rPr>
        <w:t>Ryan,</w:t>
      </w:r>
      <w:r w:rsidRPr="00AD722C">
        <w:rPr>
          <w:sz w:val="24"/>
          <w:szCs w:val="24"/>
        </w:rPr>
        <w:t xml:space="preserve"> T.</w:t>
      </w:r>
      <w:r w:rsidRPr="00AD722C">
        <w:rPr>
          <w:sz w:val="24"/>
          <w:szCs w:val="24"/>
        </w:rPr>
        <w:t xml:space="preserve"> </w:t>
      </w:r>
      <w:r w:rsidRPr="00AD722C">
        <w:rPr>
          <w:i/>
          <w:iCs/>
          <w:sz w:val="24"/>
          <w:szCs w:val="24"/>
        </w:rPr>
        <w:t>25 percent of US Christians believe in reincarnation. What’s wrong with this picture?</w:t>
      </w:r>
      <w:r w:rsidRPr="00AD722C">
        <w:rPr>
          <w:sz w:val="24"/>
          <w:szCs w:val="24"/>
        </w:rPr>
        <w:t xml:space="preserve"> (2015) https://www.americamagazine.org/faith/2015/10/21/25-percent-us-christians-believe-reincarnation-whats-wrong-picture [accessed 7th February 2025].</w:t>
      </w:r>
    </w:p>
    <w:p w14:paraId="6599A988" w14:textId="77777777" w:rsidR="00AD722C" w:rsidRDefault="00AD722C" w:rsidP="00AD722C">
      <w:pPr>
        <w:pStyle w:val="FootnoteText"/>
        <w:spacing w:line="360" w:lineRule="auto"/>
        <w:rPr>
          <w:sz w:val="24"/>
          <w:szCs w:val="24"/>
        </w:rPr>
      </w:pPr>
    </w:p>
    <w:p w14:paraId="0AD5CFD6" w14:textId="77777777" w:rsidR="00AD722C" w:rsidRDefault="00AD722C" w:rsidP="00AD722C">
      <w:pPr>
        <w:pStyle w:val="FootnoteText"/>
        <w:spacing w:line="360" w:lineRule="auto"/>
        <w:rPr>
          <w:sz w:val="24"/>
          <w:szCs w:val="24"/>
        </w:rPr>
      </w:pPr>
      <w:r w:rsidRPr="00AD722C">
        <w:rPr>
          <w:sz w:val="24"/>
          <w:szCs w:val="24"/>
        </w:rPr>
        <w:t xml:space="preserve">Shastri, V. </w:t>
      </w:r>
      <w:r w:rsidRPr="00AD722C">
        <w:rPr>
          <w:i/>
          <w:iCs/>
          <w:sz w:val="24"/>
          <w:szCs w:val="24"/>
        </w:rPr>
        <w:t xml:space="preserve">The Science of Vedic Astrology </w:t>
      </w:r>
      <w:r w:rsidRPr="00AD722C">
        <w:rPr>
          <w:sz w:val="24"/>
          <w:szCs w:val="24"/>
        </w:rPr>
        <w:t>(1995) https://www.hinduismtoday.com/magazine/november-1995/1995-11-the-science-of-vedic-astrology/ [accessed 7</w:t>
      </w:r>
      <w:r w:rsidRPr="00AD722C">
        <w:rPr>
          <w:sz w:val="24"/>
          <w:szCs w:val="24"/>
          <w:vertAlign w:val="superscript"/>
        </w:rPr>
        <w:t>th</w:t>
      </w:r>
      <w:r w:rsidRPr="00AD722C">
        <w:rPr>
          <w:sz w:val="24"/>
          <w:szCs w:val="24"/>
        </w:rPr>
        <w:t xml:space="preserve"> February 2025]. </w:t>
      </w:r>
    </w:p>
    <w:p w14:paraId="0376842A" w14:textId="77777777" w:rsidR="00AD722C" w:rsidRPr="00AD722C" w:rsidRDefault="00AD722C" w:rsidP="00AD722C">
      <w:pPr>
        <w:pStyle w:val="FootnoteText"/>
        <w:spacing w:line="360" w:lineRule="auto"/>
        <w:rPr>
          <w:sz w:val="24"/>
          <w:szCs w:val="24"/>
        </w:rPr>
      </w:pPr>
    </w:p>
    <w:p w14:paraId="5E0B02A5" w14:textId="77777777" w:rsidR="00AD722C" w:rsidRPr="005F64A6" w:rsidRDefault="00AD722C" w:rsidP="00AD722C">
      <w:pPr>
        <w:pStyle w:val="FootnoteText"/>
        <w:spacing w:line="360" w:lineRule="auto"/>
        <w:rPr>
          <w:sz w:val="24"/>
          <w:szCs w:val="24"/>
        </w:rPr>
      </w:pPr>
      <w:r w:rsidRPr="005F64A6">
        <w:rPr>
          <w:sz w:val="24"/>
          <w:szCs w:val="24"/>
        </w:rPr>
        <w:t xml:space="preserve">Siegler, E. </w:t>
      </w:r>
      <w:r w:rsidRPr="005F64A6">
        <w:rPr>
          <w:i/>
          <w:iCs/>
          <w:sz w:val="24"/>
          <w:szCs w:val="24"/>
        </w:rPr>
        <w:t xml:space="preserve">New Religious Movements </w:t>
      </w:r>
      <w:r w:rsidRPr="005F64A6">
        <w:rPr>
          <w:sz w:val="24"/>
          <w:szCs w:val="24"/>
        </w:rPr>
        <w:t>(New Jersey: Prentice Hall, 2007).</w:t>
      </w:r>
    </w:p>
    <w:p w14:paraId="09DBE5DE" w14:textId="77777777" w:rsidR="00AD722C" w:rsidRPr="00AD722C" w:rsidRDefault="00AD722C" w:rsidP="00AD722C">
      <w:pPr>
        <w:pStyle w:val="FootnoteText"/>
        <w:spacing w:line="360" w:lineRule="auto"/>
        <w:rPr>
          <w:sz w:val="24"/>
          <w:szCs w:val="24"/>
        </w:rPr>
      </w:pPr>
    </w:p>
    <w:p w14:paraId="4C46E4F9" w14:textId="74B8F68D" w:rsidR="005F64A6" w:rsidRPr="00AD722C" w:rsidRDefault="00AD722C" w:rsidP="00AD722C">
      <w:pPr>
        <w:pStyle w:val="FootnoteText"/>
        <w:spacing w:line="360" w:lineRule="auto"/>
        <w:rPr>
          <w:sz w:val="24"/>
          <w:szCs w:val="24"/>
        </w:rPr>
      </w:pPr>
      <w:r w:rsidRPr="00AD722C">
        <w:rPr>
          <w:sz w:val="24"/>
          <w:szCs w:val="24"/>
        </w:rPr>
        <w:t xml:space="preserve">Statista Research Department, </w:t>
      </w:r>
      <w:proofErr w:type="gramStart"/>
      <w:r w:rsidRPr="00AD722C">
        <w:rPr>
          <w:i/>
          <w:iCs/>
          <w:sz w:val="24"/>
          <w:szCs w:val="24"/>
        </w:rPr>
        <w:t>Do</w:t>
      </w:r>
      <w:proofErr w:type="gramEnd"/>
      <w:r w:rsidRPr="00AD722C">
        <w:rPr>
          <w:i/>
          <w:iCs/>
          <w:sz w:val="24"/>
          <w:szCs w:val="24"/>
        </w:rPr>
        <w:t xml:space="preserve"> you believe in reincarnation </w:t>
      </w:r>
      <w:r w:rsidRPr="00AD722C">
        <w:rPr>
          <w:sz w:val="24"/>
          <w:szCs w:val="24"/>
        </w:rPr>
        <w:t>(2016) https://www.statista.com/statistics/632134/united-states-belief-in-reincarnation/ [accessed 7</w:t>
      </w:r>
      <w:r w:rsidRPr="00AD722C">
        <w:rPr>
          <w:sz w:val="24"/>
          <w:szCs w:val="24"/>
          <w:vertAlign w:val="superscript"/>
        </w:rPr>
        <w:t>th</w:t>
      </w:r>
      <w:r w:rsidRPr="00AD722C">
        <w:rPr>
          <w:sz w:val="24"/>
          <w:szCs w:val="24"/>
        </w:rPr>
        <w:t xml:space="preserve"> February 2025]</w:t>
      </w:r>
      <w:r>
        <w:rPr>
          <w:sz w:val="24"/>
          <w:szCs w:val="24"/>
        </w:rPr>
        <w:t>.</w:t>
      </w:r>
    </w:p>
    <w:p w14:paraId="52770221" w14:textId="77777777" w:rsidR="007A2155" w:rsidRPr="005F64A6" w:rsidRDefault="007A2155" w:rsidP="00AD722C">
      <w:pPr>
        <w:spacing w:line="360" w:lineRule="auto"/>
        <w:jc w:val="both"/>
        <w:rPr>
          <w:u w:val="single"/>
        </w:rPr>
      </w:pPr>
    </w:p>
    <w:p w14:paraId="529AAD37" w14:textId="77777777" w:rsidR="00AD722C" w:rsidRPr="00AD722C" w:rsidRDefault="00AD722C" w:rsidP="00AD722C">
      <w:pPr>
        <w:pStyle w:val="FootnoteText"/>
        <w:spacing w:line="360" w:lineRule="auto"/>
        <w:rPr>
          <w:sz w:val="24"/>
          <w:szCs w:val="24"/>
        </w:rPr>
      </w:pPr>
      <w:r w:rsidRPr="00AD722C">
        <w:rPr>
          <w:sz w:val="24"/>
          <w:szCs w:val="24"/>
        </w:rPr>
        <w:t xml:space="preserve">Times of India, </w:t>
      </w:r>
      <w:r w:rsidRPr="00AD722C">
        <w:rPr>
          <w:i/>
          <w:iCs/>
          <w:sz w:val="24"/>
          <w:szCs w:val="24"/>
        </w:rPr>
        <w:t xml:space="preserve">The mysteries of reincarnation through astrological chart </w:t>
      </w:r>
      <w:r w:rsidRPr="00AD722C">
        <w:rPr>
          <w:sz w:val="24"/>
          <w:szCs w:val="24"/>
        </w:rPr>
        <w:t>(2024) https://timesofindia.indiatimes.com/astrology/others/the-mysteries-of-reincarnation-through-astrological-chart/articleshow/108701577.cms#:~:text=In%20summary%2C%20while%20astrology%</w:t>
      </w:r>
      <w:r w:rsidRPr="00AD722C">
        <w:rPr>
          <w:sz w:val="24"/>
          <w:szCs w:val="24"/>
        </w:rPr>
        <w:lastRenderedPageBreak/>
        <w:t>20doesn,present%20circumstances%20and%20soul%20journey. [accessed 7</w:t>
      </w:r>
      <w:r w:rsidRPr="00AD722C">
        <w:rPr>
          <w:sz w:val="24"/>
          <w:szCs w:val="24"/>
          <w:vertAlign w:val="superscript"/>
        </w:rPr>
        <w:t>th</w:t>
      </w:r>
      <w:r w:rsidRPr="00AD722C">
        <w:rPr>
          <w:sz w:val="24"/>
          <w:szCs w:val="24"/>
        </w:rPr>
        <w:t xml:space="preserve"> February 2025].</w:t>
      </w:r>
    </w:p>
    <w:p w14:paraId="6F3EDDB0" w14:textId="77777777" w:rsidR="005F64A6" w:rsidRPr="005F64A6" w:rsidRDefault="005F64A6" w:rsidP="00AD722C">
      <w:pPr>
        <w:pStyle w:val="FootnoteText"/>
        <w:spacing w:line="360" w:lineRule="auto"/>
        <w:rPr>
          <w:sz w:val="24"/>
          <w:szCs w:val="24"/>
        </w:rPr>
      </w:pPr>
    </w:p>
    <w:p w14:paraId="76C6C27C" w14:textId="77ECD0AD" w:rsidR="005F64A6" w:rsidRPr="005F64A6" w:rsidRDefault="005F64A6" w:rsidP="00AD722C">
      <w:pPr>
        <w:pStyle w:val="FootnoteText"/>
        <w:spacing w:line="360" w:lineRule="auto"/>
        <w:rPr>
          <w:sz w:val="24"/>
          <w:szCs w:val="24"/>
        </w:rPr>
      </w:pPr>
      <w:r w:rsidRPr="005F64A6">
        <w:rPr>
          <w:sz w:val="24"/>
          <w:szCs w:val="24"/>
        </w:rPr>
        <w:t>Tsuji,</w:t>
      </w:r>
      <w:r w:rsidRPr="005F64A6">
        <w:rPr>
          <w:sz w:val="24"/>
          <w:szCs w:val="24"/>
        </w:rPr>
        <w:t xml:space="preserve"> T.</w:t>
      </w:r>
      <w:r w:rsidRPr="005F64A6">
        <w:rPr>
          <w:sz w:val="24"/>
          <w:szCs w:val="24"/>
        </w:rPr>
        <w:t xml:space="preserve"> </w:t>
      </w:r>
      <w:r w:rsidRPr="005F64A6">
        <w:rPr>
          <w:i/>
          <w:iCs/>
          <w:sz w:val="24"/>
          <w:szCs w:val="24"/>
        </w:rPr>
        <w:t xml:space="preserve">On Reincarnation </w:t>
      </w:r>
      <w:r w:rsidRPr="005F64A6">
        <w:rPr>
          <w:sz w:val="24"/>
          <w:szCs w:val="24"/>
        </w:rPr>
        <w:t>(2025) https://www.buddhanet.net/e-learning/reincarnation/ [accessed 17</w:t>
      </w:r>
      <w:r w:rsidRPr="005F64A6">
        <w:rPr>
          <w:sz w:val="24"/>
          <w:szCs w:val="24"/>
          <w:vertAlign w:val="superscript"/>
        </w:rPr>
        <w:t>th</w:t>
      </w:r>
      <w:r w:rsidRPr="005F64A6">
        <w:rPr>
          <w:sz w:val="24"/>
          <w:szCs w:val="24"/>
        </w:rPr>
        <w:t xml:space="preserve"> February 2025].</w:t>
      </w:r>
    </w:p>
    <w:p w14:paraId="369D5138" w14:textId="77777777" w:rsidR="005F64A6" w:rsidRPr="004F4CA0" w:rsidRDefault="005F64A6" w:rsidP="00AD722C">
      <w:pPr>
        <w:pStyle w:val="FootnoteText"/>
        <w:spacing w:line="360" w:lineRule="auto"/>
      </w:pPr>
    </w:p>
    <w:p w14:paraId="42201024" w14:textId="639C1A05" w:rsidR="005F64A6" w:rsidRPr="005F64A6" w:rsidRDefault="005F64A6" w:rsidP="00AD722C">
      <w:pPr>
        <w:pStyle w:val="FootnoteText"/>
        <w:spacing w:line="360" w:lineRule="auto"/>
        <w:rPr>
          <w:sz w:val="24"/>
          <w:szCs w:val="24"/>
        </w:rPr>
      </w:pPr>
      <w:r w:rsidRPr="005F64A6">
        <w:rPr>
          <w:sz w:val="24"/>
          <w:szCs w:val="24"/>
        </w:rPr>
        <w:t>Walter,</w:t>
      </w:r>
      <w:r>
        <w:rPr>
          <w:sz w:val="24"/>
          <w:szCs w:val="24"/>
        </w:rPr>
        <w:t xml:space="preserve"> </w:t>
      </w:r>
      <w:r w:rsidRPr="005F64A6">
        <w:rPr>
          <w:sz w:val="24"/>
          <w:szCs w:val="24"/>
        </w:rPr>
        <w:t>T.</w:t>
      </w:r>
      <w:r w:rsidRPr="005F64A6">
        <w:rPr>
          <w:sz w:val="24"/>
          <w:szCs w:val="24"/>
        </w:rPr>
        <w:t xml:space="preserve"> ‘Reincarnation, Modernity and Identity’, in </w:t>
      </w:r>
      <w:r w:rsidRPr="005F64A6">
        <w:rPr>
          <w:i/>
          <w:iCs/>
          <w:sz w:val="24"/>
          <w:szCs w:val="24"/>
        </w:rPr>
        <w:t xml:space="preserve">Sociology, </w:t>
      </w:r>
      <w:r w:rsidRPr="005F64A6">
        <w:rPr>
          <w:sz w:val="24"/>
          <w:szCs w:val="24"/>
        </w:rPr>
        <w:t>vol. 35 (1), (London: Sage Publications, 2001).</w:t>
      </w:r>
    </w:p>
    <w:p w14:paraId="2B54B04D" w14:textId="77777777" w:rsidR="005F64A6" w:rsidRDefault="005F64A6" w:rsidP="00AD722C">
      <w:pPr>
        <w:pStyle w:val="FootnoteText"/>
        <w:spacing w:line="360" w:lineRule="auto"/>
      </w:pPr>
    </w:p>
    <w:p w14:paraId="2397EBE3" w14:textId="0246C3C6" w:rsidR="005F64A6" w:rsidRDefault="005F64A6" w:rsidP="00AD722C">
      <w:pPr>
        <w:spacing w:line="360" w:lineRule="auto"/>
        <w:jc w:val="both"/>
        <w:rPr>
          <w:u w:val="single"/>
        </w:rPr>
      </w:pPr>
      <w:r>
        <w:t>Walter</w:t>
      </w:r>
      <w:r>
        <w:t xml:space="preserve">, T. </w:t>
      </w:r>
      <w:r>
        <w:t>and Waterhouse</w:t>
      </w:r>
      <w:r>
        <w:t>, H.</w:t>
      </w:r>
      <w:r>
        <w:t xml:space="preserve"> ‘A Very Private Belief: Reincarnation in Contemporary England’, in </w:t>
      </w:r>
      <w:r>
        <w:rPr>
          <w:i/>
          <w:iCs/>
        </w:rPr>
        <w:t xml:space="preserve">Sociology of Religion, </w:t>
      </w:r>
      <w:r>
        <w:t>vol.60 (2), (Oxford: Oxford University Press, 1999)</w:t>
      </w:r>
      <w:r>
        <w:t>.</w:t>
      </w:r>
    </w:p>
    <w:p w14:paraId="5B5EBE9C" w14:textId="77777777" w:rsidR="005F64A6" w:rsidRDefault="005F64A6" w:rsidP="00AD722C">
      <w:pPr>
        <w:spacing w:line="360" w:lineRule="auto"/>
        <w:jc w:val="both"/>
        <w:rPr>
          <w:u w:val="single"/>
        </w:rPr>
      </w:pPr>
    </w:p>
    <w:p w14:paraId="1CC680DA" w14:textId="77777777" w:rsidR="00AD722C" w:rsidRPr="005F64A6" w:rsidRDefault="00AD722C" w:rsidP="00AD722C">
      <w:pPr>
        <w:pStyle w:val="FootnoteText"/>
        <w:spacing w:line="360" w:lineRule="auto"/>
        <w:rPr>
          <w:sz w:val="24"/>
          <w:szCs w:val="24"/>
        </w:rPr>
      </w:pPr>
      <w:proofErr w:type="spellStart"/>
      <w:r w:rsidRPr="005F64A6">
        <w:rPr>
          <w:sz w:val="24"/>
          <w:szCs w:val="24"/>
        </w:rPr>
        <w:t>Wuthnow</w:t>
      </w:r>
      <w:proofErr w:type="spellEnd"/>
      <w:r w:rsidRPr="005F64A6">
        <w:rPr>
          <w:sz w:val="24"/>
          <w:szCs w:val="24"/>
        </w:rPr>
        <w:t xml:space="preserve">, R. ‘Astrology and Marginality’, in </w:t>
      </w:r>
      <w:r w:rsidRPr="005F64A6">
        <w:rPr>
          <w:i/>
          <w:iCs/>
          <w:sz w:val="24"/>
          <w:szCs w:val="24"/>
        </w:rPr>
        <w:t>Journal for the Scientific Study of Religion</w:t>
      </w:r>
      <w:r w:rsidRPr="005F64A6">
        <w:rPr>
          <w:sz w:val="24"/>
          <w:szCs w:val="24"/>
        </w:rPr>
        <w:t xml:space="preserve">, vol.15 (2), (New Jersey: Wiley, 1976). </w:t>
      </w:r>
    </w:p>
    <w:p w14:paraId="380A3D8D" w14:textId="77777777" w:rsidR="00AD791C" w:rsidRDefault="00AD791C" w:rsidP="00AD722C">
      <w:pPr>
        <w:spacing w:line="360" w:lineRule="auto"/>
        <w:jc w:val="both"/>
        <w:rPr>
          <w:u w:val="single"/>
        </w:rPr>
      </w:pPr>
    </w:p>
    <w:p w14:paraId="60A15E63" w14:textId="77777777" w:rsidR="00AD722C" w:rsidRDefault="00AD722C" w:rsidP="00AD722C">
      <w:pPr>
        <w:pStyle w:val="FootnoteText"/>
        <w:spacing w:line="360" w:lineRule="auto"/>
        <w:rPr>
          <w:sz w:val="24"/>
          <w:szCs w:val="24"/>
        </w:rPr>
      </w:pPr>
      <w:proofErr w:type="spellStart"/>
      <w:r w:rsidRPr="00AD722C">
        <w:rPr>
          <w:sz w:val="24"/>
          <w:szCs w:val="24"/>
        </w:rPr>
        <w:t>Zulehner</w:t>
      </w:r>
      <w:proofErr w:type="spellEnd"/>
      <w:r w:rsidRPr="00AD722C">
        <w:rPr>
          <w:sz w:val="24"/>
          <w:szCs w:val="24"/>
        </w:rPr>
        <w:t xml:space="preserve">, P.M. </w:t>
      </w:r>
      <w:proofErr w:type="spellStart"/>
      <w:r w:rsidRPr="00AD722C">
        <w:rPr>
          <w:sz w:val="24"/>
          <w:szCs w:val="24"/>
        </w:rPr>
        <w:t>Dobbelaere</w:t>
      </w:r>
      <w:proofErr w:type="spellEnd"/>
      <w:r w:rsidRPr="00AD722C">
        <w:rPr>
          <w:sz w:val="24"/>
          <w:szCs w:val="24"/>
        </w:rPr>
        <w:t xml:space="preserve">, K. and Jan </w:t>
      </w:r>
      <w:proofErr w:type="spellStart"/>
      <w:r w:rsidRPr="00AD722C">
        <w:rPr>
          <w:sz w:val="24"/>
          <w:szCs w:val="24"/>
        </w:rPr>
        <w:t>Kerkhofs</w:t>
      </w:r>
      <w:proofErr w:type="spellEnd"/>
      <w:r w:rsidRPr="00AD722C">
        <w:rPr>
          <w:sz w:val="24"/>
          <w:szCs w:val="24"/>
        </w:rPr>
        <w:t xml:space="preserve">, </w:t>
      </w:r>
      <w:r w:rsidRPr="00AD722C">
        <w:rPr>
          <w:i/>
          <w:iCs/>
          <w:sz w:val="24"/>
          <w:szCs w:val="24"/>
        </w:rPr>
        <w:t>European Values Study 1990</w:t>
      </w:r>
      <w:r w:rsidRPr="00AD722C">
        <w:rPr>
          <w:sz w:val="24"/>
          <w:szCs w:val="24"/>
        </w:rPr>
        <w:t xml:space="preserve"> (Netherlands: Tilburg University, 1990).</w:t>
      </w:r>
    </w:p>
    <w:p w14:paraId="29AED68E" w14:textId="77777777" w:rsidR="00AD722C" w:rsidRDefault="00AD722C" w:rsidP="00AD722C">
      <w:pPr>
        <w:pStyle w:val="FootnoteText"/>
        <w:spacing w:line="360" w:lineRule="auto"/>
        <w:rPr>
          <w:sz w:val="24"/>
          <w:szCs w:val="24"/>
        </w:rPr>
      </w:pPr>
    </w:p>
    <w:p w14:paraId="0F0B3A9D" w14:textId="77777777" w:rsidR="00AD722C" w:rsidRDefault="00AD722C">
      <w:pPr>
        <w:spacing w:line="360" w:lineRule="auto"/>
        <w:jc w:val="both"/>
        <w:rPr>
          <w:u w:val="single"/>
        </w:rPr>
      </w:pPr>
    </w:p>
    <w:sectPr w:rsidR="00AD722C" w:rsidSect="00B462B1">
      <w:footerReference w:type="default" r:id="rId11"/>
      <w:pgSz w:w="12240" w:h="15840"/>
      <w:pgMar w:top="567" w:right="1797" w:bottom="567"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D96F6" w14:textId="77777777" w:rsidR="00D6721B" w:rsidRDefault="00D6721B" w:rsidP="00FA5B5B">
      <w:r>
        <w:separator/>
      </w:r>
    </w:p>
  </w:endnote>
  <w:endnote w:type="continuationSeparator" w:id="0">
    <w:p w14:paraId="116958C4" w14:textId="77777777" w:rsidR="00D6721B" w:rsidRDefault="00D6721B" w:rsidP="00FA5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6E365" w14:textId="77777777" w:rsidR="00000000" w:rsidRPr="00337A70" w:rsidRDefault="00000000">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E7AA2" w14:textId="77777777" w:rsidR="00D6721B" w:rsidRDefault="00D6721B" w:rsidP="00FA5B5B">
      <w:r>
        <w:separator/>
      </w:r>
    </w:p>
  </w:footnote>
  <w:footnote w:type="continuationSeparator" w:id="0">
    <w:p w14:paraId="11BA3402" w14:textId="77777777" w:rsidR="00D6721B" w:rsidRDefault="00D6721B" w:rsidP="00FA5B5B">
      <w:r>
        <w:continuationSeparator/>
      </w:r>
    </w:p>
  </w:footnote>
  <w:footnote w:id="1">
    <w:p w14:paraId="550E229C" w14:textId="2A6EDA3A" w:rsidR="00A568AD" w:rsidRPr="00A568AD" w:rsidRDefault="00A568AD">
      <w:pPr>
        <w:pStyle w:val="FootnoteText"/>
      </w:pPr>
      <w:r>
        <w:rPr>
          <w:rStyle w:val="FootnoteReference"/>
        </w:rPr>
        <w:footnoteRef/>
      </w:r>
      <w:r>
        <w:t xml:space="preserve"> Marcelo </w:t>
      </w:r>
      <w:proofErr w:type="spellStart"/>
      <w:r>
        <w:t>Gleiser</w:t>
      </w:r>
      <w:proofErr w:type="spellEnd"/>
      <w:r>
        <w:t xml:space="preserve">, </w:t>
      </w:r>
      <w:proofErr w:type="gramStart"/>
      <w:r>
        <w:rPr>
          <w:i/>
          <w:iCs/>
        </w:rPr>
        <w:t>All</w:t>
      </w:r>
      <w:proofErr w:type="gramEnd"/>
      <w:r>
        <w:rPr>
          <w:i/>
          <w:iCs/>
        </w:rPr>
        <w:t xml:space="preserve"> humans are believers </w:t>
      </w:r>
      <w:r>
        <w:t xml:space="preserve">(2022) </w:t>
      </w:r>
      <w:r w:rsidRPr="00A568AD">
        <w:t>https://bigthink.com/13-8/belief-science-religion/</w:t>
      </w:r>
      <w:r>
        <w:t xml:space="preserve"> [accessed 7</w:t>
      </w:r>
      <w:r w:rsidRPr="00A568AD">
        <w:rPr>
          <w:vertAlign w:val="superscript"/>
        </w:rPr>
        <w:t>th</w:t>
      </w:r>
      <w:r>
        <w:t xml:space="preserve"> February 2025].</w:t>
      </w:r>
    </w:p>
  </w:footnote>
  <w:footnote w:id="2">
    <w:p w14:paraId="5A9EA12C" w14:textId="71E81B2C" w:rsidR="00A568AD" w:rsidRPr="00A568AD" w:rsidRDefault="00A568AD">
      <w:pPr>
        <w:pStyle w:val="FootnoteText"/>
      </w:pPr>
      <w:r>
        <w:rPr>
          <w:rStyle w:val="FootnoteReference"/>
        </w:rPr>
        <w:footnoteRef/>
      </w:r>
      <w:r>
        <w:t xml:space="preserve"> </w:t>
      </w:r>
      <w:proofErr w:type="spellStart"/>
      <w:r>
        <w:t>Sathyanarayana</w:t>
      </w:r>
      <w:proofErr w:type="spellEnd"/>
      <w:r>
        <w:t xml:space="preserve"> Rao T.S et al, ‘</w:t>
      </w:r>
      <w:r w:rsidRPr="00A568AD">
        <w:t>The biochemistry of belief</w:t>
      </w:r>
      <w:r>
        <w:t>’</w:t>
      </w:r>
      <w:r>
        <w:rPr>
          <w:i/>
          <w:iCs/>
        </w:rPr>
        <w:t xml:space="preserve"> </w:t>
      </w:r>
      <w:r>
        <w:t xml:space="preserve">in </w:t>
      </w:r>
      <w:r>
        <w:rPr>
          <w:i/>
          <w:iCs/>
        </w:rPr>
        <w:t xml:space="preserve">Indian Journal of Psychiatry </w:t>
      </w:r>
      <w:r>
        <w:t>vol.51 (4), (</w:t>
      </w:r>
      <w:r>
        <w:t xml:space="preserve">India: Wolters Kluwer – </w:t>
      </w:r>
      <w:proofErr w:type="spellStart"/>
      <w:r>
        <w:t>Medknow</w:t>
      </w:r>
      <w:proofErr w:type="spellEnd"/>
      <w:r>
        <w:t xml:space="preserve"> Publications, </w:t>
      </w:r>
      <w:r>
        <w:t>2009) p.239.</w:t>
      </w:r>
    </w:p>
  </w:footnote>
  <w:footnote w:id="3">
    <w:p w14:paraId="11B3A75F" w14:textId="07BD2EFC" w:rsidR="007A2155" w:rsidRPr="007A2155" w:rsidRDefault="007A2155">
      <w:pPr>
        <w:pStyle w:val="FootnoteText"/>
      </w:pPr>
      <w:r>
        <w:rPr>
          <w:rStyle w:val="FootnoteReference"/>
        </w:rPr>
        <w:footnoteRef/>
      </w:r>
      <w:r>
        <w:t xml:space="preserve"> Anil Kumar </w:t>
      </w:r>
      <w:proofErr w:type="spellStart"/>
      <w:r>
        <w:t>Myrose</w:t>
      </w:r>
      <w:proofErr w:type="spellEnd"/>
      <w:r>
        <w:t xml:space="preserve"> Nagaraj et al, ‘The mystery of reincarnation’, in </w:t>
      </w:r>
      <w:r>
        <w:rPr>
          <w:i/>
          <w:iCs/>
        </w:rPr>
        <w:t xml:space="preserve">Indian Journal of Psychiatry, </w:t>
      </w:r>
      <w:r>
        <w:t xml:space="preserve">vol.55 (2), (India: Wolters Kluwer – </w:t>
      </w:r>
      <w:proofErr w:type="spellStart"/>
      <w:r>
        <w:t>Medknow</w:t>
      </w:r>
      <w:proofErr w:type="spellEnd"/>
      <w:r>
        <w:t xml:space="preserve"> Publications, 2015) p.171.</w:t>
      </w:r>
    </w:p>
  </w:footnote>
  <w:footnote w:id="4">
    <w:p w14:paraId="76C921CE" w14:textId="71E9325E" w:rsidR="007A2155" w:rsidRPr="007A2155" w:rsidRDefault="007A2155">
      <w:pPr>
        <w:pStyle w:val="FootnoteText"/>
      </w:pPr>
      <w:r>
        <w:rPr>
          <w:rStyle w:val="FootnoteReference"/>
        </w:rPr>
        <w:footnoteRef/>
      </w:r>
      <w:r>
        <w:t xml:space="preserve"> Tony Walter, ‘Reincarnation, Modernity and Identity’, in </w:t>
      </w:r>
      <w:r>
        <w:rPr>
          <w:i/>
          <w:iCs/>
        </w:rPr>
        <w:t xml:space="preserve">Sociology, </w:t>
      </w:r>
      <w:r>
        <w:t>vol. 35 (1), (London: Sage Publications, 2001) p.21.</w:t>
      </w:r>
    </w:p>
  </w:footnote>
  <w:footnote w:id="5">
    <w:p w14:paraId="2E2F8E3D" w14:textId="1A6CC335" w:rsidR="004F4CA0" w:rsidRDefault="004F4CA0">
      <w:pPr>
        <w:pStyle w:val="FootnoteText"/>
      </w:pPr>
      <w:r>
        <w:rPr>
          <w:rStyle w:val="FootnoteReference"/>
        </w:rPr>
        <w:footnoteRef/>
      </w:r>
      <w:r>
        <w:t xml:space="preserve"> </w:t>
      </w:r>
      <w:r>
        <w:t xml:space="preserve">Anil Kumar </w:t>
      </w:r>
      <w:proofErr w:type="spellStart"/>
      <w:r>
        <w:t>Myrose</w:t>
      </w:r>
      <w:proofErr w:type="spellEnd"/>
      <w:r>
        <w:t xml:space="preserve"> Nagaraj et al, ‘The mystery of reincarnation’, in </w:t>
      </w:r>
      <w:r>
        <w:rPr>
          <w:i/>
          <w:iCs/>
        </w:rPr>
        <w:t xml:space="preserve">Indian Journal of Psychiatry, </w:t>
      </w:r>
      <w:r>
        <w:t xml:space="preserve">vol.55 (2), (India: Wolters Kluwer – </w:t>
      </w:r>
      <w:proofErr w:type="spellStart"/>
      <w:r>
        <w:t>Medknow</w:t>
      </w:r>
      <w:proofErr w:type="spellEnd"/>
      <w:r>
        <w:t xml:space="preserve"> Publications, 2015) p.171.</w:t>
      </w:r>
    </w:p>
  </w:footnote>
  <w:footnote w:id="6">
    <w:p w14:paraId="51201102" w14:textId="00796595" w:rsidR="004F4CA0" w:rsidRPr="004F4CA0" w:rsidRDefault="004F4CA0">
      <w:pPr>
        <w:pStyle w:val="FootnoteText"/>
      </w:pPr>
      <w:r>
        <w:rPr>
          <w:rStyle w:val="FootnoteReference"/>
        </w:rPr>
        <w:footnoteRef/>
      </w:r>
      <w:r>
        <w:t xml:space="preserve"> Takashi Tsuji, </w:t>
      </w:r>
      <w:r>
        <w:rPr>
          <w:i/>
          <w:iCs/>
        </w:rPr>
        <w:t xml:space="preserve">On Reincarnation </w:t>
      </w:r>
      <w:r>
        <w:t xml:space="preserve">(2025) </w:t>
      </w:r>
      <w:r w:rsidRPr="004F4CA0">
        <w:t>https://www.buddhanet.net/e-learning/reincarnation/</w:t>
      </w:r>
      <w:r>
        <w:t xml:space="preserve"> [accessed 17</w:t>
      </w:r>
      <w:r w:rsidRPr="004F4CA0">
        <w:rPr>
          <w:vertAlign w:val="superscript"/>
        </w:rPr>
        <w:t>th</w:t>
      </w:r>
      <w:r>
        <w:t xml:space="preserve"> February 2025].</w:t>
      </w:r>
    </w:p>
  </w:footnote>
  <w:footnote w:id="7">
    <w:p w14:paraId="75002A7E" w14:textId="272F6B7C" w:rsidR="004F4CA0" w:rsidRDefault="004F4CA0">
      <w:pPr>
        <w:pStyle w:val="FootnoteText"/>
      </w:pPr>
      <w:r>
        <w:rPr>
          <w:rStyle w:val="FootnoteReference"/>
        </w:rPr>
        <w:footnoteRef/>
      </w:r>
      <w:r>
        <w:t xml:space="preserve"> </w:t>
      </w:r>
      <w:r>
        <w:t xml:space="preserve">Tony Walter, ‘Reincarnation, Modernity and Identity’, in </w:t>
      </w:r>
      <w:r>
        <w:rPr>
          <w:i/>
          <w:iCs/>
        </w:rPr>
        <w:t xml:space="preserve">Sociology, </w:t>
      </w:r>
      <w:r>
        <w:t>vol. 35 (1), (London: Sage Publications, 2001) p.21.</w:t>
      </w:r>
    </w:p>
  </w:footnote>
  <w:footnote w:id="8">
    <w:p w14:paraId="6906EF2A" w14:textId="7F402C96" w:rsidR="009A4A0B" w:rsidRDefault="009A4A0B">
      <w:pPr>
        <w:pStyle w:val="FootnoteText"/>
      </w:pPr>
      <w:r>
        <w:rPr>
          <w:rStyle w:val="FootnoteReference"/>
        </w:rPr>
        <w:footnoteRef/>
      </w:r>
      <w:r>
        <w:t xml:space="preserve"> </w:t>
      </w:r>
      <w:r>
        <w:t xml:space="preserve">Tony Walter and Helen Waterhouse, ‘A Very Private Belief: Reincarnation in Contemporary England’, in </w:t>
      </w:r>
      <w:r>
        <w:rPr>
          <w:i/>
          <w:iCs/>
        </w:rPr>
        <w:t xml:space="preserve">Sociology of Religion, </w:t>
      </w:r>
      <w:r>
        <w:t>vol.60 (2), (Oxford: Oxford University Press, 1999) p.1</w:t>
      </w:r>
      <w:r>
        <w:t>96.</w:t>
      </w:r>
    </w:p>
  </w:footnote>
  <w:footnote w:id="9">
    <w:p w14:paraId="3C0EB0E9" w14:textId="70ADB72F" w:rsidR="003D7C00" w:rsidRDefault="003D7C00">
      <w:pPr>
        <w:pStyle w:val="FootnoteText"/>
      </w:pPr>
      <w:r>
        <w:rPr>
          <w:rStyle w:val="FootnoteReference"/>
        </w:rPr>
        <w:footnoteRef/>
      </w:r>
      <w:r>
        <w:t xml:space="preserve"> </w:t>
      </w:r>
      <w:r>
        <w:t xml:space="preserve">T.L. Brink, </w:t>
      </w:r>
      <w:r w:rsidRPr="00FA5B5B">
        <w:t>‘Inconsistency of Belief among Roman Catholic Girls: Concerning Religion, Astrology, Reincarnation’</w:t>
      </w:r>
      <w:r>
        <w:t xml:space="preserve"> in </w:t>
      </w:r>
      <w:r>
        <w:rPr>
          <w:i/>
          <w:iCs/>
        </w:rPr>
        <w:t xml:space="preserve">Review of Religious Research, </w:t>
      </w:r>
      <w:r>
        <w:t>vol.20 (1), (California: College of Notre Dame, 1978), p.8</w:t>
      </w:r>
      <w:r>
        <w:t>2.</w:t>
      </w:r>
    </w:p>
  </w:footnote>
  <w:footnote w:id="10">
    <w:p w14:paraId="1EC8AB57" w14:textId="1ABE5502" w:rsidR="00450978" w:rsidRPr="00450978" w:rsidRDefault="00450978">
      <w:pPr>
        <w:pStyle w:val="FootnoteText"/>
      </w:pPr>
      <w:r>
        <w:rPr>
          <w:rStyle w:val="FootnoteReference"/>
        </w:rPr>
        <w:footnoteRef/>
      </w:r>
      <w:r>
        <w:t xml:space="preserve"> </w:t>
      </w:r>
      <w:r>
        <w:rPr>
          <w:i/>
          <w:iCs/>
        </w:rPr>
        <w:t xml:space="preserve">Ibid, </w:t>
      </w:r>
      <w:r>
        <w:t>p.84.</w:t>
      </w:r>
    </w:p>
  </w:footnote>
  <w:footnote w:id="11">
    <w:p w14:paraId="1F0DFD1E" w14:textId="6984D042" w:rsidR="00FA5B5B" w:rsidRPr="00FA5B5B" w:rsidRDefault="00FA5B5B">
      <w:pPr>
        <w:pStyle w:val="FootnoteText"/>
      </w:pPr>
      <w:r>
        <w:rPr>
          <w:rStyle w:val="FootnoteReference"/>
        </w:rPr>
        <w:footnoteRef/>
      </w:r>
      <w:r>
        <w:t xml:space="preserve"> T.L. Brink, </w:t>
      </w:r>
      <w:r w:rsidRPr="00FA5B5B">
        <w:t>‘Inconsistency of Belief among Roman Catholic Girls: Concerning Religion, Astrology, Reincarnation’</w:t>
      </w:r>
      <w:r>
        <w:t xml:space="preserve"> in </w:t>
      </w:r>
      <w:r>
        <w:rPr>
          <w:i/>
          <w:iCs/>
        </w:rPr>
        <w:t xml:space="preserve">Review of Religious Research, </w:t>
      </w:r>
      <w:r>
        <w:t>vol.20 (1), (California: College of Notre Dame, 1978), p.</w:t>
      </w:r>
      <w:r w:rsidR="00CC55EC">
        <w:t>83.</w:t>
      </w:r>
    </w:p>
  </w:footnote>
  <w:footnote w:id="12">
    <w:p w14:paraId="070FEF87" w14:textId="53B3C616" w:rsidR="00B66691" w:rsidRPr="00B66691" w:rsidRDefault="00B66691">
      <w:pPr>
        <w:pStyle w:val="FootnoteText"/>
      </w:pPr>
      <w:r>
        <w:rPr>
          <w:rStyle w:val="FootnoteReference"/>
        </w:rPr>
        <w:footnoteRef/>
      </w:r>
      <w:r>
        <w:t xml:space="preserve"> </w:t>
      </w:r>
      <w:r>
        <w:rPr>
          <w:i/>
          <w:iCs/>
        </w:rPr>
        <w:t xml:space="preserve">Ibid, </w:t>
      </w:r>
      <w:r>
        <w:t>p.84.</w:t>
      </w:r>
    </w:p>
  </w:footnote>
  <w:footnote w:id="13">
    <w:p w14:paraId="009A8708" w14:textId="4363A008" w:rsidR="00B66691" w:rsidRPr="00B66691" w:rsidRDefault="00B66691">
      <w:pPr>
        <w:pStyle w:val="FootnoteText"/>
      </w:pPr>
      <w:r>
        <w:rPr>
          <w:rStyle w:val="FootnoteReference"/>
        </w:rPr>
        <w:footnoteRef/>
      </w:r>
      <w:r>
        <w:t xml:space="preserve"> </w:t>
      </w:r>
      <w:r>
        <w:rPr>
          <w:i/>
          <w:iCs/>
        </w:rPr>
        <w:t xml:space="preserve">Ibid, </w:t>
      </w:r>
      <w:r>
        <w:t>p.84.</w:t>
      </w:r>
    </w:p>
  </w:footnote>
  <w:footnote w:id="14">
    <w:p w14:paraId="3C0CF33E" w14:textId="777BD069" w:rsidR="00FA5B5B" w:rsidRPr="00FA5B5B" w:rsidRDefault="00FA5B5B">
      <w:pPr>
        <w:pStyle w:val="FootnoteText"/>
      </w:pPr>
      <w:r>
        <w:rPr>
          <w:rStyle w:val="FootnoteReference"/>
        </w:rPr>
        <w:footnoteRef/>
      </w:r>
      <w:r>
        <w:t xml:space="preserve"> Robert </w:t>
      </w:r>
      <w:proofErr w:type="spellStart"/>
      <w:r>
        <w:t>Wuthnow</w:t>
      </w:r>
      <w:proofErr w:type="spellEnd"/>
      <w:r>
        <w:t xml:space="preserve">, ‘Astrology and Marginality’, in </w:t>
      </w:r>
      <w:r>
        <w:rPr>
          <w:i/>
          <w:iCs/>
        </w:rPr>
        <w:t>Journal for the Scientific Study of Religion</w:t>
      </w:r>
      <w:r>
        <w:t xml:space="preserve">, vol.15 (2), (New Jersey: Wiley, 1976). </w:t>
      </w:r>
    </w:p>
  </w:footnote>
  <w:footnote w:id="15">
    <w:p w14:paraId="15F9FE22" w14:textId="26A77EF1" w:rsidR="003027D9" w:rsidRPr="003027D9" w:rsidRDefault="003027D9">
      <w:pPr>
        <w:pStyle w:val="FootnoteText"/>
      </w:pPr>
      <w:r>
        <w:rPr>
          <w:rStyle w:val="FootnoteReference"/>
        </w:rPr>
        <w:footnoteRef/>
      </w:r>
      <w:r>
        <w:t xml:space="preserve"> Erik H. Erikson, </w:t>
      </w:r>
      <w:r>
        <w:rPr>
          <w:i/>
          <w:iCs/>
        </w:rPr>
        <w:t xml:space="preserve">Childhood and society </w:t>
      </w:r>
      <w:r>
        <w:t>(New York: Norton, 1950).</w:t>
      </w:r>
    </w:p>
  </w:footnote>
  <w:footnote w:id="16">
    <w:p w14:paraId="400405F2" w14:textId="38E27769" w:rsidR="003027D9" w:rsidRPr="003027D9" w:rsidRDefault="003027D9">
      <w:pPr>
        <w:pStyle w:val="FootnoteText"/>
      </w:pPr>
      <w:r>
        <w:rPr>
          <w:rStyle w:val="FootnoteReference"/>
        </w:rPr>
        <w:footnoteRef/>
      </w:r>
      <w:r>
        <w:t xml:space="preserve"> Erik H. Erikson, </w:t>
      </w:r>
      <w:r>
        <w:rPr>
          <w:i/>
          <w:iCs/>
        </w:rPr>
        <w:t xml:space="preserve">Identity and the life cycle </w:t>
      </w:r>
      <w:r>
        <w:t>(New York: Norton, 1959).</w:t>
      </w:r>
    </w:p>
  </w:footnote>
  <w:footnote w:id="17">
    <w:p w14:paraId="546BEAC6" w14:textId="2E786481" w:rsidR="003027D9" w:rsidRPr="003027D9" w:rsidRDefault="003027D9">
      <w:pPr>
        <w:pStyle w:val="FootnoteText"/>
      </w:pPr>
      <w:r>
        <w:rPr>
          <w:rStyle w:val="FootnoteReference"/>
        </w:rPr>
        <w:footnoteRef/>
      </w:r>
      <w:r>
        <w:t xml:space="preserve"> T.L Brink, ‘Inconsistency of Belief among Roman Catholic Girls: Concerning Religion, Astrology, Reincarnation’, in </w:t>
      </w:r>
      <w:r>
        <w:rPr>
          <w:i/>
          <w:iCs/>
        </w:rPr>
        <w:t xml:space="preserve">Review of Religious Research, </w:t>
      </w:r>
      <w:r>
        <w:t>vol.20 (1), (New York: Springer, 1978) p.84.</w:t>
      </w:r>
    </w:p>
  </w:footnote>
  <w:footnote w:id="18">
    <w:p w14:paraId="18E83A1F" w14:textId="53A4F83E" w:rsidR="00DA5D8B" w:rsidRPr="00DA5D8B" w:rsidRDefault="00DA5D8B">
      <w:pPr>
        <w:pStyle w:val="FootnoteText"/>
      </w:pPr>
      <w:r>
        <w:rPr>
          <w:rStyle w:val="FootnoteReference"/>
        </w:rPr>
        <w:footnoteRef/>
      </w:r>
      <w:r>
        <w:t xml:space="preserve"> </w:t>
      </w:r>
      <w:r>
        <w:rPr>
          <w:i/>
          <w:iCs/>
        </w:rPr>
        <w:t xml:space="preserve">Ibid, </w:t>
      </w:r>
      <w:r>
        <w:t>p.84.</w:t>
      </w:r>
    </w:p>
  </w:footnote>
  <w:footnote w:id="19">
    <w:p w14:paraId="18C54367" w14:textId="0D098E66" w:rsidR="00B66691" w:rsidRDefault="00B66691">
      <w:pPr>
        <w:pStyle w:val="FootnoteText"/>
      </w:pPr>
      <w:r>
        <w:rPr>
          <w:rStyle w:val="FootnoteReference"/>
        </w:rPr>
        <w:footnoteRef/>
      </w:r>
      <w:r>
        <w:t xml:space="preserve"> </w:t>
      </w:r>
      <w:r>
        <w:t xml:space="preserve">Tony Walter and Helen Waterhouse, ‘A Very Private Belief: Reincarnation in Contemporary England’, in </w:t>
      </w:r>
      <w:r>
        <w:rPr>
          <w:i/>
          <w:iCs/>
        </w:rPr>
        <w:t xml:space="preserve">Sociology of Religion, </w:t>
      </w:r>
      <w:r>
        <w:t>vol.60 (2), (Oxford: Oxford University Press, 1999) p.1</w:t>
      </w:r>
      <w:r>
        <w:t>89.</w:t>
      </w:r>
    </w:p>
  </w:footnote>
  <w:footnote w:id="20">
    <w:p w14:paraId="1A31315F" w14:textId="525107E7" w:rsidR="00B37FDA" w:rsidRDefault="00B37FDA">
      <w:pPr>
        <w:pStyle w:val="FootnoteText"/>
      </w:pPr>
      <w:r>
        <w:rPr>
          <w:rStyle w:val="FootnoteReference"/>
        </w:rPr>
        <w:footnoteRef/>
      </w:r>
      <w:r>
        <w:t xml:space="preserve"> </w:t>
      </w:r>
      <w:r w:rsidR="00B66691">
        <w:rPr>
          <w:i/>
          <w:iCs/>
        </w:rPr>
        <w:t xml:space="preserve">Ibid, </w:t>
      </w:r>
      <w:r>
        <w:t>p.193.</w:t>
      </w:r>
    </w:p>
  </w:footnote>
  <w:footnote w:id="21">
    <w:p w14:paraId="0E69C853" w14:textId="67AEEC85" w:rsidR="00EA5A1E" w:rsidRPr="00EA5A1E" w:rsidRDefault="00EA5A1E">
      <w:pPr>
        <w:pStyle w:val="FootnoteText"/>
      </w:pPr>
      <w:r>
        <w:rPr>
          <w:rStyle w:val="FootnoteReference"/>
        </w:rPr>
        <w:footnoteRef/>
      </w:r>
      <w:r>
        <w:t xml:space="preserve"> </w:t>
      </w:r>
      <w:r>
        <w:rPr>
          <w:i/>
          <w:iCs/>
        </w:rPr>
        <w:t xml:space="preserve">Ibid, </w:t>
      </w:r>
      <w:r>
        <w:t>p.196.</w:t>
      </w:r>
    </w:p>
  </w:footnote>
  <w:footnote w:id="22">
    <w:p w14:paraId="1B9D3D12" w14:textId="2DD55BF3" w:rsidR="003B7820" w:rsidRPr="003B7820" w:rsidRDefault="003B7820">
      <w:pPr>
        <w:pStyle w:val="FootnoteText"/>
      </w:pPr>
      <w:r>
        <w:rPr>
          <w:rStyle w:val="FootnoteReference"/>
        </w:rPr>
        <w:footnoteRef/>
      </w:r>
      <w:r>
        <w:t xml:space="preserve"> Britannica, </w:t>
      </w:r>
      <w:r>
        <w:rPr>
          <w:i/>
          <w:iCs/>
        </w:rPr>
        <w:t xml:space="preserve">New Age Movement </w:t>
      </w:r>
      <w:r>
        <w:t xml:space="preserve">(2025) </w:t>
      </w:r>
      <w:r w:rsidRPr="003B7820">
        <w:t>https://www.britannica.com/topic/Transcendental-Meditation</w:t>
      </w:r>
      <w:r>
        <w:t xml:space="preserve"> [accessed 7th February 2025].</w:t>
      </w:r>
    </w:p>
  </w:footnote>
  <w:footnote w:id="23">
    <w:p w14:paraId="0CF4F228" w14:textId="77777777" w:rsidR="00267B86" w:rsidRDefault="00267B86" w:rsidP="00267B86">
      <w:pPr>
        <w:pStyle w:val="FootnoteText"/>
      </w:pPr>
      <w:r>
        <w:rPr>
          <w:rStyle w:val="FootnoteReference"/>
        </w:rPr>
        <w:footnoteRef/>
      </w:r>
      <w:r>
        <w:t xml:space="preserve"> Nicholas Campion, </w:t>
      </w:r>
      <w:r>
        <w:rPr>
          <w:i/>
          <w:iCs/>
        </w:rPr>
        <w:t xml:space="preserve">The New Age in the Modern West: Counterculture, Utopia and Prophecy from the Late Eighteenth Century to the Present Day </w:t>
      </w:r>
      <w:r>
        <w:t>(London: Bloomsbury, 2016) p.35.</w:t>
      </w:r>
    </w:p>
  </w:footnote>
  <w:footnote w:id="24">
    <w:p w14:paraId="2BFAB363" w14:textId="77777777" w:rsidR="00267B86" w:rsidRPr="00A25EE6" w:rsidRDefault="00267B86" w:rsidP="00267B86">
      <w:pPr>
        <w:pStyle w:val="FootnoteText"/>
      </w:pPr>
      <w:r>
        <w:rPr>
          <w:rStyle w:val="FootnoteReference"/>
        </w:rPr>
        <w:footnoteRef/>
      </w:r>
      <w:r>
        <w:t xml:space="preserve"> Stephen Prothero, ‘From Spiritualism to Theosophy: “Uplifting” a Democratic Tradition’, in </w:t>
      </w:r>
      <w:r>
        <w:rPr>
          <w:i/>
          <w:iCs/>
        </w:rPr>
        <w:t xml:space="preserve">A Journal of Interpretation </w:t>
      </w:r>
      <w:r>
        <w:t>vol.3 (2), (California: University of California Press, 1993) pp.197-216.</w:t>
      </w:r>
    </w:p>
  </w:footnote>
  <w:footnote w:id="25">
    <w:p w14:paraId="4BC0B90B" w14:textId="77777777" w:rsidR="00267B86" w:rsidRPr="007727C5" w:rsidRDefault="00267B86" w:rsidP="00267B86">
      <w:pPr>
        <w:pStyle w:val="FootnoteText"/>
      </w:pPr>
      <w:r>
        <w:rPr>
          <w:rStyle w:val="FootnoteReference"/>
        </w:rPr>
        <w:footnoteRef/>
      </w:r>
      <w:r>
        <w:t xml:space="preserve"> Nicholas Campion, </w:t>
      </w:r>
      <w:r>
        <w:rPr>
          <w:i/>
          <w:iCs/>
        </w:rPr>
        <w:t xml:space="preserve">The New Age in the Modern West: Counterculture, Utopia and Prophecy from the Late Eighteenth Century to the Present Day </w:t>
      </w:r>
      <w:r>
        <w:t>(London: Bloomsbury, 2016) p.67.</w:t>
      </w:r>
    </w:p>
  </w:footnote>
  <w:footnote w:id="26">
    <w:p w14:paraId="3B87AEA7" w14:textId="77777777" w:rsidR="00267B86" w:rsidRPr="00D46626" w:rsidRDefault="00267B86" w:rsidP="00267B86">
      <w:pPr>
        <w:pStyle w:val="FootnoteText"/>
      </w:pPr>
      <w:r>
        <w:rPr>
          <w:rStyle w:val="FootnoteReference"/>
        </w:rPr>
        <w:footnoteRef/>
      </w:r>
      <w:r>
        <w:t xml:space="preserve"> Julie </w:t>
      </w:r>
      <w:proofErr w:type="spellStart"/>
      <w:r>
        <w:t>Chajes</w:t>
      </w:r>
      <w:proofErr w:type="spellEnd"/>
      <w:r>
        <w:t xml:space="preserve">, ‘Reincarnation in H.P. Blavatsky’s The Secret Doctrine’, in </w:t>
      </w:r>
      <w:r>
        <w:rPr>
          <w:i/>
          <w:iCs/>
        </w:rPr>
        <w:t xml:space="preserve">Correspondences </w:t>
      </w:r>
      <w:r>
        <w:t xml:space="preserve">vol.5 (United Kingdom: </w:t>
      </w:r>
      <w:proofErr w:type="spellStart"/>
      <w:r>
        <w:t>Aren</w:t>
      </w:r>
      <w:proofErr w:type="spellEnd"/>
      <w:r>
        <w:t xml:space="preserve"> Roukema, 2017) pp.65-93.</w:t>
      </w:r>
    </w:p>
  </w:footnote>
  <w:footnote w:id="27">
    <w:p w14:paraId="5F44221F" w14:textId="77777777" w:rsidR="00267B86" w:rsidRDefault="00267B86" w:rsidP="00267B86">
      <w:pPr>
        <w:pStyle w:val="FootnoteText"/>
      </w:pPr>
      <w:r>
        <w:rPr>
          <w:rStyle w:val="FootnoteReference"/>
        </w:rPr>
        <w:footnoteRef/>
      </w:r>
      <w:r>
        <w:t xml:space="preserve"> Nicholas Campion, </w:t>
      </w:r>
      <w:r>
        <w:rPr>
          <w:i/>
          <w:iCs/>
        </w:rPr>
        <w:t xml:space="preserve">The New Age in the Modern West: Counterculture, Utopia and Prophecy from the Late Eighteenth Century to the Present Day </w:t>
      </w:r>
      <w:r>
        <w:t>(London: Bloomsbury, 2016) p.68.</w:t>
      </w:r>
    </w:p>
  </w:footnote>
  <w:footnote w:id="28">
    <w:p w14:paraId="53DDD6DA" w14:textId="77777777" w:rsidR="00267B86" w:rsidRPr="001220D6" w:rsidRDefault="00267B86" w:rsidP="00267B86">
      <w:pPr>
        <w:pStyle w:val="FootnoteText"/>
      </w:pPr>
      <w:r>
        <w:rPr>
          <w:rStyle w:val="FootnoteReference"/>
        </w:rPr>
        <w:footnoteRef/>
      </w:r>
      <w:r>
        <w:t xml:space="preserve"> </w:t>
      </w:r>
      <w:r>
        <w:rPr>
          <w:i/>
          <w:iCs/>
        </w:rPr>
        <w:t xml:space="preserve">Ibid, </w:t>
      </w:r>
      <w:r>
        <w:t>p.68.</w:t>
      </w:r>
    </w:p>
  </w:footnote>
  <w:footnote w:id="29">
    <w:p w14:paraId="00885000" w14:textId="77777777" w:rsidR="00267B86" w:rsidRPr="001220D6" w:rsidRDefault="00267B86" w:rsidP="00267B86">
      <w:pPr>
        <w:pStyle w:val="FootnoteText"/>
      </w:pPr>
      <w:r>
        <w:rPr>
          <w:rStyle w:val="FootnoteReference"/>
        </w:rPr>
        <w:footnoteRef/>
      </w:r>
      <w:r>
        <w:t xml:space="preserve"> Jeff Levin, ‘New Age Healing: Origins, Definitions, and Implications for Religion and Medicine’, in </w:t>
      </w:r>
      <w:r>
        <w:rPr>
          <w:i/>
          <w:iCs/>
        </w:rPr>
        <w:t xml:space="preserve">Religions </w:t>
      </w:r>
      <w:r>
        <w:t>vol.13 (777), (Switzerland: MDPI, 2022) p.1.</w:t>
      </w:r>
    </w:p>
  </w:footnote>
  <w:footnote w:id="30">
    <w:p w14:paraId="0871CB92" w14:textId="77777777" w:rsidR="00267B86" w:rsidRPr="00790982" w:rsidRDefault="00267B86" w:rsidP="00267B86">
      <w:pPr>
        <w:pStyle w:val="FootnoteText"/>
      </w:pPr>
      <w:r>
        <w:rPr>
          <w:rStyle w:val="FootnoteReference"/>
        </w:rPr>
        <w:footnoteRef/>
      </w:r>
      <w:r>
        <w:t xml:space="preserve"> Elijah Siegler, </w:t>
      </w:r>
      <w:r>
        <w:rPr>
          <w:i/>
          <w:iCs/>
        </w:rPr>
        <w:t xml:space="preserve">New Religious Movements </w:t>
      </w:r>
      <w:r>
        <w:t>(New Jersey: Prentice Hall, 2007).</w:t>
      </w:r>
    </w:p>
  </w:footnote>
  <w:footnote w:id="31">
    <w:p w14:paraId="109B6308" w14:textId="77777777" w:rsidR="00267B86" w:rsidRPr="001220D6" w:rsidRDefault="00267B86" w:rsidP="00267B86">
      <w:pPr>
        <w:pStyle w:val="FootnoteText"/>
      </w:pPr>
      <w:r>
        <w:rPr>
          <w:rStyle w:val="FootnoteReference"/>
        </w:rPr>
        <w:footnoteRef/>
      </w:r>
      <w:r>
        <w:t xml:space="preserve"> Rick Heller, </w:t>
      </w:r>
      <w:r>
        <w:rPr>
          <w:i/>
          <w:iCs/>
        </w:rPr>
        <w:t xml:space="preserve">The New Age 40 Year's Later </w:t>
      </w:r>
      <w:r>
        <w:t xml:space="preserve">(2016) </w:t>
      </w:r>
      <w:r w:rsidRPr="001220D6">
        <w:t>https://www.huffpost.com/entry/the-new-age-40-years-late_b_9765486</w:t>
      </w:r>
      <w:r>
        <w:t xml:space="preserve"> [accessed 7th February 2025].</w:t>
      </w:r>
    </w:p>
  </w:footnote>
  <w:footnote w:id="32">
    <w:p w14:paraId="3432D15B" w14:textId="77777777" w:rsidR="00267B86" w:rsidRPr="00B64DF0" w:rsidRDefault="00267B86" w:rsidP="00267B86">
      <w:pPr>
        <w:pStyle w:val="FootnoteText"/>
      </w:pPr>
      <w:r>
        <w:rPr>
          <w:rStyle w:val="FootnoteReference"/>
        </w:rPr>
        <w:footnoteRef/>
      </w:r>
      <w:r>
        <w:t xml:space="preserve"> Adam </w:t>
      </w:r>
      <w:proofErr w:type="spellStart"/>
      <w:r>
        <w:t>Lambdin</w:t>
      </w:r>
      <w:proofErr w:type="spellEnd"/>
      <w:r>
        <w:t xml:space="preserve">, </w:t>
      </w:r>
      <w:r>
        <w:rPr>
          <w:i/>
          <w:iCs/>
        </w:rPr>
        <w:t xml:space="preserve">New Age Movement – It’s Pervasive Influence Today </w:t>
      </w:r>
      <w:r>
        <w:t xml:space="preserve">(2025) </w:t>
      </w:r>
      <w:r w:rsidRPr="00B64DF0">
        <w:t>https://bluecollarbiblicalscholar.blog/2025/02/12/new-age-movement-its-pervasive-influence-today/</w:t>
      </w:r>
      <w:r>
        <w:t xml:space="preserve"> [accessed 7</w:t>
      </w:r>
      <w:r w:rsidRPr="00B64DF0">
        <w:rPr>
          <w:vertAlign w:val="superscript"/>
        </w:rPr>
        <w:t>th</w:t>
      </w:r>
      <w:r>
        <w:t xml:space="preserve"> February 2025].</w:t>
      </w:r>
    </w:p>
  </w:footnote>
  <w:footnote w:id="33">
    <w:p w14:paraId="206E0694" w14:textId="1FDC9FC1" w:rsidR="00202091" w:rsidRDefault="00202091">
      <w:pPr>
        <w:pStyle w:val="FootnoteText"/>
      </w:pPr>
      <w:r>
        <w:rPr>
          <w:rStyle w:val="FootnoteReference"/>
        </w:rPr>
        <w:footnoteRef/>
      </w:r>
      <w:r>
        <w:t xml:space="preserve"> </w:t>
      </w:r>
      <w:r>
        <w:t xml:space="preserve">T.L Brink, ‘Inconsistency of Belief among Roman Catholic Girls: Concerning Religion, Astrology, Reincarnation’, in </w:t>
      </w:r>
      <w:r>
        <w:rPr>
          <w:i/>
          <w:iCs/>
        </w:rPr>
        <w:t xml:space="preserve">Review of Religious Research, </w:t>
      </w:r>
      <w:r>
        <w:t>vol.20 (1), (New York: Springer, 1978) p.8</w:t>
      </w:r>
      <w:r>
        <w:t>3.</w:t>
      </w:r>
    </w:p>
  </w:footnote>
  <w:footnote w:id="34">
    <w:p w14:paraId="32043827" w14:textId="5FE367F1" w:rsidR="00202091" w:rsidRDefault="00202091">
      <w:pPr>
        <w:pStyle w:val="FootnoteText"/>
      </w:pPr>
      <w:r>
        <w:rPr>
          <w:rStyle w:val="FootnoteReference"/>
        </w:rPr>
        <w:footnoteRef/>
      </w:r>
      <w:r>
        <w:t xml:space="preserve"> </w:t>
      </w:r>
      <w:r>
        <w:t xml:space="preserve">Tony Walter and Helen Waterhouse, ‘A Very Private Belief: Reincarnation in Contemporary England’, in </w:t>
      </w:r>
      <w:r>
        <w:rPr>
          <w:i/>
          <w:iCs/>
        </w:rPr>
        <w:t xml:space="preserve">Sociology of Religion, </w:t>
      </w:r>
      <w:r>
        <w:t>vol.60 (2), (Oxford: Oxford University Press, 1999) p</w:t>
      </w:r>
      <w:r>
        <w:t>p.189-190.</w:t>
      </w:r>
    </w:p>
  </w:footnote>
  <w:footnote w:id="35">
    <w:p w14:paraId="1618F679" w14:textId="72006F70" w:rsidR="00043246" w:rsidRDefault="00043246">
      <w:pPr>
        <w:pStyle w:val="FootnoteText"/>
      </w:pPr>
      <w:r>
        <w:rPr>
          <w:rStyle w:val="FootnoteReference"/>
        </w:rPr>
        <w:footnoteRef/>
      </w:r>
      <w:r>
        <w:t xml:space="preserve"> </w:t>
      </w:r>
      <w:r w:rsidR="00202091">
        <w:rPr>
          <w:i/>
          <w:iCs/>
        </w:rPr>
        <w:t xml:space="preserve">Ibid, </w:t>
      </w:r>
      <w:r>
        <w:t>p.196.</w:t>
      </w:r>
    </w:p>
  </w:footnote>
  <w:footnote w:id="36">
    <w:p w14:paraId="431F0C40" w14:textId="69A88D2B" w:rsidR="008426FE" w:rsidRPr="008426FE" w:rsidRDefault="008426FE">
      <w:pPr>
        <w:pStyle w:val="FootnoteText"/>
      </w:pPr>
      <w:r>
        <w:rPr>
          <w:rStyle w:val="FootnoteReference"/>
        </w:rPr>
        <w:footnoteRef/>
      </w:r>
      <w:r>
        <w:t xml:space="preserve"> Times of India, </w:t>
      </w:r>
      <w:r>
        <w:rPr>
          <w:i/>
          <w:iCs/>
        </w:rPr>
        <w:t xml:space="preserve">The mysteries of reincarnation through astrological chart </w:t>
      </w:r>
      <w:r>
        <w:t xml:space="preserve">(2024) </w:t>
      </w:r>
      <w:r w:rsidRPr="008426FE">
        <w:t>https://timesofindia.indiatimes.com/astrology/others/the-mysteries-of-reincarnation-through-astrological-chart/articleshow/108701577.cms#:~:text=In%20summary%2C%20while%20astrology%20doesn,present%20circumstances%20and%20soul%20journey.</w:t>
      </w:r>
      <w:r>
        <w:t xml:space="preserve"> [accessed 7</w:t>
      </w:r>
      <w:r w:rsidRPr="008426FE">
        <w:rPr>
          <w:vertAlign w:val="superscript"/>
        </w:rPr>
        <w:t>th</w:t>
      </w:r>
      <w:r>
        <w:t xml:space="preserve"> February 202</w:t>
      </w:r>
      <w:r w:rsidR="00727C85">
        <w:t>5</w:t>
      </w:r>
      <w:r>
        <w:t>].</w:t>
      </w:r>
    </w:p>
  </w:footnote>
  <w:footnote w:id="37">
    <w:p w14:paraId="541B0D6D" w14:textId="5DD1A4D9" w:rsidR="00727C85" w:rsidRPr="00727C85" w:rsidRDefault="00727C85">
      <w:pPr>
        <w:pStyle w:val="FootnoteText"/>
      </w:pPr>
      <w:r>
        <w:rPr>
          <w:rStyle w:val="FootnoteReference"/>
        </w:rPr>
        <w:footnoteRef/>
      </w:r>
      <w:r>
        <w:t xml:space="preserve"> </w:t>
      </w:r>
      <w:proofErr w:type="spellStart"/>
      <w:r>
        <w:t>Vamadeva</w:t>
      </w:r>
      <w:proofErr w:type="spellEnd"/>
      <w:r>
        <w:t xml:space="preserve"> Shastri, </w:t>
      </w:r>
      <w:r>
        <w:rPr>
          <w:i/>
          <w:iCs/>
        </w:rPr>
        <w:t xml:space="preserve">The Science of Vedic Astrology </w:t>
      </w:r>
      <w:r>
        <w:t xml:space="preserve">(1995) </w:t>
      </w:r>
      <w:r w:rsidRPr="00727C85">
        <w:t>https://www.hinduismtoday.com/magazine/november-1995/1995-11-the-science-of-vedic-astrology/</w:t>
      </w:r>
      <w:r>
        <w:t xml:space="preserve"> [accessed 7</w:t>
      </w:r>
      <w:r w:rsidRPr="00727C85">
        <w:rPr>
          <w:vertAlign w:val="superscript"/>
        </w:rPr>
        <w:t>th</w:t>
      </w:r>
      <w:r>
        <w:t xml:space="preserve"> February 2025]. </w:t>
      </w:r>
    </w:p>
  </w:footnote>
  <w:footnote w:id="38">
    <w:p w14:paraId="4C801041" w14:textId="76084A1B" w:rsidR="008426FE" w:rsidRPr="008426FE" w:rsidRDefault="008426FE">
      <w:pPr>
        <w:pStyle w:val="FootnoteText"/>
      </w:pPr>
      <w:r>
        <w:rPr>
          <w:rStyle w:val="FootnoteReference"/>
        </w:rPr>
        <w:footnoteRef/>
      </w:r>
      <w:r>
        <w:t xml:space="preserve"> Judy Hall, </w:t>
      </w:r>
      <w:r w:rsidRPr="008426FE">
        <w:rPr>
          <w:i/>
          <w:iCs/>
        </w:rPr>
        <w:t>Past Life Astrology</w:t>
      </w:r>
      <w:r>
        <w:rPr>
          <w:i/>
          <w:iCs/>
        </w:rPr>
        <w:t xml:space="preserve"> </w:t>
      </w:r>
      <w:r>
        <w:t xml:space="preserve">(London: </w:t>
      </w:r>
      <w:proofErr w:type="spellStart"/>
      <w:r>
        <w:t>Godsfield</w:t>
      </w:r>
      <w:proofErr w:type="spellEnd"/>
      <w:r>
        <w:t xml:space="preserve"> Press, 2003).</w:t>
      </w:r>
    </w:p>
  </w:footnote>
  <w:footnote w:id="39">
    <w:p w14:paraId="47FFFB36" w14:textId="4BE9627A" w:rsidR="00987097" w:rsidRDefault="00987097">
      <w:pPr>
        <w:pStyle w:val="FootnoteText"/>
      </w:pPr>
      <w:r>
        <w:rPr>
          <w:rStyle w:val="FootnoteReference"/>
        </w:rPr>
        <w:footnoteRef/>
      </w:r>
      <w:r>
        <w:t xml:space="preserve"> Thomas Ryan, </w:t>
      </w:r>
      <w:r w:rsidRPr="007727C5">
        <w:rPr>
          <w:i/>
          <w:iCs/>
        </w:rPr>
        <w:t>25 percent of US Christians believe in reincarnation. What’s wrong with this picture?</w:t>
      </w:r>
      <w:r>
        <w:t xml:space="preserve"> (2015) </w:t>
      </w:r>
      <w:r w:rsidRPr="00987097">
        <w:t>https://www.americamagazine.org/faith/2015/10/21/25-percent-us-christians-believe-reincarnation-whats-wrong-picture</w:t>
      </w:r>
      <w:r>
        <w:t xml:space="preserve"> [accessed 7th February 2025].</w:t>
      </w:r>
    </w:p>
  </w:footnote>
  <w:footnote w:id="40">
    <w:p w14:paraId="4545E0A0" w14:textId="09A7DCFA" w:rsidR="005D1FDF" w:rsidRPr="005D1FDF" w:rsidRDefault="005D1FDF">
      <w:pPr>
        <w:pStyle w:val="FootnoteText"/>
      </w:pPr>
      <w:r>
        <w:rPr>
          <w:rStyle w:val="FootnoteReference"/>
        </w:rPr>
        <w:footnoteRef/>
      </w:r>
      <w:r>
        <w:t xml:space="preserve"> Statista Research Department, </w:t>
      </w:r>
      <w:proofErr w:type="gramStart"/>
      <w:r>
        <w:rPr>
          <w:i/>
          <w:iCs/>
        </w:rPr>
        <w:t>Do</w:t>
      </w:r>
      <w:proofErr w:type="gramEnd"/>
      <w:r>
        <w:rPr>
          <w:i/>
          <w:iCs/>
        </w:rPr>
        <w:t xml:space="preserve"> you believe in reincarnation </w:t>
      </w:r>
      <w:r>
        <w:t xml:space="preserve">(2016) </w:t>
      </w:r>
      <w:r w:rsidRPr="005D1FDF">
        <w:t>https://www.statista.com/statistics/632134/united-states-belief-in-reincarnation/</w:t>
      </w:r>
      <w:r>
        <w:t xml:space="preserve"> [accessed 7</w:t>
      </w:r>
      <w:r w:rsidRPr="005D1FDF">
        <w:rPr>
          <w:vertAlign w:val="superscript"/>
        </w:rPr>
        <w:t>th</w:t>
      </w:r>
      <w:r>
        <w:t xml:space="preserve"> February 2025].</w:t>
      </w:r>
    </w:p>
  </w:footnote>
  <w:footnote w:id="41">
    <w:p w14:paraId="32DE74A0" w14:textId="23747A30" w:rsidR="005D1FDF" w:rsidRPr="005D1FDF" w:rsidRDefault="005D1FDF">
      <w:pPr>
        <w:pStyle w:val="FootnoteText"/>
      </w:pPr>
      <w:r>
        <w:rPr>
          <w:rStyle w:val="FootnoteReference"/>
        </w:rPr>
        <w:footnoteRef/>
      </w:r>
      <w:r>
        <w:t xml:space="preserve"> Milan </w:t>
      </w:r>
      <w:proofErr w:type="spellStart"/>
      <w:r>
        <w:t>Dinic</w:t>
      </w:r>
      <w:proofErr w:type="spellEnd"/>
      <w:r>
        <w:t xml:space="preserve">, </w:t>
      </w:r>
      <w:r>
        <w:rPr>
          <w:i/>
          <w:iCs/>
        </w:rPr>
        <w:t xml:space="preserve">YouGov Death Study: Britons on life and death </w:t>
      </w:r>
      <w:r>
        <w:t xml:space="preserve">(2021) </w:t>
      </w:r>
      <w:r w:rsidRPr="005D1FDF">
        <w:t>https://yougov.co.uk/society/articles/37398-yougov-death-study-britons-life-after-death</w:t>
      </w:r>
      <w:r>
        <w:t xml:space="preserve"> [accessed 7th February 2025]. </w:t>
      </w:r>
    </w:p>
  </w:footnote>
  <w:footnote w:id="42">
    <w:p w14:paraId="2E1F4264" w14:textId="6FDCFC8D" w:rsidR="005D1FDF" w:rsidRPr="005D1FDF" w:rsidRDefault="005D1FDF">
      <w:pPr>
        <w:pStyle w:val="FootnoteText"/>
      </w:pPr>
      <w:r>
        <w:rPr>
          <w:rStyle w:val="FootnoteReference"/>
        </w:rPr>
        <w:footnoteRef/>
      </w:r>
      <w:r>
        <w:t xml:space="preserve"> Figure 2: Claire </w:t>
      </w:r>
      <w:proofErr w:type="spellStart"/>
      <w:r>
        <w:t>Gecewicz</w:t>
      </w:r>
      <w:proofErr w:type="spellEnd"/>
      <w:r>
        <w:t xml:space="preserve">, </w:t>
      </w:r>
      <w:r>
        <w:rPr>
          <w:i/>
          <w:iCs/>
        </w:rPr>
        <w:t xml:space="preserve">‘New Age’ beliefs common among both religious and nonreligious Americans </w:t>
      </w:r>
      <w:r>
        <w:t xml:space="preserve">(2018) </w:t>
      </w:r>
      <w:r w:rsidRPr="005D1FDF">
        <w:t>https://www.pewresearch.org/short-reads/2018/10/01/new-age-beliefs-common-among-both-religious-and-nonreligious-americans/#:~:text=Overall%2C%20roughly%20six%2Din%2D,%25)%20and%20astrology%20(29%25</w:t>
      </w:r>
      <w:proofErr w:type="gramStart"/>
      <w:r w:rsidRPr="005D1FDF">
        <w:t>).</w:t>
      </w:r>
      <w:r w:rsidRPr="005D1FDF">
        <w:t>[</w:t>
      </w:r>
      <w:proofErr w:type="gramEnd"/>
      <w:r w:rsidRPr="005D1FDF">
        <w:t>accessed</w:t>
      </w:r>
      <w:r>
        <w:t xml:space="preserve"> 7</w:t>
      </w:r>
      <w:r w:rsidRPr="005D1FDF">
        <w:rPr>
          <w:vertAlign w:val="superscript"/>
        </w:rPr>
        <w:t>th</w:t>
      </w:r>
      <w:r>
        <w:t xml:space="preserve"> February 2025]. </w:t>
      </w:r>
    </w:p>
  </w:footnote>
  <w:footnote w:id="43">
    <w:p w14:paraId="20B47B4D" w14:textId="5263C82D" w:rsidR="00A11A04" w:rsidRPr="00A11A04" w:rsidRDefault="00A11A04">
      <w:pPr>
        <w:pStyle w:val="FootnoteText"/>
      </w:pPr>
      <w:r>
        <w:rPr>
          <w:rStyle w:val="FootnoteReference"/>
        </w:rPr>
        <w:footnoteRef/>
      </w:r>
      <w:r>
        <w:t xml:space="preserve"> Jonathan Evans and Chris </w:t>
      </w:r>
      <w:proofErr w:type="spellStart"/>
      <w:r>
        <w:t>Baronavski</w:t>
      </w:r>
      <w:proofErr w:type="spellEnd"/>
      <w:r>
        <w:t xml:space="preserve">, </w:t>
      </w:r>
      <w:proofErr w:type="gramStart"/>
      <w:r>
        <w:rPr>
          <w:i/>
          <w:iCs/>
        </w:rPr>
        <w:t>How</w:t>
      </w:r>
      <w:proofErr w:type="gramEnd"/>
      <w:r>
        <w:rPr>
          <w:i/>
          <w:iCs/>
        </w:rPr>
        <w:t xml:space="preserve"> do European countries differ in religious commitment? Use our interactive map to find out </w:t>
      </w:r>
      <w:r>
        <w:t xml:space="preserve">(2018) </w:t>
      </w:r>
      <w:r w:rsidRPr="00A11A04">
        <w:t>https://www.pewresearch.org/short-reads/2018/12/05/how-do-european-countries-differ-in-religious-commitment/</w:t>
      </w:r>
      <w:r>
        <w:t xml:space="preserve"> [accessed 7</w:t>
      </w:r>
      <w:r w:rsidRPr="00A11A04">
        <w:rPr>
          <w:vertAlign w:val="superscript"/>
        </w:rPr>
        <w:t>th</w:t>
      </w:r>
      <w:r>
        <w:t xml:space="preserve"> February 2025].</w:t>
      </w:r>
    </w:p>
  </w:footnote>
  <w:footnote w:id="44">
    <w:p w14:paraId="5D4E469A" w14:textId="7EBA114B" w:rsidR="00E46AC8" w:rsidRPr="00E46AC8" w:rsidRDefault="00E46AC8">
      <w:pPr>
        <w:pStyle w:val="FootnoteText"/>
      </w:pPr>
      <w:r>
        <w:rPr>
          <w:rStyle w:val="FootnoteReference"/>
        </w:rPr>
        <w:footnoteRef/>
      </w:r>
      <w:r>
        <w:t xml:space="preserve"> Kate Hooper and Susanna Groves, ‘A Comparative Analysis of the Migration and Integration of Indian and Chinese Immigrants in the United States’, in </w:t>
      </w:r>
      <w:r>
        <w:rPr>
          <w:i/>
          <w:iCs/>
        </w:rPr>
        <w:t xml:space="preserve">INTERACT Research Report </w:t>
      </w:r>
      <w:r>
        <w:t>Number 32 (Italy: European University Institute, 2014) p.8.</w:t>
      </w:r>
    </w:p>
  </w:footnote>
  <w:footnote w:id="45">
    <w:p w14:paraId="2F80CD5E" w14:textId="5B258F3D" w:rsidR="00875C8B" w:rsidRPr="00875C8B" w:rsidRDefault="00875C8B">
      <w:pPr>
        <w:pStyle w:val="FootnoteText"/>
      </w:pPr>
      <w:r>
        <w:rPr>
          <w:rStyle w:val="FootnoteReference"/>
        </w:rPr>
        <w:footnoteRef/>
      </w:r>
      <w:r>
        <w:t xml:space="preserve"> Migration Watch UK, </w:t>
      </w:r>
      <w:r>
        <w:rPr>
          <w:i/>
          <w:iCs/>
        </w:rPr>
        <w:t xml:space="preserve">Migration Statistics Over Time </w:t>
      </w:r>
      <w:r>
        <w:t xml:space="preserve">(2025) </w:t>
      </w:r>
      <w:r w:rsidRPr="00875C8B">
        <w:t>https://www.migrationwatchuk.org/migration-statistics-over-time</w:t>
      </w:r>
      <w:r>
        <w:t xml:space="preserve"> [accessed 7th February 2025].</w:t>
      </w:r>
    </w:p>
  </w:footnote>
  <w:footnote w:id="46">
    <w:p w14:paraId="7CBB4A05" w14:textId="17A09BCB" w:rsidR="00AB45CC" w:rsidRDefault="00AB45CC">
      <w:pPr>
        <w:pStyle w:val="FootnoteText"/>
      </w:pPr>
      <w:r>
        <w:rPr>
          <w:rStyle w:val="FootnoteReference"/>
        </w:rPr>
        <w:footnoteRef/>
      </w:r>
      <w:r>
        <w:t xml:space="preserve"> </w:t>
      </w:r>
      <w:r>
        <w:t xml:space="preserve">T.L. Brink, </w:t>
      </w:r>
      <w:r w:rsidRPr="00FA5B5B">
        <w:t>‘Inconsistency of Belief among Roman Catholic Girls: Concerning Religion, Astrology, Reincarnation’</w:t>
      </w:r>
      <w:r>
        <w:t xml:space="preserve"> in </w:t>
      </w:r>
      <w:r>
        <w:rPr>
          <w:i/>
          <w:iCs/>
        </w:rPr>
        <w:t xml:space="preserve">Review of Religious Research, </w:t>
      </w:r>
      <w:r>
        <w:t>vol.20 (1), (California: College of Notre Dame, 1978), p.8</w:t>
      </w:r>
      <w:r>
        <w:t>4.</w:t>
      </w:r>
    </w:p>
  </w:footnote>
  <w:footnote w:id="47">
    <w:p w14:paraId="1FA48245" w14:textId="77777777" w:rsidR="00C03E64" w:rsidRPr="00C10A30" w:rsidRDefault="00C03E64" w:rsidP="00C03E64">
      <w:pPr>
        <w:pStyle w:val="FootnoteText"/>
      </w:pPr>
      <w:r>
        <w:rPr>
          <w:rStyle w:val="FootnoteReference"/>
        </w:rPr>
        <w:footnoteRef/>
      </w:r>
      <w:r>
        <w:t xml:space="preserve"> Dylan Reaves, ‘Peter Berger and the Rise and Fall of the Theory of Secularization’, in </w:t>
      </w:r>
      <w:r>
        <w:rPr>
          <w:i/>
          <w:iCs/>
        </w:rPr>
        <w:t xml:space="preserve">Denison Journal of Religion </w:t>
      </w:r>
      <w:r>
        <w:t>vol.11 (3), (Ohio: Denison Digital Commons, 2012) pp.11-19.</w:t>
      </w:r>
    </w:p>
  </w:footnote>
  <w:footnote w:id="48">
    <w:p w14:paraId="5BDCE4B4" w14:textId="3D602E90" w:rsidR="00B12591" w:rsidRPr="00B12591" w:rsidRDefault="00B12591">
      <w:pPr>
        <w:pStyle w:val="FootnoteText"/>
      </w:pPr>
      <w:r>
        <w:rPr>
          <w:rStyle w:val="FootnoteReference"/>
        </w:rPr>
        <w:footnoteRef/>
      </w:r>
      <w:r>
        <w:t xml:space="preserve"> Ronald F. Inglehart, </w:t>
      </w:r>
      <w:proofErr w:type="gramStart"/>
      <w:r>
        <w:rPr>
          <w:i/>
          <w:iCs/>
        </w:rPr>
        <w:t>Why</w:t>
      </w:r>
      <w:proofErr w:type="gramEnd"/>
      <w:r>
        <w:rPr>
          <w:i/>
          <w:iCs/>
        </w:rPr>
        <w:t xml:space="preserve"> is religion suddenly declining? </w:t>
      </w:r>
      <w:r>
        <w:t xml:space="preserve">(2020) </w:t>
      </w:r>
      <w:r w:rsidRPr="00B12591">
        <w:t>https://blog.oup.com/2020/12/why-is-religion-suddenly-declining/</w:t>
      </w:r>
      <w:r>
        <w:t xml:space="preserve"> [accessed 7</w:t>
      </w:r>
      <w:r w:rsidRPr="00B12591">
        <w:rPr>
          <w:vertAlign w:val="superscript"/>
        </w:rPr>
        <w:t>th</w:t>
      </w:r>
      <w:r>
        <w:t xml:space="preserve"> February 2025].</w:t>
      </w:r>
    </w:p>
  </w:footnote>
  <w:footnote w:id="49">
    <w:p w14:paraId="0C5FB4F0" w14:textId="77777777" w:rsidR="005E3222" w:rsidRDefault="005E3222" w:rsidP="005E3222">
      <w:pPr>
        <w:pStyle w:val="FootnoteText"/>
      </w:pPr>
      <w:r>
        <w:rPr>
          <w:rStyle w:val="FootnoteReference"/>
        </w:rPr>
        <w:footnoteRef/>
      </w:r>
      <w:r>
        <w:t xml:space="preserve"> Tony Walter, ‘Reincarnation, Modernity and Identity’, in </w:t>
      </w:r>
      <w:r>
        <w:rPr>
          <w:i/>
          <w:iCs/>
        </w:rPr>
        <w:t xml:space="preserve">Sociology, </w:t>
      </w:r>
      <w:r>
        <w:t>vol. 35 (1), (London: Sage Publications, 2001).</w:t>
      </w:r>
    </w:p>
  </w:footnote>
  <w:footnote w:id="50">
    <w:p w14:paraId="6496D190" w14:textId="30D82142" w:rsidR="00B063ED" w:rsidRPr="00B063ED" w:rsidRDefault="00B063ED">
      <w:pPr>
        <w:pStyle w:val="FootnoteText"/>
      </w:pPr>
      <w:r>
        <w:rPr>
          <w:rStyle w:val="FootnoteReference"/>
        </w:rPr>
        <w:footnoteRef/>
      </w:r>
      <w:r>
        <w:t xml:space="preserve"> Mass Observation, </w:t>
      </w:r>
      <w:r>
        <w:rPr>
          <w:i/>
          <w:iCs/>
        </w:rPr>
        <w:t xml:space="preserve">Puzzled people: A study in popular attitudes to religion, ethics, progress, and politics inn a London brough </w:t>
      </w:r>
      <w:r>
        <w:t>(London: Gollancz, 1947) pp.29-32.</w:t>
      </w:r>
    </w:p>
  </w:footnote>
  <w:footnote w:id="51">
    <w:p w14:paraId="2750EB3D" w14:textId="6AEB33F6" w:rsidR="00165FE0" w:rsidRDefault="00165FE0">
      <w:pPr>
        <w:pStyle w:val="FootnoteText"/>
      </w:pPr>
      <w:r>
        <w:rPr>
          <w:rStyle w:val="FootnoteReference"/>
        </w:rPr>
        <w:footnoteRef/>
      </w:r>
      <w:r>
        <w:t xml:space="preserve"> </w:t>
      </w:r>
      <w:r>
        <w:t xml:space="preserve">Elijah Siegler, </w:t>
      </w:r>
      <w:r>
        <w:rPr>
          <w:i/>
          <w:iCs/>
        </w:rPr>
        <w:t xml:space="preserve">New Religious Movements </w:t>
      </w:r>
      <w:r>
        <w:t>(New Jersey: Prentice Hall, 2007).</w:t>
      </w:r>
    </w:p>
  </w:footnote>
  <w:footnote w:id="52">
    <w:p w14:paraId="36ED32F7" w14:textId="0B13431B" w:rsidR="00B063ED" w:rsidRPr="00B063ED" w:rsidRDefault="00B063ED">
      <w:pPr>
        <w:pStyle w:val="FootnoteText"/>
      </w:pPr>
      <w:r>
        <w:rPr>
          <w:rStyle w:val="FootnoteReference"/>
        </w:rPr>
        <w:footnoteRef/>
      </w:r>
      <w:r>
        <w:t xml:space="preserve"> Geoffrey </w:t>
      </w:r>
      <w:proofErr w:type="spellStart"/>
      <w:r>
        <w:t>Gorer</w:t>
      </w:r>
      <w:proofErr w:type="spellEnd"/>
      <w:r>
        <w:t xml:space="preserve">, </w:t>
      </w:r>
      <w:r>
        <w:rPr>
          <w:i/>
          <w:iCs/>
        </w:rPr>
        <w:t xml:space="preserve">Exploring English character </w:t>
      </w:r>
      <w:r>
        <w:t>(London: Cresset, 1955) pp.259-261.</w:t>
      </w:r>
    </w:p>
  </w:footnote>
  <w:footnote w:id="53">
    <w:p w14:paraId="3D935367" w14:textId="11E30AC6" w:rsidR="00B063ED" w:rsidRDefault="00B063ED">
      <w:pPr>
        <w:pStyle w:val="FootnoteText"/>
      </w:pPr>
      <w:r>
        <w:rPr>
          <w:rStyle w:val="FootnoteReference"/>
        </w:rPr>
        <w:footnoteRef/>
      </w:r>
      <w:r>
        <w:t xml:space="preserve"> Paul, M. </w:t>
      </w:r>
      <w:proofErr w:type="spellStart"/>
      <w:r>
        <w:t>Zulehner</w:t>
      </w:r>
      <w:proofErr w:type="spellEnd"/>
      <w:r>
        <w:t xml:space="preserve">, Karel </w:t>
      </w:r>
      <w:proofErr w:type="spellStart"/>
      <w:r>
        <w:t>Dobbelaere</w:t>
      </w:r>
      <w:proofErr w:type="spellEnd"/>
      <w:r>
        <w:t xml:space="preserve"> and Jan </w:t>
      </w:r>
      <w:proofErr w:type="spellStart"/>
      <w:r>
        <w:t>Kerkhofs</w:t>
      </w:r>
      <w:proofErr w:type="spellEnd"/>
      <w:r>
        <w:t xml:space="preserve">, </w:t>
      </w:r>
      <w:r w:rsidRPr="00B063ED">
        <w:rPr>
          <w:i/>
          <w:iCs/>
        </w:rPr>
        <w:t>European Values Study 1990</w:t>
      </w:r>
      <w:r>
        <w:t xml:space="preserve"> (Netherlands: Tilburg University, 1990).</w:t>
      </w:r>
    </w:p>
  </w:footnote>
  <w:footnote w:id="54">
    <w:p w14:paraId="59B37EEF" w14:textId="22401E44" w:rsidR="001220D6" w:rsidRDefault="001220D6">
      <w:pPr>
        <w:pStyle w:val="FootnoteText"/>
      </w:pPr>
      <w:r>
        <w:rPr>
          <w:rStyle w:val="FootnoteReference"/>
        </w:rPr>
        <w:footnoteRef/>
      </w:r>
      <w:r>
        <w:t xml:space="preserve"> </w:t>
      </w:r>
      <w:r>
        <w:t xml:space="preserve">Tony Walter and Helen Waterhouse, ‘A Very Private Belief: Reincarnation in Contemporary England’, in </w:t>
      </w:r>
      <w:r>
        <w:rPr>
          <w:i/>
          <w:iCs/>
        </w:rPr>
        <w:t xml:space="preserve">Sociology of Religion, </w:t>
      </w:r>
      <w:r>
        <w:t>vol.60 (2), (Oxford: Oxford University Press, 1999) p.</w:t>
      </w:r>
      <w:r>
        <w:t>195.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C4B39"/>
    <w:multiLevelType w:val="hybridMultilevel"/>
    <w:tmpl w:val="43080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A61092"/>
    <w:multiLevelType w:val="hybridMultilevel"/>
    <w:tmpl w:val="A5066E0E"/>
    <w:lvl w:ilvl="0" w:tplc="6734B5F8">
      <w:start w:val="27"/>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DD6C1D"/>
    <w:multiLevelType w:val="hybridMultilevel"/>
    <w:tmpl w:val="DB84E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7559A7"/>
    <w:multiLevelType w:val="hybridMultilevel"/>
    <w:tmpl w:val="2826AFF4"/>
    <w:lvl w:ilvl="0" w:tplc="6734B5F8">
      <w:start w:val="27"/>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3738047">
    <w:abstractNumId w:val="0"/>
  </w:num>
  <w:num w:numId="2" w16cid:durableId="648903065">
    <w:abstractNumId w:val="2"/>
  </w:num>
  <w:num w:numId="3" w16cid:durableId="1813205775">
    <w:abstractNumId w:val="3"/>
  </w:num>
  <w:num w:numId="4" w16cid:durableId="11775002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848"/>
    <w:rsid w:val="000145A8"/>
    <w:rsid w:val="00043246"/>
    <w:rsid w:val="00057C43"/>
    <w:rsid w:val="00080CC6"/>
    <w:rsid w:val="000C0FE1"/>
    <w:rsid w:val="000C7F18"/>
    <w:rsid w:val="000D3935"/>
    <w:rsid w:val="000E63A3"/>
    <w:rsid w:val="000F7848"/>
    <w:rsid w:val="00120F81"/>
    <w:rsid w:val="001220D6"/>
    <w:rsid w:val="00132233"/>
    <w:rsid w:val="00132CAA"/>
    <w:rsid w:val="00152F04"/>
    <w:rsid w:val="00165FE0"/>
    <w:rsid w:val="00166939"/>
    <w:rsid w:val="001F7D70"/>
    <w:rsid w:val="00200477"/>
    <w:rsid w:val="00202091"/>
    <w:rsid w:val="002240B4"/>
    <w:rsid w:val="00262F6A"/>
    <w:rsid w:val="00267B86"/>
    <w:rsid w:val="002801C9"/>
    <w:rsid w:val="00295D74"/>
    <w:rsid w:val="002F1DC6"/>
    <w:rsid w:val="003027D9"/>
    <w:rsid w:val="00320F5D"/>
    <w:rsid w:val="00321508"/>
    <w:rsid w:val="0032233B"/>
    <w:rsid w:val="00330818"/>
    <w:rsid w:val="003A2170"/>
    <w:rsid w:val="003B6070"/>
    <w:rsid w:val="003B7820"/>
    <w:rsid w:val="003D7C00"/>
    <w:rsid w:val="003E2F60"/>
    <w:rsid w:val="003E574D"/>
    <w:rsid w:val="00402B89"/>
    <w:rsid w:val="0044043D"/>
    <w:rsid w:val="00450978"/>
    <w:rsid w:val="004520E1"/>
    <w:rsid w:val="00492BF0"/>
    <w:rsid w:val="00497DB5"/>
    <w:rsid w:val="004B7FCA"/>
    <w:rsid w:val="004F4CA0"/>
    <w:rsid w:val="005152B2"/>
    <w:rsid w:val="00527DAE"/>
    <w:rsid w:val="0053552D"/>
    <w:rsid w:val="0056047C"/>
    <w:rsid w:val="00565388"/>
    <w:rsid w:val="005D1FDF"/>
    <w:rsid w:val="005E3222"/>
    <w:rsid w:val="005F64A6"/>
    <w:rsid w:val="00603460"/>
    <w:rsid w:val="006379F4"/>
    <w:rsid w:val="00641A3B"/>
    <w:rsid w:val="00670523"/>
    <w:rsid w:val="006751D0"/>
    <w:rsid w:val="00690BE8"/>
    <w:rsid w:val="006C162D"/>
    <w:rsid w:val="006D6328"/>
    <w:rsid w:val="006E1AD4"/>
    <w:rsid w:val="007150F8"/>
    <w:rsid w:val="00727C85"/>
    <w:rsid w:val="007727C5"/>
    <w:rsid w:val="00790982"/>
    <w:rsid w:val="007A2155"/>
    <w:rsid w:val="007F1164"/>
    <w:rsid w:val="00832E5E"/>
    <w:rsid w:val="00837C6C"/>
    <w:rsid w:val="008426FE"/>
    <w:rsid w:val="00852AB9"/>
    <w:rsid w:val="00870C04"/>
    <w:rsid w:val="00870E2F"/>
    <w:rsid w:val="00875730"/>
    <w:rsid w:val="00875C8B"/>
    <w:rsid w:val="00876EBE"/>
    <w:rsid w:val="008840C5"/>
    <w:rsid w:val="00897CE4"/>
    <w:rsid w:val="008D043C"/>
    <w:rsid w:val="008D1AF0"/>
    <w:rsid w:val="008E393A"/>
    <w:rsid w:val="008E61D4"/>
    <w:rsid w:val="008F2B1D"/>
    <w:rsid w:val="00910BDB"/>
    <w:rsid w:val="0092785C"/>
    <w:rsid w:val="00937B5B"/>
    <w:rsid w:val="00942C31"/>
    <w:rsid w:val="009849ED"/>
    <w:rsid w:val="00987097"/>
    <w:rsid w:val="00992655"/>
    <w:rsid w:val="009A4A0B"/>
    <w:rsid w:val="009D0E11"/>
    <w:rsid w:val="009D4867"/>
    <w:rsid w:val="009F3709"/>
    <w:rsid w:val="00A011E3"/>
    <w:rsid w:val="00A072E4"/>
    <w:rsid w:val="00A11A04"/>
    <w:rsid w:val="00A25EE6"/>
    <w:rsid w:val="00A568AD"/>
    <w:rsid w:val="00A7504E"/>
    <w:rsid w:val="00A93771"/>
    <w:rsid w:val="00AB45CC"/>
    <w:rsid w:val="00AD722C"/>
    <w:rsid w:val="00AD791C"/>
    <w:rsid w:val="00B063ED"/>
    <w:rsid w:val="00B12591"/>
    <w:rsid w:val="00B37FDA"/>
    <w:rsid w:val="00B50F3A"/>
    <w:rsid w:val="00B64DF0"/>
    <w:rsid w:val="00B65923"/>
    <w:rsid w:val="00B66691"/>
    <w:rsid w:val="00BB1268"/>
    <w:rsid w:val="00C03E64"/>
    <w:rsid w:val="00C04F9F"/>
    <w:rsid w:val="00C10A30"/>
    <w:rsid w:val="00C2458A"/>
    <w:rsid w:val="00C27AAB"/>
    <w:rsid w:val="00C37C1F"/>
    <w:rsid w:val="00C40FFA"/>
    <w:rsid w:val="00C655F8"/>
    <w:rsid w:val="00C83802"/>
    <w:rsid w:val="00C85AD4"/>
    <w:rsid w:val="00C91B65"/>
    <w:rsid w:val="00C948AF"/>
    <w:rsid w:val="00CC2409"/>
    <w:rsid w:val="00CC55EC"/>
    <w:rsid w:val="00CD67C6"/>
    <w:rsid w:val="00D403DC"/>
    <w:rsid w:val="00D46626"/>
    <w:rsid w:val="00D6721B"/>
    <w:rsid w:val="00D702FF"/>
    <w:rsid w:val="00D84BB7"/>
    <w:rsid w:val="00DA5D8B"/>
    <w:rsid w:val="00DC7087"/>
    <w:rsid w:val="00E07CB6"/>
    <w:rsid w:val="00E46AC8"/>
    <w:rsid w:val="00E46F33"/>
    <w:rsid w:val="00E63169"/>
    <w:rsid w:val="00E70DFD"/>
    <w:rsid w:val="00EA5A1E"/>
    <w:rsid w:val="00EC5CB7"/>
    <w:rsid w:val="00ED43CF"/>
    <w:rsid w:val="00F0223D"/>
    <w:rsid w:val="00F02249"/>
    <w:rsid w:val="00F13988"/>
    <w:rsid w:val="00F57715"/>
    <w:rsid w:val="00FA5B5B"/>
    <w:rsid w:val="00FA655C"/>
    <w:rsid w:val="00FC3E59"/>
    <w:rsid w:val="00FE4E95"/>
    <w:rsid w:val="00FE5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4C63C6"/>
  <w15:chartTrackingRefBased/>
  <w15:docId w15:val="{4ED828D5-D0A1-D041-8911-A6FE652CD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848"/>
    <w:rPr>
      <w:rFonts w:ascii="Times New Roman" w:eastAsia="SimSun" w:hAnsi="Times New Roman" w:cs="Times New Roman"/>
      <w:kern w:val="0"/>
      <w:lang w:eastAsia="zh-CN"/>
      <w14:ligatures w14:val="none"/>
    </w:rPr>
  </w:style>
  <w:style w:type="paragraph" w:styleId="Heading1">
    <w:name w:val="heading 1"/>
    <w:basedOn w:val="Normal"/>
    <w:next w:val="Normal"/>
    <w:link w:val="Heading1Char"/>
    <w:uiPriority w:val="9"/>
    <w:qFormat/>
    <w:rsid w:val="003B782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B782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qFormat/>
    <w:rsid w:val="000F7848"/>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F7848"/>
    <w:rPr>
      <w:rFonts w:ascii="Tahoma" w:eastAsia="SimSun" w:hAnsi="Tahoma" w:cs="Tahoma"/>
      <w:b/>
      <w:bCs/>
      <w:kern w:val="0"/>
      <w:sz w:val="20"/>
      <w:szCs w:val="20"/>
      <w:lang w:eastAsia="zh-CN"/>
      <w14:ligatures w14:val="none"/>
    </w:rPr>
  </w:style>
  <w:style w:type="paragraph" w:styleId="NormalWeb">
    <w:name w:val="Normal (Web)"/>
    <w:basedOn w:val="Normal"/>
    <w:rsid w:val="000F7848"/>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0F7848"/>
    <w:pPr>
      <w:tabs>
        <w:tab w:val="center" w:pos="4513"/>
        <w:tab w:val="right" w:pos="9026"/>
      </w:tabs>
    </w:pPr>
    <w:rPr>
      <w:lang w:val="x-none"/>
    </w:rPr>
  </w:style>
  <w:style w:type="character" w:customStyle="1" w:styleId="FooterChar">
    <w:name w:val="Footer Char"/>
    <w:basedOn w:val="DefaultParagraphFont"/>
    <w:link w:val="Footer"/>
    <w:uiPriority w:val="99"/>
    <w:rsid w:val="000F7848"/>
    <w:rPr>
      <w:rFonts w:ascii="Times New Roman" w:eastAsia="SimSun" w:hAnsi="Times New Roman" w:cs="Times New Roman"/>
      <w:kern w:val="0"/>
      <w:lang w:val="x-none" w:eastAsia="zh-CN"/>
      <w14:ligatures w14:val="none"/>
    </w:rPr>
  </w:style>
  <w:style w:type="paragraph" w:styleId="FootnoteText">
    <w:name w:val="footnote text"/>
    <w:basedOn w:val="Normal"/>
    <w:link w:val="FootnoteTextChar"/>
    <w:uiPriority w:val="99"/>
    <w:unhideWhenUsed/>
    <w:rsid w:val="00FA5B5B"/>
    <w:rPr>
      <w:sz w:val="20"/>
      <w:szCs w:val="20"/>
    </w:rPr>
  </w:style>
  <w:style w:type="character" w:customStyle="1" w:styleId="FootnoteTextChar">
    <w:name w:val="Footnote Text Char"/>
    <w:basedOn w:val="DefaultParagraphFont"/>
    <w:link w:val="FootnoteText"/>
    <w:uiPriority w:val="99"/>
    <w:rsid w:val="00FA5B5B"/>
    <w:rPr>
      <w:rFonts w:ascii="Times New Roman" w:eastAsia="SimSun" w:hAnsi="Times New Roman" w:cs="Times New Roman"/>
      <w:kern w:val="0"/>
      <w:sz w:val="20"/>
      <w:szCs w:val="20"/>
      <w:lang w:eastAsia="zh-CN"/>
      <w14:ligatures w14:val="none"/>
    </w:rPr>
  </w:style>
  <w:style w:type="character" w:styleId="FootnoteReference">
    <w:name w:val="footnote reference"/>
    <w:basedOn w:val="DefaultParagraphFont"/>
    <w:uiPriority w:val="99"/>
    <w:semiHidden/>
    <w:unhideWhenUsed/>
    <w:rsid w:val="00FA5B5B"/>
    <w:rPr>
      <w:vertAlign w:val="superscript"/>
    </w:rPr>
  </w:style>
  <w:style w:type="paragraph" w:styleId="ListParagraph">
    <w:name w:val="List Paragraph"/>
    <w:basedOn w:val="Normal"/>
    <w:uiPriority w:val="34"/>
    <w:qFormat/>
    <w:rsid w:val="003A2170"/>
    <w:pPr>
      <w:ind w:left="720"/>
      <w:contextualSpacing/>
    </w:pPr>
  </w:style>
  <w:style w:type="character" w:styleId="Hyperlink">
    <w:name w:val="Hyperlink"/>
    <w:basedOn w:val="DefaultParagraphFont"/>
    <w:uiPriority w:val="99"/>
    <w:unhideWhenUsed/>
    <w:rsid w:val="005D1FDF"/>
    <w:rPr>
      <w:color w:val="0563C1" w:themeColor="hyperlink"/>
      <w:u w:val="single"/>
    </w:rPr>
  </w:style>
  <w:style w:type="character" w:styleId="UnresolvedMention">
    <w:name w:val="Unresolved Mention"/>
    <w:basedOn w:val="DefaultParagraphFont"/>
    <w:uiPriority w:val="99"/>
    <w:semiHidden/>
    <w:unhideWhenUsed/>
    <w:rsid w:val="005D1FDF"/>
    <w:rPr>
      <w:color w:val="605E5C"/>
      <w:shd w:val="clear" w:color="auto" w:fill="E1DFDD"/>
    </w:rPr>
  </w:style>
  <w:style w:type="character" w:customStyle="1" w:styleId="Heading1Char">
    <w:name w:val="Heading 1 Char"/>
    <w:basedOn w:val="DefaultParagraphFont"/>
    <w:link w:val="Heading1"/>
    <w:uiPriority w:val="9"/>
    <w:rsid w:val="003B7820"/>
    <w:rPr>
      <w:rFonts w:asciiTheme="majorHAnsi" w:eastAsiaTheme="majorEastAsia" w:hAnsiTheme="majorHAnsi" w:cstheme="majorBidi"/>
      <w:color w:val="2F5496" w:themeColor="accent1" w:themeShade="BF"/>
      <w:kern w:val="0"/>
      <w:sz w:val="32"/>
      <w:szCs w:val="32"/>
      <w:lang w:eastAsia="zh-CN"/>
      <w14:ligatures w14:val="none"/>
    </w:rPr>
  </w:style>
  <w:style w:type="character" w:customStyle="1" w:styleId="Heading2Char">
    <w:name w:val="Heading 2 Char"/>
    <w:basedOn w:val="DefaultParagraphFont"/>
    <w:link w:val="Heading2"/>
    <w:uiPriority w:val="9"/>
    <w:semiHidden/>
    <w:rsid w:val="003B7820"/>
    <w:rPr>
      <w:rFonts w:asciiTheme="majorHAnsi" w:eastAsiaTheme="majorEastAsia" w:hAnsiTheme="majorHAnsi" w:cstheme="majorBidi"/>
      <w:color w:val="2F5496" w:themeColor="accent1" w:themeShade="BF"/>
      <w:kern w:val="0"/>
      <w:sz w:val="26"/>
      <w:szCs w:val="26"/>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243402">
      <w:bodyDiv w:val="1"/>
      <w:marLeft w:val="0"/>
      <w:marRight w:val="0"/>
      <w:marTop w:val="0"/>
      <w:marBottom w:val="0"/>
      <w:divBdr>
        <w:top w:val="none" w:sz="0" w:space="0" w:color="auto"/>
        <w:left w:val="none" w:sz="0" w:space="0" w:color="auto"/>
        <w:bottom w:val="none" w:sz="0" w:space="0" w:color="auto"/>
        <w:right w:val="none" w:sz="0" w:space="0" w:color="auto"/>
      </w:divBdr>
      <w:divsChild>
        <w:div w:id="1357462382">
          <w:marLeft w:val="0"/>
          <w:marRight w:val="0"/>
          <w:marTop w:val="0"/>
          <w:marBottom w:val="0"/>
          <w:divBdr>
            <w:top w:val="none" w:sz="0" w:space="0" w:color="auto"/>
            <w:left w:val="none" w:sz="0" w:space="0" w:color="auto"/>
            <w:bottom w:val="none" w:sz="0" w:space="0" w:color="auto"/>
            <w:right w:val="none" w:sz="0" w:space="0" w:color="auto"/>
          </w:divBdr>
          <w:divsChild>
            <w:div w:id="1777477189">
              <w:marLeft w:val="0"/>
              <w:marRight w:val="0"/>
              <w:marTop w:val="0"/>
              <w:marBottom w:val="0"/>
              <w:divBdr>
                <w:top w:val="none" w:sz="0" w:space="0" w:color="auto"/>
                <w:left w:val="none" w:sz="0" w:space="0" w:color="auto"/>
                <w:bottom w:val="none" w:sz="0" w:space="0" w:color="auto"/>
                <w:right w:val="none" w:sz="0" w:space="0" w:color="auto"/>
              </w:divBdr>
              <w:divsChild>
                <w:div w:id="1349676113">
                  <w:marLeft w:val="0"/>
                  <w:marRight w:val="0"/>
                  <w:marTop w:val="0"/>
                  <w:marBottom w:val="0"/>
                  <w:divBdr>
                    <w:top w:val="none" w:sz="0" w:space="0" w:color="auto"/>
                    <w:left w:val="none" w:sz="0" w:space="0" w:color="auto"/>
                    <w:bottom w:val="none" w:sz="0" w:space="0" w:color="auto"/>
                    <w:right w:val="none" w:sz="0" w:space="0" w:color="auto"/>
                  </w:divBdr>
                  <w:divsChild>
                    <w:div w:id="246888043">
                      <w:marLeft w:val="0"/>
                      <w:marRight w:val="0"/>
                      <w:marTop w:val="0"/>
                      <w:marBottom w:val="0"/>
                      <w:divBdr>
                        <w:top w:val="none" w:sz="0" w:space="0" w:color="auto"/>
                        <w:left w:val="none" w:sz="0" w:space="0" w:color="auto"/>
                        <w:bottom w:val="none" w:sz="0" w:space="0" w:color="auto"/>
                        <w:right w:val="none" w:sz="0" w:space="0" w:color="auto"/>
                      </w:divBdr>
                      <w:divsChild>
                        <w:div w:id="321936978">
                          <w:marLeft w:val="0"/>
                          <w:marRight w:val="0"/>
                          <w:marTop w:val="0"/>
                          <w:marBottom w:val="0"/>
                          <w:divBdr>
                            <w:top w:val="none" w:sz="0" w:space="0" w:color="auto"/>
                            <w:left w:val="none" w:sz="0" w:space="0" w:color="auto"/>
                            <w:bottom w:val="none" w:sz="0" w:space="0" w:color="auto"/>
                            <w:right w:val="none" w:sz="0" w:space="0" w:color="auto"/>
                          </w:divBdr>
                          <w:divsChild>
                            <w:div w:id="527526977">
                              <w:marLeft w:val="0"/>
                              <w:marRight w:val="0"/>
                              <w:marTop w:val="0"/>
                              <w:marBottom w:val="0"/>
                              <w:divBdr>
                                <w:top w:val="none" w:sz="0" w:space="0" w:color="auto"/>
                                <w:left w:val="none" w:sz="0" w:space="0" w:color="auto"/>
                                <w:bottom w:val="none" w:sz="0" w:space="0" w:color="auto"/>
                                <w:right w:val="none" w:sz="0" w:space="0" w:color="auto"/>
                              </w:divBdr>
                            </w:div>
                          </w:divsChild>
                        </w:div>
                        <w:div w:id="17356818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496002549">
                  <w:marLeft w:val="0"/>
                  <w:marRight w:val="0"/>
                  <w:marTop w:val="0"/>
                  <w:marBottom w:val="0"/>
                  <w:divBdr>
                    <w:top w:val="none" w:sz="0" w:space="0" w:color="auto"/>
                    <w:left w:val="none" w:sz="0" w:space="0" w:color="auto"/>
                    <w:bottom w:val="none" w:sz="0" w:space="0" w:color="auto"/>
                    <w:right w:val="none" w:sz="0" w:space="0" w:color="auto"/>
                  </w:divBdr>
                  <w:divsChild>
                    <w:div w:id="238297205">
                      <w:marLeft w:val="0"/>
                      <w:marRight w:val="150"/>
                      <w:marTop w:val="0"/>
                      <w:marBottom w:val="225"/>
                      <w:divBdr>
                        <w:top w:val="none" w:sz="0" w:space="0" w:color="auto"/>
                        <w:left w:val="none" w:sz="0" w:space="0" w:color="auto"/>
                        <w:bottom w:val="none" w:sz="0" w:space="0" w:color="auto"/>
                        <w:right w:val="none" w:sz="0" w:space="0" w:color="auto"/>
                      </w:divBdr>
                    </w:div>
                    <w:div w:id="855772075">
                      <w:marLeft w:val="0"/>
                      <w:marRight w:val="0"/>
                      <w:marTop w:val="0"/>
                      <w:marBottom w:val="225"/>
                      <w:divBdr>
                        <w:top w:val="none" w:sz="0" w:space="0" w:color="auto"/>
                        <w:left w:val="none" w:sz="0" w:space="0" w:color="auto"/>
                        <w:bottom w:val="none" w:sz="0" w:space="0" w:color="auto"/>
                        <w:right w:val="none" w:sz="0" w:space="0" w:color="auto"/>
                      </w:divBdr>
                    </w:div>
                  </w:divsChild>
                </w:div>
                <w:div w:id="1200824125">
                  <w:marLeft w:val="0"/>
                  <w:marRight w:val="0"/>
                  <w:marTop w:val="0"/>
                  <w:marBottom w:val="300"/>
                  <w:divBdr>
                    <w:top w:val="none" w:sz="0" w:space="0" w:color="auto"/>
                    <w:left w:val="none" w:sz="0" w:space="0" w:color="auto"/>
                    <w:bottom w:val="none" w:sz="0" w:space="0" w:color="auto"/>
                    <w:right w:val="none" w:sz="0" w:space="0" w:color="auto"/>
                  </w:divBdr>
                  <w:divsChild>
                    <w:div w:id="343284772">
                      <w:marLeft w:val="0"/>
                      <w:marRight w:val="0"/>
                      <w:marTop w:val="0"/>
                      <w:marBottom w:val="0"/>
                      <w:divBdr>
                        <w:top w:val="none" w:sz="0" w:space="0" w:color="auto"/>
                        <w:left w:val="none" w:sz="0" w:space="0" w:color="auto"/>
                        <w:bottom w:val="none" w:sz="0" w:space="0" w:color="auto"/>
                        <w:right w:val="none" w:sz="0" w:space="0" w:color="auto"/>
                      </w:divBdr>
                      <w:divsChild>
                        <w:div w:id="546643293">
                          <w:marLeft w:val="0"/>
                          <w:marRight w:val="0"/>
                          <w:marTop w:val="0"/>
                          <w:marBottom w:val="0"/>
                          <w:divBdr>
                            <w:top w:val="none" w:sz="0" w:space="0" w:color="auto"/>
                            <w:left w:val="none" w:sz="0" w:space="0" w:color="auto"/>
                            <w:bottom w:val="none" w:sz="0" w:space="0" w:color="auto"/>
                            <w:right w:val="none" w:sz="0" w:space="0" w:color="auto"/>
                          </w:divBdr>
                        </w:div>
                      </w:divsChild>
                    </w:div>
                    <w:div w:id="825783216">
                      <w:marLeft w:val="0"/>
                      <w:marRight w:val="0"/>
                      <w:marTop w:val="0"/>
                      <w:marBottom w:val="0"/>
                      <w:divBdr>
                        <w:top w:val="none" w:sz="0" w:space="0" w:color="auto"/>
                        <w:left w:val="none" w:sz="0" w:space="0" w:color="auto"/>
                        <w:bottom w:val="none" w:sz="0" w:space="0" w:color="auto"/>
                        <w:right w:val="none" w:sz="0" w:space="0" w:color="auto"/>
                      </w:divBdr>
                      <w:divsChild>
                        <w:div w:id="2057897789">
                          <w:marLeft w:val="0"/>
                          <w:marRight w:val="0"/>
                          <w:marTop w:val="0"/>
                          <w:marBottom w:val="0"/>
                          <w:divBdr>
                            <w:top w:val="none" w:sz="0" w:space="0" w:color="auto"/>
                            <w:left w:val="none" w:sz="0" w:space="0" w:color="auto"/>
                            <w:bottom w:val="none" w:sz="0" w:space="0" w:color="auto"/>
                            <w:right w:val="none" w:sz="0" w:space="0" w:color="auto"/>
                          </w:divBdr>
                        </w:div>
                      </w:divsChild>
                    </w:div>
                    <w:div w:id="159809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416901">
              <w:marLeft w:val="0"/>
              <w:marRight w:val="0"/>
              <w:marTop w:val="0"/>
              <w:marBottom w:val="0"/>
              <w:divBdr>
                <w:top w:val="none" w:sz="0" w:space="0" w:color="auto"/>
                <w:left w:val="none" w:sz="0" w:space="0" w:color="auto"/>
                <w:bottom w:val="none" w:sz="0" w:space="0" w:color="auto"/>
                <w:right w:val="none" w:sz="0" w:space="0" w:color="auto"/>
              </w:divBdr>
              <w:divsChild>
                <w:div w:id="1646275926">
                  <w:marLeft w:val="0"/>
                  <w:marRight w:val="0"/>
                  <w:marTop w:val="150"/>
                  <w:marBottom w:val="0"/>
                  <w:divBdr>
                    <w:top w:val="none" w:sz="0" w:space="0" w:color="auto"/>
                    <w:left w:val="none" w:sz="0" w:space="0" w:color="auto"/>
                    <w:bottom w:val="none" w:sz="0" w:space="0" w:color="auto"/>
                    <w:right w:val="none" w:sz="0" w:space="0" w:color="auto"/>
                  </w:divBdr>
                  <w:divsChild>
                    <w:div w:id="1583106618">
                      <w:marLeft w:val="0"/>
                      <w:marRight w:val="0"/>
                      <w:marTop w:val="0"/>
                      <w:marBottom w:val="0"/>
                      <w:divBdr>
                        <w:top w:val="none" w:sz="0" w:space="0" w:color="auto"/>
                        <w:left w:val="none" w:sz="0" w:space="0" w:color="auto"/>
                        <w:bottom w:val="none" w:sz="0" w:space="0" w:color="auto"/>
                        <w:right w:val="none" w:sz="0" w:space="0" w:color="auto"/>
                      </w:divBdr>
                      <w:divsChild>
                        <w:div w:id="803733947">
                          <w:marLeft w:val="0"/>
                          <w:marRight w:val="0"/>
                          <w:marTop w:val="0"/>
                          <w:marBottom w:val="150"/>
                          <w:divBdr>
                            <w:top w:val="none" w:sz="0" w:space="0" w:color="auto"/>
                            <w:left w:val="none" w:sz="0" w:space="0" w:color="auto"/>
                            <w:bottom w:val="none" w:sz="0" w:space="0" w:color="auto"/>
                            <w:right w:val="none" w:sz="0" w:space="0" w:color="auto"/>
                          </w:divBdr>
                        </w:div>
                      </w:divsChild>
                    </w:div>
                    <w:div w:id="1396929783">
                      <w:marLeft w:val="0"/>
                      <w:marRight w:val="0"/>
                      <w:marTop w:val="0"/>
                      <w:marBottom w:val="0"/>
                      <w:divBdr>
                        <w:top w:val="none" w:sz="0" w:space="0" w:color="auto"/>
                        <w:left w:val="none" w:sz="0" w:space="0" w:color="auto"/>
                        <w:bottom w:val="none" w:sz="0" w:space="0" w:color="auto"/>
                        <w:right w:val="none" w:sz="0" w:space="0" w:color="auto"/>
                      </w:divBdr>
                      <w:divsChild>
                        <w:div w:id="111328493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40006848">
              <w:marLeft w:val="0"/>
              <w:marRight w:val="0"/>
              <w:marTop w:val="0"/>
              <w:marBottom w:val="300"/>
              <w:divBdr>
                <w:top w:val="none" w:sz="0" w:space="0" w:color="auto"/>
                <w:left w:val="none" w:sz="0" w:space="0" w:color="auto"/>
                <w:bottom w:val="none" w:sz="0" w:space="0" w:color="auto"/>
                <w:right w:val="none" w:sz="0" w:space="0" w:color="auto"/>
              </w:divBdr>
              <w:divsChild>
                <w:div w:id="136847279">
                  <w:marLeft w:val="0"/>
                  <w:marRight w:val="0"/>
                  <w:marTop w:val="0"/>
                  <w:marBottom w:val="0"/>
                  <w:divBdr>
                    <w:top w:val="none" w:sz="0" w:space="0" w:color="auto"/>
                    <w:left w:val="none" w:sz="0" w:space="0" w:color="auto"/>
                    <w:bottom w:val="none" w:sz="0" w:space="0" w:color="auto"/>
                    <w:right w:val="none" w:sz="0" w:space="0" w:color="auto"/>
                  </w:divBdr>
                  <w:divsChild>
                    <w:div w:id="1083533296">
                      <w:marLeft w:val="0"/>
                      <w:marRight w:val="0"/>
                      <w:marTop w:val="0"/>
                      <w:marBottom w:val="225"/>
                      <w:divBdr>
                        <w:top w:val="none" w:sz="0" w:space="0" w:color="auto"/>
                        <w:left w:val="none" w:sz="0" w:space="0" w:color="auto"/>
                        <w:bottom w:val="none" w:sz="0" w:space="0" w:color="auto"/>
                        <w:right w:val="none" w:sz="0" w:space="0" w:color="auto"/>
                      </w:divBdr>
                      <w:divsChild>
                        <w:div w:id="1191457570">
                          <w:marLeft w:val="0"/>
                          <w:marRight w:val="0"/>
                          <w:marTop w:val="0"/>
                          <w:marBottom w:val="0"/>
                          <w:divBdr>
                            <w:top w:val="none" w:sz="0" w:space="0" w:color="auto"/>
                            <w:left w:val="none" w:sz="0" w:space="0" w:color="auto"/>
                            <w:bottom w:val="none" w:sz="0" w:space="0" w:color="auto"/>
                            <w:right w:val="none" w:sz="0" w:space="0" w:color="auto"/>
                          </w:divBdr>
                          <w:divsChild>
                            <w:div w:id="167641943">
                              <w:marLeft w:val="0"/>
                              <w:marRight w:val="0"/>
                              <w:marTop w:val="0"/>
                              <w:marBottom w:val="300"/>
                              <w:divBdr>
                                <w:top w:val="none" w:sz="0" w:space="0" w:color="auto"/>
                                <w:left w:val="none" w:sz="0" w:space="0" w:color="auto"/>
                                <w:bottom w:val="none" w:sz="0" w:space="0" w:color="auto"/>
                                <w:right w:val="none" w:sz="0" w:space="0" w:color="auto"/>
                              </w:divBdr>
                            </w:div>
                            <w:div w:id="1678115434">
                              <w:marLeft w:val="0"/>
                              <w:marRight w:val="0"/>
                              <w:marTop w:val="0"/>
                              <w:marBottom w:val="150"/>
                              <w:divBdr>
                                <w:top w:val="none" w:sz="0" w:space="0" w:color="auto"/>
                                <w:left w:val="none" w:sz="0" w:space="0" w:color="auto"/>
                                <w:bottom w:val="none" w:sz="0" w:space="0" w:color="auto"/>
                                <w:right w:val="none" w:sz="0" w:space="0" w:color="auto"/>
                              </w:divBdr>
                              <w:divsChild>
                                <w:div w:id="568344960">
                                  <w:marLeft w:val="0"/>
                                  <w:marRight w:val="0"/>
                                  <w:marTop w:val="0"/>
                                  <w:marBottom w:val="150"/>
                                  <w:divBdr>
                                    <w:top w:val="none" w:sz="0" w:space="0" w:color="auto"/>
                                    <w:left w:val="none" w:sz="0" w:space="0" w:color="auto"/>
                                    <w:bottom w:val="none" w:sz="0" w:space="0" w:color="auto"/>
                                    <w:right w:val="none" w:sz="0" w:space="0" w:color="auto"/>
                                  </w:divBdr>
                                </w:div>
                                <w:div w:id="1542747494">
                                  <w:marLeft w:val="0"/>
                                  <w:marRight w:val="0"/>
                                  <w:marTop w:val="0"/>
                                  <w:marBottom w:val="0"/>
                                  <w:divBdr>
                                    <w:top w:val="none" w:sz="0" w:space="0" w:color="auto"/>
                                    <w:left w:val="none" w:sz="0" w:space="0" w:color="auto"/>
                                    <w:bottom w:val="none" w:sz="0" w:space="0" w:color="auto"/>
                                    <w:right w:val="none" w:sz="0" w:space="0" w:color="auto"/>
                                  </w:divBdr>
                                </w:div>
                              </w:divsChild>
                            </w:div>
                            <w:div w:id="80740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D5C1E-7DF2-4C49-8821-46C15BBC3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4145</Words>
  <Characters>21891</Characters>
  <Application>Microsoft Office Word</Application>
  <DocSecurity>0</DocSecurity>
  <Lines>591</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Collin</dc:creator>
  <cp:keywords/>
  <dc:description/>
  <cp:lastModifiedBy>Luke Collin</cp:lastModifiedBy>
  <cp:revision>2</cp:revision>
  <dcterms:created xsi:type="dcterms:W3CDTF">2025-03-17T19:18:00Z</dcterms:created>
  <dcterms:modified xsi:type="dcterms:W3CDTF">2025-03-17T19:18:00Z</dcterms:modified>
</cp:coreProperties>
</file>