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307F6" w14:textId="3C32386D" w:rsidR="005564F4" w:rsidRPr="00BD14D2" w:rsidRDefault="004E2BE0" w:rsidP="008B1642">
      <w:pPr>
        <w:jc w:val="both"/>
        <w:rPr>
          <w:b/>
          <w:bCs/>
          <w:sz w:val="32"/>
          <w:szCs w:val="32"/>
        </w:rPr>
      </w:pPr>
      <w:r w:rsidRPr="00BD14D2">
        <w:rPr>
          <w:noProof/>
        </w:rPr>
        <w:drawing>
          <wp:inline distT="114300" distB="114300" distL="114300" distR="114300" wp14:anchorId="6DAB8530" wp14:editId="6821693D">
            <wp:extent cx="2371725" cy="847725"/>
            <wp:effectExtent l="0" t="0" r="0" b="0"/>
            <wp:docPr id="7" name="image1.png" descr="A close-up of black text  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1.png" descr="A close-up of black text  AI-generated content may be incorrect."/>
                    <pic:cNvPicPr preferRelativeResize="0"/>
                  </pic:nvPicPr>
                  <pic:blipFill>
                    <a:blip r:embed="rId8"/>
                    <a:srcRect/>
                    <a:stretch>
                      <a:fillRect/>
                    </a:stretch>
                  </pic:blipFill>
                  <pic:spPr>
                    <a:xfrm>
                      <a:off x="0" y="0"/>
                      <a:ext cx="2371725" cy="847725"/>
                    </a:xfrm>
                    <a:prstGeom prst="rect">
                      <a:avLst/>
                    </a:prstGeom>
                    <a:ln/>
                  </pic:spPr>
                </pic:pic>
              </a:graphicData>
            </a:graphic>
          </wp:inline>
        </w:drawing>
      </w:r>
      <w:r w:rsidR="002E51AD" w:rsidRPr="00BD14D2">
        <w:rPr>
          <w:b/>
          <w:bCs/>
          <w:sz w:val="32"/>
          <w:szCs w:val="32"/>
        </w:rPr>
        <w:t xml:space="preserve">                             </w:t>
      </w:r>
    </w:p>
    <w:p w14:paraId="1F9540A3" w14:textId="77777777" w:rsidR="00967242" w:rsidRPr="00BD14D2" w:rsidRDefault="00967242" w:rsidP="008B1642">
      <w:pPr>
        <w:jc w:val="both"/>
        <w:rPr>
          <w:b/>
          <w:bCs/>
          <w:sz w:val="32"/>
          <w:szCs w:val="32"/>
        </w:rPr>
      </w:pPr>
    </w:p>
    <w:p w14:paraId="3BDD6E07" w14:textId="77777777" w:rsidR="008D344C" w:rsidRPr="00BD14D2" w:rsidRDefault="008D344C" w:rsidP="008B1642">
      <w:pPr>
        <w:jc w:val="both"/>
        <w:rPr>
          <w:b/>
          <w:bCs/>
          <w:sz w:val="32"/>
          <w:szCs w:val="32"/>
        </w:rPr>
      </w:pPr>
    </w:p>
    <w:p w14:paraId="38D2E0F4" w14:textId="77777777" w:rsidR="008D344C" w:rsidRPr="00BD14D2" w:rsidRDefault="008D344C" w:rsidP="008B1642">
      <w:pPr>
        <w:jc w:val="both"/>
        <w:rPr>
          <w:b/>
          <w:bCs/>
          <w:sz w:val="32"/>
          <w:szCs w:val="32"/>
        </w:rPr>
      </w:pPr>
    </w:p>
    <w:p w14:paraId="0D0CC563" w14:textId="77777777" w:rsidR="008D344C" w:rsidRPr="00BD14D2" w:rsidRDefault="008D344C" w:rsidP="00BC72EF">
      <w:pPr>
        <w:jc w:val="center"/>
        <w:rPr>
          <w:b/>
          <w:bCs/>
          <w:sz w:val="36"/>
          <w:szCs w:val="36"/>
        </w:rPr>
      </w:pPr>
    </w:p>
    <w:p w14:paraId="3DFD2B26" w14:textId="77777777" w:rsidR="00F85FE3" w:rsidRPr="00BD14D2" w:rsidRDefault="00967242" w:rsidP="00BC72EF">
      <w:pPr>
        <w:jc w:val="center"/>
        <w:rPr>
          <w:b/>
          <w:bCs/>
          <w:sz w:val="36"/>
          <w:szCs w:val="36"/>
        </w:rPr>
      </w:pPr>
      <w:r w:rsidRPr="00BD14D2">
        <w:rPr>
          <w:b/>
          <w:bCs/>
          <w:sz w:val="36"/>
          <w:szCs w:val="36"/>
        </w:rPr>
        <w:t>DISSERTATION</w:t>
      </w:r>
    </w:p>
    <w:p w14:paraId="346D35E2" w14:textId="77777777" w:rsidR="00044D05" w:rsidRPr="00BD14D2" w:rsidRDefault="00044D05" w:rsidP="00BC72EF">
      <w:pPr>
        <w:jc w:val="center"/>
        <w:rPr>
          <w:b/>
          <w:bCs/>
          <w:sz w:val="36"/>
          <w:szCs w:val="36"/>
        </w:rPr>
      </w:pPr>
    </w:p>
    <w:p w14:paraId="5CB8FA37" w14:textId="77777777" w:rsidR="001B3E1E" w:rsidRPr="00BD14D2" w:rsidRDefault="00967242" w:rsidP="00BC72EF">
      <w:pPr>
        <w:jc w:val="center"/>
        <w:rPr>
          <w:b/>
          <w:bCs/>
          <w:sz w:val="36"/>
          <w:szCs w:val="36"/>
        </w:rPr>
      </w:pPr>
      <w:r w:rsidRPr="00BD14D2">
        <w:rPr>
          <w:b/>
          <w:bCs/>
          <w:sz w:val="36"/>
          <w:szCs w:val="36"/>
        </w:rPr>
        <w:t>Dissertation Title:</w:t>
      </w:r>
    </w:p>
    <w:p w14:paraId="3F63E506" w14:textId="5BB9FDA3" w:rsidR="001B3E1E" w:rsidRPr="00BD14D2" w:rsidRDefault="001B3E1E" w:rsidP="00273024">
      <w:pPr>
        <w:jc w:val="center"/>
        <w:rPr>
          <w:b/>
          <w:bCs/>
          <w:sz w:val="36"/>
          <w:szCs w:val="36"/>
        </w:rPr>
      </w:pPr>
      <w:r w:rsidRPr="00BD14D2">
        <w:rPr>
          <w:b/>
          <w:bCs/>
          <w:sz w:val="36"/>
          <w:szCs w:val="36"/>
        </w:rPr>
        <w:t>Branding and Customer Loyalty in the Automotive Industry in Europe</w:t>
      </w:r>
      <w:r w:rsidR="00AD447D">
        <w:rPr>
          <w:b/>
          <w:bCs/>
          <w:sz w:val="36"/>
          <w:szCs w:val="36"/>
        </w:rPr>
        <w:t xml:space="preserve">: </w:t>
      </w:r>
      <w:r w:rsidRPr="00BD14D2">
        <w:rPr>
          <w:b/>
          <w:bCs/>
          <w:sz w:val="36"/>
          <w:szCs w:val="36"/>
        </w:rPr>
        <w:t>A Systematic Literature Review</w:t>
      </w:r>
    </w:p>
    <w:p w14:paraId="7655F73C" w14:textId="77777777" w:rsidR="008D344C" w:rsidRPr="00BD14D2" w:rsidRDefault="008D344C" w:rsidP="00BC72EF">
      <w:pPr>
        <w:jc w:val="center"/>
        <w:rPr>
          <w:b/>
          <w:bCs/>
          <w:sz w:val="36"/>
          <w:szCs w:val="36"/>
        </w:rPr>
      </w:pPr>
    </w:p>
    <w:p w14:paraId="5AFAB3C1" w14:textId="77777777" w:rsidR="00F85FE3" w:rsidRPr="00BD14D2" w:rsidRDefault="00967242" w:rsidP="00BC72EF">
      <w:pPr>
        <w:jc w:val="center"/>
        <w:rPr>
          <w:b/>
          <w:bCs/>
          <w:sz w:val="36"/>
          <w:szCs w:val="36"/>
        </w:rPr>
      </w:pPr>
      <w:r w:rsidRPr="00BD14D2">
        <w:rPr>
          <w:b/>
          <w:bCs/>
          <w:sz w:val="36"/>
          <w:szCs w:val="36"/>
        </w:rPr>
        <w:t>Name: Gabriel Vilcu</w:t>
      </w:r>
    </w:p>
    <w:p w14:paraId="5ECECFCC" w14:textId="77777777" w:rsidR="00967242" w:rsidRPr="00BD14D2" w:rsidRDefault="00044D05" w:rsidP="00BC72EF">
      <w:pPr>
        <w:jc w:val="center"/>
        <w:rPr>
          <w:b/>
          <w:bCs/>
          <w:sz w:val="36"/>
          <w:szCs w:val="36"/>
        </w:rPr>
      </w:pPr>
      <w:r w:rsidRPr="00BD14D2">
        <w:rPr>
          <w:b/>
          <w:bCs/>
          <w:sz w:val="36"/>
          <w:szCs w:val="36"/>
        </w:rPr>
        <w:t>Student ID: 2126382</w:t>
      </w:r>
    </w:p>
    <w:p w14:paraId="3F06B966" w14:textId="77777777" w:rsidR="001B3E1E" w:rsidRPr="00BD14D2" w:rsidRDefault="008D344C" w:rsidP="00BC72EF">
      <w:pPr>
        <w:jc w:val="center"/>
        <w:rPr>
          <w:b/>
          <w:bCs/>
          <w:sz w:val="36"/>
          <w:szCs w:val="36"/>
        </w:rPr>
      </w:pPr>
      <w:r w:rsidRPr="00BD14D2">
        <w:rPr>
          <w:b/>
          <w:bCs/>
          <w:sz w:val="36"/>
          <w:szCs w:val="36"/>
        </w:rPr>
        <w:t>Course: MBA in International Business</w:t>
      </w:r>
    </w:p>
    <w:p w14:paraId="0003544D" w14:textId="77777777" w:rsidR="008D344C" w:rsidRPr="00BD14D2" w:rsidRDefault="008D344C" w:rsidP="00BC72EF">
      <w:pPr>
        <w:jc w:val="center"/>
        <w:rPr>
          <w:b/>
          <w:bCs/>
          <w:sz w:val="36"/>
          <w:szCs w:val="36"/>
        </w:rPr>
      </w:pPr>
      <w:r w:rsidRPr="00BD14D2">
        <w:rPr>
          <w:b/>
          <w:bCs/>
          <w:sz w:val="36"/>
          <w:szCs w:val="36"/>
        </w:rPr>
        <w:t>Module Code: LCMB7035_BIRM</w:t>
      </w:r>
    </w:p>
    <w:p w14:paraId="1AC5C413" w14:textId="77777777" w:rsidR="008D344C" w:rsidRPr="00BD14D2" w:rsidRDefault="008D344C" w:rsidP="00BC72EF">
      <w:pPr>
        <w:jc w:val="center"/>
        <w:rPr>
          <w:b/>
          <w:bCs/>
          <w:sz w:val="36"/>
          <w:szCs w:val="36"/>
        </w:rPr>
      </w:pPr>
    </w:p>
    <w:p w14:paraId="2FFFC5ED" w14:textId="77777777" w:rsidR="00A16BEA" w:rsidRPr="00BD14D2" w:rsidRDefault="008D344C" w:rsidP="00D24C2A">
      <w:pPr>
        <w:jc w:val="center"/>
        <w:rPr>
          <w:b/>
          <w:bCs/>
          <w:sz w:val="36"/>
          <w:szCs w:val="36"/>
        </w:rPr>
      </w:pPr>
      <w:r w:rsidRPr="00BD14D2">
        <w:rPr>
          <w:b/>
          <w:bCs/>
          <w:sz w:val="36"/>
          <w:szCs w:val="36"/>
        </w:rPr>
        <w:t>Supervisor Name: Mudassar Hasan</w:t>
      </w:r>
    </w:p>
    <w:p w14:paraId="0258DF2B" w14:textId="77777777" w:rsidR="00A16BEA" w:rsidRPr="00BD14D2" w:rsidRDefault="00A16BEA" w:rsidP="00A16BEA">
      <w:pPr>
        <w:rPr>
          <w:sz w:val="36"/>
          <w:szCs w:val="36"/>
        </w:rPr>
      </w:pPr>
    </w:p>
    <w:p w14:paraId="26762A16" w14:textId="77777777" w:rsidR="00A16BEA" w:rsidRPr="00BD14D2" w:rsidRDefault="00A16BEA" w:rsidP="00A16BEA">
      <w:pPr>
        <w:tabs>
          <w:tab w:val="left" w:pos="1000"/>
        </w:tabs>
        <w:rPr>
          <w:sz w:val="36"/>
          <w:szCs w:val="36"/>
        </w:rPr>
      </w:pPr>
      <w:r w:rsidRPr="00BD14D2">
        <w:rPr>
          <w:sz w:val="36"/>
          <w:szCs w:val="36"/>
        </w:rPr>
        <w:tab/>
      </w:r>
    </w:p>
    <w:p w14:paraId="1E394555" w14:textId="1D878A6E" w:rsidR="00D24C2A" w:rsidRPr="00BD14D2" w:rsidRDefault="00D24C2A" w:rsidP="00A16BEA">
      <w:pPr>
        <w:tabs>
          <w:tab w:val="left" w:pos="1000"/>
        </w:tabs>
        <w:rPr>
          <w:sz w:val="36"/>
          <w:szCs w:val="36"/>
        </w:rPr>
        <w:sectPr w:rsidR="00D24C2A" w:rsidRPr="00BD14D2" w:rsidSect="001D0C4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800" w:header="708" w:footer="708" w:gutter="0"/>
          <w:pgNumType w:fmt="lowerRoman" w:start="1"/>
          <w:cols w:space="720"/>
          <w:titlePg/>
          <w:docGrid w:linePitch="360"/>
        </w:sectPr>
      </w:pPr>
    </w:p>
    <w:p w14:paraId="3AEFDB80" w14:textId="1EC4958B" w:rsidR="00322783" w:rsidRDefault="00322783">
      <w:pPr>
        <w:rPr>
          <w:b/>
          <w:bCs/>
          <w:sz w:val="32"/>
          <w:szCs w:val="32"/>
        </w:rPr>
      </w:pPr>
    </w:p>
    <w:p w14:paraId="16258A9C" w14:textId="6A257B16" w:rsidR="00D9332A" w:rsidRPr="00BD14D2" w:rsidRDefault="00D9332A" w:rsidP="00A16BEA">
      <w:pPr>
        <w:pStyle w:val="Heading1"/>
        <w:rPr>
          <w:color w:val="auto"/>
        </w:rPr>
      </w:pPr>
      <w:bookmarkStart w:id="0" w:name="_Toc228783014"/>
      <w:bookmarkStart w:id="1" w:name="_Toc228791189"/>
      <w:r w:rsidRPr="00BD14D2">
        <w:rPr>
          <w:color w:val="auto"/>
        </w:rPr>
        <w:t>DECLARATATION</w:t>
      </w:r>
      <w:bookmarkEnd w:id="0"/>
      <w:bookmarkEnd w:id="1"/>
    </w:p>
    <w:p w14:paraId="394351C2" w14:textId="77777777" w:rsidR="00D9332A" w:rsidRPr="00BD14D2" w:rsidRDefault="00D9332A" w:rsidP="008B1642">
      <w:pPr>
        <w:jc w:val="both"/>
      </w:pPr>
      <w:r w:rsidRPr="00BD14D2">
        <w:t>I, Gabriel Vilcu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6A461D1" w14:textId="77777777" w:rsidR="00D9332A" w:rsidRPr="00BD14D2" w:rsidRDefault="00D9332A" w:rsidP="008B1642">
      <w:pPr>
        <w:jc w:val="both"/>
      </w:pPr>
      <w:r w:rsidRPr="00BD14D2">
        <w:t> </w:t>
      </w:r>
    </w:p>
    <w:p w14:paraId="4B498B75" w14:textId="77777777" w:rsidR="00D9332A" w:rsidRPr="00BD14D2" w:rsidRDefault="00967242" w:rsidP="008B1642">
      <w:pPr>
        <w:jc w:val="both"/>
      </w:pPr>
      <w:r w:rsidRPr="00BD14D2">
        <w:t>Signature: ...................Gabriel Vilcu.....................................</w:t>
      </w:r>
    </w:p>
    <w:p w14:paraId="5F77DCFF" w14:textId="77777777" w:rsidR="00D9332A" w:rsidRPr="00BD14D2" w:rsidRDefault="00D9332A" w:rsidP="008B1642">
      <w:pPr>
        <w:jc w:val="both"/>
      </w:pPr>
      <w:r w:rsidRPr="00BD14D2">
        <w:t> </w:t>
      </w:r>
    </w:p>
    <w:p w14:paraId="14660625" w14:textId="0B660C13" w:rsidR="00D9332A" w:rsidRPr="00BD14D2" w:rsidRDefault="000F5A7C" w:rsidP="008B1642">
      <w:pPr>
        <w:jc w:val="both"/>
      </w:pPr>
      <w:r w:rsidRPr="00BD14D2">
        <w:t xml:space="preserve">Date: </w:t>
      </w:r>
      <w:r w:rsidR="00AF6CE3">
        <w:t>……………………04/05/2026………………………….</w:t>
      </w:r>
    </w:p>
    <w:p w14:paraId="29067550" w14:textId="77777777" w:rsidR="00D9332A" w:rsidRPr="00BD14D2" w:rsidRDefault="00D9332A" w:rsidP="008B1642">
      <w:pPr>
        <w:jc w:val="both"/>
      </w:pPr>
    </w:p>
    <w:p w14:paraId="77CF368E" w14:textId="77777777" w:rsidR="00D9332A" w:rsidRPr="00BD14D2" w:rsidRDefault="00D9332A" w:rsidP="008B1642">
      <w:pPr>
        <w:jc w:val="both"/>
      </w:pPr>
    </w:p>
    <w:p w14:paraId="636CE423" w14:textId="77777777" w:rsidR="00D9332A" w:rsidRPr="00BD14D2" w:rsidRDefault="00D9332A" w:rsidP="008B1642">
      <w:pPr>
        <w:jc w:val="both"/>
      </w:pPr>
    </w:p>
    <w:p w14:paraId="63790AF9" w14:textId="77777777" w:rsidR="00C95588" w:rsidRPr="00BD14D2" w:rsidRDefault="00C95588" w:rsidP="008B1642">
      <w:pPr>
        <w:jc w:val="both"/>
      </w:pPr>
    </w:p>
    <w:p w14:paraId="35A6E0C1" w14:textId="77777777" w:rsidR="00C95588" w:rsidRPr="00BD14D2" w:rsidRDefault="00C95588" w:rsidP="008B1642">
      <w:pPr>
        <w:jc w:val="both"/>
      </w:pPr>
    </w:p>
    <w:p w14:paraId="5E090DF9" w14:textId="77777777" w:rsidR="00C95588" w:rsidRPr="00BD14D2" w:rsidRDefault="00C95588" w:rsidP="008B1642">
      <w:pPr>
        <w:jc w:val="both"/>
      </w:pPr>
    </w:p>
    <w:p w14:paraId="1C69FCB3" w14:textId="77777777" w:rsidR="00C95588" w:rsidRPr="00BD14D2" w:rsidRDefault="00C95588" w:rsidP="008B1642">
      <w:pPr>
        <w:jc w:val="both"/>
      </w:pPr>
    </w:p>
    <w:p w14:paraId="29102071" w14:textId="77777777" w:rsidR="00C95588" w:rsidRPr="00BD14D2" w:rsidRDefault="00C95588" w:rsidP="008B1642">
      <w:pPr>
        <w:jc w:val="both"/>
      </w:pPr>
    </w:p>
    <w:p w14:paraId="6AB9587A" w14:textId="77777777" w:rsidR="00C95588" w:rsidRPr="00BD14D2" w:rsidRDefault="00C95588" w:rsidP="008B1642">
      <w:pPr>
        <w:jc w:val="both"/>
      </w:pPr>
    </w:p>
    <w:p w14:paraId="638440D2" w14:textId="77777777" w:rsidR="00C95588" w:rsidRPr="00BD14D2" w:rsidRDefault="00C95588" w:rsidP="008B1642">
      <w:pPr>
        <w:jc w:val="both"/>
      </w:pPr>
    </w:p>
    <w:p w14:paraId="63B7A5D5" w14:textId="77777777" w:rsidR="00C95588" w:rsidRPr="00BD14D2" w:rsidRDefault="00C95588" w:rsidP="008B1642">
      <w:pPr>
        <w:jc w:val="both"/>
      </w:pPr>
    </w:p>
    <w:p w14:paraId="1761CBA6" w14:textId="77777777" w:rsidR="00C95588" w:rsidRPr="00BD14D2" w:rsidRDefault="00C95588" w:rsidP="008B1642">
      <w:pPr>
        <w:jc w:val="both"/>
      </w:pPr>
    </w:p>
    <w:p w14:paraId="1DCE6F08" w14:textId="77777777" w:rsidR="00C95588" w:rsidRPr="00BD14D2" w:rsidRDefault="00C95588" w:rsidP="008B1642">
      <w:pPr>
        <w:jc w:val="both"/>
      </w:pPr>
    </w:p>
    <w:p w14:paraId="13864393" w14:textId="77777777" w:rsidR="00C95588" w:rsidRPr="00BD14D2" w:rsidRDefault="00C95588" w:rsidP="008B1642">
      <w:pPr>
        <w:jc w:val="both"/>
      </w:pPr>
    </w:p>
    <w:p w14:paraId="20DB24B0" w14:textId="77777777" w:rsidR="00273024" w:rsidRPr="00BD14D2" w:rsidRDefault="00273024" w:rsidP="008B1642">
      <w:pPr>
        <w:jc w:val="both"/>
        <w:rPr>
          <w:b/>
          <w:bCs/>
          <w:sz w:val="28"/>
          <w:szCs w:val="28"/>
        </w:rPr>
      </w:pPr>
    </w:p>
    <w:p w14:paraId="121B35F4" w14:textId="77777777" w:rsidR="008F2ABD" w:rsidRPr="00BD14D2" w:rsidRDefault="008F2ABD" w:rsidP="008B1642">
      <w:pPr>
        <w:jc w:val="both"/>
        <w:rPr>
          <w:b/>
          <w:bCs/>
          <w:sz w:val="28"/>
          <w:szCs w:val="28"/>
        </w:rPr>
      </w:pPr>
    </w:p>
    <w:p w14:paraId="38F18617" w14:textId="77777777" w:rsidR="008F2ABD" w:rsidRPr="00BD14D2" w:rsidRDefault="008F2ABD" w:rsidP="008B1642">
      <w:pPr>
        <w:jc w:val="both"/>
        <w:rPr>
          <w:b/>
          <w:bCs/>
          <w:sz w:val="28"/>
          <w:szCs w:val="28"/>
        </w:rPr>
      </w:pPr>
    </w:p>
    <w:p w14:paraId="24B1FFE4" w14:textId="77777777" w:rsidR="000F5A7C" w:rsidRPr="00BD14D2" w:rsidRDefault="000F5A7C">
      <w:pPr>
        <w:rPr>
          <w:b/>
          <w:bCs/>
          <w:sz w:val="28"/>
          <w:szCs w:val="28"/>
        </w:rPr>
      </w:pPr>
      <w:r w:rsidRPr="00BD14D2">
        <w:rPr>
          <w:b/>
          <w:bCs/>
          <w:sz w:val="28"/>
          <w:szCs w:val="28"/>
        </w:rPr>
        <w:br w:type="page"/>
      </w:r>
    </w:p>
    <w:p w14:paraId="5BB29801" w14:textId="77777777" w:rsidR="00D9332A" w:rsidRPr="00BD14D2" w:rsidRDefault="00032A89" w:rsidP="00D24C2A">
      <w:pPr>
        <w:pStyle w:val="Heading1"/>
        <w:rPr>
          <w:color w:val="auto"/>
        </w:rPr>
      </w:pPr>
      <w:bookmarkStart w:id="2" w:name="_Toc228783015"/>
      <w:bookmarkStart w:id="3" w:name="_Toc228791190"/>
      <w:r w:rsidRPr="00BD14D2">
        <w:rPr>
          <w:color w:val="auto"/>
        </w:rPr>
        <w:lastRenderedPageBreak/>
        <w:t>Abstract</w:t>
      </w:r>
      <w:bookmarkEnd w:id="2"/>
      <w:bookmarkEnd w:id="3"/>
    </w:p>
    <w:p w14:paraId="6D7E57D2" w14:textId="77777777" w:rsidR="00032A89" w:rsidRPr="00BD14D2" w:rsidRDefault="00032A89" w:rsidP="000F5A7C">
      <w:pPr>
        <w:jc w:val="both"/>
      </w:pPr>
      <w:r w:rsidRPr="00BD14D2">
        <w:t>This dissertation examines the impact of branding on customer loyalty within the European automotive industry during a period of rapid market transformation driven by electrification, digitalisation, and the entry of competitively priced Asian manufacturers. Guided by four research questions and underpinned by Relationship Marketing Theory developed by Morgan and Hunt (1994), the study employs a systematic review and thematic analysis of secondary qualitative sources to investigate how these simultaneous disruptions are reshaping the dynamics that European original equipment manufacturers have historically relied upon. The findings demonstrate that branding affects customer loyalty through three principal mechanisms: heritage associations, digital brand identity, and sustainability credentials, with the relative weight shifting decisively away from heritage towards the latter two. The most significant challenges confronting European Original Equipment Manufacturers (OEMs) are identified as structural rather than tactical, encompassing customer journey fragmentation arising from the franchise dealership model, the competitive pricing advantage of Chinese manufacturers, and a generational shift towards sustainability and mobility-as-a-service. Four strategic responses emerge from the literature as mutually reinforcing, with retail model reform identified as the foundational structural enabler upon which all downstream loyalty-building activities depend. The study contributes to Relationship Marketing Theory by demonstrating that automotive brand trust is multidimensional and that platform-mediated value co-creation through connected vehicles introduces both opportunities and vulnerabilities that existing frameworks do not fully address.</w:t>
      </w:r>
    </w:p>
    <w:p w14:paraId="22FBFDFD" w14:textId="77777777" w:rsidR="000F5A7C" w:rsidRPr="00BD14D2" w:rsidRDefault="000F5A7C" w:rsidP="000F5A7C">
      <w:pPr>
        <w:jc w:val="both"/>
      </w:pPr>
    </w:p>
    <w:p w14:paraId="384B9F90" w14:textId="77777777" w:rsidR="000F5A7C" w:rsidRPr="00BD14D2" w:rsidRDefault="00F53E46" w:rsidP="000F5A7C">
      <w:pPr>
        <w:jc w:val="both"/>
        <w:rPr>
          <w:i/>
        </w:rPr>
      </w:pPr>
      <w:r w:rsidRPr="00BD14D2">
        <w:t xml:space="preserve">Keywords/phrases: </w:t>
      </w:r>
      <w:r w:rsidRPr="00BD14D2">
        <w:rPr>
          <w:i/>
        </w:rPr>
        <w:t xml:space="preserve">Brand Loyalty, European Original Equipment Manufacturers (OEMs), Customer Retention, Value Co-Creation, Branding Strategy, Chinese Market Entrants, Software-Defined Vehicles, Sustainability Positioning. </w:t>
      </w:r>
    </w:p>
    <w:p w14:paraId="48352A2F" w14:textId="77777777" w:rsidR="00032A89" w:rsidRPr="00BD14D2" w:rsidRDefault="00032A89" w:rsidP="008B1642">
      <w:pPr>
        <w:jc w:val="both"/>
      </w:pPr>
    </w:p>
    <w:p w14:paraId="3AA022DE" w14:textId="77777777" w:rsidR="00032A89" w:rsidRPr="00BD14D2" w:rsidRDefault="00032A89" w:rsidP="008B1642">
      <w:pPr>
        <w:jc w:val="both"/>
      </w:pPr>
    </w:p>
    <w:p w14:paraId="2C6677AA" w14:textId="77777777" w:rsidR="003A65C6" w:rsidRPr="00BD14D2" w:rsidRDefault="003A65C6" w:rsidP="008B1642">
      <w:pPr>
        <w:jc w:val="both"/>
      </w:pPr>
    </w:p>
    <w:p w14:paraId="72098680" w14:textId="77777777" w:rsidR="003A65C6" w:rsidRPr="00BD14D2" w:rsidRDefault="003A65C6" w:rsidP="008B1642">
      <w:pPr>
        <w:jc w:val="both"/>
      </w:pPr>
    </w:p>
    <w:p w14:paraId="7279E338" w14:textId="77777777" w:rsidR="00C95588" w:rsidRPr="00BD14D2" w:rsidRDefault="00C95588" w:rsidP="008B1642">
      <w:pPr>
        <w:jc w:val="both"/>
      </w:pPr>
    </w:p>
    <w:p w14:paraId="490ECBF6" w14:textId="77777777" w:rsidR="00032A89" w:rsidRPr="00BD14D2" w:rsidRDefault="00032A89" w:rsidP="00D24C2A">
      <w:pPr>
        <w:pStyle w:val="Heading1"/>
        <w:rPr>
          <w:color w:val="auto"/>
        </w:rPr>
      </w:pPr>
      <w:bookmarkStart w:id="4" w:name="_Toc228783016"/>
      <w:bookmarkStart w:id="5" w:name="_Toc228791191"/>
      <w:r w:rsidRPr="00BD14D2">
        <w:rPr>
          <w:color w:val="auto"/>
        </w:rPr>
        <w:lastRenderedPageBreak/>
        <w:t>Acknowledgement</w:t>
      </w:r>
      <w:bookmarkEnd w:id="4"/>
      <w:bookmarkEnd w:id="5"/>
    </w:p>
    <w:p w14:paraId="57B37681" w14:textId="77777777" w:rsidR="00032A89" w:rsidRPr="00BD14D2" w:rsidRDefault="00032A89" w:rsidP="008B1642">
      <w:pPr>
        <w:jc w:val="both"/>
      </w:pPr>
      <w:r w:rsidRPr="00BD14D2">
        <w:t>This dissertation would not have been possible without the support and guidance of a number of individuals to whom I owe a sincere debt of gratitude. I wish to express my heartfelt acknowledgement to Mudassar Hasan, my MBA Dissertation Supervisor, whose constructive direction, intellectual rigour, and consistent encouragement provided the necessary foundation upon which this work was built. I also wish to extend my sincere gratitude to Vasilios Tavlaridis, MBA Program Manager, whose structural and academic oversight throughout the programme created the conditions in which this research could develop effectively. I am equally thankful to Masud Ibrahim, Workshop Lecturer, whose practical guidance and scholarly insight during the workshop sessions assisted me in refining both my thinking and my methodology in ways that have meaningfully strengthened this dissertation. I also wish to express my appreciation to Elena Banica, my partner and colleague, whose steadfast encouragement, shared dedication, and collaborative spirit have been a source of motivation throughout the entire process. Finally, I want to express my thankfulness to my family and friends for their unwavering love and support, which has sustained me through the challenges of completing this work. To each of these individuals, I am profoundly grateful.</w:t>
      </w:r>
    </w:p>
    <w:p w14:paraId="1AD62069" w14:textId="77777777" w:rsidR="00032A89" w:rsidRPr="00BD14D2" w:rsidRDefault="00032A89" w:rsidP="008B1642">
      <w:pPr>
        <w:jc w:val="both"/>
      </w:pPr>
    </w:p>
    <w:p w14:paraId="23A6250D" w14:textId="77777777" w:rsidR="006200F9" w:rsidRPr="00BD14D2" w:rsidRDefault="006200F9" w:rsidP="008B1642">
      <w:pPr>
        <w:jc w:val="both"/>
      </w:pPr>
    </w:p>
    <w:p w14:paraId="37E83372" w14:textId="77777777" w:rsidR="006200F9" w:rsidRPr="00BD14D2" w:rsidRDefault="006200F9" w:rsidP="008B1642">
      <w:pPr>
        <w:jc w:val="both"/>
      </w:pPr>
    </w:p>
    <w:p w14:paraId="620A8071" w14:textId="77777777" w:rsidR="006200F9" w:rsidRPr="00BD14D2" w:rsidRDefault="006200F9" w:rsidP="008B1642">
      <w:pPr>
        <w:jc w:val="both"/>
      </w:pPr>
    </w:p>
    <w:p w14:paraId="47EE5BB2" w14:textId="77777777" w:rsidR="006200F9" w:rsidRPr="00BD14D2" w:rsidRDefault="006200F9" w:rsidP="008B1642">
      <w:pPr>
        <w:jc w:val="both"/>
      </w:pPr>
    </w:p>
    <w:p w14:paraId="1E40A40B" w14:textId="77777777" w:rsidR="006200F9" w:rsidRPr="00BD14D2" w:rsidRDefault="006200F9" w:rsidP="008B1642">
      <w:pPr>
        <w:jc w:val="both"/>
      </w:pPr>
    </w:p>
    <w:p w14:paraId="30E1EE72" w14:textId="77777777" w:rsidR="006200F9" w:rsidRPr="00BD14D2" w:rsidRDefault="006200F9" w:rsidP="008B1642">
      <w:pPr>
        <w:jc w:val="both"/>
      </w:pPr>
    </w:p>
    <w:p w14:paraId="66856AF2" w14:textId="77777777" w:rsidR="006200F9" w:rsidRPr="00BD14D2" w:rsidRDefault="006200F9" w:rsidP="008B1642">
      <w:pPr>
        <w:jc w:val="both"/>
      </w:pPr>
    </w:p>
    <w:p w14:paraId="2764B675" w14:textId="77777777" w:rsidR="006200F9" w:rsidRPr="00BD14D2" w:rsidRDefault="006200F9" w:rsidP="008B1642">
      <w:pPr>
        <w:jc w:val="both"/>
      </w:pPr>
    </w:p>
    <w:p w14:paraId="5DB87999" w14:textId="77777777" w:rsidR="006200F9" w:rsidRPr="00BD14D2" w:rsidRDefault="006200F9" w:rsidP="008B1642">
      <w:pPr>
        <w:jc w:val="both"/>
      </w:pPr>
    </w:p>
    <w:p w14:paraId="091DCD49" w14:textId="77777777" w:rsidR="0097353E" w:rsidRPr="00BD14D2" w:rsidRDefault="0097353E" w:rsidP="008B1642">
      <w:pPr>
        <w:jc w:val="both"/>
      </w:pPr>
    </w:p>
    <w:p w14:paraId="57590FCF" w14:textId="77777777" w:rsidR="006B7767" w:rsidRPr="00BD14D2" w:rsidRDefault="006B7767" w:rsidP="008B1642">
      <w:pPr>
        <w:jc w:val="both"/>
      </w:pPr>
    </w:p>
    <w:p w14:paraId="0EC04B13" w14:textId="77777777" w:rsidR="006B7767" w:rsidRPr="00BD14D2" w:rsidRDefault="006B7767" w:rsidP="008B1642">
      <w:pPr>
        <w:jc w:val="both"/>
      </w:pPr>
    </w:p>
    <w:p w14:paraId="020CC756" w14:textId="77777777" w:rsidR="006B7767" w:rsidRPr="00BD14D2" w:rsidRDefault="006B7767" w:rsidP="008B1642">
      <w:pPr>
        <w:jc w:val="both"/>
      </w:pPr>
    </w:p>
    <w:sdt>
      <w:sdtPr>
        <w:rPr>
          <w:rFonts w:ascii="Arial" w:eastAsia="Arial" w:hAnsi="Arial" w:cs="Arial"/>
          <w:b/>
          <w:color w:val="auto"/>
          <w:sz w:val="24"/>
          <w:szCs w:val="24"/>
          <w:lang w:val="en-GB" w:eastAsia="en-GB"/>
        </w:rPr>
        <w:id w:val="-1777851819"/>
        <w:docPartObj>
          <w:docPartGallery w:val="Table of Contents"/>
          <w:docPartUnique/>
        </w:docPartObj>
      </w:sdtPr>
      <w:sdtEndPr>
        <w:rPr>
          <w:bCs/>
          <w:noProof/>
        </w:rPr>
      </w:sdtEndPr>
      <w:sdtContent>
        <w:p w14:paraId="3F5DB063" w14:textId="5B0DF0EE" w:rsidR="00CC69AD" w:rsidRPr="00CC69AD" w:rsidRDefault="00F53E46" w:rsidP="00CC69AD">
          <w:pPr>
            <w:pStyle w:val="TOCHeading"/>
            <w:jc w:val="both"/>
            <w:rPr>
              <w:noProof/>
            </w:rPr>
          </w:pPr>
          <w:r w:rsidRPr="00BD14D2">
            <w:rPr>
              <w:rFonts w:ascii="Arial" w:eastAsia="Arial" w:hAnsi="Arial" w:cs="Arial"/>
              <w:color w:val="auto"/>
              <w:lang w:val="en-GB" w:eastAsia="en-GB"/>
            </w:rPr>
            <w:t>Table of Contents</w:t>
          </w:r>
          <w:r w:rsidR="00D9332A" w:rsidRPr="00BD14D2">
            <w:fldChar w:fldCharType="begin"/>
          </w:r>
          <w:r w:rsidR="00D9332A" w:rsidRPr="00BD14D2">
            <w:instrText xml:space="preserve"> TOC \o "1-3" \h \z \u </w:instrText>
          </w:r>
          <w:r w:rsidR="00D9332A" w:rsidRPr="00BD14D2">
            <w:fldChar w:fldCharType="separate"/>
          </w:r>
        </w:p>
        <w:p w14:paraId="08449205" w14:textId="0735625D"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192" w:history="1">
            <w:r w:rsidRPr="00FA347C">
              <w:rPr>
                <w:rStyle w:val="Hyperlink"/>
                <w:noProof/>
              </w:rPr>
              <w:t>List of Figures</w:t>
            </w:r>
            <w:r>
              <w:rPr>
                <w:noProof/>
                <w:webHidden/>
              </w:rPr>
              <w:tab/>
            </w:r>
            <w:r>
              <w:rPr>
                <w:noProof/>
                <w:webHidden/>
              </w:rPr>
              <w:fldChar w:fldCharType="begin"/>
            </w:r>
            <w:r>
              <w:rPr>
                <w:noProof/>
                <w:webHidden/>
              </w:rPr>
              <w:instrText xml:space="preserve"> PAGEREF _Toc228791192 \h </w:instrText>
            </w:r>
            <w:r>
              <w:rPr>
                <w:noProof/>
                <w:webHidden/>
              </w:rPr>
            </w:r>
            <w:r>
              <w:rPr>
                <w:noProof/>
                <w:webHidden/>
              </w:rPr>
              <w:fldChar w:fldCharType="separate"/>
            </w:r>
            <w:r>
              <w:rPr>
                <w:noProof/>
                <w:webHidden/>
              </w:rPr>
              <w:t>8</w:t>
            </w:r>
            <w:r>
              <w:rPr>
                <w:noProof/>
                <w:webHidden/>
              </w:rPr>
              <w:fldChar w:fldCharType="end"/>
            </w:r>
          </w:hyperlink>
        </w:p>
        <w:p w14:paraId="49A28B4E" w14:textId="19A154D9"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193" w:history="1">
            <w:r w:rsidRPr="00FA347C">
              <w:rPr>
                <w:rStyle w:val="Hyperlink"/>
                <w:noProof/>
              </w:rPr>
              <w:t>List of Abbreviations</w:t>
            </w:r>
            <w:r>
              <w:rPr>
                <w:noProof/>
                <w:webHidden/>
              </w:rPr>
              <w:tab/>
            </w:r>
            <w:r>
              <w:rPr>
                <w:noProof/>
                <w:webHidden/>
              </w:rPr>
              <w:fldChar w:fldCharType="begin"/>
            </w:r>
            <w:r>
              <w:rPr>
                <w:noProof/>
                <w:webHidden/>
              </w:rPr>
              <w:instrText xml:space="preserve"> PAGEREF _Toc228791193 \h </w:instrText>
            </w:r>
            <w:r>
              <w:rPr>
                <w:noProof/>
                <w:webHidden/>
              </w:rPr>
            </w:r>
            <w:r>
              <w:rPr>
                <w:noProof/>
                <w:webHidden/>
              </w:rPr>
              <w:fldChar w:fldCharType="separate"/>
            </w:r>
            <w:r>
              <w:rPr>
                <w:noProof/>
                <w:webHidden/>
              </w:rPr>
              <w:t>9</w:t>
            </w:r>
            <w:r>
              <w:rPr>
                <w:noProof/>
                <w:webHidden/>
              </w:rPr>
              <w:fldChar w:fldCharType="end"/>
            </w:r>
          </w:hyperlink>
        </w:p>
        <w:p w14:paraId="7BC6FFBB" w14:textId="1ABDEF42"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194" w:history="1">
            <w:r w:rsidRPr="00FA347C">
              <w:rPr>
                <w:rStyle w:val="Hyperlink"/>
                <w:noProof/>
              </w:rPr>
              <w:t>CHAPTER 1: INTRODUCTION</w:t>
            </w:r>
            <w:r>
              <w:rPr>
                <w:noProof/>
                <w:webHidden/>
              </w:rPr>
              <w:tab/>
            </w:r>
            <w:r>
              <w:rPr>
                <w:noProof/>
                <w:webHidden/>
              </w:rPr>
              <w:fldChar w:fldCharType="begin"/>
            </w:r>
            <w:r>
              <w:rPr>
                <w:noProof/>
                <w:webHidden/>
              </w:rPr>
              <w:instrText xml:space="preserve"> PAGEREF _Toc228791194 \h </w:instrText>
            </w:r>
            <w:r>
              <w:rPr>
                <w:noProof/>
                <w:webHidden/>
              </w:rPr>
            </w:r>
            <w:r>
              <w:rPr>
                <w:noProof/>
                <w:webHidden/>
              </w:rPr>
              <w:fldChar w:fldCharType="separate"/>
            </w:r>
            <w:r>
              <w:rPr>
                <w:noProof/>
                <w:webHidden/>
              </w:rPr>
              <w:t>10</w:t>
            </w:r>
            <w:r>
              <w:rPr>
                <w:noProof/>
                <w:webHidden/>
              </w:rPr>
              <w:fldChar w:fldCharType="end"/>
            </w:r>
          </w:hyperlink>
        </w:p>
        <w:p w14:paraId="1C4DA551" w14:textId="57398B56" w:rsidR="00CC69AD" w:rsidRDefault="00CC69AD">
          <w:pPr>
            <w:pStyle w:val="TOC2"/>
            <w:rPr>
              <w:rFonts w:asciiTheme="minorHAnsi" w:eastAsiaTheme="minorEastAsia" w:hAnsiTheme="minorHAnsi" w:cstheme="minorBidi"/>
              <w:noProof/>
              <w:kern w:val="2"/>
              <w14:ligatures w14:val="standardContextual"/>
            </w:rPr>
          </w:pPr>
          <w:hyperlink w:anchor="_Toc228791195" w:history="1">
            <w:r w:rsidRPr="00FA347C">
              <w:rPr>
                <w:rStyle w:val="Hyperlink"/>
                <w:noProof/>
              </w:rPr>
              <w:t>1.1 Background and Problem Statement</w:t>
            </w:r>
            <w:r>
              <w:rPr>
                <w:noProof/>
                <w:webHidden/>
              </w:rPr>
              <w:tab/>
            </w:r>
            <w:r>
              <w:rPr>
                <w:noProof/>
                <w:webHidden/>
              </w:rPr>
              <w:fldChar w:fldCharType="begin"/>
            </w:r>
            <w:r>
              <w:rPr>
                <w:noProof/>
                <w:webHidden/>
              </w:rPr>
              <w:instrText xml:space="preserve"> PAGEREF _Toc228791195 \h </w:instrText>
            </w:r>
            <w:r>
              <w:rPr>
                <w:noProof/>
                <w:webHidden/>
              </w:rPr>
            </w:r>
            <w:r>
              <w:rPr>
                <w:noProof/>
                <w:webHidden/>
              </w:rPr>
              <w:fldChar w:fldCharType="separate"/>
            </w:r>
            <w:r>
              <w:rPr>
                <w:noProof/>
                <w:webHidden/>
              </w:rPr>
              <w:t>10</w:t>
            </w:r>
            <w:r>
              <w:rPr>
                <w:noProof/>
                <w:webHidden/>
              </w:rPr>
              <w:fldChar w:fldCharType="end"/>
            </w:r>
          </w:hyperlink>
        </w:p>
        <w:p w14:paraId="69CBDBFB" w14:textId="73EB5049" w:rsidR="00CC69AD" w:rsidRDefault="00CC69AD">
          <w:pPr>
            <w:pStyle w:val="TOC2"/>
            <w:rPr>
              <w:rFonts w:asciiTheme="minorHAnsi" w:eastAsiaTheme="minorEastAsia" w:hAnsiTheme="minorHAnsi" w:cstheme="minorBidi"/>
              <w:noProof/>
              <w:kern w:val="2"/>
              <w14:ligatures w14:val="standardContextual"/>
            </w:rPr>
          </w:pPr>
          <w:hyperlink w:anchor="_Toc228791196" w:history="1">
            <w:r w:rsidRPr="00FA347C">
              <w:rPr>
                <w:rStyle w:val="Hyperlink"/>
                <w:noProof/>
              </w:rPr>
              <w:t>1.2 Research Aim</w:t>
            </w:r>
            <w:r>
              <w:rPr>
                <w:noProof/>
                <w:webHidden/>
              </w:rPr>
              <w:tab/>
            </w:r>
            <w:r>
              <w:rPr>
                <w:noProof/>
                <w:webHidden/>
              </w:rPr>
              <w:fldChar w:fldCharType="begin"/>
            </w:r>
            <w:r>
              <w:rPr>
                <w:noProof/>
                <w:webHidden/>
              </w:rPr>
              <w:instrText xml:space="preserve"> PAGEREF _Toc228791196 \h </w:instrText>
            </w:r>
            <w:r>
              <w:rPr>
                <w:noProof/>
                <w:webHidden/>
              </w:rPr>
            </w:r>
            <w:r>
              <w:rPr>
                <w:noProof/>
                <w:webHidden/>
              </w:rPr>
              <w:fldChar w:fldCharType="separate"/>
            </w:r>
            <w:r>
              <w:rPr>
                <w:noProof/>
                <w:webHidden/>
              </w:rPr>
              <w:t>13</w:t>
            </w:r>
            <w:r>
              <w:rPr>
                <w:noProof/>
                <w:webHidden/>
              </w:rPr>
              <w:fldChar w:fldCharType="end"/>
            </w:r>
          </w:hyperlink>
        </w:p>
        <w:p w14:paraId="4CC317EE" w14:textId="6F6EDDD0" w:rsidR="00CC69AD" w:rsidRDefault="00CC69AD">
          <w:pPr>
            <w:pStyle w:val="TOC2"/>
            <w:rPr>
              <w:rFonts w:asciiTheme="minorHAnsi" w:eastAsiaTheme="minorEastAsia" w:hAnsiTheme="minorHAnsi" w:cstheme="minorBidi"/>
              <w:noProof/>
              <w:kern w:val="2"/>
              <w14:ligatures w14:val="standardContextual"/>
            </w:rPr>
          </w:pPr>
          <w:hyperlink w:anchor="_Toc228791197" w:history="1">
            <w:r w:rsidRPr="00FA347C">
              <w:rPr>
                <w:rStyle w:val="Hyperlink"/>
                <w:noProof/>
              </w:rPr>
              <w:t>1.3 Research Objectives</w:t>
            </w:r>
            <w:r>
              <w:rPr>
                <w:noProof/>
                <w:webHidden/>
              </w:rPr>
              <w:tab/>
            </w:r>
            <w:r>
              <w:rPr>
                <w:noProof/>
                <w:webHidden/>
              </w:rPr>
              <w:fldChar w:fldCharType="begin"/>
            </w:r>
            <w:r>
              <w:rPr>
                <w:noProof/>
                <w:webHidden/>
              </w:rPr>
              <w:instrText xml:space="preserve"> PAGEREF _Toc228791197 \h </w:instrText>
            </w:r>
            <w:r>
              <w:rPr>
                <w:noProof/>
                <w:webHidden/>
              </w:rPr>
            </w:r>
            <w:r>
              <w:rPr>
                <w:noProof/>
                <w:webHidden/>
              </w:rPr>
              <w:fldChar w:fldCharType="separate"/>
            </w:r>
            <w:r>
              <w:rPr>
                <w:noProof/>
                <w:webHidden/>
              </w:rPr>
              <w:t>13</w:t>
            </w:r>
            <w:r>
              <w:rPr>
                <w:noProof/>
                <w:webHidden/>
              </w:rPr>
              <w:fldChar w:fldCharType="end"/>
            </w:r>
          </w:hyperlink>
        </w:p>
        <w:p w14:paraId="7379E6F1" w14:textId="43986BD8" w:rsidR="00CC69AD" w:rsidRDefault="00CC69AD">
          <w:pPr>
            <w:pStyle w:val="TOC2"/>
            <w:rPr>
              <w:rFonts w:asciiTheme="minorHAnsi" w:eastAsiaTheme="minorEastAsia" w:hAnsiTheme="minorHAnsi" w:cstheme="minorBidi"/>
              <w:noProof/>
              <w:kern w:val="2"/>
              <w14:ligatures w14:val="standardContextual"/>
            </w:rPr>
          </w:pPr>
          <w:hyperlink w:anchor="_Toc228791198" w:history="1">
            <w:r w:rsidRPr="00FA347C">
              <w:rPr>
                <w:rStyle w:val="Hyperlink"/>
                <w:noProof/>
              </w:rPr>
              <w:t>1.4 Research Questions</w:t>
            </w:r>
            <w:r>
              <w:rPr>
                <w:noProof/>
                <w:webHidden/>
              </w:rPr>
              <w:tab/>
            </w:r>
            <w:r>
              <w:rPr>
                <w:noProof/>
                <w:webHidden/>
              </w:rPr>
              <w:fldChar w:fldCharType="begin"/>
            </w:r>
            <w:r>
              <w:rPr>
                <w:noProof/>
                <w:webHidden/>
              </w:rPr>
              <w:instrText xml:space="preserve"> PAGEREF _Toc228791198 \h </w:instrText>
            </w:r>
            <w:r>
              <w:rPr>
                <w:noProof/>
                <w:webHidden/>
              </w:rPr>
            </w:r>
            <w:r>
              <w:rPr>
                <w:noProof/>
                <w:webHidden/>
              </w:rPr>
              <w:fldChar w:fldCharType="separate"/>
            </w:r>
            <w:r>
              <w:rPr>
                <w:noProof/>
                <w:webHidden/>
              </w:rPr>
              <w:t>13</w:t>
            </w:r>
            <w:r>
              <w:rPr>
                <w:noProof/>
                <w:webHidden/>
              </w:rPr>
              <w:fldChar w:fldCharType="end"/>
            </w:r>
          </w:hyperlink>
        </w:p>
        <w:p w14:paraId="269D9175" w14:textId="1DEBB59C" w:rsidR="00CC69AD" w:rsidRDefault="00CC69AD">
          <w:pPr>
            <w:pStyle w:val="TOC2"/>
            <w:rPr>
              <w:rFonts w:asciiTheme="minorHAnsi" w:eastAsiaTheme="minorEastAsia" w:hAnsiTheme="minorHAnsi" w:cstheme="minorBidi"/>
              <w:noProof/>
              <w:kern w:val="2"/>
              <w14:ligatures w14:val="standardContextual"/>
            </w:rPr>
          </w:pPr>
          <w:hyperlink w:anchor="_Toc228791199" w:history="1">
            <w:r w:rsidRPr="00FA347C">
              <w:rPr>
                <w:rStyle w:val="Hyperlink"/>
                <w:noProof/>
              </w:rPr>
              <w:t>1.5 Significance and Relevance of the Study</w:t>
            </w:r>
            <w:r>
              <w:rPr>
                <w:noProof/>
                <w:webHidden/>
              </w:rPr>
              <w:tab/>
            </w:r>
            <w:r>
              <w:rPr>
                <w:noProof/>
                <w:webHidden/>
              </w:rPr>
              <w:fldChar w:fldCharType="begin"/>
            </w:r>
            <w:r>
              <w:rPr>
                <w:noProof/>
                <w:webHidden/>
              </w:rPr>
              <w:instrText xml:space="preserve"> PAGEREF _Toc228791199 \h </w:instrText>
            </w:r>
            <w:r>
              <w:rPr>
                <w:noProof/>
                <w:webHidden/>
              </w:rPr>
            </w:r>
            <w:r>
              <w:rPr>
                <w:noProof/>
                <w:webHidden/>
              </w:rPr>
              <w:fldChar w:fldCharType="separate"/>
            </w:r>
            <w:r>
              <w:rPr>
                <w:noProof/>
                <w:webHidden/>
              </w:rPr>
              <w:t>14</w:t>
            </w:r>
            <w:r>
              <w:rPr>
                <w:noProof/>
                <w:webHidden/>
              </w:rPr>
              <w:fldChar w:fldCharType="end"/>
            </w:r>
          </w:hyperlink>
        </w:p>
        <w:p w14:paraId="05E1EA2F" w14:textId="609E3B8D" w:rsidR="00CC69AD" w:rsidRDefault="00CC69AD">
          <w:pPr>
            <w:pStyle w:val="TOC2"/>
            <w:rPr>
              <w:rFonts w:asciiTheme="minorHAnsi" w:eastAsiaTheme="minorEastAsia" w:hAnsiTheme="minorHAnsi" w:cstheme="minorBidi"/>
              <w:noProof/>
              <w:kern w:val="2"/>
              <w14:ligatures w14:val="standardContextual"/>
            </w:rPr>
          </w:pPr>
          <w:hyperlink w:anchor="_Toc228791200" w:history="1">
            <w:r w:rsidRPr="00FA347C">
              <w:rPr>
                <w:rStyle w:val="Hyperlink"/>
                <w:noProof/>
              </w:rPr>
              <w:t>1.6 Brief Overview of Research Methodology</w:t>
            </w:r>
            <w:r>
              <w:rPr>
                <w:noProof/>
                <w:webHidden/>
              </w:rPr>
              <w:tab/>
            </w:r>
            <w:r>
              <w:rPr>
                <w:noProof/>
                <w:webHidden/>
              </w:rPr>
              <w:fldChar w:fldCharType="begin"/>
            </w:r>
            <w:r>
              <w:rPr>
                <w:noProof/>
                <w:webHidden/>
              </w:rPr>
              <w:instrText xml:space="preserve"> PAGEREF _Toc228791200 \h </w:instrText>
            </w:r>
            <w:r>
              <w:rPr>
                <w:noProof/>
                <w:webHidden/>
              </w:rPr>
            </w:r>
            <w:r>
              <w:rPr>
                <w:noProof/>
                <w:webHidden/>
              </w:rPr>
              <w:fldChar w:fldCharType="separate"/>
            </w:r>
            <w:r>
              <w:rPr>
                <w:noProof/>
                <w:webHidden/>
              </w:rPr>
              <w:t>15</w:t>
            </w:r>
            <w:r>
              <w:rPr>
                <w:noProof/>
                <w:webHidden/>
              </w:rPr>
              <w:fldChar w:fldCharType="end"/>
            </w:r>
          </w:hyperlink>
        </w:p>
        <w:p w14:paraId="46E1B4C9" w14:textId="37C79334" w:rsidR="00CC69AD" w:rsidRDefault="00CC69AD">
          <w:pPr>
            <w:pStyle w:val="TOC2"/>
            <w:rPr>
              <w:rFonts w:asciiTheme="minorHAnsi" w:eastAsiaTheme="minorEastAsia" w:hAnsiTheme="minorHAnsi" w:cstheme="minorBidi"/>
              <w:noProof/>
              <w:kern w:val="2"/>
              <w14:ligatures w14:val="standardContextual"/>
            </w:rPr>
          </w:pPr>
          <w:hyperlink w:anchor="_Toc228791201" w:history="1">
            <w:r w:rsidRPr="00FA347C">
              <w:rPr>
                <w:rStyle w:val="Hyperlink"/>
                <w:noProof/>
              </w:rPr>
              <w:t>1.7 Structure of the Dissertation</w:t>
            </w:r>
            <w:r>
              <w:rPr>
                <w:noProof/>
                <w:webHidden/>
              </w:rPr>
              <w:tab/>
            </w:r>
            <w:r>
              <w:rPr>
                <w:noProof/>
                <w:webHidden/>
              </w:rPr>
              <w:fldChar w:fldCharType="begin"/>
            </w:r>
            <w:r>
              <w:rPr>
                <w:noProof/>
                <w:webHidden/>
              </w:rPr>
              <w:instrText xml:space="preserve"> PAGEREF _Toc228791201 \h </w:instrText>
            </w:r>
            <w:r>
              <w:rPr>
                <w:noProof/>
                <w:webHidden/>
              </w:rPr>
            </w:r>
            <w:r>
              <w:rPr>
                <w:noProof/>
                <w:webHidden/>
              </w:rPr>
              <w:fldChar w:fldCharType="separate"/>
            </w:r>
            <w:r>
              <w:rPr>
                <w:noProof/>
                <w:webHidden/>
              </w:rPr>
              <w:t>16</w:t>
            </w:r>
            <w:r>
              <w:rPr>
                <w:noProof/>
                <w:webHidden/>
              </w:rPr>
              <w:fldChar w:fldCharType="end"/>
            </w:r>
          </w:hyperlink>
        </w:p>
        <w:p w14:paraId="5BE16733" w14:textId="535389EE" w:rsidR="00CC69AD" w:rsidRDefault="00CC69AD">
          <w:pPr>
            <w:pStyle w:val="TOC2"/>
            <w:rPr>
              <w:rFonts w:asciiTheme="minorHAnsi" w:eastAsiaTheme="minorEastAsia" w:hAnsiTheme="minorHAnsi" w:cstheme="minorBidi"/>
              <w:noProof/>
              <w:kern w:val="2"/>
              <w14:ligatures w14:val="standardContextual"/>
            </w:rPr>
          </w:pPr>
          <w:hyperlink w:anchor="_Toc228791202" w:history="1">
            <w:r w:rsidRPr="00FA347C">
              <w:rPr>
                <w:rStyle w:val="Hyperlink"/>
                <w:noProof/>
              </w:rPr>
              <w:t>1.8 Conclusion of the Chapter</w:t>
            </w:r>
            <w:r>
              <w:rPr>
                <w:noProof/>
                <w:webHidden/>
              </w:rPr>
              <w:tab/>
            </w:r>
            <w:r>
              <w:rPr>
                <w:noProof/>
                <w:webHidden/>
              </w:rPr>
              <w:fldChar w:fldCharType="begin"/>
            </w:r>
            <w:r>
              <w:rPr>
                <w:noProof/>
                <w:webHidden/>
              </w:rPr>
              <w:instrText xml:space="preserve"> PAGEREF _Toc228791202 \h </w:instrText>
            </w:r>
            <w:r>
              <w:rPr>
                <w:noProof/>
                <w:webHidden/>
              </w:rPr>
            </w:r>
            <w:r>
              <w:rPr>
                <w:noProof/>
                <w:webHidden/>
              </w:rPr>
              <w:fldChar w:fldCharType="separate"/>
            </w:r>
            <w:r>
              <w:rPr>
                <w:noProof/>
                <w:webHidden/>
              </w:rPr>
              <w:t>16</w:t>
            </w:r>
            <w:r>
              <w:rPr>
                <w:noProof/>
                <w:webHidden/>
              </w:rPr>
              <w:fldChar w:fldCharType="end"/>
            </w:r>
          </w:hyperlink>
        </w:p>
        <w:p w14:paraId="7140E3BE" w14:textId="01B24221"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203" w:history="1">
            <w:r w:rsidRPr="00FA347C">
              <w:rPr>
                <w:rStyle w:val="Hyperlink"/>
                <w:noProof/>
              </w:rPr>
              <w:t>CHAPTER 2: LITERATURE REVIEW</w:t>
            </w:r>
            <w:r>
              <w:rPr>
                <w:noProof/>
                <w:webHidden/>
              </w:rPr>
              <w:tab/>
            </w:r>
            <w:r>
              <w:rPr>
                <w:noProof/>
                <w:webHidden/>
              </w:rPr>
              <w:fldChar w:fldCharType="begin"/>
            </w:r>
            <w:r>
              <w:rPr>
                <w:noProof/>
                <w:webHidden/>
              </w:rPr>
              <w:instrText xml:space="preserve"> PAGEREF _Toc228791203 \h </w:instrText>
            </w:r>
            <w:r>
              <w:rPr>
                <w:noProof/>
                <w:webHidden/>
              </w:rPr>
            </w:r>
            <w:r>
              <w:rPr>
                <w:noProof/>
                <w:webHidden/>
              </w:rPr>
              <w:fldChar w:fldCharType="separate"/>
            </w:r>
            <w:r>
              <w:rPr>
                <w:noProof/>
                <w:webHidden/>
              </w:rPr>
              <w:t>17</w:t>
            </w:r>
            <w:r>
              <w:rPr>
                <w:noProof/>
                <w:webHidden/>
              </w:rPr>
              <w:fldChar w:fldCharType="end"/>
            </w:r>
          </w:hyperlink>
        </w:p>
        <w:p w14:paraId="616DF685" w14:textId="3A9EC1F6" w:rsidR="00CC69AD" w:rsidRDefault="00CC69AD">
          <w:pPr>
            <w:pStyle w:val="TOC2"/>
            <w:rPr>
              <w:rFonts w:asciiTheme="minorHAnsi" w:eastAsiaTheme="minorEastAsia" w:hAnsiTheme="minorHAnsi" w:cstheme="minorBidi"/>
              <w:noProof/>
              <w:kern w:val="2"/>
              <w14:ligatures w14:val="standardContextual"/>
            </w:rPr>
          </w:pPr>
          <w:hyperlink w:anchor="_Toc228791204" w:history="1">
            <w:r w:rsidRPr="00FA347C">
              <w:rPr>
                <w:rStyle w:val="Hyperlink"/>
                <w:noProof/>
              </w:rPr>
              <w:t>2.1 Introduction</w:t>
            </w:r>
            <w:r>
              <w:rPr>
                <w:noProof/>
                <w:webHidden/>
              </w:rPr>
              <w:tab/>
            </w:r>
            <w:r>
              <w:rPr>
                <w:noProof/>
                <w:webHidden/>
              </w:rPr>
              <w:fldChar w:fldCharType="begin"/>
            </w:r>
            <w:r>
              <w:rPr>
                <w:noProof/>
                <w:webHidden/>
              </w:rPr>
              <w:instrText xml:space="preserve"> PAGEREF _Toc228791204 \h </w:instrText>
            </w:r>
            <w:r>
              <w:rPr>
                <w:noProof/>
                <w:webHidden/>
              </w:rPr>
            </w:r>
            <w:r>
              <w:rPr>
                <w:noProof/>
                <w:webHidden/>
              </w:rPr>
              <w:fldChar w:fldCharType="separate"/>
            </w:r>
            <w:r>
              <w:rPr>
                <w:noProof/>
                <w:webHidden/>
              </w:rPr>
              <w:t>17</w:t>
            </w:r>
            <w:r>
              <w:rPr>
                <w:noProof/>
                <w:webHidden/>
              </w:rPr>
              <w:fldChar w:fldCharType="end"/>
            </w:r>
          </w:hyperlink>
        </w:p>
        <w:p w14:paraId="529727F4" w14:textId="14F58382" w:rsidR="00CC69AD" w:rsidRDefault="00CC69AD">
          <w:pPr>
            <w:pStyle w:val="TOC2"/>
            <w:rPr>
              <w:rFonts w:asciiTheme="minorHAnsi" w:eastAsiaTheme="minorEastAsia" w:hAnsiTheme="minorHAnsi" w:cstheme="minorBidi"/>
              <w:noProof/>
              <w:kern w:val="2"/>
              <w14:ligatures w14:val="standardContextual"/>
            </w:rPr>
          </w:pPr>
          <w:hyperlink w:anchor="_Toc228791205" w:history="1">
            <w:r w:rsidRPr="00FA347C">
              <w:rPr>
                <w:rStyle w:val="Hyperlink"/>
                <w:noProof/>
              </w:rPr>
              <w:t>2.2 Brand Loyalty: Theoretical and Conceptual Foundations</w:t>
            </w:r>
            <w:r>
              <w:rPr>
                <w:noProof/>
                <w:webHidden/>
              </w:rPr>
              <w:tab/>
            </w:r>
            <w:r>
              <w:rPr>
                <w:noProof/>
                <w:webHidden/>
              </w:rPr>
              <w:fldChar w:fldCharType="begin"/>
            </w:r>
            <w:r>
              <w:rPr>
                <w:noProof/>
                <w:webHidden/>
              </w:rPr>
              <w:instrText xml:space="preserve"> PAGEREF _Toc228791205 \h </w:instrText>
            </w:r>
            <w:r>
              <w:rPr>
                <w:noProof/>
                <w:webHidden/>
              </w:rPr>
            </w:r>
            <w:r>
              <w:rPr>
                <w:noProof/>
                <w:webHidden/>
              </w:rPr>
              <w:fldChar w:fldCharType="separate"/>
            </w:r>
            <w:r>
              <w:rPr>
                <w:noProof/>
                <w:webHidden/>
              </w:rPr>
              <w:t>18</w:t>
            </w:r>
            <w:r>
              <w:rPr>
                <w:noProof/>
                <w:webHidden/>
              </w:rPr>
              <w:fldChar w:fldCharType="end"/>
            </w:r>
          </w:hyperlink>
        </w:p>
        <w:p w14:paraId="0BE49B1A" w14:textId="345A6BB2"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06" w:history="1">
            <w:r w:rsidRPr="00FA347C">
              <w:rPr>
                <w:rStyle w:val="Hyperlink"/>
                <w:noProof/>
              </w:rPr>
              <w:t>2.2.1 Defining Brand Loyalty</w:t>
            </w:r>
            <w:r>
              <w:rPr>
                <w:noProof/>
                <w:webHidden/>
              </w:rPr>
              <w:tab/>
            </w:r>
            <w:r>
              <w:rPr>
                <w:noProof/>
                <w:webHidden/>
              </w:rPr>
              <w:fldChar w:fldCharType="begin"/>
            </w:r>
            <w:r>
              <w:rPr>
                <w:noProof/>
                <w:webHidden/>
              </w:rPr>
              <w:instrText xml:space="preserve"> PAGEREF _Toc228791206 \h </w:instrText>
            </w:r>
            <w:r>
              <w:rPr>
                <w:noProof/>
                <w:webHidden/>
              </w:rPr>
            </w:r>
            <w:r>
              <w:rPr>
                <w:noProof/>
                <w:webHidden/>
              </w:rPr>
              <w:fldChar w:fldCharType="separate"/>
            </w:r>
            <w:r>
              <w:rPr>
                <w:noProof/>
                <w:webHidden/>
              </w:rPr>
              <w:t>18</w:t>
            </w:r>
            <w:r>
              <w:rPr>
                <w:noProof/>
                <w:webHidden/>
              </w:rPr>
              <w:fldChar w:fldCharType="end"/>
            </w:r>
          </w:hyperlink>
        </w:p>
        <w:p w14:paraId="5C1EF7A8" w14:textId="0648E3F4"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07" w:history="1">
            <w:r w:rsidRPr="00FA347C">
              <w:rPr>
                <w:rStyle w:val="Hyperlink"/>
                <w:noProof/>
              </w:rPr>
              <w:t>2.2.2 The Brand Equity Framework</w:t>
            </w:r>
            <w:r>
              <w:rPr>
                <w:noProof/>
                <w:webHidden/>
              </w:rPr>
              <w:tab/>
            </w:r>
            <w:r>
              <w:rPr>
                <w:noProof/>
                <w:webHidden/>
              </w:rPr>
              <w:fldChar w:fldCharType="begin"/>
            </w:r>
            <w:r>
              <w:rPr>
                <w:noProof/>
                <w:webHidden/>
              </w:rPr>
              <w:instrText xml:space="preserve"> PAGEREF _Toc228791207 \h </w:instrText>
            </w:r>
            <w:r>
              <w:rPr>
                <w:noProof/>
                <w:webHidden/>
              </w:rPr>
            </w:r>
            <w:r>
              <w:rPr>
                <w:noProof/>
                <w:webHidden/>
              </w:rPr>
              <w:fldChar w:fldCharType="separate"/>
            </w:r>
            <w:r>
              <w:rPr>
                <w:noProof/>
                <w:webHidden/>
              </w:rPr>
              <w:t>19</w:t>
            </w:r>
            <w:r>
              <w:rPr>
                <w:noProof/>
                <w:webHidden/>
              </w:rPr>
              <w:fldChar w:fldCharType="end"/>
            </w:r>
          </w:hyperlink>
        </w:p>
        <w:p w14:paraId="2B0FBF40" w14:textId="699AEBA7"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08" w:history="1">
            <w:r w:rsidRPr="00FA347C">
              <w:rPr>
                <w:rStyle w:val="Hyperlink"/>
                <w:noProof/>
              </w:rPr>
              <w:t>2.2.3 The Role of Emotional Bonding and Identity</w:t>
            </w:r>
            <w:r>
              <w:rPr>
                <w:noProof/>
                <w:webHidden/>
              </w:rPr>
              <w:tab/>
            </w:r>
            <w:r>
              <w:rPr>
                <w:noProof/>
                <w:webHidden/>
              </w:rPr>
              <w:fldChar w:fldCharType="begin"/>
            </w:r>
            <w:r>
              <w:rPr>
                <w:noProof/>
                <w:webHidden/>
              </w:rPr>
              <w:instrText xml:space="preserve"> PAGEREF _Toc228791208 \h </w:instrText>
            </w:r>
            <w:r>
              <w:rPr>
                <w:noProof/>
                <w:webHidden/>
              </w:rPr>
            </w:r>
            <w:r>
              <w:rPr>
                <w:noProof/>
                <w:webHidden/>
              </w:rPr>
              <w:fldChar w:fldCharType="separate"/>
            </w:r>
            <w:r>
              <w:rPr>
                <w:noProof/>
                <w:webHidden/>
              </w:rPr>
              <w:t>19</w:t>
            </w:r>
            <w:r>
              <w:rPr>
                <w:noProof/>
                <w:webHidden/>
              </w:rPr>
              <w:fldChar w:fldCharType="end"/>
            </w:r>
          </w:hyperlink>
        </w:p>
        <w:p w14:paraId="1628BE36" w14:textId="38D3926A" w:rsidR="00CC69AD" w:rsidRDefault="00CC69AD">
          <w:pPr>
            <w:pStyle w:val="TOC2"/>
            <w:rPr>
              <w:rFonts w:asciiTheme="minorHAnsi" w:eastAsiaTheme="minorEastAsia" w:hAnsiTheme="minorHAnsi" w:cstheme="minorBidi"/>
              <w:noProof/>
              <w:kern w:val="2"/>
              <w14:ligatures w14:val="standardContextual"/>
            </w:rPr>
          </w:pPr>
          <w:hyperlink w:anchor="_Toc228791209" w:history="1">
            <w:r w:rsidRPr="00FA347C">
              <w:rPr>
                <w:rStyle w:val="Hyperlink"/>
                <w:noProof/>
              </w:rPr>
              <w:t>2.3 Branding and Customer Loyalty in the European Automotive Industry</w:t>
            </w:r>
            <w:r>
              <w:rPr>
                <w:noProof/>
                <w:webHidden/>
              </w:rPr>
              <w:tab/>
            </w:r>
            <w:r>
              <w:rPr>
                <w:noProof/>
                <w:webHidden/>
              </w:rPr>
              <w:fldChar w:fldCharType="begin"/>
            </w:r>
            <w:r>
              <w:rPr>
                <w:noProof/>
                <w:webHidden/>
              </w:rPr>
              <w:instrText xml:space="preserve"> PAGEREF _Toc228791209 \h </w:instrText>
            </w:r>
            <w:r>
              <w:rPr>
                <w:noProof/>
                <w:webHidden/>
              </w:rPr>
            </w:r>
            <w:r>
              <w:rPr>
                <w:noProof/>
                <w:webHidden/>
              </w:rPr>
              <w:fldChar w:fldCharType="separate"/>
            </w:r>
            <w:r>
              <w:rPr>
                <w:noProof/>
                <w:webHidden/>
              </w:rPr>
              <w:t>20</w:t>
            </w:r>
            <w:r>
              <w:rPr>
                <w:noProof/>
                <w:webHidden/>
              </w:rPr>
              <w:fldChar w:fldCharType="end"/>
            </w:r>
          </w:hyperlink>
        </w:p>
        <w:p w14:paraId="3415EDCB" w14:textId="747A371C"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10" w:history="1">
            <w:r w:rsidRPr="00FA347C">
              <w:rPr>
                <w:rStyle w:val="Hyperlink"/>
                <w:noProof/>
              </w:rPr>
              <w:t>2.3.1 The Traditional Loyalty Model in European Automotive</w:t>
            </w:r>
            <w:r>
              <w:rPr>
                <w:noProof/>
                <w:webHidden/>
              </w:rPr>
              <w:tab/>
            </w:r>
            <w:r>
              <w:rPr>
                <w:noProof/>
                <w:webHidden/>
              </w:rPr>
              <w:fldChar w:fldCharType="begin"/>
            </w:r>
            <w:r>
              <w:rPr>
                <w:noProof/>
                <w:webHidden/>
              </w:rPr>
              <w:instrText xml:space="preserve"> PAGEREF _Toc228791210 \h </w:instrText>
            </w:r>
            <w:r>
              <w:rPr>
                <w:noProof/>
                <w:webHidden/>
              </w:rPr>
            </w:r>
            <w:r>
              <w:rPr>
                <w:noProof/>
                <w:webHidden/>
              </w:rPr>
              <w:fldChar w:fldCharType="separate"/>
            </w:r>
            <w:r>
              <w:rPr>
                <w:noProof/>
                <w:webHidden/>
              </w:rPr>
              <w:t>20</w:t>
            </w:r>
            <w:r>
              <w:rPr>
                <w:noProof/>
                <w:webHidden/>
              </w:rPr>
              <w:fldChar w:fldCharType="end"/>
            </w:r>
          </w:hyperlink>
        </w:p>
        <w:p w14:paraId="485045DC" w14:textId="32656F82"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11" w:history="1">
            <w:r w:rsidRPr="00FA347C">
              <w:rPr>
                <w:rStyle w:val="Hyperlink"/>
                <w:noProof/>
              </w:rPr>
              <w:t>2.3.2 The Impact of Electrification on Brand Loyalty</w:t>
            </w:r>
            <w:r>
              <w:rPr>
                <w:noProof/>
                <w:webHidden/>
              </w:rPr>
              <w:tab/>
            </w:r>
            <w:r>
              <w:rPr>
                <w:noProof/>
                <w:webHidden/>
              </w:rPr>
              <w:fldChar w:fldCharType="begin"/>
            </w:r>
            <w:r>
              <w:rPr>
                <w:noProof/>
                <w:webHidden/>
              </w:rPr>
              <w:instrText xml:space="preserve"> PAGEREF _Toc228791211 \h </w:instrText>
            </w:r>
            <w:r>
              <w:rPr>
                <w:noProof/>
                <w:webHidden/>
              </w:rPr>
            </w:r>
            <w:r>
              <w:rPr>
                <w:noProof/>
                <w:webHidden/>
              </w:rPr>
              <w:fldChar w:fldCharType="separate"/>
            </w:r>
            <w:r>
              <w:rPr>
                <w:noProof/>
                <w:webHidden/>
              </w:rPr>
              <w:t>21</w:t>
            </w:r>
            <w:r>
              <w:rPr>
                <w:noProof/>
                <w:webHidden/>
              </w:rPr>
              <w:fldChar w:fldCharType="end"/>
            </w:r>
          </w:hyperlink>
        </w:p>
        <w:p w14:paraId="4A94DCD7" w14:textId="0412733F"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12" w:history="1">
            <w:r w:rsidRPr="00FA347C">
              <w:rPr>
                <w:rStyle w:val="Hyperlink"/>
                <w:noProof/>
              </w:rPr>
              <w:t>2.3.3 Digital Transformation and the Changing Customer Journey</w:t>
            </w:r>
            <w:r>
              <w:rPr>
                <w:noProof/>
                <w:webHidden/>
              </w:rPr>
              <w:tab/>
            </w:r>
            <w:r>
              <w:rPr>
                <w:noProof/>
                <w:webHidden/>
              </w:rPr>
              <w:fldChar w:fldCharType="begin"/>
            </w:r>
            <w:r>
              <w:rPr>
                <w:noProof/>
                <w:webHidden/>
              </w:rPr>
              <w:instrText xml:space="preserve"> PAGEREF _Toc228791212 \h </w:instrText>
            </w:r>
            <w:r>
              <w:rPr>
                <w:noProof/>
                <w:webHidden/>
              </w:rPr>
            </w:r>
            <w:r>
              <w:rPr>
                <w:noProof/>
                <w:webHidden/>
              </w:rPr>
              <w:fldChar w:fldCharType="separate"/>
            </w:r>
            <w:r>
              <w:rPr>
                <w:noProof/>
                <w:webHidden/>
              </w:rPr>
              <w:t>22</w:t>
            </w:r>
            <w:r>
              <w:rPr>
                <w:noProof/>
                <w:webHidden/>
              </w:rPr>
              <w:fldChar w:fldCharType="end"/>
            </w:r>
          </w:hyperlink>
        </w:p>
        <w:p w14:paraId="4BE90EBA" w14:textId="5820B4A1" w:rsidR="00CC69AD" w:rsidRDefault="00CC69AD">
          <w:pPr>
            <w:pStyle w:val="TOC2"/>
            <w:rPr>
              <w:rFonts w:asciiTheme="minorHAnsi" w:eastAsiaTheme="minorEastAsia" w:hAnsiTheme="minorHAnsi" w:cstheme="minorBidi"/>
              <w:noProof/>
              <w:kern w:val="2"/>
              <w14:ligatures w14:val="standardContextual"/>
            </w:rPr>
          </w:pPr>
          <w:hyperlink w:anchor="_Toc228791213" w:history="1">
            <w:r w:rsidRPr="00FA347C">
              <w:rPr>
                <w:rStyle w:val="Hyperlink"/>
                <w:noProof/>
              </w:rPr>
              <w:t>2.4 Challenges to Customer Loyalty Facing European Automotive Brands</w:t>
            </w:r>
            <w:r>
              <w:rPr>
                <w:noProof/>
                <w:webHidden/>
              </w:rPr>
              <w:tab/>
            </w:r>
            <w:r>
              <w:rPr>
                <w:noProof/>
                <w:webHidden/>
              </w:rPr>
              <w:fldChar w:fldCharType="begin"/>
            </w:r>
            <w:r>
              <w:rPr>
                <w:noProof/>
                <w:webHidden/>
              </w:rPr>
              <w:instrText xml:space="preserve"> PAGEREF _Toc228791213 \h </w:instrText>
            </w:r>
            <w:r>
              <w:rPr>
                <w:noProof/>
                <w:webHidden/>
              </w:rPr>
            </w:r>
            <w:r>
              <w:rPr>
                <w:noProof/>
                <w:webHidden/>
              </w:rPr>
              <w:fldChar w:fldCharType="separate"/>
            </w:r>
            <w:r>
              <w:rPr>
                <w:noProof/>
                <w:webHidden/>
              </w:rPr>
              <w:t>23</w:t>
            </w:r>
            <w:r>
              <w:rPr>
                <w:noProof/>
                <w:webHidden/>
              </w:rPr>
              <w:fldChar w:fldCharType="end"/>
            </w:r>
          </w:hyperlink>
        </w:p>
        <w:p w14:paraId="46E6E19E" w14:textId="1B7F9CCA"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14" w:history="1">
            <w:r w:rsidRPr="00FA347C">
              <w:rPr>
                <w:rStyle w:val="Hyperlink"/>
                <w:noProof/>
              </w:rPr>
              <w:t>2.4.1 Production costs of electric vehicles</w:t>
            </w:r>
            <w:r>
              <w:rPr>
                <w:noProof/>
                <w:webHidden/>
              </w:rPr>
              <w:tab/>
            </w:r>
            <w:r>
              <w:rPr>
                <w:noProof/>
                <w:webHidden/>
              </w:rPr>
              <w:fldChar w:fldCharType="begin"/>
            </w:r>
            <w:r>
              <w:rPr>
                <w:noProof/>
                <w:webHidden/>
              </w:rPr>
              <w:instrText xml:space="preserve"> PAGEREF _Toc228791214 \h </w:instrText>
            </w:r>
            <w:r>
              <w:rPr>
                <w:noProof/>
                <w:webHidden/>
              </w:rPr>
            </w:r>
            <w:r>
              <w:rPr>
                <w:noProof/>
                <w:webHidden/>
              </w:rPr>
              <w:fldChar w:fldCharType="separate"/>
            </w:r>
            <w:r>
              <w:rPr>
                <w:noProof/>
                <w:webHidden/>
              </w:rPr>
              <w:t>24</w:t>
            </w:r>
            <w:r>
              <w:rPr>
                <w:noProof/>
                <w:webHidden/>
              </w:rPr>
              <w:fldChar w:fldCharType="end"/>
            </w:r>
          </w:hyperlink>
        </w:p>
        <w:p w14:paraId="226A4164" w14:textId="0BB260B3"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15" w:history="1">
            <w:r w:rsidRPr="00FA347C">
              <w:rPr>
                <w:rStyle w:val="Hyperlink"/>
                <w:noProof/>
              </w:rPr>
              <w:t>2.4.2 The Fragmentation of the Customer Journey</w:t>
            </w:r>
            <w:r>
              <w:rPr>
                <w:noProof/>
                <w:webHidden/>
              </w:rPr>
              <w:tab/>
            </w:r>
            <w:r>
              <w:rPr>
                <w:noProof/>
                <w:webHidden/>
              </w:rPr>
              <w:fldChar w:fldCharType="begin"/>
            </w:r>
            <w:r>
              <w:rPr>
                <w:noProof/>
                <w:webHidden/>
              </w:rPr>
              <w:instrText xml:space="preserve"> PAGEREF _Toc228791215 \h </w:instrText>
            </w:r>
            <w:r>
              <w:rPr>
                <w:noProof/>
                <w:webHidden/>
              </w:rPr>
            </w:r>
            <w:r>
              <w:rPr>
                <w:noProof/>
                <w:webHidden/>
              </w:rPr>
              <w:fldChar w:fldCharType="separate"/>
            </w:r>
            <w:r>
              <w:rPr>
                <w:noProof/>
                <w:webHidden/>
              </w:rPr>
              <w:t>24</w:t>
            </w:r>
            <w:r>
              <w:rPr>
                <w:noProof/>
                <w:webHidden/>
              </w:rPr>
              <w:fldChar w:fldCharType="end"/>
            </w:r>
          </w:hyperlink>
        </w:p>
        <w:p w14:paraId="615B6EBF" w14:textId="598ECF08"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16" w:history="1">
            <w:r w:rsidRPr="00FA347C">
              <w:rPr>
                <w:rStyle w:val="Hyperlink"/>
                <w:noProof/>
              </w:rPr>
              <w:t>2.4.3 European consumers are more willing to switch brands</w:t>
            </w:r>
            <w:r>
              <w:rPr>
                <w:noProof/>
                <w:webHidden/>
              </w:rPr>
              <w:tab/>
            </w:r>
            <w:r>
              <w:rPr>
                <w:noProof/>
                <w:webHidden/>
              </w:rPr>
              <w:fldChar w:fldCharType="begin"/>
            </w:r>
            <w:r>
              <w:rPr>
                <w:noProof/>
                <w:webHidden/>
              </w:rPr>
              <w:instrText xml:space="preserve"> PAGEREF _Toc228791216 \h </w:instrText>
            </w:r>
            <w:r>
              <w:rPr>
                <w:noProof/>
                <w:webHidden/>
              </w:rPr>
            </w:r>
            <w:r>
              <w:rPr>
                <w:noProof/>
                <w:webHidden/>
              </w:rPr>
              <w:fldChar w:fldCharType="separate"/>
            </w:r>
            <w:r>
              <w:rPr>
                <w:noProof/>
                <w:webHidden/>
              </w:rPr>
              <w:t>25</w:t>
            </w:r>
            <w:r>
              <w:rPr>
                <w:noProof/>
                <w:webHidden/>
              </w:rPr>
              <w:fldChar w:fldCharType="end"/>
            </w:r>
          </w:hyperlink>
        </w:p>
        <w:p w14:paraId="0BB471ED" w14:textId="350DDEEC" w:rsidR="00CC69AD" w:rsidRDefault="00CC69AD">
          <w:pPr>
            <w:pStyle w:val="TOC2"/>
            <w:rPr>
              <w:rFonts w:asciiTheme="minorHAnsi" w:eastAsiaTheme="minorEastAsia" w:hAnsiTheme="minorHAnsi" w:cstheme="minorBidi"/>
              <w:noProof/>
              <w:kern w:val="2"/>
              <w14:ligatures w14:val="standardContextual"/>
            </w:rPr>
          </w:pPr>
          <w:hyperlink w:anchor="_Toc228791217" w:history="1">
            <w:r w:rsidRPr="00FA347C">
              <w:rPr>
                <w:rStyle w:val="Hyperlink"/>
                <w:noProof/>
              </w:rPr>
              <w:t>2.5 Strategic Responses: Building Loyalty in the Transformed Market</w:t>
            </w:r>
            <w:r>
              <w:rPr>
                <w:noProof/>
                <w:webHidden/>
              </w:rPr>
              <w:tab/>
            </w:r>
            <w:r>
              <w:rPr>
                <w:noProof/>
                <w:webHidden/>
              </w:rPr>
              <w:fldChar w:fldCharType="begin"/>
            </w:r>
            <w:r>
              <w:rPr>
                <w:noProof/>
                <w:webHidden/>
              </w:rPr>
              <w:instrText xml:space="preserve"> PAGEREF _Toc228791217 \h </w:instrText>
            </w:r>
            <w:r>
              <w:rPr>
                <w:noProof/>
                <w:webHidden/>
              </w:rPr>
            </w:r>
            <w:r>
              <w:rPr>
                <w:noProof/>
                <w:webHidden/>
              </w:rPr>
              <w:fldChar w:fldCharType="separate"/>
            </w:r>
            <w:r>
              <w:rPr>
                <w:noProof/>
                <w:webHidden/>
              </w:rPr>
              <w:t>26</w:t>
            </w:r>
            <w:r>
              <w:rPr>
                <w:noProof/>
                <w:webHidden/>
              </w:rPr>
              <w:fldChar w:fldCharType="end"/>
            </w:r>
          </w:hyperlink>
        </w:p>
        <w:p w14:paraId="24835117" w14:textId="2AAB614D"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18" w:history="1">
            <w:r w:rsidRPr="00FA347C">
              <w:rPr>
                <w:rStyle w:val="Hyperlink"/>
                <w:noProof/>
              </w:rPr>
              <w:t>2.5.1 Transitioning to agency models</w:t>
            </w:r>
            <w:r>
              <w:rPr>
                <w:noProof/>
                <w:webHidden/>
              </w:rPr>
              <w:tab/>
            </w:r>
            <w:r>
              <w:rPr>
                <w:noProof/>
                <w:webHidden/>
              </w:rPr>
              <w:fldChar w:fldCharType="begin"/>
            </w:r>
            <w:r>
              <w:rPr>
                <w:noProof/>
                <w:webHidden/>
              </w:rPr>
              <w:instrText xml:space="preserve"> PAGEREF _Toc228791218 \h </w:instrText>
            </w:r>
            <w:r>
              <w:rPr>
                <w:noProof/>
                <w:webHidden/>
              </w:rPr>
            </w:r>
            <w:r>
              <w:rPr>
                <w:noProof/>
                <w:webHidden/>
              </w:rPr>
              <w:fldChar w:fldCharType="separate"/>
            </w:r>
            <w:r>
              <w:rPr>
                <w:noProof/>
                <w:webHidden/>
              </w:rPr>
              <w:t>26</w:t>
            </w:r>
            <w:r>
              <w:rPr>
                <w:noProof/>
                <w:webHidden/>
              </w:rPr>
              <w:fldChar w:fldCharType="end"/>
            </w:r>
          </w:hyperlink>
        </w:p>
        <w:p w14:paraId="5CCA977A" w14:textId="742048AF"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19" w:history="1">
            <w:r w:rsidRPr="00FA347C">
              <w:rPr>
                <w:rStyle w:val="Hyperlink"/>
                <w:noProof/>
              </w:rPr>
              <w:t>2.5.2 Prioritise seamless over-the-air updates</w:t>
            </w:r>
            <w:r>
              <w:rPr>
                <w:noProof/>
                <w:webHidden/>
              </w:rPr>
              <w:tab/>
            </w:r>
            <w:r>
              <w:rPr>
                <w:noProof/>
                <w:webHidden/>
              </w:rPr>
              <w:fldChar w:fldCharType="begin"/>
            </w:r>
            <w:r>
              <w:rPr>
                <w:noProof/>
                <w:webHidden/>
              </w:rPr>
              <w:instrText xml:space="preserve"> PAGEREF _Toc228791219 \h </w:instrText>
            </w:r>
            <w:r>
              <w:rPr>
                <w:noProof/>
                <w:webHidden/>
              </w:rPr>
            </w:r>
            <w:r>
              <w:rPr>
                <w:noProof/>
                <w:webHidden/>
              </w:rPr>
              <w:fldChar w:fldCharType="separate"/>
            </w:r>
            <w:r>
              <w:rPr>
                <w:noProof/>
                <w:webHidden/>
              </w:rPr>
              <w:t>27</w:t>
            </w:r>
            <w:r>
              <w:rPr>
                <w:noProof/>
                <w:webHidden/>
              </w:rPr>
              <w:fldChar w:fldCharType="end"/>
            </w:r>
          </w:hyperlink>
        </w:p>
        <w:p w14:paraId="6321FF08" w14:textId="05D99B9D"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20" w:history="1">
            <w:r w:rsidRPr="00FA347C">
              <w:rPr>
                <w:rStyle w:val="Hyperlink"/>
                <w:noProof/>
              </w:rPr>
              <w:t>2.5.3 A sustainable supply chain integrated with transparency and ethical production</w:t>
            </w:r>
            <w:r>
              <w:rPr>
                <w:noProof/>
                <w:webHidden/>
              </w:rPr>
              <w:tab/>
            </w:r>
            <w:r>
              <w:rPr>
                <w:noProof/>
                <w:webHidden/>
              </w:rPr>
              <w:fldChar w:fldCharType="begin"/>
            </w:r>
            <w:r>
              <w:rPr>
                <w:noProof/>
                <w:webHidden/>
              </w:rPr>
              <w:instrText xml:space="preserve"> PAGEREF _Toc228791220 \h </w:instrText>
            </w:r>
            <w:r>
              <w:rPr>
                <w:noProof/>
                <w:webHidden/>
              </w:rPr>
            </w:r>
            <w:r>
              <w:rPr>
                <w:noProof/>
                <w:webHidden/>
              </w:rPr>
              <w:fldChar w:fldCharType="separate"/>
            </w:r>
            <w:r>
              <w:rPr>
                <w:noProof/>
                <w:webHidden/>
              </w:rPr>
              <w:t>27</w:t>
            </w:r>
            <w:r>
              <w:rPr>
                <w:noProof/>
                <w:webHidden/>
              </w:rPr>
              <w:fldChar w:fldCharType="end"/>
            </w:r>
          </w:hyperlink>
        </w:p>
        <w:p w14:paraId="2A41BC56" w14:textId="3A382EE5"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21" w:history="1">
            <w:r w:rsidRPr="00FA347C">
              <w:rPr>
                <w:rStyle w:val="Hyperlink"/>
                <w:noProof/>
              </w:rPr>
              <w:t>2.5.4 Subscription-Based Loyalty Programmes</w:t>
            </w:r>
            <w:r>
              <w:rPr>
                <w:noProof/>
                <w:webHidden/>
              </w:rPr>
              <w:tab/>
            </w:r>
            <w:r>
              <w:rPr>
                <w:noProof/>
                <w:webHidden/>
              </w:rPr>
              <w:fldChar w:fldCharType="begin"/>
            </w:r>
            <w:r>
              <w:rPr>
                <w:noProof/>
                <w:webHidden/>
              </w:rPr>
              <w:instrText xml:space="preserve"> PAGEREF _Toc228791221 \h </w:instrText>
            </w:r>
            <w:r>
              <w:rPr>
                <w:noProof/>
                <w:webHidden/>
              </w:rPr>
            </w:r>
            <w:r>
              <w:rPr>
                <w:noProof/>
                <w:webHidden/>
              </w:rPr>
              <w:fldChar w:fldCharType="separate"/>
            </w:r>
            <w:r>
              <w:rPr>
                <w:noProof/>
                <w:webHidden/>
              </w:rPr>
              <w:t>28</w:t>
            </w:r>
            <w:r>
              <w:rPr>
                <w:noProof/>
                <w:webHidden/>
              </w:rPr>
              <w:fldChar w:fldCharType="end"/>
            </w:r>
          </w:hyperlink>
        </w:p>
        <w:p w14:paraId="36E2EE55" w14:textId="7C6B6FAC" w:rsidR="00CC69AD" w:rsidRDefault="00CC69AD">
          <w:pPr>
            <w:pStyle w:val="TOC2"/>
            <w:rPr>
              <w:rFonts w:asciiTheme="minorHAnsi" w:eastAsiaTheme="minorEastAsia" w:hAnsiTheme="minorHAnsi" w:cstheme="minorBidi"/>
              <w:noProof/>
              <w:kern w:val="2"/>
              <w14:ligatures w14:val="standardContextual"/>
            </w:rPr>
          </w:pPr>
          <w:hyperlink w:anchor="_Toc228791222" w:history="1">
            <w:r w:rsidRPr="00FA347C">
              <w:rPr>
                <w:rStyle w:val="Hyperlink"/>
                <w:noProof/>
              </w:rPr>
              <w:t>2.6 Conceptual Framework: Relationship Marketing Theory</w:t>
            </w:r>
            <w:r>
              <w:rPr>
                <w:noProof/>
                <w:webHidden/>
              </w:rPr>
              <w:tab/>
            </w:r>
            <w:r>
              <w:rPr>
                <w:noProof/>
                <w:webHidden/>
              </w:rPr>
              <w:fldChar w:fldCharType="begin"/>
            </w:r>
            <w:r>
              <w:rPr>
                <w:noProof/>
                <w:webHidden/>
              </w:rPr>
              <w:instrText xml:space="preserve"> PAGEREF _Toc228791222 \h </w:instrText>
            </w:r>
            <w:r>
              <w:rPr>
                <w:noProof/>
                <w:webHidden/>
              </w:rPr>
            </w:r>
            <w:r>
              <w:rPr>
                <w:noProof/>
                <w:webHidden/>
              </w:rPr>
              <w:fldChar w:fldCharType="separate"/>
            </w:r>
            <w:r>
              <w:rPr>
                <w:noProof/>
                <w:webHidden/>
              </w:rPr>
              <w:t>29</w:t>
            </w:r>
            <w:r>
              <w:rPr>
                <w:noProof/>
                <w:webHidden/>
              </w:rPr>
              <w:fldChar w:fldCharType="end"/>
            </w:r>
          </w:hyperlink>
        </w:p>
        <w:p w14:paraId="3ADE0A79" w14:textId="0A30BAA9" w:rsidR="00CC69AD" w:rsidRDefault="00CC69AD">
          <w:pPr>
            <w:pStyle w:val="TOC2"/>
            <w:rPr>
              <w:rFonts w:asciiTheme="minorHAnsi" w:eastAsiaTheme="minorEastAsia" w:hAnsiTheme="minorHAnsi" w:cstheme="minorBidi"/>
              <w:noProof/>
              <w:kern w:val="2"/>
              <w14:ligatures w14:val="standardContextual"/>
            </w:rPr>
          </w:pPr>
          <w:hyperlink w:anchor="_Toc228791223" w:history="1">
            <w:r w:rsidRPr="00FA347C">
              <w:rPr>
                <w:rStyle w:val="Hyperlink"/>
                <w:noProof/>
              </w:rPr>
              <w:t>2.7 Identification of Literature Gaps</w:t>
            </w:r>
            <w:r>
              <w:rPr>
                <w:noProof/>
                <w:webHidden/>
              </w:rPr>
              <w:tab/>
            </w:r>
            <w:r>
              <w:rPr>
                <w:noProof/>
                <w:webHidden/>
              </w:rPr>
              <w:fldChar w:fldCharType="begin"/>
            </w:r>
            <w:r>
              <w:rPr>
                <w:noProof/>
                <w:webHidden/>
              </w:rPr>
              <w:instrText xml:space="preserve"> PAGEREF _Toc228791223 \h </w:instrText>
            </w:r>
            <w:r>
              <w:rPr>
                <w:noProof/>
                <w:webHidden/>
              </w:rPr>
            </w:r>
            <w:r>
              <w:rPr>
                <w:noProof/>
                <w:webHidden/>
              </w:rPr>
              <w:fldChar w:fldCharType="separate"/>
            </w:r>
            <w:r>
              <w:rPr>
                <w:noProof/>
                <w:webHidden/>
              </w:rPr>
              <w:t>31</w:t>
            </w:r>
            <w:r>
              <w:rPr>
                <w:noProof/>
                <w:webHidden/>
              </w:rPr>
              <w:fldChar w:fldCharType="end"/>
            </w:r>
          </w:hyperlink>
        </w:p>
        <w:p w14:paraId="73448464" w14:textId="5A62AC9C" w:rsidR="00CC69AD" w:rsidRDefault="00CC69AD">
          <w:pPr>
            <w:pStyle w:val="TOC2"/>
            <w:rPr>
              <w:rFonts w:asciiTheme="minorHAnsi" w:eastAsiaTheme="minorEastAsia" w:hAnsiTheme="minorHAnsi" w:cstheme="minorBidi"/>
              <w:noProof/>
              <w:kern w:val="2"/>
              <w14:ligatures w14:val="standardContextual"/>
            </w:rPr>
          </w:pPr>
          <w:hyperlink w:anchor="_Toc228791224" w:history="1">
            <w:r w:rsidRPr="00FA347C">
              <w:rPr>
                <w:rStyle w:val="Hyperlink"/>
                <w:noProof/>
              </w:rPr>
              <w:t>2.8 Conclusion of the Chapter</w:t>
            </w:r>
            <w:r>
              <w:rPr>
                <w:noProof/>
                <w:webHidden/>
              </w:rPr>
              <w:tab/>
            </w:r>
            <w:r>
              <w:rPr>
                <w:noProof/>
                <w:webHidden/>
              </w:rPr>
              <w:fldChar w:fldCharType="begin"/>
            </w:r>
            <w:r>
              <w:rPr>
                <w:noProof/>
                <w:webHidden/>
              </w:rPr>
              <w:instrText xml:space="preserve"> PAGEREF _Toc228791224 \h </w:instrText>
            </w:r>
            <w:r>
              <w:rPr>
                <w:noProof/>
                <w:webHidden/>
              </w:rPr>
            </w:r>
            <w:r>
              <w:rPr>
                <w:noProof/>
                <w:webHidden/>
              </w:rPr>
              <w:fldChar w:fldCharType="separate"/>
            </w:r>
            <w:r>
              <w:rPr>
                <w:noProof/>
                <w:webHidden/>
              </w:rPr>
              <w:t>32</w:t>
            </w:r>
            <w:r>
              <w:rPr>
                <w:noProof/>
                <w:webHidden/>
              </w:rPr>
              <w:fldChar w:fldCharType="end"/>
            </w:r>
          </w:hyperlink>
        </w:p>
        <w:p w14:paraId="2697F8A0" w14:textId="7B8E7A71"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225" w:history="1">
            <w:r w:rsidRPr="00FA347C">
              <w:rPr>
                <w:rStyle w:val="Hyperlink"/>
                <w:noProof/>
              </w:rPr>
              <w:t>CHAPTER 3: RESEARCH METHODOLOGY</w:t>
            </w:r>
            <w:r>
              <w:rPr>
                <w:noProof/>
                <w:webHidden/>
              </w:rPr>
              <w:tab/>
            </w:r>
            <w:r>
              <w:rPr>
                <w:noProof/>
                <w:webHidden/>
              </w:rPr>
              <w:fldChar w:fldCharType="begin"/>
            </w:r>
            <w:r>
              <w:rPr>
                <w:noProof/>
                <w:webHidden/>
              </w:rPr>
              <w:instrText xml:space="preserve"> PAGEREF _Toc228791225 \h </w:instrText>
            </w:r>
            <w:r>
              <w:rPr>
                <w:noProof/>
                <w:webHidden/>
              </w:rPr>
            </w:r>
            <w:r>
              <w:rPr>
                <w:noProof/>
                <w:webHidden/>
              </w:rPr>
              <w:fldChar w:fldCharType="separate"/>
            </w:r>
            <w:r>
              <w:rPr>
                <w:noProof/>
                <w:webHidden/>
              </w:rPr>
              <w:t>33</w:t>
            </w:r>
            <w:r>
              <w:rPr>
                <w:noProof/>
                <w:webHidden/>
              </w:rPr>
              <w:fldChar w:fldCharType="end"/>
            </w:r>
          </w:hyperlink>
        </w:p>
        <w:p w14:paraId="2F29D530" w14:textId="1D29E5EA" w:rsidR="00CC69AD" w:rsidRDefault="00CC69AD">
          <w:pPr>
            <w:pStyle w:val="TOC2"/>
            <w:rPr>
              <w:rFonts w:asciiTheme="minorHAnsi" w:eastAsiaTheme="minorEastAsia" w:hAnsiTheme="minorHAnsi" w:cstheme="minorBidi"/>
              <w:noProof/>
              <w:kern w:val="2"/>
              <w14:ligatures w14:val="standardContextual"/>
            </w:rPr>
          </w:pPr>
          <w:hyperlink w:anchor="_Toc228791226" w:history="1">
            <w:r w:rsidRPr="00FA347C">
              <w:rPr>
                <w:rStyle w:val="Hyperlink"/>
                <w:noProof/>
              </w:rPr>
              <w:t>3.1 Introduction</w:t>
            </w:r>
            <w:r>
              <w:rPr>
                <w:noProof/>
                <w:webHidden/>
              </w:rPr>
              <w:tab/>
            </w:r>
            <w:r>
              <w:rPr>
                <w:noProof/>
                <w:webHidden/>
              </w:rPr>
              <w:fldChar w:fldCharType="begin"/>
            </w:r>
            <w:r>
              <w:rPr>
                <w:noProof/>
                <w:webHidden/>
              </w:rPr>
              <w:instrText xml:space="preserve"> PAGEREF _Toc228791226 \h </w:instrText>
            </w:r>
            <w:r>
              <w:rPr>
                <w:noProof/>
                <w:webHidden/>
              </w:rPr>
            </w:r>
            <w:r>
              <w:rPr>
                <w:noProof/>
                <w:webHidden/>
              </w:rPr>
              <w:fldChar w:fldCharType="separate"/>
            </w:r>
            <w:r>
              <w:rPr>
                <w:noProof/>
                <w:webHidden/>
              </w:rPr>
              <w:t>33</w:t>
            </w:r>
            <w:r>
              <w:rPr>
                <w:noProof/>
                <w:webHidden/>
              </w:rPr>
              <w:fldChar w:fldCharType="end"/>
            </w:r>
          </w:hyperlink>
        </w:p>
        <w:p w14:paraId="72E45BB7" w14:textId="447B65B5" w:rsidR="00CC69AD" w:rsidRDefault="00CC69AD">
          <w:pPr>
            <w:pStyle w:val="TOC2"/>
            <w:rPr>
              <w:rFonts w:asciiTheme="minorHAnsi" w:eastAsiaTheme="minorEastAsia" w:hAnsiTheme="minorHAnsi" w:cstheme="minorBidi"/>
              <w:noProof/>
              <w:kern w:val="2"/>
              <w14:ligatures w14:val="standardContextual"/>
            </w:rPr>
          </w:pPr>
          <w:hyperlink w:anchor="_Toc228791227" w:history="1">
            <w:r w:rsidRPr="00FA347C">
              <w:rPr>
                <w:rStyle w:val="Hyperlink"/>
                <w:noProof/>
              </w:rPr>
              <w:t>3.2 The Research Onion Framework</w:t>
            </w:r>
            <w:r>
              <w:rPr>
                <w:noProof/>
                <w:webHidden/>
              </w:rPr>
              <w:tab/>
            </w:r>
            <w:r>
              <w:rPr>
                <w:noProof/>
                <w:webHidden/>
              </w:rPr>
              <w:fldChar w:fldCharType="begin"/>
            </w:r>
            <w:r>
              <w:rPr>
                <w:noProof/>
                <w:webHidden/>
              </w:rPr>
              <w:instrText xml:space="preserve"> PAGEREF _Toc228791227 \h </w:instrText>
            </w:r>
            <w:r>
              <w:rPr>
                <w:noProof/>
                <w:webHidden/>
              </w:rPr>
            </w:r>
            <w:r>
              <w:rPr>
                <w:noProof/>
                <w:webHidden/>
              </w:rPr>
              <w:fldChar w:fldCharType="separate"/>
            </w:r>
            <w:r>
              <w:rPr>
                <w:noProof/>
                <w:webHidden/>
              </w:rPr>
              <w:t>33</w:t>
            </w:r>
            <w:r>
              <w:rPr>
                <w:noProof/>
                <w:webHidden/>
              </w:rPr>
              <w:fldChar w:fldCharType="end"/>
            </w:r>
          </w:hyperlink>
        </w:p>
        <w:p w14:paraId="3D9F6E0C" w14:textId="1F912C39" w:rsidR="00CC69AD" w:rsidRDefault="00CC69AD">
          <w:pPr>
            <w:pStyle w:val="TOC2"/>
            <w:rPr>
              <w:rFonts w:asciiTheme="minorHAnsi" w:eastAsiaTheme="minorEastAsia" w:hAnsiTheme="minorHAnsi" w:cstheme="minorBidi"/>
              <w:noProof/>
              <w:kern w:val="2"/>
              <w14:ligatures w14:val="standardContextual"/>
            </w:rPr>
          </w:pPr>
          <w:hyperlink w:anchor="_Toc228791228" w:history="1">
            <w:r w:rsidRPr="00FA347C">
              <w:rPr>
                <w:rStyle w:val="Hyperlink"/>
                <w:noProof/>
              </w:rPr>
              <w:t>3.3 Research Philosophy</w:t>
            </w:r>
            <w:r>
              <w:rPr>
                <w:noProof/>
                <w:webHidden/>
              </w:rPr>
              <w:tab/>
            </w:r>
            <w:r>
              <w:rPr>
                <w:noProof/>
                <w:webHidden/>
              </w:rPr>
              <w:fldChar w:fldCharType="begin"/>
            </w:r>
            <w:r>
              <w:rPr>
                <w:noProof/>
                <w:webHidden/>
              </w:rPr>
              <w:instrText xml:space="preserve"> PAGEREF _Toc228791228 \h </w:instrText>
            </w:r>
            <w:r>
              <w:rPr>
                <w:noProof/>
                <w:webHidden/>
              </w:rPr>
            </w:r>
            <w:r>
              <w:rPr>
                <w:noProof/>
                <w:webHidden/>
              </w:rPr>
              <w:fldChar w:fldCharType="separate"/>
            </w:r>
            <w:r>
              <w:rPr>
                <w:noProof/>
                <w:webHidden/>
              </w:rPr>
              <w:t>34</w:t>
            </w:r>
            <w:r>
              <w:rPr>
                <w:noProof/>
                <w:webHidden/>
              </w:rPr>
              <w:fldChar w:fldCharType="end"/>
            </w:r>
          </w:hyperlink>
        </w:p>
        <w:p w14:paraId="284D91DC" w14:textId="65AA5565" w:rsidR="00CC69AD" w:rsidRDefault="00CC69AD">
          <w:pPr>
            <w:pStyle w:val="TOC2"/>
            <w:rPr>
              <w:rFonts w:asciiTheme="minorHAnsi" w:eastAsiaTheme="minorEastAsia" w:hAnsiTheme="minorHAnsi" w:cstheme="minorBidi"/>
              <w:noProof/>
              <w:kern w:val="2"/>
              <w14:ligatures w14:val="standardContextual"/>
            </w:rPr>
          </w:pPr>
          <w:hyperlink w:anchor="_Toc228791229" w:history="1">
            <w:r w:rsidRPr="00FA347C">
              <w:rPr>
                <w:rStyle w:val="Hyperlink"/>
                <w:noProof/>
              </w:rPr>
              <w:t>3.4 Research Design</w:t>
            </w:r>
            <w:r>
              <w:rPr>
                <w:noProof/>
                <w:webHidden/>
              </w:rPr>
              <w:tab/>
            </w:r>
            <w:r>
              <w:rPr>
                <w:noProof/>
                <w:webHidden/>
              </w:rPr>
              <w:fldChar w:fldCharType="begin"/>
            </w:r>
            <w:r>
              <w:rPr>
                <w:noProof/>
                <w:webHidden/>
              </w:rPr>
              <w:instrText xml:space="preserve"> PAGEREF _Toc228791229 \h </w:instrText>
            </w:r>
            <w:r>
              <w:rPr>
                <w:noProof/>
                <w:webHidden/>
              </w:rPr>
            </w:r>
            <w:r>
              <w:rPr>
                <w:noProof/>
                <w:webHidden/>
              </w:rPr>
              <w:fldChar w:fldCharType="separate"/>
            </w:r>
            <w:r>
              <w:rPr>
                <w:noProof/>
                <w:webHidden/>
              </w:rPr>
              <w:t>35</w:t>
            </w:r>
            <w:r>
              <w:rPr>
                <w:noProof/>
                <w:webHidden/>
              </w:rPr>
              <w:fldChar w:fldCharType="end"/>
            </w:r>
          </w:hyperlink>
        </w:p>
        <w:p w14:paraId="42E1740C" w14:textId="1F8F7E43" w:rsidR="00CC69AD" w:rsidRDefault="00CC69AD">
          <w:pPr>
            <w:pStyle w:val="TOC2"/>
            <w:rPr>
              <w:rFonts w:asciiTheme="minorHAnsi" w:eastAsiaTheme="minorEastAsia" w:hAnsiTheme="minorHAnsi" w:cstheme="minorBidi"/>
              <w:noProof/>
              <w:kern w:val="2"/>
              <w14:ligatures w14:val="standardContextual"/>
            </w:rPr>
          </w:pPr>
          <w:hyperlink w:anchor="_Toc228791230" w:history="1">
            <w:r w:rsidRPr="00FA347C">
              <w:rPr>
                <w:rStyle w:val="Hyperlink"/>
                <w:noProof/>
              </w:rPr>
              <w:t>3.5 Research Approach</w:t>
            </w:r>
            <w:r>
              <w:rPr>
                <w:noProof/>
                <w:webHidden/>
              </w:rPr>
              <w:tab/>
            </w:r>
            <w:r>
              <w:rPr>
                <w:noProof/>
                <w:webHidden/>
              </w:rPr>
              <w:fldChar w:fldCharType="begin"/>
            </w:r>
            <w:r>
              <w:rPr>
                <w:noProof/>
                <w:webHidden/>
              </w:rPr>
              <w:instrText xml:space="preserve"> PAGEREF _Toc228791230 \h </w:instrText>
            </w:r>
            <w:r>
              <w:rPr>
                <w:noProof/>
                <w:webHidden/>
              </w:rPr>
            </w:r>
            <w:r>
              <w:rPr>
                <w:noProof/>
                <w:webHidden/>
              </w:rPr>
              <w:fldChar w:fldCharType="separate"/>
            </w:r>
            <w:r>
              <w:rPr>
                <w:noProof/>
                <w:webHidden/>
              </w:rPr>
              <w:t>36</w:t>
            </w:r>
            <w:r>
              <w:rPr>
                <w:noProof/>
                <w:webHidden/>
              </w:rPr>
              <w:fldChar w:fldCharType="end"/>
            </w:r>
          </w:hyperlink>
        </w:p>
        <w:p w14:paraId="5E2DC301" w14:textId="0FDB902F" w:rsidR="00CC69AD" w:rsidRDefault="00CC69AD">
          <w:pPr>
            <w:pStyle w:val="TOC2"/>
            <w:rPr>
              <w:rFonts w:asciiTheme="minorHAnsi" w:eastAsiaTheme="minorEastAsia" w:hAnsiTheme="minorHAnsi" w:cstheme="minorBidi"/>
              <w:noProof/>
              <w:kern w:val="2"/>
              <w14:ligatures w14:val="standardContextual"/>
            </w:rPr>
          </w:pPr>
          <w:hyperlink w:anchor="_Toc228791231" w:history="1">
            <w:r w:rsidRPr="00FA347C">
              <w:rPr>
                <w:rStyle w:val="Hyperlink"/>
                <w:noProof/>
              </w:rPr>
              <w:t>3.6 Data Collection and Analysis</w:t>
            </w:r>
            <w:r>
              <w:rPr>
                <w:noProof/>
                <w:webHidden/>
              </w:rPr>
              <w:tab/>
            </w:r>
            <w:r>
              <w:rPr>
                <w:noProof/>
                <w:webHidden/>
              </w:rPr>
              <w:fldChar w:fldCharType="begin"/>
            </w:r>
            <w:r>
              <w:rPr>
                <w:noProof/>
                <w:webHidden/>
              </w:rPr>
              <w:instrText xml:space="preserve"> PAGEREF _Toc228791231 \h </w:instrText>
            </w:r>
            <w:r>
              <w:rPr>
                <w:noProof/>
                <w:webHidden/>
              </w:rPr>
            </w:r>
            <w:r>
              <w:rPr>
                <w:noProof/>
                <w:webHidden/>
              </w:rPr>
              <w:fldChar w:fldCharType="separate"/>
            </w:r>
            <w:r>
              <w:rPr>
                <w:noProof/>
                <w:webHidden/>
              </w:rPr>
              <w:t>37</w:t>
            </w:r>
            <w:r>
              <w:rPr>
                <w:noProof/>
                <w:webHidden/>
              </w:rPr>
              <w:fldChar w:fldCharType="end"/>
            </w:r>
          </w:hyperlink>
        </w:p>
        <w:p w14:paraId="1C9EE49E" w14:textId="5ACBD930"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32" w:history="1">
            <w:r w:rsidRPr="00FA347C">
              <w:rPr>
                <w:rStyle w:val="Hyperlink"/>
                <w:noProof/>
              </w:rPr>
              <w:t>3.6.1 Secondary Qualitative Data</w:t>
            </w:r>
            <w:r>
              <w:rPr>
                <w:noProof/>
                <w:webHidden/>
              </w:rPr>
              <w:tab/>
            </w:r>
            <w:r>
              <w:rPr>
                <w:noProof/>
                <w:webHidden/>
              </w:rPr>
              <w:fldChar w:fldCharType="begin"/>
            </w:r>
            <w:r>
              <w:rPr>
                <w:noProof/>
                <w:webHidden/>
              </w:rPr>
              <w:instrText xml:space="preserve"> PAGEREF _Toc228791232 \h </w:instrText>
            </w:r>
            <w:r>
              <w:rPr>
                <w:noProof/>
                <w:webHidden/>
              </w:rPr>
            </w:r>
            <w:r>
              <w:rPr>
                <w:noProof/>
                <w:webHidden/>
              </w:rPr>
              <w:fldChar w:fldCharType="separate"/>
            </w:r>
            <w:r>
              <w:rPr>
                <w:noProof/>
                <w:webHidden/>
              </w:rPr>
              <w:t>37</w:t>
            </w:r>
            <w:r>
              <w:rPr>
                <w:noProof/>
                <w:webHidden/>
              </w:rPr>
              <w:fldChar w:fldCharType="end"/>
            </w:r>
          </w:hyperlink>
        </w:p>
        <w:p w14:paraId="16B5406A" w14:textId="1E4632CF"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33" w:history="1">
            <w:r w:rsidRPr="00FA347C">
              <w:rPr>
                <w:rStyle w:val="Hyperlink"/>
                <w:noProof/>
              </w:rPr>
              <w:t>3.6.2 Thematic Analysis</w:t>
            </w:r>
            <w:r>
              <w:rPr>
                <w:noProof/>
                <w:webHidden/>
              </w:rPr>
              <w:tab/>
            </w:r>
            <w:r>
              <w:rPr>
                <w:noProof/>
                <w:webHidden/>
              </w:rPr>
              <w:fldChar w:fldCharType="begin"/>
            </w:r>
            <w:r>
              <w:rPr>
                <w:noProof/>
                <w:webHidden/>
              </w:rPr>
              <w:instrText xml:space="preserve"> PAGEREF _Toc228791233 \h </w:instrText>
            </w:r>
            <w:r>
              <w:rPr>
                <w:noProof/>
                <w:webHidden/>
              </w:rPr>
            </w:r>
            <w:r>
              <w:rPr>
                <w:noProof/>
                <w:webHidden/>
              </w:rPr>
              <w:fldChar w:fldCharType="separate"/>
            </w:r>
            <w:r>
              <w:rPr>
                <w:noProof/>
                <w:webHidden/>
              </w:rPr>
              <w:t>38</w:t>
            </w:r>
            <w:r>
              <w:rPr>
                <w:noProof/>
                <w:webHidden/>
              </w:rPr>
              <w:fldChar w:fldCharType="end"/>
            </w:r>
          </w:hyperlink>
        </w:p>
        <w:p w14:paraId="4274F321" w14:textId="5E850B54" w:rsidR="00CC69AD" w:rsidRDefault="00CC69AD">
          <w:pPr>
            <w:pStyle w:val="TOC2"/>
            <w:rPr>
              <w:rFonts w:asciiTheme="minorHAnsi" w:eastAsiaTheme="minorEastAsia" w:hAnsiTheme="minorHAnsi" w:cstheme="minorBidi"/>
              <w:noProof/>
              <w:kern w:val="2"/>
              <w14:ligatures w14:val="standardContextual"/>
            </w:rPr>
          </w:pPr>
          <w:hyperlink w:anchor="_Toc228791234" w:history="1">
            <w:r w:rsidRPr="00FA347C">
              <w:rPr>
                <w:rStyle w:val="Hyperlink"/>
                <w:noProof/>
              </w:rPr>
              <w:t>3.7 Ethical Considerations</w:t>
            </w:r>
            <w:r>
              <w:rPr>
                <w:noProof/>
                <w:webHidden/>
              </w:rPr>
              <w:tab/>
            </w:r>
            <w:r>
              <w:rPr>
                <w:noProof/>
                <w:webHidden/>
              </w:rPr>
              <w:fldChar w:fldCharType="begin"/>
            </w:r>
            <w:r>
              <w:rPr>
                <w:noProof/>
                <w:webHidden/>
              </w:rPr>
              <w:instrText xml:space="preserve"> PAGEREF _Toc228791234 \h </w:instrText>
            </w:r>
            <w:r>
              <w:rPr>
                <w:noProof/>
                <w:webHidden/>
              </w:rPr>
            </w:r>
            <w:r>
              <w:rPr>
                <w:noProof/>
                <w:webHidden/>
              </w:rPr>
              <w:fldChar w:fldCharType="separate"/>
            </w:r>
            <w:r>
              <w:rPr>
                <w:noProof/>
                <w:webHidden/>
              </w:rPr>
              <w:t>39</w:t>
            </w:r>
            <w:r>
              <w:rPr>
                <w:noProof/>
                <w:webHidden/>
              </w:rPr>
              <w:fldChar w:fldCharType="end"/>
            </w:r>
          </w:hyperlink>
        </w:p>
        <w:p w14:paraId="1BA023EA" w14:textId="5EBAC5A9" w:rsidR="00CC69AD" w:rsidRDefault="00CC69AD">
          <w:pPr>
            <w:pStyle w:val="TOC2"/>
            <w:rPr>
              <w:rFonts w:asciiTheme="minorHAnsi" w:eastAsiaTheme="minorEastAsia" w:hAnsiTheme="minorHAnsi" w:cstheme="minorBidi"/>
              <w:noProof/>
              <w:kern w:val="2"/>
              <w14:ligatures w14:val="standardContextual"/>
            </w:rPr>
          </w:pPr>
          <w:hyperlink w:anchor="_Toc228791235" w:history="1">
            <w:r w:rsidRPr="00FA347C">
              <w:rPr>
                <w:rStyle w:val="Hyperlink"/>
                <w:noProof/>
              </w:rPr>
              <w:t>3.8 Conclusion of the Chapter</w:t>
            </w:r>
            <w:r>
              <w:rPr>
                <w:noProof/>
                <w:webHidden/>
              </w:rPr>
              <w:tab/>
            </w:r>
            <w:r>
              <w:rPr>
                <w:noProof/>
                <w:webHidden/>
              </w:rPr>
              <w:fldChar w:fldCharType="begin"/>
            </w:r>
            <w:r>
              <w:rPr>
                <w:noProof/>
                <w:webHidden/>
              </w:rPr>
              <w:instrText xml:space="preserve"> PAGEREF _Toc228791235 \h </w:instrText>
            </w:r>
            <w:r>
              <w:rPr>
                <w:noProof/>
                <w:webHidden/>
              </w:rPr>
            </w:r>
            <w:r>
              <w:rPr>
                <w:noProof/>
                <w:webHidden/>
              </w:rPr>
              <w:fldChar w:fldCharType="separate"/>
            </w:r>
            <w:r>
              <w:rPr>
                <w:noProof/>
                <w:webHidden/>
              </w:rPr>
              <w:t>39</w:t>
            </w:r>
            <w:r>
              <w:rPr>
                <w:noProof/>
                <w:webHidden/>
              </w:rPr>
              <w:fldChar w:fldCharType="end"/>
            </w:r>
          </w:hyperlink>
        </w:p>
        <w:p w14:paraId="698E8333" w14:textId="6344839F"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236" w:history="1">
            <w:r w:rsidRPr="00FA347C">
              <w:rPr>
                <w:rStyle w:val="Hyperlink"/>
                <w:noProof/>
              </w:rPr>
              <w:t>CHAPTER 4: FINDINGS, ANALYSIS AND DISCUSSION</w:t>
            </w:r>
            <w:r>
              <w:rPr>
                <w:noProof/>
                <w:webHidden/>
              </w:rPr>
              <w:tab/>
            </w:r>
            <w:r>
              <w:rPr>
                <w:noProof/>
                <w:webHidden/>
              </w:rPr>
              <w:fldChar w:fldCharType="begin"/>
            </w:r>
            <w:r>
              <w:rPr>
                <w:noProof/>
                <w:webHidden/>
              </w:rPr>
              <w:instrText xml:space="preserve"> PAGEREF _Toc228791236 \h </w:instrText>
            </w:r>
            <w:r>
              <w:rPr>
                <w:noProof/>
                <w:webHidden/>
              </w:rPr>
            </w:r>
            <w:r>
              <w:rPr>
                <w:noProof/>
                <w:webHidden/>
              </w:rPr>
              <w:fldChar w:fldCharType="separate"/>
            </w:r>
            <w:r>
              <w:rPr>
                <w:noProof/>
                <w:webHidden/>
              </w:rPr>
              <w:t>41</w:t>
            </w:r>
            <w:r>
              <w:rPr>
                <w:noProof/>
                <w:webHidden/>
              </w:rPr>
              <w:fldChar w:fldCharType="end"/>
            </w:r>
          </w:hyperlink>
        </w:p>
        <w:p w14:paraId="1B4C2867" w14:textId="2C980EC1" w:rsidR="00CC69AD" w:rsidRDefault="00CC69AD">
          <w:pPr>
            <w:pStyle w:val="TOC2"/>
            <w:rPr>
              <w:rFonts w:asciiTheme="minorHAnsi" w:eastAsiaTheme="minorEastAsia" w:hAnsiTheme="minorHAnsi" w:cstheme="minorBidi"/>
              <w:noProof/>
              <w:kern w:val="2"/>
              <w14:ligatures w14:val="standardContextual"/>
            </w:rPr>
          </w:pPr>
          <w:hyperlink w:anchor="_Toc228791237" w:history="1">
            <w:r w:rsidRPr="00FA347C">
              <w:rPr>
                <w:rStyle w:val="Hyperlink"/>
                <w:noProof/>
              </w:rPr>
              <w:t>4.1 Introduction</w:t>
            </w:r>
            <w:r>
              <w:rPr>
                <w:noProof/>
                <w:webHidden/>
              </w:rPr>
              <w:tab/>
            </w:r>
            <w:r>
              <w:rPr>
                <w:noProof/>
                <w:webHidden/>
              </w:rPr>
              <w:fldChar w:fldCharType="begin"/>
            </w:r>
            <w:r>
              <w:rPr>
                <w:noProof/>
                <w:webHidden/>
              </w:rPr>
              <w:instrText xml:space="preserve"> PAGEREF _Toc228791237 \h </w:instrText>
            </w:r>
            <w:r>
              <w:rPr>
                <w:noProof/>
                <w:webHidden/>
              </w:rPr>
            </w:r>
            <w:r>
              <w:rPr>
                <w:noProof/>
                <w:webHidden/>
              </w:rPr>
              <w:fldChar w:fldCharType="separate"/>
            </w:r>
            <w:r>
              <w:rPr>
                <w:noProof/>
                <w:webHidden/>
              </w:rPr>
              <w:t>41</w:t>
            </w:r>
            <w:r>
              <w:rPr>
                <w:noProof/>
                <w:webHidden/>
              </w:rPr>
              <w:fldChar w:fldCharType="end"/>
            </w:r>
          </w:hyperlink>
        </w:p>
        <w:p w14:paraId="53B6A7F8" w14:textId="642133A3" w:rsidR="00CC69AD" w:rsidRDefault="00CC69AD">
          <w:pPr>
            <w:pStyle w:val="TOC2"/>
            <w:rPr>
              <w:rFonts w:asciiTheme="minorHAnsi" w:eastAsiaTheme="minorEastAsia" w:hAnsiTheme="minorHAnsi" w:cstheme="minorBidi"/>
              <w:noProof/>
              <w:kern w:val="2"/>
              <w14:ligatures w14:val="standardContextual"/>
            </w:rPr>
          </w:pPr>
          <w:hyperlink w:anchor="_Toc228791238" w:history="1">
            <w:r w:rsidRPr="00FA347C">
              <w:rPr>
                <w:rStyle w:val="Hyperlink"/>
                <w:noProof/>
              </w:rPr>
              <w:t>4.2 Theme 1: The Effects of Branding on Customer Loyalty in the European Automotive Industry</w:t>
            </w:r>
            <w:r>
              <w:rPr>
                <w:noProof/>
                <w:webHidden/>
              </w:rPr>
              <w:tab/>
            </w:r>
            <w:r>
              <w:rPr>
                <w:noProof/>
                <w:webHidden/>
              </w:rPr>
              <w:fldChar w:fldCharType="begin"/>
            </w:r>
            <w:r>
              <w:rPr>
                <w:noProof/>
                <w:webHidden/>
              </w:rPr>
              <w:instrText xml:space="preserve"> PAGEREF _Toc228791238 \h </w:instrText>
            </w:r>
            <w:r>
              <w:rPr>
                <w:noProof/>
                <w:webHidden/>
              </w:rPr>
            </w:r>
            <w:r>
              <w:rPr>
                <w:noProof/>
                <w:webHidden/>
              </w:rPr>
              <w:fldChar w:fldCharType="separate"/>
            </w:r>
            <w:r>
              <w:rPr>
                <w:noProof/>
                <w:webHidden/>
              </w:rPr>
              <w:t>41</w:t>
            </w:r>
            <w:r>
              <w:rPr>
                <w:noProof/>
                <w:webHidden/>
              </w:rPr>
              <w:fldChar w:fldCharType="end"/>
            </w:r>
          </w:hyperlink>
        </w:p>
        <w:p w14:paraId="2156C9E9" w14:textId="332883B8"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39" w:history="1">
            <w:r w:rsidRPr="00FA347C">
              <w:rPr>
                <w:rStyle w:val="Hyperlink"/>
                <w:noProof/>
              </w:rPr>
              <w:t>4.2.1 Brand Heritage as a Declining but Non-Trivial Loyalty Driver</w:t>
            </w:r>
            <w:r>
              <w:rPr>
                <w:noProof/>
                <w:webHidden/>
              </w:rPr>
              <w:tab/>
            </w:r>
            <w:r>
              <w:rPr>
                <w:noProof/>
                <w:webHidden/>
              </w:rPr>
              <w:fldChar w:fldCharType="begin"/>
            </w:r>
            <w:r>
              <w:rPr>
                <w:noProof/>
                <w:webHidden/>
              </w:rPr>
              <w:instrText xml:space="preserve"> PAGEREF _Toc228791239 \h </w:instrText>
            </w:r>
            <w:r>
              <w:rPr>
                <w:noProof/>
                <w:webHidden/>
              </w:rPr>
            </w:r>
            <w:r>
              <w:rPr>
                <w:noProof/>
                <w:webHidden/>
              </w:rPr>
              <w:fldChar w:fldCharType="separate"/>
            </w:r>
            <w:r>
              <w:rPr>
                <w:noProof/>
                <w:webHidden/>
              </w:rPr>
              <w:t>41</w:t>
            </w:r>
            <w:r>
              <w:rPr>
                <w:noProof/>
                <w:webHidden/>
              </w:rPr>
              <w:fldChar w:fldCharType="end"/>
            </w:r>
          </w:hyperlink>
        </w:p>
        <w:p w14:paraId="198CA9F1" w14:textId="45481194"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40" w:history="1">
            <w:r w:rsidRPr="00FA347C">
              <w:rPr>
                <w:rStyle w:val="Hyperlink"/>
                <w:noProof/>
              </w:rPr>
              <w:t>4.2.2 Digital Brand Identity as an Emerging Loyalty Determinant</w:t>
            </w:r>
            <w:r>
              <w:rPr>
                <w:noProof/>
                <w:webHidden/>
              </w:rPr>
              <w:tab/>
            </w:r>
            <w:r>
              <w:rPr>
                <w:noProof/>
                <w:webHidden/>
              </w:rPr>
              <w:fldChar w:fldCharType="begin"/>
            </w:r>
            <w:r>
              <w:rPr>
                <w:noProof/>
                <w:webHidden/>
              </w:rPr>
              <w:instrText xml:space="preserve"> PAGEREF _Toc228791240 \h </w:instrText>
            </w:r>
            <w:r>
              <w:rPr>
                <w:noProof/>
                <w:webHidden/>
              </w:rPr>
            </w:r>
            <w:r>
              <w:rPr>
                <w:noProof/>
                <w:webHidden/>
              </w:rPr>
              <w:fldChar w:fldCharType="separate"/>
            </w:r>
            <w:r>
              <w:rPr>
                <w:noProof/>
                <w:webHidden/>
              </w:rPr>
              <w:t>42</w:t>
            </w:r>
            <w:r>
              <w:rPr>
                <w:noProof/>
                <w:webHidden/>
              </w:rPr>
              <w:fldChar w:fldCharType="end"/>
            </w:r>
          </w:hyperlink>
        </w:p>
        <w:p w14:paraId="4460422A" w14:textId="74CA5BCD"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41" w:history="1">
            <w:r w:rsidRPr="00FA347C">
              <w:rPr>
                <w:rStyle w:val="Hyperlink"/>
                <w:noProof/>
              </w:rPr>
              <w:t>4.2.3 Trust Erosion and the Challenge of Simultaneous Disruption</w:t>
            </w:r>
            <w:r>
              <w:rPr>
                <w:noProof/>
                <w:webHidden/>
              </w:rPr>
              <w:tab/>
            </w:r>
            <w:r>
              <w:rPr>
                <w:noProof/>
                <w:webHidden/>
              </w:rPr>
              <w:fldChar w:fldCharType="begin"/>
            </w:r>
            <w:r>
              <w:rPr>
                <w:noProof/>
                <w:webHidden/>
              </w:rPr>
              <w:instrText xml:space="preserve"> PAGEREF _Toc228791241 \h </w:instrText>
            </w:r>
            <w:r>
              <w:rPr>
                <w:noProof/>
                <w:webHidden/>
              </w:rPr>
            </w:r>
            <w:r>
              <w:rPr>
                <w:noProof/>
                <w:webHidden/>
              </w:rPr>
              <w:fldChar w:fldCharType="separate"/>
            </w:r>
            <w:r>
              <w:rPr>
                <w:noProof/>
                <w:webHidden/>
              </w:rPr>
              <w:t>44</w:t>
            </w:r>
            <w:r>
              <w:rPr>
                <w:noProof/>
                <w:webHidden/>
              </w:rPr>
              <w:fldChar w:fldCharType="end"/>
            </w:r>
          </w:hyperlink>
        </w:p>
        <w:p w14:paraId="3BD72744" w14:textId="75C1FA13" w:rsidR="00CC69AD" w:rsidRDefault="00CC69AD">
          <w:pPr>
            <w:pStyle w:val="TOC2"/>
            <w:rPr>
              <w:rFonts w:asciiTheme="minorHAnsi" w:eastAsiaTheme="minorEastAsia" w:hAnsiTheme="minorHAnsi" w:cstheme="minorBidi"/>
              <w:noProof/>
              <w:kern w:val="2"/>
              <w14:ligatures w14:val="standardContextual"/>
            </w:rPr>
          </w:pPr>
          <w:hyperlink w:anchor="_Toc228791242" w:history="1">
            <w:r w:rsidRPr="00FA347C">
              <w:rPr>
                <w:rStyle w:val="Hyperlink"/>
                <w:noProof/>
              </w:rPr>
              <w:t>4.3 Theme 2: Customer Loyalty Challenges Related to Branding in the European Automotive Industry</w:t>
            </w:r>
            <w:r>
              <w:rPr>
                <w:noProof/>
                <w:webHidden/>
              </w:rPr>
              <w:tab/>
            </w:r>
            <w:r>
              <w:rPr>
                <w:noProof/>
                <w:webHidden/>
              </w:rPr>
              <w:fldChar w:fldCharType="begin"/>
            </w:r>
            <w:r>
              <w:rPr>
                <w:noProof/>
                <w:webHidden/>
              </w:rPr>
              <w:instrText xml:space="preserve"> PAGEREF _Toc228791242 \h </w:instrText>
            </w:r>
            <w:r>
              <w:rPr>
                <w:noProof/>
                <w:webHidden/>
              </w:rPr>
            </w:r>
            <w:r>
              <w:rPr>
                <w:noProof/>
                <w:webHidden/>
              </w:rPr>
              <w:fldChar w:fldCharType="separate"/>
            </w:r>
            <w:r>
              <w:rPr>
                <w:noProof/>
                <w:webHidden/>
              </w:rPr>
              <w:t>44</w:t>
            </w:r>
            <w:r>
              <w:rPr>
                <w:noProof/>
                <w:webHidden/>
              </w:rPr>
              <w:fldChar w:fldCharType="end"/>
            </w:r>
          </w:hyperlink>
        </w:p>
        <w:p w14:paraId="480A25A8" w14:textId="76C34C59"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43" w:history="1">
            <w:r w:rsidRPr="00FA347C">
              <w:rPr>
                <w:rStyle w:val="Hyperlink"/>
                <w:noProof/>
              </w:rPr>
              <w:t>4.3.1 The Value-Price Challenge from Asian Entrants</w:t>
            </w:r>
            <w:r>
              <w:rPr>
                <w:noProof/>
                <w:webHidden/>
              </w:rPr>
              <w:tab/>
            </w:r>
            <w:r>
              <w:rPr>
                <w:noProof/>
                <w:webHidden/>
              </w:rPr>
              <w:fldChar w:fldCharType="begin"/>
            </w:r>
            <w:r>
              <w:rPr>
                <w:noProof/>
                <w:webHidden/>
              </w:rPr>
              <w:instrText xml:space="preserve"> PAGEREF _Toc228791243 \h </w:instrText>
            </w:r>
            <w:r>
              <w:rPr>
                <w:noProof/>
                <w:webHidden/>
              </w:rPr>
            </w:r>
            <w:r>
              <w:rPr>
                <w:noProof/>
                <w:webHidden/>
              </w:rPr>
              <w:fldChar w:fldCharType="separate"/>
            </w:r>
            <w:r>
              <w:rPr>
                <w:noProof/>
                <w:webHidden/>
              </w:rPr>
              <w:t>45</w:t>
            </w:r>
            <w:r>
              <w:rPr>
                <w:noProof/>
                <w:webHidden/>
              </w:rPr>
              <w:fldChar w:fldCharType="end"/>
            </w:r>
          </w:hyperlink>
        </w:p>
        <w:p w14:paraId="48538296" w14:textId="7EDAE43C"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44" w:history="1">
            <w:r w:rsidRPr="00FA347C">
              <w:rPr>
                <w:rStyle w:val="Hyperlink"/>
                <w:noProof/>
              </w:rPr>
              <w:t>4.3.2 Customer Journey Fragmentation</w:t>
            </w:r>
            <w:r>
              <w:rPr>
                <w:noProof/>
                <w:webHidden/>
              </w:rPr>
              <w:tab/>
            </w:r>
            <w:r>
              <w:rPr>
                <w:noProof/>
                <w:webHidden/>
              </w:rPr>
              <w:fldChar w:fldCharType="begin"/>
            </w:r>
            <w:r>
              <w:rPr>
                <w:noProof/>
                <w:webHidden/>
              </w:rPr>
              <w:instrText xml:space="preserve"> PAGEREF _Toc228791244 \h </w:instrText>
            </w:r>
            <w:r>
              <w:rPr>
                <w:noProof/>
                <w:webHidden/>
              </w:rPr>
            </w:r>
            <w:r>
              <w:rPr>
                <w:noProof/>
                <w:webHidden/>
              </w:rPr>
              <w:fldChar w:fldCharType="separate"/>
            </w:r>
            <w:r>
              <w:rPr>
                <w:noProof/>
                <w:webHidden/>
              </w:rPr>
              <w:t>46</w:t>
            </w:r>
            <w:r>
              <w:rPr>
                <w:noProof/>
                <w:webHidden/>
              </w:rPr>
              <w:fldChar w:fldCharType="end"/>
            </w:r>
          </w:hyperlink>
        </w:p>
        <w:p w14:paraId="46C58531" w14:textId="054B4332"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45" w:history="1">
            <w:r w:rsidRPr="00FA347C">
              <w:rPr>
                <w:rStyle w:val="Hyperlink"/>
                <w:noProof/>
              </w:rPr>
              <w:t>4.3.3 Generational Value Shift and the Sustainability Issue</w:t>
            </w:r>
            <w:r>
              <w:rPr>
                <w:noProof/>
                <w:webHidden/>
              </w:rPr>
              <w:tab/>
            </w:r>
            <w:r>
              <w:rPr>
                <w:noProof/>
                <w:webHidden/>
              </w:rPr>
              <w:fldChar w:fldCharType="begin"/>
            </w:r>
            <w:r>
              <w:rPr>
                <w:noProof/>
                <w:webHidden/>
              </w:rPr>
              <w:instrText xml:space="preserve"> PAGEREF _Toc228791245 \h </w:instrText>
            </w:r>
            <w:r>
              <w:rPr>
                <w:noProof/>
                <w:webHidden/>
              </w:rPr>
            </w:r>
            <w:r>
              <w:rPr>
                <w:noProof/>
                <w:webHidden/>
              </w:rPr>
              <w:fldChar w:fldCharType="separate"/>
            </w:r>
            <w:r>
              <w:rPr>
                <w:noProof/>
                <w:webHidden/>
              </w:rPr>
              <w:t>46</w:t>
            </w:r>
            <w:r>
              <w:rPr>
                <w:noProof/>
                <w:webHidden/>
              </w:rPr>
              <w:fldChar w:fldCharType="end"/>
            </w:r>
          </w:hyperlink>
        </w:p>
        <w:p w14:paraId="22937455" w14:textId="290A4DD3" w:rsidR="00CC69AD" w:rsidRDefault="00CC69AD">
          <w:pPr>
            <w:pStyle w:val="TOC2"/>
            <w:rPr>
              <w:rFonts w:asciiTheme="minorHAnsi" w:eastAsiaTheme="minorEastAsia" w:hAnsiTheme="minorHAnsi" w:cstheme="minorBidi"/>
              <w:noProof/>
              <w:kern w:val="2"/>
              <w14:ligatures w14:val="standardContextual"/>
            </w:rPr>
          </w:pPr>
          <w:hyperlink w:anchor="_Toc228791246" w:history="1">
            <w:r w:rsidRPr="00FA347C">
              <w:rPr>
                <w:rStyle w:val="Hyperlink"/>
                <w:noProof/>
              </w:rPr>
              <w:t>4.4 Theme 3: Strategies to Overcome Branding Challenges and Build Loyalty</w:t>
            </w:r>
            <w:r>
              <w:rPr>
                <w:noProof/>
                <w:webHidden/>
              </w:rPr>
              <w:tab/>
            </w:r>
            <w:r>
              <w:rPr>
                <w:noProof/>
                <w:webHidden/>
              </w:rPr>
              <w:fldChar w:fldCharType="begin"/>
            </w:r>
            <w:r>
              <w:rPr>
                <w:noProof/>
                <w:webHidden/>
              </w:rPr>
              <w:instrText xml:space="preserve"> PAGEREF _Toc228791246 \h </w:instrText>
            </w:r>
            <w:r>
              <w:rPr>
                <w:noProof/>
                <w:webHidden/>
              </w:rPr>
            </w:r>
            <w:r>
              <w:rPr>
                <w:noProof/>
                <w:webHidden/>
              </w:rPr>
              <w:fldChar w:fldCharType="separate"/>
            </w:r>
            <w:r>
              <w:rPr>
                <w:noProof/>
                <w:webHidden/>
              </w:rPr>
              <w:t>47</w:t>
            </w:r>
            <w:r>
              <w:rPr>
                <w:noProof/>
                <w:webHidden/>
              </w:rPr>
              <w:fldChar w:fldCharType="end"/>
            </w:r>
          </w:hyperlink>
        </w:p>
        <w:p w14:paraId="0DE297F4" w14:textId="5A5D2813"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47" w:history="1">
            <w:r w:rsidRPr="00FA347C">
              <w:rPr>
                <w:rStyle w:val="Hyperlink"/>
                <w:noProof/>
              </w:rPr>
              <w:t>4.4.1 Direct-to-Consumer Model Transition</w:t>
            </w:r>
            <w:r>
              <w:rPr>
                <w:noProof/>
                <w:webHidden/>
              </w:rPr>
              <w:tab/>
            </w:r>
            <w:r>
              <w:rPr>
                <w:noProof/>
                <w:webHidden/>
              </w:rPr>
              <w:fldChar w:fldCharType="begin"/>
            </w:r>
            <w:r>
              <w:rPr>
                <w:noProof/>
                <w:webHidden/>
              </w:rPr>
              <w:instrText xml:space="preserve"> PAGEREF _Toc228791247 \h </w:instrText>
            </w:r>
            <w:r>
              <w:rPr>
                <w:noProof/>
                <w:webHidden/>
              </w:rPr>
            </w:r>
            <w:r>
              <w:rPr>
                <w:noProof/>
                <w:webHidden/>
              </w:rPr>
              <w:fldChar w:fldCharType="separate"/>
            </w:r>
            <w:r>
              <w:rPr>
                <w:noProof/>
                <w:webHidden/>
              </w:rPr>
              <w:t>48</w:t>
            </w:r>
            <w:r>
              <w:rPr>
                <w:noProof/>
                <w:webHidden/>
              </w:rPr>
              <w:fldChar w:fldCharType="end"/>
            </w:r>
          </w:hyperlink>
        </w:p>
        <w:p w14:paraId="48EC3286" w14:textId="57D56719"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48" w:history="1">
            <w:r w:rsidRPr="00FA347C">
              <w:rPr>
                <w:rStyle w:val="Hyperlink"/>
                <w:noProof/>
              </w:rPr>
              <w:t>4.4.2 Software-Defined Vehicle Development</w:t>
            </w:r>
            <w:r>
              <w:rPr>
                <w:noProof/>
                <w:webHidden/>
              </w:rPr>
              <w:tab/>
            </w:r>
            <w:r>
              <w:rPr>
                <w:noProof/>
                <w:webHidden/>
              </w:rPr>
              <w:fldChar w:fldCharType="begin"/>
            </w:r>
            <w:r>
              <w:rPr>
                <w:noProof/>
                <w:webHidden/>
              </w:rPr>
              <w:instrText xml:space="preserve"> PAGEREF _Toc228791248 \h </w:instrText>
            </w:r>
            <w:r>
              <w:rPr>
                <w:noProof/>
                <w:webHidden/>
              </w:rPr>
            </w:r>
            <w:r>
              <w:rPr>
                <w:noProof/>
                <w:webHidden/>
              </w:rPr>
              <w:fldChar w:fldCharType="separate"/>
            </w:r>
            <w:r>
              <w:rPr>
                <w:noProof/>
                <w:webHidden/>
              </w:rPr>
              <w:t>48</w:t>
            </w:r>
            <w:r>
              <w:rPr>
                <w:noProof/>
                <w:webHidden/>
              </w:rPr>
              <w:fldChar w:fldCharType="end"/>
            </w:r>
          </w:hyperlink>
        </w:p>
        <w:p w14:paraId="285B1214" w14:textId="43A8232C"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49" w:history="1">
            <w:r w:rsidRPr="00FA347C">
              <w:rPr>
                <w:rStyle w:val="Hyperlink"/>
                <w:noProof/>
              </w:rPr>
              <w:t>4.4.3 Authentic Sustainability Positioning</w:t>
            </w:r>
            <w:r>
              <w:rPr>
                <w:noProof/>
                <w:webHidden/>
              </w:rPr>
              <w:tab/>
            </w:r>
            <w:r>
              <w:rPr>
                <w:noProof/>
                <w:webHidden/>
              </w:rPr>
              <w:fldChar w:fldCharType="begin"/>
            </w:r>
            <w:r>
              <w:rPr>
                <w:noProof/>
                <w:webHidden/>
              </w:rPr>
              <w:instrText xml:space="preserve"> PAGEREF _Toc228791249 \h </w:instrText>
            </w:r>
            <w:r>
              <w:rPr>
                <w:noProof/>
                <w:webHidden/>
              </w:rPr>
            </w:r>
            <w:r>
              <w:rPr>
                <w:noProof/>
                <w:webHidden/>
              </w:rPr>
              <w:fldChar w:fldCharType="separate"/>
            </w:r>
            <w:r>
              <w:rPr>
                <w:noProof/>
                <w:webHidden/>
              </w:rPr>
              <w:t>49</w:t>
            </w:r>
            <w:r>
              <w:rPr>
                <w:noProof/>
                <w:webHidden/>
              </w:rPr>
              <w:fldChar w:fldCharType="end"/>
            </w:r>
          </w:hyperlink>
        </w:p>
        <w:p w14:paraId="48D1431C" w14:textId="339A8448"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50" w:history="1">
            <w:r w:rsidRPr="00FA347C">
              <w:rPr>
                <w:rStyle w:val="Hyperlink"/>
                <w:noProof/>
              </w:rPr>
              <w:t>4.4.4 Subscription-Based Loyalty Ecosystems</w:t>
            </w:r>
            <w:r>
              <w:rPr>
                <w:noProof/>
                <w:webHidden/>
              </w:rPr>
              <w:tab/>
            </w:r>
            <w:r>
              <w:rPr>
                <w:noProof/>
                <w:webHidden/>
              </w:rPr>
              <w:fldChar w:fldCharType="begin"/>
            </w:r>
            <w:r>
              <w:rPr>
                <w:noProof/>
                <w:webHidden/>
              </w:rPr>
              <w:instrText xml:space="preserve"> PAGEREF _Toc228791250 \h </w:instrText>
            </w:r>
            <w:r>
              <w:rPr>
                <w:noProof/>
                <w:webHidden/>
              </w:rPr>
            </w:r>
            <w:r>
              <w:rPr>
                <w:noProof/>
                <w:webHidden/>
              </w:rPr>
              <w:fldChar w:fldCharType="separate"/>
            </w:r>
            <w:r>
              <w:rPr>
                <w:noProof/>
                <w:webHidden/>
              </w:rPr>
              <w:t>50</w:t>
            </w:r>
            <w:r>
              <w:rPr>
                <w:noProof/>
                <w:webHidden/>
              </w:rPr>
              <w:fldChar w:fldCharType="end"/>
            </w:r>
          </w:hyperlink>
        </w:p>
        <w:p w14:paraId="1F086BB4" w14:textId="04F26F27" w:rsidR="00CC69AD" w:rsidRDefault="00CC69AD">
          <w:pPr>
            <w:pStyle w:val="TOC2"/>
            <w:rPr>
              <w:rFonts w:asciiTheme="minorHAnsi" w:eastAsiaTheme="minorEastAsia" w:hAnsiTheme="minorHAnsi" w:cstheme="minorBidi"/>
              <w:noProof/>
              <w:kern w:val="2"/>
              <w14:ligatures w14:val="standardContextual"/>
            </w:rPr>
          </w:pPr>
          <w:hyperlink w:anchor="_Toc228791251" w:history="1">
            <w:r w:rsidRPr="00FA347C">
              <w:rPr>
                <w:rStyle w:val="Hyperlink"/>
                <w:noProof/>
              </w:rPr>
              <w:t>4.5 Theme 4: Customer Retention and Loyalty-Building Strategies European Automotive Brands Should Prioritise</w:t>
            </w:r>
            <w:r>
              <w:rPr>
                <w:noProof/>
                <w:webHidden/>
              </w:rPr>
              <w:tab/>
            </w:r>
            <w:r>
              <w:rPr>
                <w:noProof/>
                <w:webHidden/>
              </w:rPr>
              <w:fldChar w:fldCharType="begin"/>
            </w:r>
            <w:r>
              <w:rPr>
                <w:noProof/>
                <w:webHidden/>
              </w:rPr>
              <w:instrText xml:space="preserve"> PAGEREF _Toc228791251 \h </w:instrText>
            </w:r>
            <w:r>
              <w:rPr>
                <w:noProof/>
                <w:webHidden/>
              </w:rPr>
            </w:r>
            <w:r>
              <w:rPr>
                <w:noProof/>
                <w:webHidden/>
              </w:rPr>
              <w:fldChar w:fldCharType="separate"/>
            </w:r>
            <w:r>
              <w:rPr>
                <w:noProof/>
                <w:webHidden/>
              </w:rPr>
              <w:t>51</w:t>
            </w:r>
            <w:r>
              <w:rPr>
                <w:noProof/>
                <w:webHidden/>
              </w:rPr>
              <w:fldChar w:fldCharType="end"/>
            </w:r>
          </w:hyperlink>
        </w:p>
        <w:p w14:paraId="2118ACC3" w14:textId="632336D7"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52" w:history="1">
            <w:r w:rsidRPr="00FA347C">
              <w:rPr>
                <w:rStyle w:val="Hyperlink"/>
                <w:noProof/>
              </w:rPr>
              <w:t>4.5.1 First Priority: Establish Data Infrastructure through Retail Model Reform</w:t>
            </w:r>
            <w:r>
              <w:rPr>
                <w:noProof/>
                <w:webHidden/>
              </w:rPr>
              <w:tab/>
            </w:r>
            <w:r>
              <w:rPr>
                <w:noProof/>
                <w:webHidden/>
              </w:rPr>
              <w:fldChar w:fldCharType="begin"/>
            </w:r>
            <w:r>
              <w:rPr>
                <w:noProof/>
                <w:webHidden/>
              </w:rPr>
              <w:instrText xml:space="preserve"> PAGEREF _Toc228791252 \h </w:instrText>
            </w:r>
            <w:r>
              <w:rPr>
                <w:noProof/>
                <w:webHidden/>
              </w:rPr>
            </w:r>
            <w:r>
              <w:rPr>
                <w:noProof/>
                <w:webHidden/>
              </w:rPr>
              <w:fldChar w:fldCharType="separate"/>
            </w:r>
            <w:r>
              <w:rPr>
                <w:noProof/>
                <w:webHidden/>
              </w:rPr>
              <w:t>51</w:t>
            </w:r>
            <w:r>
              <w:rPr>
                <w:noProof/>
                <w:webHidden/>
              </w:rPr>
              <w:fldChar w:fldCharType="end"/>
            </w:r>
          </w:hyperlink>
        </w:p>
        <w:p w14:paraId="4AA87C8C" w14:textId="4EEC56CB"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53" w:history="1">
            <w:r w:rsidRPr="00FA347C">
              <w:rPr>
                <w:rStyle w:val="Hyperlink"/>
                <w:noProof/>
              </w:rPr>
              <w:t>4.5.2 Second Priority: Rebuild Trust through Demonstrated Technological Competence</w:t>
            </w:r>
            <w:r>
              <w:rPr>
                <w:noProof/>
                <w:webHidden/>
              </w:rPr>
              <w:tab/>
            </w:r>
            <w:r>
              <w:rPr>
                <w:noProof/>
                <w:webHidden/>
              </w:rPr>
              <w:fldChar w:fldCharType="begin"/>
            </w:r>
            <w:r>
              <w:rPr>
                <w:noProof/>
                <w:webHidden/>
              </w:rPr>
              <w:instrText xml:space="preserve"> PAGEREF _Toc228791253 \h </w:instrText>
            </w:r>
            <w:r>
              <w:rPr>
                <w:noProof/>
                <w:webHidden/>
              </w:rPr>
            </w:r>
            <w:r>
              <w:rPr>
                <w:noProof/>
                <w:webHidden/>
              </w:rPr>
              <w:fldChar w:fldCharType="separate"/>
            </w:r>
            <w:r>
              <w:rPr>
                <w:noProof/>
                <w:webHidden/>
              </w:rPr>
              <w:t>52</w:t>
            </w:r>
            <w:r>
              <w:rPr>
                <w:noProof/>
                <w:webHidden/>
              </w:rPr>
              <w:fldChar w:fldCharType="end"/>
            </w:r>
          </w:hyperlink>
        </w:p>
        <w:p w14:paraId="3CBEDA2E" w14:textId="06C75965" w:rsidR="00CC69AD" w:rsidRDefault="00CC69AD">
          <w:pPr>
            <w:pStyle w:val="TOC3"/>
            <w:tabs>
              <w:tab w:val="right" w:leader="dot" w:pos="8656"/>
            </w:tabs>
            <w:rPr>
              <w:rFonts w:asciiTheme="minorHAnsi" w:eastAsiaTheme="minorEastAsia" w:hAnsiTheme="minorHAnsi" w:cstheme="minorBidi"/>
              <w:noProof/>
              <w:kern w:val="2"/>
              <w14:ligatures w14:val="standardContextual"/>
            </w:rPr>
          </w:pPr>
          <w:hyperlink w:anchor="_Toc228791254" w:history="1">
            <w:r w:rsidRPr="00FA347C">
              <w:rPr>
                <w:rStyle w:val="Hyperlink"/>
                <w:noProof/>
              </w:rPr>
              <w:t>4.5.3 Third Priority: Differentiate Through Sustainability Authenticity</w:t>
            </w:r>
            <w:r>
              <w:rPr>
                <w:noProof/>
                <w:webHidden/>
              </w:rPr>
              <w:tab/>
            </w:r>
            <w:r>
              <w:rPr>
                <w:noProof/>
                <w:webHidden/>
              </w:rPr>
              <w:fldChar w:fldCharType="begin"/>
            </w:r>
            <w:r>
              <w:rPr>
                <w:noProof/>
                <w:webHidden/>
              </w:rPr>
              <w:instrText xml:space="preserve"> PAGEREF _Toc228791254 \h </w:instrText>
            </w:r>
            <w:r>
              <w:rPr>
                <w:noProof/>
                <w:webHidden/>
              </w:rPr>
            </w:r>
            <w:r>
              <w:rPr>
                <w:noProof/>
                <w:webHidden/>
              </w:rPr>
              <w:fldChar w:fldCharType="separate"/>
            </w:r>
            <w:r>
              <w:rPr>
                <w:noProof/>
                <w:webHidden/>
              </w:rPr>
              <w:t>52</w:t>
            </w:r>
            <w:r>
              <w:rPr>
                <w:noProof/>
                <w:webHidden/>
              </w:rPr>
              <w:fldChar w:fldCharType="end"/>
            </w:r>
          </w:hyperlink>
        </w:p>
        <w:p w14:paraId="00C4EFF4" w14:textId="7DDA2F05" w:rsidR="00CC69AD" w:rsidRDefault="00CC69AD">
          <w:pPr>
            <w:pStyle w:val="TOC2"/>
            <w:rPr>
              <w:rFonts w:asciiTheme="minorHAnsi" w:eastAsiaTheme="minorEastAsia" w:hAnsiTheme="minorHAnsi" w:cstheme="minorBidi"/>
              <w:noProof/>
              <w:kern w:val="2"/>
              <w14:ligatures w14:val="standardContextual"/>
            </w:rPr>
          </w:pPr>
          <w:hyperlink w:anchor="_Toc228791255" w:history="1">
            <w:r w:rsidRPr="00FA347C">
              <w:rPr>
                <w:rStyle w:val="Hyperlink"/>
                <w:noProof/>
              </w:rPr>
              <w:t>4.6 Discussion: Relationship Marketing Theory</w:t>
            </w:r>
            <w:r>
              <w:rPr>
                <w:noProof/>
                <w:webHidden/>
              </w:rPr>
              <w:tab/>
            </w:r>
            <w:r>
              <w:rPr>
                <w:noProof/>
                <w:webHidden/>
              </w:rPr>
              <w:fldChar w:fldCharType="begin"/>
            </w:r>
            <w:r>
              <w:rPr>
                <w:noProof/>
                <w:webHidden/>
              </w:rPr>
              <w:instrText xml:space="preserve"> PAGEREF _Toc228791255 \h </w:instrText>
            </w:r>
            <w:r>
              <w:rPr>
                <w:noProof/>
                <w:webHidden/>
              </w:rPr>
            </w:r>
            <w:r>
              <w:rPr>
                <w:noProof/>
                <w:webHidden/>
              </w:rPr>
              <w:fldChar w:fldCharType="separate"/>
            </w:r>
            <w:r>
              <w:rPr>
                <w:noProof/>
                <w:webHidden/>
              </w:rPr>
              <w:t>53</w:t>
            </w:r>
            <w:r>
              <w:rPr>
                <w:noProof/>
                <w:webHidden/>
              </w:rPr>
              <w:fldChar w:fldCharType="end"/>
            </w:r>
          </w:hyperlink>
        </w:p>
        <w:p w14:paraId="1E3623EE" w14:textId="6F7459CD" w:rsidR="00CC69AD" w:rsidRDefault="00CC69AD">
          <w:pPr>
            <w:pStyle w:val="TOC2"/>
            <w:rPr>
              <w:rFonts w:asciiTheme="minorHAnsi" w:eastAsiaTheme="minorEastAsia" w:hAnsiTheme="minorHAnsi" w:cstheme="minorBidi"/>
              <w:noProof/>
              <w:kern w:val="2"/>
              <w14:ligatures w14:val="standardContextual"/>
            </w:rPr>
          </w:pPr>
          <w:hyperlink w:anchor="_Toc228791256" w:history="1">
            <w:r w:rsidRPr="00FA347C">
              <w:rPr>
                <w:rStyle w:val="Hyperlink"/>
                <w:noProof/>
              </w:rPr>
              <w:t>4.7 Conclusion of the Chapter</w:t>
            </w:r>
            <w:r>
              <w:rPr>
                <w:noProof/>
                <w:webHidden/>
              </w:rPr>
              <w:tab/>
            </w:r>
            <w:r>
              <w:rPr>
                <w:noProof/>
                <w:webHidden/>
              </w:rPr>
              <w:fldChar w:fldCharType="begin"/>
            </w:r>
            <w:r>
              <w:rPr>
                <w:noProof/>
                <w:webHidden/>
              </w:rPr>
              <w:instrText xml:space="preserve"> PAGEREF _Toc228791256 \h </w:instrText>
            </w:r>
            <w:r>
              <w:rPr>
                <w:noProof/>
                <w:webHidden/>
              </w:rPr>
            </w:r>
            <w:r>
              <w:rPr>
                <w:noProof/>
                <w:webHidden/>
              </w:rPr>
              <w:fldChar w:fldCharType="separate"/>
            </w:r>
            <w:r>
              <w:rPr>
                <w:noProof/>
                <w:webHidden/>
              </w:rPr>
              <w:t>56</w:t>
            </w:r>
            <w:r>
              <w:rPr>
                <w:noProof/>
                <w:webHidden/>
              </w:rPr>
              <w:fldChar w:fldCharType="end"/>
            </w:r>
          </w:hyperlink>
        </w:p>
        <w:p w14:paraId="1E0D3576" w14:textId="427C44CE"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257" w:history="1">
            <w:r w:rsidRPr="00FA347C">
              <w:rPr>
                <w:rStyle w:val="Hyperlink"/>
                <w:noProof/>
              </w:rPr>
              <w:t>CHAPTER 5: CONCLUSIONS AND RECOMMENDATIONS</w:t>
            </w:r>
            <w:r>
              <w:rPr>
                <w:noProof/>
                <w:webHidden/>
              </w:rPr>
              <w:tab/>
            </w:r>
            <w:r>
              <w:rPr>
                <w:noProof/>
                <w:webHidden/>
              </w:rPr>
              <w:fldChar w:fldCharType="begin"/>
            </w:r>
            <w:r>
              <w:rPr>
                <w:noProof/>
                <w:webHidden/>
              </w:rPr>
              <w:instrText xml:space="preserve"> PAGEREF _Toc228791257 \h </w:instrText>
            </w:r>
            <w:r>
              <w:rPr>
                <w:noProof/>
                <w:webHidden/>
              </w:rPr>
            </w:r>
            <w:r>
              <w:rPr>
                <w:noProof/>
                <w:webHidden/>
              </w:rPr>
              <w:fldChar w:fldCharType="separate"/>
            </w:r>
            <w:r>
              <w:rPr>
                <w:noProof/>
                <w:webHidden/>
              </w:rPr>
              <w:t>57</w:t>
            </w:r>
            <w:r>
              <w:rPr>
                <w:noProof/>
                <w:webHidden/>
              </w:rPr>
              <w:fldChar w:fldCharType="end"/>
            </w:r>
          </w:hyperlink>
        </w:p>
        <w:p w14:paraId="7BC8A03B" w14:textId="243524FF"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258" w:history="1">
            <w:r w:rsidRPr="00FA347C">
              <w:rPr>
                <w:rStyle w:val="Hyperlink"/>
                <w:noProof/>
              </w:rPr>
              <w:t>5.1 Introduction</w:t>
            </w:r>
            <w:r>
              <w:rPr>
                <w:noProof/>
                <w:webHidden/>
              </w:rPr>
              <w:tab/>
            </w:r>
            <w:r>
              <w:rPr>
                <w:noProof/>
                <w:webHidden/>
              </w:rPr>
              <w:fldChar w:fldCharType="begin"/>
            </w:r>
            <w:r>
              <w:rPr>
                <w:noProof/>
                <w:webHidden/>
              </w:rPr>
              <w:instrText xml:space="preserve"> PAGEREF _Toc228791258 \h </w:instrText>
            </w:r>
            <w:r>
              <w:rPr>
                <w:noProof/>
                <w:webHidden/>
              </w:rPr>
            </w:r>
            <w:r>
              <w:rPr>
                <w:noProof/>
                <w:webHidden/>
              </w:rPr>
              <w:fldChar w:fldCharType="separate"/>
            </w:r>
            <w:r>
              <w:rPr>
                <w:noProof/>
                <w:webHidden/>
              </w:rPr>
              <w:t>57</w:t>
            </w:r>
            <w:r>
              <w:rPr>
                <w:noProof/>
                <w:webHidden/>
              </w:rPr>
              <w:fldChar w:fldCharType="end"/>
            </w:r>
          </w:hyperlink>
        </w:p>
        <w:p w14:paraId="5AB7EE02" w14:textId="1490228F" w:rsidR="00CC69AD" w:rsidRDefault="00CC69AD">
          <w:pPr>
            <w:pStyle w:val="TOC2"/>
            <w:rPr>
              <w:rFonts w:asciiTheme="minorHAnsi" w:eastAsiaTheme="minorEastAsia" w:hAnsiTheme="minorHAnsi" w:cstheme="minorBidi"/>
              <w:noProof/>
              <w:kern w:val="2"/>
              <w14:ligatures w14:val="standardContextual"/>
            </w:rPr>
          </w:pPr>
          <w:hyperlink w:anchor="_Toc228791259" w:history="1">
            <w:r w:rsidRPr="00FA347C">
              <w:rPr>
                <w:rStyle w:val="Hyperlink"/>
                <w:noProof/>
              </w:rPr>
              <w:t>5.2 Summary of Main Findings</w:t>
            </w:r>
            <w:r>
              <w:rPr>
                <w:noProof/>
                <w:webHidden/>
              </w:rPr>
              <w:tab/>
            </w:r>
            <w:r>
              <w:rPr>
                <w:noProof/>
                <w:webHidden/>
              </w:rPr>
              <w:fldChar w:fldCharType="begin"/>
            </w:r>
            <w:r>
              <w:rPr>
                <w:noProof/>
                <w:webHidden/>
              </w:rPr>
              <w:instrText xml:space="preserve"> PAGEREF _Toc228791259 \h </w:instrText>
            </w:r>
            <w:r>
              <w:rPr>
                <w:noProof/>
                <w:webHidden/>
              </w:rPr>
            </w:r>
            <w:r>
              <w:rPr>
                <w:noProof/>
                <w:webHidden/>
              </w:rPr>
              <w:fldChar w:fldCharType="separate"/>
            </w:r>
            <w:r>
              <w:rPr>
                <w:noProof/>
                <w:webHidden/>
              </w:rPr>
              <w:t>57</w:t>
            </w:r>
            <w:r>
              <w:rPr>
                <w:noProof/>
                <w:webHidden/>
              </w:rPr>
              <w:fldChar w:fldCharType="end"/>
            </w:r>
          </w:hyperlink>
        </w:p>
        <w:p w14:paraId="5D329A9E" w14:textId="741271BE" w:rsidR="00CC69AD" w:rsidRDefault="00CC69AD">
          <w:pPr>
            <w:pStyle w:val="TOC2"/>
            <w:rPr>
              <w:rFonts w:asciiTheme="minorHAnsi" w:eastAsiaTheme="minorEastAsia" w:hAnsiTheme="minorHAnsi" w:cstheme="minorBidi"/>
              <w:noProof/>
              <w:kern w:val="2"/>
              <w14:ligatures w14:val="standardContextual"/>
            </w:rPr>
          </w:pPr>
          <w:hyperlink w:anchor="_Toc228791260" w:history="1">
            <w:r w:rsidRPr="00FA347C">
              <w:rPr>
                <w:rStyle w:val="Hyperlink"/>
                <w:noProof/>
              </w:rPr>
              <w:t>5.3 Conclusions Based on the Research Questions</w:t>
            </w:r>
            <w:r>
              <w:rPr>
                <w:noProof/>
                <w:webHidden/>
              </w:rPr>
              <w:tab/>
            </w:r>
            <w:r>
              <w:rPr>
                <w:noProof/>
                <w:webHidden/>
              </w:rPr>
              <w:fldChar w:fldCharType="begin"/>
            </w:r>
            <w:r>
              <w:rPr>
                <w:noProof/>
                <w:webHidden/>
              </w:rPr>
              <w:instrText xml:space="preserve"> PAGEREF _Toc228791260 \h </w:instrText>
            </w:r>
            <w:r>
              <w:rPr>
                <w:noProof/>
                <w:webHidden/>
              </w:rPr>
            </w:r>
            <w:r>
              <w:rPr>
                <w:noProof/>
                <w:webHidden/>
              </w:rPr>
              <w:fldChar w:fldCharType="separate"/>
            </w:r>
            <w:r>
              <w:rPr>
                <w:noProof/>
                <w:webHidden/>
              </w:rPr>
              <w:t>58</w:t>
            </w:r>
            <w:r>
              <w:rPr>
                <w:noProof/>
                <w:webHidden/>
              </w:rPr>
              <w:fldChar w:fldCharType="end"/>
            </w:r>
          </w:hyperlink>
        </w:p>
        <w:p w14:paraId="79627BB5" w14:textId="2B97A3C6" w:rsidR="00CC69AD" w:rsidRDefault="00CC69AD">
          <w:pPr>
            <w:pStyle w:val="TOC2"/>
            <w:rPr>
              <w:rFonts w:asciiTheme="minorHAnsi" w:eastAsiaTheme="minorEastAsia" w:hAnsiTheme="minorHAnsi" w:cstheme="minorBidi"/>
              <w:noProof/>
              <w:kern w:val="2"/>
              <w14:ligatures w14:val="standardContextual"/>
            </w:rPr>
          </w:pPr>
          <w:hyperlink w:anchor="_Toc228791261" w:history="1">
            <w:r w:rsidRPr="00FA347C">
              <w:rPr>
                <w:rStyle w:val="Hyperlink"/>
                <w:noProof/>
              </w:rPr>
              <w:t>5.4 Recommendations</w:t>
            </w:r>
            <w:r>
              <w:rPr>
                <w:noProof/>
                <w:webHidden/>
              </w:rPr>
              <w:tab/>
            </w:r>
            <w:r>
              <w:rPr>
                <w:noProof/>
                <w:webHidden/>
              </w:rPr>
              <w:fldChar w:fldCharType="begin"/>
            </w:r>
            <w:r>
              <w:rPr>
                <w:noProof/>
                <w:webHidden/>
              </w:rPr>
              <w:instrText xml:space="preserve"> PAGEREF _Toc228791261 \h </w:instrText>
            </w:r>
            <w:r>
              <w:rPr>
                <w:noProof/>
                <w:webHidden/>
              </w:rPr>
            </w:r>
            <w:r>
              <w:rPr>
                <w:noProof/>
                <w:webHidden/>
              </w:rPr>
              <w:fldChar w:fldCharType="separate"/>
            </w:r>
            <w:r>
              <w:rPr>
                <w:noProof/>
                <w:webHidden/>
              </w:rPr>
              <w:t>59</w:t>
            </w:r>
            <w:r>
              <w:rPr>
                <w:noProof/>
                <w:webHidden/>
              </w:rPr>
              <w:fldChar w:fldCharType="end"/>
            </w:r>
          </w:hyperlink>
        </w:p>
        <w:p w14:paraId="5230C690" w14:textId="10D83BBD" w:rsidR="00CC69AD" w:rsidRDefault="00CC69AD">
          <w:pPr>
            <w:pStyle w:val="TOC2"/>
            <w:rPr>
              <w:rFonts w:asciiTheme="minorHAnsi" w:eastAsiaTheme="minorEastAsia" w:hAnsiTheme="minorHAnsi" w:cstheme="minorBidi"/>
              <w:noProof/>
              <w:kern w:val="2"/>
              <w14:ligatures w14:val="standardContextual"/>
            </w:rPr>
          </w:pPr>
          <w:hyperlink w:anchor="_Toc228791262" w:history="1">
            <w:r w:rsidRPr="00FA347C">
              <w:rPr>
                <w:rStyle w:val="Hyperlink"/>
                <w:noProof/>
              </w:rPr>
              <w:t>5.5 Limitations of the Research</w:t>
            </w:r>
            <w:r>
              <w:rPr>
                <w:noProof/>
                <w:webHidden/>
              </w:rPr>
              <w:tab/>
            </w:r>
            <w:r>
              <w:rPr>
                <w:noProof/>
                <w:webHidden/>
              </w:rPr>
              <w:fldChar w:fldCharType="begin"/>
            </w:r>
            <w:r>
              <w:rPr>
                <w:noProof/>
                <w:webHidden/>
              </w:rPr>
              <w:instrText xml:space="preserve"> PAGEREF _Toc228791262 \h </w:instrText>
            </w:r>
            <w:r>
              <w:rPr>
                <w:noProof/>
                <w:webHidden/>
              </w:rPr>
            </w:r>
            <w:r>
              <w:rPr>
                <w:noProof/>
                <w:webHidden/>
              </w:rPr>
              <w:fldChar w:fldCharType="separate"/>
            </w:r>
            <w:r>
              <w:rPr>
                <w:noProof/>
                <w:webHidden/>
              </w:rPr>
              <w:t>59</w:t>
            </w:r>
            <w:r>
              <w:rPr>
                <w:noProof/>
                <w:webHidden/>
              </w:rPr>
              <w:fldChar w:fldCharType="end"/>
            </w:r>
          </w:hyperlink>
        </w:p>
        <w:p w14:paraId="343E6D3C" w14:textId="75856B1A" w:rsidR="00CC69AD" w:rsidRDefault="00CC69AD">
          <w:pPr>
            <w:pStyle w:val="TOC2"/>
            <w:rPr>
              <w:rFonts w:asciiTheme="minorHAnsi" w:eastAsiaTheme="minorEastAsia" w:hAnsiTheme="minorHAnsi" w:cstheme="minorBidi"/>
              <w:noProof/>
              <w:kern w:val="2"/>
              <w14:ligatures w14:val="standardContextual"/>
            </w:rPr>
          </w:pPr>
          <w:hyperlink w:anchor="_Toc228791263" w:history="1">
            <w:r w:rsidRPr="00FA347C">
              <w:rPr>
                <w:rStyle w:val="Hyperlink"/>
                <w:noProof/>
              </w:rPr>
              <w:t>5.6 Recommendations for Future Research</w:t>
            </w:r>
            <w:r>
              <w:rPr>
                <w:noProof/>
                <w:webHidden/>
              </w:rPr>
              <w:tab/>
            </w:r>
            <w:r>
              <w:rPr>
                <w:noProof/>
                <w:webHidden/>
              </w:rPr>
              <w:fldChar w:fldCharType="begin"/>
            </w:r>
            <w:r>
              <w:rPr>
                <w:noProof/>
                <w:webHidden/>
              </w:rPr>
              <w:instrText xml:space="preserve"> PAGEREF _Toc228791263 \h </w:instrText>
            </w:r>
            <w:r>
              <w:rPr>
                <w:noProof/>
                <w:webHidden/>
              </w:rPr>
            </w:r>
            <w:r>
              <w:rPr>
                <w:noProof/>
                <w:webHidden/>
              </w:rPr>
              <w:fldChar w:fldCharType="separate"/>
            </w:r>
            <w:r>
              <w:rPr>
                <w:noProof/>
                <w:webHidden/>
              </w:rPr>
              <w:t>60</w:t>
            </w:r>
            <w:r>
              <w:rPr>
                <w:noProof/>
                <w:webHidden/>
              </w:rPr>
              <w:fldChar w:fldCharType="end"/>
            </w:r>
          </w:hyperlink>
        </w:p>
        <w:p w14:paraId="59F1785A" w14:textId="0E209962" w:rsidR="00CC69AD" w:rsidRDefault="00CC69AD">
          <w:pPr>
            <w:pStyle w:val="TOC2"/>
            <w:rPr>
              <w:rFonts w:asciiTheme="minorHAnsi" w:eastAsiaTheme="minorEastAsia" w:hAnsiTheme="minorHAnsi" w:cstheme="minorBidi"/>
              <w:noProof/>
              <w:kern w:val="2"/>
              <w14:ligatures w14:val="standardContextual"/>
            </w:rPr>
          </w:pPr>
          <w:hyperlink w:anchor="_Toc228791264" w:history="1">
            <w:r w:rsidRPr="00FA347C">
              <w:rPr>
                <w:rStyle w:val="Hyperlink"/>
                <w:noProof/>
              </w:rPr>
              <w:t>5.7 Conclusion of the Chapter</w:t>
            </w:r>
            <w:r>
              <w:rPr>
                <w:noProof/>
                <w:webHidden/>
              </w:rPr>
              <w:tab/>
            </w:r>
            <w:r>
              <w:rPr>
                <w:noProof/>
                <w:webHidden/>
              </w:rPr>
              <w:fldChar w:fldCharType="begin"/>
            </w:r>
            <w:r>
              <w:rPr>
                <w:noProof/>
                <w:webHidden/>
              </w:rPr>
              <w:instrText xml:space="preserve"> PAGEREF _Toc228791264 \h </w:instrText>
            </w:r>
            <w:r>
              <w:rPr>
                <w:noProof/>
                <w:webHidden/>
              </w:rPr>
            </w:r>
            <w:r>
              <w:rPr>
                <w:noProof/>
                <w:webHidden/>
              </w:rPr>
              <w:fldChar w:fldCharType="separate"/>
            </w:r>
            <w:r>
              <w:rPr>
                <w:noProof/>
                <w:webHidden/>
              </w:rPr>
              <w:t>61</w:t>
            </w:r>
            <w:r>
              <w:rPr>
                <w:noProof/>
                <w:webHidden/>
              </w:rPr>
              <w:fldChar w:fldCharType="end"/>
            </w:r>
          </w:hyperlink>
        </w:p>
        <w:p w14:paraId="1FA30192" w14:textId="5233E09A" w:rsidR="00CC69AD" w:rsidRDefault="00CC69AD">
          <w:pPr>
            <w:pStyle w:val="TOC1"/>
            <w:tabs>
              <w:tab w:val="right" w:leader="dot" w:pos="8656"/>
            </w:tabs>
            <w:rPr>
              <w:rFonts w:asciiTheme="minorHAnsi" w:eastAsiaTheme="minorEastAsia" w:hAnsiTheme="minorHAnsi" w:cstheme="minorBidi"/>
              <w:noProof/>
              <w:kern w:val="2"/>
              <w14:ligatures w14:val="standardContextual"/>
            </w:rPr>
          </w:pPr>
          <w:hyperlink w:anchor="_Toc228791265" w:history="1">
            <w:r w:rsidRPr="00FA347C">
              <w:rPr>
                <w:rStyle w:val="Hyperlink"/>
                <w:noProof/>
              </w:rPr>
              <w:t>Appendices</w:t>
            </w:r>
            <w:r>
              <w:rPr>
                <w:noProof/>
                <w:webHidden/>
              </w:rPr>
              <w:tab/>
            </w:r>
            <w:r>
              <w:rPr>
                <w:noProof/>
                <w:webHidden/>
              </w:rPr>
              <w:fldChar w:fldCharType="begin"/>
            </w:r>
            <w:r>
              <w:rPr>
                <w:noProof/>
                <w:webHidden/>
              </w:rPr>
              <w:instrText xml:space="preserve"> PAGEREF _Toc228791265 \h </w:instrText>
            </w:r>
            <w:r>
              <w:rPr>
                <w:noProof/>
                <w:webHidden/>
              </w:rPr>
            </w:r>
            <w:r>
              <w:rPr>
                <w:noProof/>
                <w:webHidden/>
              </w:rPr>
              <w:fldChar w:fldCharType="separate"/>
            </w:r>
            <w:r>
              <w:rPr>
                <w:noProof/>
                <w:webHidden/>
              </w:rPr>
              <w:t>69</w:t>
            </w:r>
            <w:r>
              <w:rPr>
                <w:noProof/>
                <w:webHidden/>
              </w:rPr>
              <w:fldChar w:fldCharType="end"/>
            </w:r>
          </w:hyperlink>
        </w:p>
        <w:p w14:paraId="4B7FEE98" w14:textId="47385EE2" w:rsidR="00CC69AD" w:rsidRDefault="00CC69AD">
          <w:pPr>
            <w:pStyle w:val="TOC2"/>
            <w:rPr>
              <w:rFonts w:asciiTheme="minorHAnsi" w:eastAsiaTheme="minorEastAsia" w:hAnsiTheme="minorHAnsi" w:cstheme="minorBidi"/>
              <w:noProof/>
              <w:kern w:val="2"/>
              <w14:ligatures w14:val="standardContextual"/>
            </w:rPr>
          </w:pPr>
          <w:hyperlink w:anchor="_Toc228791266" w:history="1">
            <w:r w:rsidRPr="00FA347C">
              <w:rPr>
                <w:rStyle w:val="Hyperlink"/>
                <w:noProof/>
              </w:rPr>
              <w:t>Appendix A: PRISMA Flow Diagram</w:t>
            </w:r>
            <w:r>
              <w:rPr>
                <w:noProof/>
                <w:webHidden/>
              </w:rPr>
              <w:tab/>
            </w:r>
            <w:r>
              <w:rPr>
                <w:noProof/>
                <w:webHidden/>
              </w:rPr>
              <w:fldChar w:fldCharType="begin"/>
            </w:r>
            <w:r>
              <w:rPr>
                <w:noProof/>
                <w:webHidden/>
              </w:rPr>
              <w:instrText xml:space="preserve"> PAGEREF _Toc228791266 \h </w:instrText>
            </w:r>
            <w:r>
              <w:rPr>
                <w:noProof/>
                <w:webHidden/>
              </w:rPr>
            </w:r>
            <w:r>
              <w:rPr>
                <w:noProof/>
                <w:webHidden/>
              </w:rPr>
              <w:fldChar w:fldCharType="separate"/>
            </w:r>
            <w:r>
              <w:rPr>
                <w:noProof/>
                <w:webHidden/>
              </w:rPr>
              <w:t>69</w:t>
            </w:r>
            <w:r>
              <w:rPr>
                <w:noProof/>
                <w:webHidden/>
              </w:rPr>
              <w:fldChar w:fldCharType="end"/>
            </w:r>
          </w:hyperlink>
        </w:p>
        <w:p w14:paraId="05F10BAC" w14:textId="17767BA5" w:rsidR="00CC69AD" w:rsidRDefault="00CC69AD">
          <w:pPr>
            <w:pStyle w:val="TOC2"/>
            <w:rPr>
              <w:rFonts w:asciiTheme="minorHAnsi" w:eastAsiaTheme="minorEastAsia" w:hAnsiTheme="minorHAnsi" w:cstheme="minorBidi"/>
              <w:noProof/>
              <w:kern w:val="2"/>
              <w14:ligatures w14:val="standardContextual"/>
            </w:rPr>
          </w:pPr>
          <w:hyperlink w:anchor="_Toc228791267" w:history="1">
            <w:r w:rsidRPr="00FA347C">
              <w:rPr>
                <w:rStyle w:val="Hyperlink"/>
                <w:noProof/>
              </w:rPr>
              <w:t>Appendix B: CASP Review Checklist</w:t>
            </w:r>
            <w:r>
              <w:rPr>
                <w:noProof/>
                <w:webHidden/>
              </w:rPr>
              <w:tab/>
            </w:r>
            <w:r>
              <w:rPr>
                <w:noProof/>
                <w:webHidden/>
              </w:rPr>
              <w:fldChar w:fldCharType="begin"/>
            </w:r>
            <w:r>
              <w:rPr>
                <w:noProof/>
                <w:webHidden/>
              </w:rPr>
              <w:instrText xml:space="preserve"> PAGEREF _Toc228791267 \h </w:instrText>
            </w:r>
            <w:r>
              <w:rPr>
                <w:noProof/>
                <w:webHidden/>
              </w:rPr>
            </w:r>
            <w:r>
              <w:rPr>
                <w:noProof/>
                <w:webHidden/>
              </w:rPr>
              <w:fldChar w:fldCharType="separate"/>
            </w:r>
            <w:r>
              <w:rPr>
                <w:noProof/>
                <w:webHidden/>
              </w:rPr>
              <w:t>70</w:t>
            </w:r>
            <w:r>
              <w:rPr>
                <w:noProof/>
                <w:webHidden/>
              </w:rPr>
              <w:fldChar w:fldCharType="end"/>
            </w:r>
          </w:hyperlink>
        </w:p>
        <w:p w14:paraId="0B597FC8" w14:textId="3126161F" w:rsidR="00CC69AD" w:rsidRDefault="00CC69AD">
          <w:pPr>
            <w:pStyle w:val="TOC2"/>
            <w:rPr>
              <w:rFonts w:asciiTheme="minorHAnsi" w:eastAsiaTheme="minorEastAsia" w:hAnsiTheme="minorHAnsi" w:cstheme="minorBidi"/>
              <w:noProof/>
              <w:kern w:val="2"/>
              <w14:ligatures w14:val="standardContextual"/>
            </w:rPr>
          </w:pPr>
          <w:hyperlink w:anchor="_Toc228791268" w:history="1">
            <w:r w:rsidRPr="00FA347C">
              <w:rPr>
                <w:rStyle w:val="Hyperlink"/>
                <w:noProof/>
              </w:rPr>
              <w:t>Appendix C: Summary of Key Sources Included in the Systematic Literature Review</w:t>
            </w:r>
            <w:r>
              <w:rPr>
                <w:noProof/>
                <w:webHidden/>
              </w:rPr>
              <w:tab/>
            </w:r>
            <w:r>
              <w:rPr>
                <w:noProof/>
                <w:webHidden/>
              </w:rPr>
              <w:fldChar w:fldCharType="begin"/>
            </w:r>
            <w:r>
              <w:rPr>
                <w:noProof/>
                <w:webHidden/>
              </w:rPr>
              <w:instrText xml:space="preserve"> PAGEREF _Toc228791268 \h </w:instrText>
            </w:r>
            <w:r>
              <w:rPr>
                <w:noProof/>
                <w:webHidden/>
              </w:rPr>
            </w:r>
            <w:r>
              <w:rPr>
                <w:noProof/>
                <w:webHidden/>
              </w:rPr>
              <w:fldChar w:fldCharType="separate"/>
            </w:r>
            <w:r>
              <w:rPr>
                <w:noProof/>
                <w:webHidden/>
              </w:rPr>
              <w:t>74</w:t>
            </w:r>
            <w:r>
              <w:rPr>
                <w:noProof/>
                <w:webHidden/>
              </w:rPr>
              <w:fldChar w:fldCharType="end"/>
            </w:r>
          </w:hyperlink>
        </w:p>
        <w:p w14:paraId="7825C8C1" w14:textId="6D991B02" w:rsidR="00D9332A" w:rsidRPr="00BD14D2" w:rsidRDefault="00D9332A" w:rsidP="008B1642">
          <w:pPr>
            <w:jc w:val="both"/>
          </w:pPr>
          <w:r w:rsidRPr="00BD14D2">
            <w:rPr>
              <w:b/>
              <w:bCs/>
              <w:noProof/>
            </w:rPr>
            <w:fldChar w:fldCharType="end"/>
          </w:r>
        </w:p>
      </w:sdtContent>
    </w:sdt>
    <w:p w14:paraId="5C938F4B" w14:textId="77777777" w:rsidR="0000144F" w:rsidRPr="00BD14D2" w:rsidRDefault="0000144F" w:rsidP="008B1642">
      <w:pPr>
        <w:pStyle w:val="NoSpacing"/>
        <w:jc w:val="both"/>
      </w:pPr>
    </w:p>
    <w:p w14:paraId="23ED21C4" w14:textId="77777777" w:rsidR="0000144F" w:rsidRPr="00BD14D2" w:rsidRDefault="0000144F" w:rsidP="008B1642">
      <w:pPr>
        <w:jc w:val="both"/>
      </w:pPr>
    </w:p>
    <w:p w14:paraId="5B3516CC" w14:textId="77777777" w:rsidR="0000144F" w:rsidRPr="00BD14D2" w:rsidRDefault="0000144F" w:rsidP="008B1642">
      <w:pPr>
        <w:jc w:val="both"/>
      </w:pPr>
    </w:p>
    <w:p w14:paraId="1EB86B99" w14:textId="77777777" w:rsidR="0000144F" w:rsidRPr="00BD14D2" w:rsidRDefault="0000144F" w:rsidP="008B1642">
      <w:pPr>
        <w:jc w:val="both"/>
      </w:pPr>
    </w:p>
    <w:p w14:paraId="24049E1B" w14:textId="77777777" w:rsidR="0000144F" w:rsidRPr="00BD14D2" w:rsidRDefault="0000144F" w:rsidP="008B1642">
      <w:pPr>
        <w:jc w:val="both"/>
      </w:pPr>
    </w:p>
    <w:p w14:paraId="60323D42" w14:textId="77777777" w:rsidR="0000144F" w:rsidRPr="00BD14D2" w:rsidRDefault="0000144F" w:rsidP="008B1642">
      <w:pPr>
        <w:jc w:val="both"/>
      </w:pPr>
    </w:p>
    <w:p w14:paraId="026509D0" w14:textId="77777777" w:rsidR="0000144F" w:rsidRPr="00BD14D2" w:rsidRDefault="0000144F" w:rsidP="008B1642">
      <w:pPr>
        <w:jc w:val="both"/>
      </w:pPr>
    </w:p>
    <w:p w14:paraId="79361533" w14:textId="77777777" w:rsidR="0000144F" w:rsidRPr="00BD14D2" w:rsidRDefault="0000144F" w:rsidP="008B1642">
      <w:pPr>
        <w:jc w:val="both"/>
      </w:pPr>
    </w:p>
    <w:p w14:paraId="2AD83EEA" w14:textId="77777777" w:rsidR="000326DC" w:rsidRPr="00BD14D2" w:rsidRDefault="000326DC" w:rsidP="008B1642">
      <w:pPr>
        <w:jc w:val="both"/>
      </w:pPr>
    </w:p>
    <w:p w14:paraId="44F26B74" w14:textId="77777777" w:rsidR="000326DC" w:rsidRPr="00BD14D2" w:rsidRDefault="000326DC" w:rsidP="008B1642">
      <w:pPr>
        <w:jc w:val="both"/>
      </w:pPr>
      <w:r w:rsidRPr="00BD14D2">
        <w:br w:type="page"/>
      </w:r>
    </w:p>
    <w:p w14:paraId="23110FD1" w14:textId="5CAF1060" w:rsidR="000326DC" w:rsidRPr="00BD14D2" w:rsidRDefault="00D046E9" w:rsidP="004F5BBD">
      <w:pPr>
        <w:pStyle w:val="Heading1"/>
        <w:jc w:val="center"/>
        <w:rPr>
          <w:color w:val="auto"/>
        </w:rPr>
      </w:pPr>
      <w:bookmarkStart w:id="6" w:name="_Toc228791192"/>
      <w:r>
        <w:rPr>
          <w:color w:val="auto"/>
        </w:rPr>
        <w:lastRenderedPageBreak/>
        <w:t>List</w:t>
      </w:r>
      <w:r w:rsidR="000326DC" w:rsidRPr="00BD14D2">
        <w:rPr>
          <w:color w:val="auto"/>
        </w:rPr>
        <w:t xml:space="preserve"> of Figures</w:t>
      </w:r>
      <w:bookmarkEnd w:id="6"/>
    </w:p>
    <w:p w14:paraId="60989420" w14:textId="77777777" w:rsidR="000465CE" w:rsidRPr="00BD14D2" w:rsidRDefault="000465CE" w:rsidP="008B1642">
      <w:pPr>
        <w:jc w:val="both"/>
        <w:rPr>
          <w:b/>
          <w:bCs/>
        </w:rPr>
      </w:pPr>
    </w:p>
    <w:tbl>
      <w:tblPr>
        <w:tblStyle w:val="TableGrid"/>
        <w:tblW w:w="8190" w:type="dxa"/>
        <w:tblInd w:w="-5" w:type="dxa"/>
        <w:tblLook w:val="04A0" w:firstRow="1" w:lastRow="0" w:firstColumn="1" w:lastColumn="0" w:noHBand="0" w:noVBand="1"/>
      </w:tblPr>
      <w:tblGrid>
        <w:gridCol w:w="1701"/>
        <w:gridCol w:w="3071"/>
        <w:gridCol w:w="2641"/>
        <w:gridCol w:w="777"/>
      </w:tblGrid>
      <w:tr w:rsidR="00BD14D2" w:rsidRPr="00BD14D2" w14:paraId="63C3837C" w14:textId="77777777" w:rsidTr="00506B1E">
        <w:tc>
          <w:tcPr>
            <w:tcW w:w="1701" w:type="dxa"/>
          </w:tcPr>
          <w:p w14:paraId="5877693D" w14:textId="77777777" w:rsidR="000326DC" w:rsidRPr="00BD14D2" w:rsidRDefault="000326DC" w:rsidP="00BB1136">
            <w:pPr>
              <w:spacing w:line="360" w:lineRule="auto"/>
              <w:jc w:val="center"/>
            </w:pPr>
            <w:r w:rsidRPr="00BD14D2">
              <w:t>Figure No.</w:t>
            </w:r>
          </w:p>
        </w:tc>
        <w:tc>
          <w:tcPr>
            <w:tcW w:w="3071" w:type="dxa"/>
          </w:tcPr>
          <w:p w14:paraId="780D2C4A" w14:textId="77777777" w:rsidR="000326DC" w:rsidRPr="00BD14D2" w:rsidRDefault="000326DC" w:rsidP="00BB1136">
            <w:pPr>
              <w:spacing w:line="360" w:lineRule="auto"/>
              <w:jc w:val="center"/>
            </w:pPr>
            <w:r w:rsidRPr="00BD14D2">
              <w:t>Title/Description</w:t>
            </w:r>
          </w:p>
        </w:tc>
        <w:tc>
          <w:tcPr>
            <w:tcW w:w="2641" w:type="dxa"/>
          </w:tcPr>
          <w:p w14:paraId="2C68F8A3" w14:textId="77777777" w:rsidR="000326DC" w:rsidRPr="00BD14D2" w:rsidRDefault="000326DC" w:rsidP="00BB1136">
            <w:pPr>
              <w:spacing w:line="360" w:lineRule="auto"/>
              <w:jc w:val="center"/>
            </w:pPr>
            <w:r w:rsidRPr="00BD14D2">
              <w:t>Source</w:t>
            </w:r>
          </w:p>
        </w:tc>
        <w:tc>
          <w:tcPr>
            <w:tcW w:w="777" w:type="dxa"/>
          </w:tcPr>
          <w:p w14:paraId="52175277" w14:textId="77777777" w:rsidR="000326DC" w:rsidRPr="00BD14D2" w:rsidRDefault="000326DC" w:rsidP="00BB1136">
            <w:pPr>
              <w:spacing w:line="360" w:lineRule="auto"/>
              <w:jc w:val="center"/>
            </w:pPr>
            <w:r w:rsidRPr="00BD14D2">
              <w:t>Page No</w:t>
            </w:r>
          </w:p>
        </w:tc>
      </w:tr>
      <w:tr w:rsidR="00BD14D2" w:rsidRPr="00BD14D2" w14:paraId="71FE96D0" w14:textId="77777777" w:rsidTr="00506B1E">
        <w:tc>
          <w:tcPr>
            <w:tcW w:w="1701" w:type="dxa"/>
          </w:tcPr>
          <w:p w14:paraId="5E98073C" w14:textId="77777777" w:rsidR="000326DC" w:rsidRPr="00BD14D2" w:rsidRDefault="000326DC" w:rsidP="00BB1136">
            <w:pPr>
              <w:spacing w:line="360" w:lineRule="auto"/>
              <w:jc w:val="center"/>
            </w:pPr>
            <w:r w:rsidRPr="00BD14D2">
              <w:t>Figure 1</w:t>
            </w:r>
          </w:p>
        </w:tc>
        <w:tc>
          <w:tcPr>
            <w:tcW w:w="3071" w:type="dxa"/>
          </w:tcPr>
          <w:p w14:paraId="095A64D0" w14:textId="77777777" w:rsidR="000326DC" w:rsidRPr="00BD14D2" w:rsidRDefault="000326DC" w:rsidP="00BB1136">
            <w:pPr>
              <w:spacing w:line="360" w:lineRule="auto"/>
              <w:jc w:val="center"/>
            </w:pPr>
            <w:r w:rsidRPr="00BD14D2">
              <w:t>European OEMs loss of Market share</w:t>
            </w:r>
          </w:p>
        </w:tc>
        <w:tc>
          <w:tcPr>
            <w:tcW w:w="2641" w:type="dxa"/>
          </w:tcPr>
          <w:p w14:paraId="6BDA3522" w14:textId="77777777" w:rsidR="000326DC" w:rsidRPr="00BD14D2" w:rsidRDefault="000326DC" w:rsidP="00BB1136">
            <w:pPr>
              <w:spacing w:line="360" w:lineRule="auto"/>
              <w:jc w:val="center"/>
            </w:pPr>
            <w:r w:rsidRPr="00BD14D2">
              <w:t>Cornet, et al., (2023)</w:t>
            </w:r>
          </w:p>
        </w:tc>
        <w:tc>
          <w:tcPr>
            <w:tcW w:w="777" w:type="dxa"/>
          </w:tcPr>
          <w:p w14:paraId="2D3554AF" w14:textId="77777777" w:rsidR="000326DC" w:rsidRPr="00BD14D2" w:rsidRDefault="000326DC" w:rsidP="00BB1136">
            <w:pPr>
              <w:spacing w:line="360" w:lineRule="auto"/>
              <w:jc w:val="center"/>
            </w:pPr>
            <w:r w:rsidRPr="00BD14D2">
              <w:t>11</w:t>
            </w:r>
          </w:p>
        </w:tc>
      </w:tr>
      <w:tr w:rsidR="00BD14D2" w:rsidRPr="00BD14D2" w14:paraId="74B2834A" w14:textId="77777777" w:rsidTr="00506B1E">
        <w:tc>
          <w:tcPr>
            <w:tcW w:w="1701" w:type="dxa"/>
          </w:tcPr>
          <w:p w14:paraId="4EEC9037" w14:textId="77777777" w:rsidR="000326DC" w:rsidRPr="00BD14D2" w:rsidRDefault="000326DC" w:rsidP="00BB1136">
            <w:pPr>
              <w:jc w:val="center"/>
            </w:pPr>
            <w:r w:rsidRPr="00BD14D2">
              <w:t>Figure 2</w:t>
            </w:r>
          </w:p>
        </w:tc>
        <w:tc>
          <w:tcPr>
            <w:tcW w:w="3071" w:type="dxa"/>
          </w:tcPr>
          <w:p w14:paraId="6465621F" w14:textId="77777777" w:rsidR="000326DC" w:rsidRPr="00BD14D2" w:rsidRDefault="000326DC" w:rsidP="00BB1136">
            <w:pPr>
              <w:jc w:val="center"/>
            </w:pPr>
            <w:r w:rsidRPr="00BD14D2">
              <w:t>Relationship Marketing Theory</w:t>
            </w:r>
          </w:p>
        </w:tc>
        <w:tc>
          <w:tcPr>
            <w:tcW w:w="2641" w:type="dxa"/>
          </w:tcPr>
          <w:p w14:paraId="20723ECB" w14:textId="77777777" w:rsidR="000326DC" w:rsidRPr="00BD14D2" w:rsidRDefault="000326DC" w:rsidP="00BB1136">
            <w:pPr>
              <w:jc w:val="center"/>
            </w:pPr>
            <w:r w:rsidRPr="00BD14D2">
              <w:t>Dastane et al., (2026)</w:t>
            </w:r>
          </w:p>
        </w:tc>
        <w:tc>
          <w:tcPr>
            <w:tcW w:w="777" w:type="dxa"/>
          </w:tcPr>
          <w:p w14:paraId="59DFAB11" w14:textId="77777777" w:rsidR="000326DC" w:rsidRPr="00BD14D2" w:rsidRDefault="000326DC" w:rsidP="00BB1136">
            <w:pPr>
              <w:jc w:val="center"/>
            </w:pPr>
            <w:r w:rsidRPr="00BD14D2">
              <w:t>28</w:t>
            </w:r>
          </w:p>
        </w:tc>
      </w:tr>
      <w:tr w:rsidR="000326DC" w:rsidRPr="00BD14D2" w14:paraId="5D6AC0F4" w14:textId="77777777" w:rsidTr="00506B1E">
        <w:tc>
          <w:tcPr>
            <w:tcW w:w="1701" w:type="dxa"/>
          </w:tcPr>
          <w:p w14:paraId="7F639F19" w14:textId="77777777" w:rsidR="000326DC" w:rsidRPr="00BD14D2" w:rsidRDefault="000326DC" w:rsidP="00BB1136">
            <w:pPr>
              <w:jc w:val="center"/>
            </w:pPr>
            <w:r w:rsidRPr="00BD14D2">
              <w:t>Figure 3</w:t>
            </w:r>
          </w:p>
        </w:tc>
        <w:tc>
          <w:tcPr>
            <w:tcW w:w="3071" w:type="dxa"/>
          </w:tcPr>
          <w:p w14:paraId="2BDB6D9B" w14:textId="77777777" w:rsidR="000326DC" w:rsidRPr="00BD14D2" w:rsidRDefault="000326DC" w:rsidP="00BB1136">
            <w:pPr>
              <w:jc w:val="center"/>
            </w:pPr>
            <w:r w:rsidRPr="00BD14D2">
              <w:t>Research Onion Framework</w:t>
            </w:r>
          </w:p>
        </w:tc>
        <w:tc>
          <w:tcPr>
            <w:tcW w:w="2641" w:type="dxa"/>
          </w:tcPr>
          <w:p w14:paraId="1C089FF6" w14:textId="77777777" w:rsidR="000326DC" w:rsidRPr="00BD14D2" w:rsidRDefault="000326DC" w:rsidP="00BB1136">
            <w:pPr>
              <w:jc w:val="center"/>
            </w:pPr>
            <w:r w:rsidRPr="00BD14D2">
              <w:t>Saunders et al. (2023)</w:t>
            </w:r>
          </w:p>
        </w:tc>
        <w:tc>
          <w:tcPr>
            <w:tcW w:w="777" w:type="dxa"/>
          </w:tcPr>
          <w:p w14:paraId="11ED733E" w14:textId="77777777" w:rsidR="000326DC" w:rsidRPr="00BD14D2" w:rsidRDefault="000326DC" w:rsidP="00BB1136">
            <w:pPr>
              <w:jc w:val="center"/>
            </w:pPr>
            <w:r w:rsidRPr="00BD14D2">
              <w:t>32</w:t>
            </w:r>
          </w:p>
        </w:tc>
      </w:tr>
    </w:tbl>
    <w:p w14:paraId="637929A7" w14:textId="77777777" w:rsidR="000326DC" w:rsidRPr="00BD14D2" w:rsidRDefault="000326DC" w:rsidP="008B1642">
      <w:pPr>
        <w:jc w:val="both"/>
      </w:pPr>
    </w:p>
    <w:p w14:paraId="3A3FE3C7" w14:textId="77777777" w:rsidR="000326DC" w:rsidRPr="00BD14D2" w:rsidRDefault="000326DC" w:rsidP="008B1642">
      <w:pPr>
        <w:jc w:val="both"/>
      </w:pPr>
    </w:p>
    <w:p w14:paraId="1D0E00B4" w14:textId="77777777" w:rsidR="001F554F" w:rsidRDefault="001F554F" w:rsidP="00D24C2A">
      <w:pPr>
        <w:pStyle w:val="Heading1"/>
        <w:rPr>
          <w:color w:val="auto"/>
        </w:rPr>
      </w:pPr>
    </w:p>
    <w:p w14:paraId="04E67240" w14:textId="77777777" w:rsidR="001F554F" w:rsidRDefault="001F554F" w:rsidP="00D24C2A">
      <w:pPr>
        <w:pStyle w:val="Heading1"/>
        <w:rPr>
          <w:color w:val="auto"/>
        </w:rPr>
      </w:pPr>
    </w:p>
    <w:p w14:paraId="4C56BE39" w14:textId="77777777" w:rsidR="001F554F" w:rsidRDefault="001F554F" w:rsidP="00D24C2A">
      <w:pPr>
        <w:pStyle w:val="Heading1"/>
        <w:rPr>
          <w:color w:val="auto"/>
        </w:rPr>
      </w:pPr>
    </w:p>
    <w:p w14:paraId="5A5CD753" w14:textId="77777777" w:rsidR="001F554F" w:rsidRDefault="001F554F" w:rsidP="00D24C2A">
      <w:pPr>
        <w:pStyle w:val="Heading1"/>
        <w:rPr>
          <w:color w:val="auto"/>
        </w:rPr>
      </w:pPr>
    </w:p>
    <w:p w14:paraId="1C87628D" w14:textId="77777777" w:rsidR="001F554F" w:rsidRDefault="001F554F" w:rsidP="00D24C2A">
      <w:pPr>
        <w:pStyle w:val="Heading1"/>
        <w:rPr>
          <w:color w:val="auto"/>
        </w:rPr>
      </w:pPr>
    </w:p>
    <w:p w14:paraId="72D7A2F9" w14:textId="77777777" w:rsidR="001F554F" w:rsidRDefault="001F554F" w:rsidP="00D24C2A">
      <w:pPr>
        <w:pStyle w:val="Heading1"/>
        <w:rPr>
          <w:color w:val="auto"/>
        </w:rPr>
      </w:pPr>
    </w:p>
    <w:p w14:paraId="2F6C3032" w14:textId="77777777" w:rsidR="001F554F" w:rsidRDefault="001F554F" w:rsidP="00D24C2A">
      <w:pPr>
        <w:pStyle w:val="Heading1"/>
        <w:rPr>
          <w:color w:val="auto"/>
        </w:rPr>
      </w:pPr>
    </w:p>
    <w:p w14:paraId="60199499" w14:textId="77777777" w:rsidR="001F554F" w:rsidRDefault="001F554F" w:rsidP="00D24C2A">
      <w:pPr>
        <w:pStyle w:val="Heading1"/>
        <w:rPr>
          <w:color w:val="auto"/>
        </w:rPr>
      </w:pPr>
    </w:p>
    <w:p w14:paraId="09641B62" w14:textId="77777777" w:rsidR="001F554F" w:rsidRDefault="001F554F" w:rsidP="00D24C2A">
      <w:pPr>
        <w:pStyle w:val="Heading1"/>
        <w:rPr>
          <w:color w:val="auto"/>
        </w:rPr>
      </w:pPr>
    </w:p>
    <w:p w14:paraId="401229A7" w14:textId="199DA799" w:rsidR="0000144F" w:rsidRPr="00BD14D2" w:rsidRDefault="00F53E46" w:rsidP="004F5BBD">
      <w:pPr>
        <w:pStyle w:val="Heading1"/>
        <w:jc w:val="center"/>
        <w:rPr>
          <w:color w:val="auto"/>
        </w:rPr>
      </w:pPr>
      <w:bookmarkStart w:id="7" w:name="_Toc228791193"/>
      <w:r w:rsidRPr="00BD14D2">
        <w:rPr>
          <w:color w:val="auto"/>
        </w:rPr>
        <w:lastRenderedPageBreak/>
        <w:t>List of Abbreviations</w:t>
      </w:r>
      <w:bookmarkEnd w:id="7"/>
    </w:p>
    <w:p w14:paraId="13D4B5C6" w14:textId="77777777" w:rsidR="00F53E46" w:rsidRPr="00BD14D2" w:rsidRDefault="00F53E46" w:rsidP="00F53E46">
      <w:pPr>
        <w:spacing w:before="100" w:beforeAutospacing="1" w:after="100" w:afterAutospacing="1" w:line="240" w:lineRule="auto"/>
        <w:rPr>
          <w:rFonts w:ascii="Times New Roman" w:eastAsia="Times New Roman" w:hAnsi="Times New Roman" w:cs="Times New Roman"/>
        </w:rPr>
      </w:pPr>
    </w:p>
    <w:tbl>
      <w:tblPr>
        <w:tblStyle w:val="TableGrid"/>
        <w:tblW w:w="9287" w:type="dxa"/>
        <w:tblLook w:val="04A0" w:firstRow="1" w:lastRow="0" w:firstColumn="1" w:lastColumn="0" w:noHBand="0" w:noVBand="1"/>
      </w:tblPr>
      <w:tblGrid>
        <w:gridCol w:w="1564"/>
        <w:gridCol w:w="7723"/>
      </w:tblGrid>
      <w:tr w:rsidR="00BD14D2" w:rsidRPr="00BD14D2" w14:paraId="212EDC8F" w14:textId="77777777" w:rsidTr="00BB1136">
        <w:trPr>
          <w:trHeight w:val="636"/>
        </w:trPr>
        <w:tc>
          <w:tcPr>
            <w:tcW w:w="0" w:type="auto"/>
            <w:hideMark/>
          </w:tcPr>
          <w:p w14:paraId="624E390E" w14:textId="77777777" w:rsidR="00F53E46" w:rsidRPr="00BB1136" w:rsidRDefault="00F53E46" w:rsidP="00BB1136">
            <w:pPr>
              <w:jc w:val="center"/>
              <w:rPr>
                <w:rFonts w:eastAsia="Times New Roman"/>
              </w:rPr>
            </w:pPr>
            <w:r w:rsidRPr="00BB1136">
              <w:rPr>
                <w:rFonts w:eastAsia="Times New Roman"/>
              </w:rPr>
              <w:t>Abbreviation</w:t>
            </w:r>
          </w:p>
        </w:tc>
        <w:tc>
          <w:tcPr>
            <w:tcW w:w="0" w:type="auto"/>
            <w:hideMark/>
          </w:tcPr>
          <w:p w14:paraId="6DEFBCE7" w14:textId="77777777" w:rsidR="00F53E46" w:rsidRPr="00BB1136" w:rsidRDefault="00F53E46" w:rsidP="00BB1136">
            <w:pPr>
              <w:jc w:val="center"/>
              <w:rPr>
                <w:rFonts w:eastAsia="Times New Roman"/>
              </w:rPr>
            </w:pPr>
            <w:r w:rsidRPr="00BB1136">
              <w:rPr>
                <w:rFonts w:eastAsia="Times New Roman"/>
              </w:rPr>
              <w:t>Full Meaning</w:t>
            </w:r>
          </w:p>
        </w:tc>
      </w:tr>
      <w:tr w:rsidR="00BD14D2" w:rsidRPr="00BD14D2" w14:paraId="1625254A" w14:textId="77777777" w:rsidTr="00BB1136">
        <w:trPr>
          <w:trHeight w:val="636"/>
        </w:trPr>
        <w:tc>
          <w:tcPr>
            <w:tcW w:w="0" w:type="auto"/>
            <w:hideMark/>
          </w:tcPr>
          <w:p w14:paraId="1DD0307E" w14:textId="77777777" w:rsidR="00F53E46" w:rsidRPr="00BB1136" w:rsidRDefault="00F53E46" w:rsidP="00BB1136">
            <w:pPr>
              <w:jc w:val="center"/>
              <w:rPr>
                <w:rFonts w:eastAsia="Times New Roman"/>
              </w:rPr>
            </w:pPr>
            <w:r w:rsidRPr="00BB1136">
              <w:rPr>
                <w:rFonts w:eastAsia="Times New Roman"/>
              </w:rPr>
              <w:t>ACEA</w:t>
            </w:r>
          </w:p>
        </w:tc>
        <w:tc>
          <w:tcPr>
            <w:tcW w:w="0" w:type="auto"/>
            <w:hideMark/>
          </w:tcPr>
          <w:p w14:paraId="56E123BE" w14:textId="77777777" w:rsidR="00F53E46" w:rsidRPr="00BB1136" w:rsidRDefault="00F53E46" w:rsidP="00BB1136">
            <w:pPr>
              <w:jc w:val="center"/>
              <w:rPr>
                <w:rFonts w:eastAsia="Times New Roman"/>
              </w:rPr>
            </w:pPr>
            <w:r w:rsidRPr="00BB1136">
              <w:rPr>
                <w:rFonts w:eastAsia="Times New Roman"/>
              </w:rPr>
              <w:t>European Automobile Manufacturers' Association</w:t>
            </w:r>
          </w:p>
        </w:tc>
      </w:tr>
      <w:tr w:rsidR="00BD14D2" w:rsidRPr="00BD14D2" w14:paraId="68DCBF20" w14:textId="77777777" w:rsidTr="00BB1136">
        <w:trPr>
          <w:trHeight w:val="636"/>
        </w:trPr>
        <w:tc>
          <w:tcPr>
            <w:tcW w:w="0" w:type="auto"/>
            <w:hideMark/>
          </w:tcPr>
          <w:p w14:paraId="2A1445A0" w14:textId="77777777" w:rsidR="00F53E46" w:rsidRPr="00BB1136" w:rsidRDefault="00F53E46" w:rsidP="00BB1136">
            <w:pPr>
              <w:jc w:val="center"/>
              <w:rPr>
                <w:rFonts w:eastAsia="Times New Roman"/>
              </w:rPr>
            </w:pPr>
            <w:r w:rsidRPr="00BB1136">
              <w:rPr>
                <w:rFonts w:eastAsia="Times New Roman"/>
              </w:rPr>
              <w:t>CASP</w:t>
            </w:r>
          </w:p>
        </w:tc>
        <w:tc>
          <w:tcPr>
            <w:tcW w:w="0" w:type="auto"/>
            <w:hideMark/>
          </w:tcPr>
          <w:p w14:paraId="66BFD860" w14:textId="77777777" w:rsidR="00F53E46" w:rsidRPr="00BB1136" w:rsidRDefault="00F53E46" w:rsidP="00BB1136">
            <w:pPr>
              <w:jc w:val="center"/>
              <w:rPr>
                <w:rFonts w:eastAsia="Times New Roman"/>
              </w:rPr>
            </w:pPr>
            <w:r w:rsidRPr="00BB1136">
              <w:rPr>
                <w:rFonts w:eastAsia="Times New Roman"/>
              </w:rPr>
              <w:t>Critical Appraisal Skills Programme</w:t>
            </w:r>
          </w:p>
        </w:tc>
      </w:tr>
      <w:tr w:rsidR="00BD14D2" w:rsidRPr="00BD14D2" w14:paraId="20F0475C" w14:textId="77777777" w:rsidTr="00BB1136">
        <w:trPr>
          <w:trHeight w:val="636"/>
        </w:trPr>
        <w:tc>
          <w:tcPr>
            <w:tcW w:w="0" w:type="auto"/>
            <w:hideMark/>
          </w:tcPr>
          <w:p w14:paraId="779D302C" w14:textId="77777777" w:rsidR="00F53E46" w:rsidRPr="00BB1136" w:rsidRDefault="00F53E46" w:rsidP="00BB1136">
            <w:pPr>
              <w:jc w:val="center"/>
              <w:rPr>
                <w:rFonts w:eastAsia="Times New Roman"/>
              </w:rPr>
            </w:pPr>
            <w:r w:rsidRPr="00BB1136">
              <w:rPr>
                <w:rFonts w:eastAsia="Times New Roman"/>
              </w:rPr>
              <w:t>CSR</w:t>
            </w:r>
          </w:p>
        </w:tc>
        <w:tc>
          <w:tcPr>
            <w:tcW w:w="0" w:type="auto"/>
            <w:hideMark/>
          </w:tcPr>
          <w:p w14:paraId="644E0A5C" w14:textId="77777777" w:rsidR="00F53E46" w:rsidRPr="00BB1136" w:rsidRDefault="00F53E46" w:rsidP="00BB1136">
            <w:pPr>
              <w:jc w:val="center"/>
              <w:rPr>
                <w:rFonts w:eastAsia="Times New Roman"/>
              </w:rPr>
            </w:pPr>
            <w:r w:rsidRPr="00BB1136">
              <w:rPr>
                <w:rFonts w:eastAsia="Times New Roman"/>
              </w:rPr>
              <w:t>Corporate Social Responsibility</w:t>
            </w:r>
          </w:p>
        </w:tc>
      </w:tr>
      <w:tr w:rsidR="00BD14D2" w:rsidRPr="00BD14D2" w14:paraId="478CB396" w14:textId="77777777" w:rsidTr="00BB1136">
        <w:trPr>
          <w:trHeight w:val="602"/>
        </w:trPr>
        <w:tc>
          <w:tcPr>
            <w:tcW w:w="0" w:type="auto"/>
            <w:hideMark/>
          </w:tcPr>
          <w:p w14:paraId="3CEE6964" w14:textId="77777777" w:rsidR="00F53E46" w:rsidRPr="00BB1136" w:rsidRDefault="00F53E46" w:rsidP="00BB1136">
            <w:pPr>
              <w:jc w:val="center"/>
              <w:rPr>
                <w:rFonts w:eastAsia="Times New Roman"/>
              </w:rPr>
            </w:pPr>
            <w:r w:rsidRPr="00BB1136">
              <w:rPr>
                <w:rFonts w:eastAsia="Times New Roman"/>
              </w:rPr>
              <w:t>D2C</w:t>
            </w:r>
          </w:p>
        </w:tc>
        <w:tc>
          <w:tcPr>
            <w:tcW w:w="0" w:type="auto"/>
            <w:hideMark/>
          </w:tcPr>
          <w:p w14:paraId="214DFA6C" w14:textId="77777777" w:rsidR="00F53E46" w:rsidRPr="00BB1136" w:rsidRDefault="00F53E46" w:rsidP="00BB1136">
            <w:pPr>
              <w:jc w:val="center"/>
              <w:rPr>
                <w:rFonts w:eastAsia="Times New Roman"/>
              </w:rPr>
            </w:pPr>
            <w:r w:rsidRPr="00BB1136">
              <w:rPr>
                <w:rFonts w:eastAsia="Times New Roman"/>
              </w:rPr>
              <w:t>Direct-to-Consumer</w:t>
            </w:r>
          </w:p>
        </w:tc>
      </w:tr>
      <w:tr w:rsidR="00BD14D2" w:rsidRPr="00BD14D2" w14:paraId="71A44043" w14:textId="77777777" w:rsidTr="00BB1136">
        <w:trPr>
          <w:trHeight w:val="636"/>
        </w:trPr>
        <w:tc>
          <w:tcPr>
            <w:tcW w:w="0" w:type="auto"/>
            <w:hideMark/>
          </w:tcPr>
          <w:p w14:paraId="7BD25DBA" w14:textId="77777777" w:rsidR="00F53E46" w:rsidRPr="00BB1136" w:rsidRDefault="00F53E46" w:rsidP="00BB1136">
            <w:pPr>
              <w:jc w:val="center"/>
              <w:rPr>
                <w:rFonts w:eastAsia="Times New Roman"/>
              </w:rPr>
            </w:pPr>
            <w:r w:rsidRPr="00BB1136">
              <w:rPr>
                <w:rFonts w:eastAsia="Times New Roman"/>
              </w:rPr>
              <w:t>EV</w:t>
            </w:r>
          </w:p>
        </w:tc>
        <w:tc>
          <w:tcPr>
            <w:tcW w:w="0" w:type="auto"/>
            <w:hideMark/>
          </w:tcPr>
          <w:p w14:paraId="50629969" w14:textId="77777777" w:rsidR="00F53E46" w:rsidRPr="00BB1136" w:rsidRDefault="00F53E46" w:rsidP="00BB1136">
            <w:pPr>
              <w:jc w:val="center"/>
              <w:rPr>
                <w:rFonts w:eastAsia="Times New Roman"/>
              </w:rPr>
            </w:pPr>
            <w:r w:rsidRPr="00BB1136">
              <w:rPr>
                <w:rFonts w:eastAsia="Times New Roman"/>
              </w:rPr>
              <w:t>Electric Vehicle</w:t>
            </w:r>
          </w:p>
        </w:tc>
      </w:tr>
      <w:tr w:rsidR="00BD14D2" w:rsidRPr="00BD14D2" w14:paraId="3659ABDA" w14:textId="77777777" w:rsidTr="00BB1136">
        <w:trPr>
          <w:trHeight w:val="636"/>
        </w:trPr>
        <w:tc>
          <w:tcPr>
            <w:tcW w:w="0" w:type="auto"/>
            <w:hideMark/>
          </w:tcPr>
          <w:p w14:paraId="4542327D" w14:textId="77777777" w:rsidR="00F53E46" w:rsidRPr="00BB1136" w:rsidRDefault="00F53E46" w:rsidP="00BB1136">
            <w:pPr>
              <w:jc w:val="center"/>
              <w:rPr>
                <w:rFonts w:eastAsia="Times New Roman"/>
              </w:rPr>
            </w:pPr>
            <w:r w:rsidRPr="00BB1136">
              <w:rPr>
                <w:rFonts w:eastAsia="Times New Roman"/>
              </w:rPr>
              <w:t>GDPR</w:t>
            </w:r>
          </w:p>
        </w:tc>
        <w:tc>
          <w:tcPr>
            <w:tcW w:w="0" w:type="auto"/>
            <w:hideMark/>
          </w:tcPr>
          <w:p w14:paraId="1797D1D6" w14:textId="77777777" w:rsidR="00F53E46" w:rsidRPr="00BB1136" w:rsidRDefault="00F53E46" w:rsidP="00BB1136">
            <w:pPr>
              <w:jc w:val="center"/>
              <w:rPr>
                <w:rFonts w:eastAsia="Times New Roman"/>
              </w:rPr>
            </w:pPr>
            <w:r w:rsidRPr="00BB1136">
              <w:rPr>
                <w:rFonts w:eastAsia="Times New Roman"/>
              </w:rPr>
              <w:t>General Data Protection Regulation</w:t>
            </w:r>
          </w:p>
        </w:tc>
      </w:tr>
      <w:tr w:rsidR="00BD14D2" w:rsidRPr="00BD14D2" w14:paraId="64FAD575" w14:textId="77777777" w:rsidTr="00BB1136">
        <w:trPr>
          <w:trHeight w:val="636"/>
        </w:trPr>
        <w:tc>
          <w:tcPr>
            <w:tcW w:w="0" w:type="auto"/>
            <w:hideMark/>
          </w:tcPr>
          <w:p w14:paraId="29228B03" w14:textId="77777777" w:rsidR="00F53E46" w:rsidRPr="00BB1136" w:rsidRDefault="00F53E46" w:rsidP="00BB1136">
            <w:pPr>
              <w:jc w:val="center"/>
              <w:rPr>
                <w:rFonts w:eastAsia="Times New Roman"/>
              </w:rPr>
            </w:pPr>
            <w:r w:rsidRPr="00BB1136">
              <w:rPr>
                <w:rFonts w:eastAsia="Times New Roman"/>
              </w:rPr>
              <w:t>IEA</w:t>
            </w:r>
          </w:p>
        </w:tc>
        <w:tc>
          <w:tcPr>
            <w:tcW w:w="0" w:type="auto"/>
            <w:hideMark/>
          </w:tcPr>
          <w:p w14:paraId="2D3BAA23" w14:textId="77777777" w:rsidR="00F53E46" w:rsidRPr="00BB1136" w:rsidRDefault="00F53E46" w:rsidP="00BB1136">
            <w:pPr>
              <w:jc w:val="center"/>
              <w:rPr>
                <w:rFonts w:eastAsia="Times New Roman"/>
              </w:rPr>
            </w:pPr>
            <w:r w:rsidRPr="00BB1136">
              <w:rPr>
                <w:rFonts w:eastAsia="Times New Roman"/>
              </w:rPr>
              <w:t>International Energy Agency</w:t>
            </w:r>
          </w:p>
        </w:tc>
      </w:tr>
      <w:tr w:rsidR="00BD14D2" w:rsidRPr="00BD14D2" w14:paraId="34972296" w14:textId="77777777" w:rsidTr="00BB1136">
        <w:trPr>
          <w:trHeight w:val="602"/>
        </w:trPr>
        <w:tc>
          <w:tcPr>
            <w:tcW w:w="0" w:type="auto"/>
            <w:hideMark/>
          </w:tcPr>
          <w:p w14:paraId="05DBD40E" w14:textId="77777777" w:rsidR="00F53E46" w:rsidRPr="00BB1136" w:rsidRDefault="00F53E46" w:rsidP="00BB1136">
            <w:pPr>
              <w:jc w:val="center"/>
              <w:rPr>
                <w:rFonts w:eastAsia="Times New Roman"/>
              </w:rPr>
            </w:pPr>
            <w:proofErr w:type="spellStart"/>
            <w:r w:rsidRPr="00BB1136">
              <w:rPr>
                <w:rFonts w:eastAsia="Times New Roman"/>
              </w:rPr>
              <w:t>MaaS</w:t>
            </w:r>
            <w:proofErr w:type="spellEnd"/>
          </w:p>
        </w:tc>
        <w:tc>
          <w:tcPr>
            <w:tcW w:w="0" w:type="auto"/>
            <w:hideMark/>
          </w:tcPr>
          <w:p w14:paraId="5D62DBCD" w14:textId="77777777" w:rsidR="00F53E46" w:rsidRPr="00BB1136" w:rsidRDefault="00F53E46" w:rsidP="00BB1136">
            <w:pPr>
              <w:jc w:val="center"/>
              <w:rPr>
                <w:rFonts w:eastAsia="Times New Roman"/>
              </w:rPr>
            </w:pPr>
            <w:r w:rsidRPr="00BB1136">
              <w:rPr>
                <w:rFonts w:eastAsia="Times New Roman"/>
              </w:rPr>
              <w:t>Mobility-as-a-Service</w:t>
            </w:r>
          </w:p>
        </w:tc>
      </w:tr>
      <w:tr w:rsidR="00BD14D2" w:rsidRPr="00BD14D2" w14:paraId="5C28B59C" w14:textId="77777777" w:rsidTr="00BB1136">
        <w:trPr>
          <w:trHeight w:val="636"/>
        </w:trPr>
        <w:tc>
          <w:tcPr>
            <w:tcW w:w="0" w:type="auto"/>
            <w:hideMark/>
          </w:tcPr>
          <w:p w14:paraId="2516A98A" w14:textId="77777777" w:rsidR="00F53E46" w:rsidRPr="00BB1136" w:rsidRDefault="00F53E46" w:rsidP="00BB1136">
            <w:pPr>
              <w:jc w:val="center"/>
              <w:rPr>
                <w:rFonts w:eastAsia="Times New Roman"/>
              </w:rPr>
            </w:pPr>
            <w:r w:rsidRPr="00BB1136">
              <w:rPr>
                <w:rFonts w:eastAsia="Times New Roman"/>
              </w:rPr>
              <w:t>OEM</w:t>
            </w:r>
          </w:p>
        </w:tc>
        <w:tc>
          <w:tcPr>
            <w:tcW w:w="0" w:type="auto"/>
            <w:hideMark/>
          </w:tcPr>
          <w:p w14:paraId="7172CCD3" w14:textId="77777777" w:rsidR="00F53E46" w:rsidRPr="00BB1136" w:rsidRDefault="00F53E46" w:rsidP="00BB1136">
            <w:pPr>
              <w:jc w:val="center"/>
              <w:rPr>
                <w:rFonts w:eastAsia="Times New Roman"/>
              </w:rPr>
            </w:pPr>
            <w:r w:rsidRPr="00BB1136">
              <w:rPr>
                <w:rFonts w:eastAsia="Times New Roman"/>
              </w:rPr>
              <w:t>Original Equipment Manufacturer</w:t>
            </w:r>
          </w:p>
        </w:tc>
      </w:tr>
      <w:tr w:rsidR="00F53E46" w:rsidRPr="00BD14D2" w14:paraId="42DD7593" w14:textId="77777777" w:rsidTr="00A77573">
        <w:trPr>
          <w:trHeight w:val="710"/>
        </w:trPr>
        <w:tc>
          <w:tcPr>
            <w:tcW w:w="0" w:type="auto"/>
            <w:hideMark/>
          </w:tcPr>
          <w:p w14:paraId="20CBFE5C" w14:textId="77777777" w:rsidR="00F53E46" w:rsidRPr="00BB1136" w:rsidRDefault="00F53E46" w:rsidP="00BB1136">
            <w:pPr>
              <w:jc w:val="center"/>
              <w:rPr>
                <w:rFonts w:eastAsia="Times New Roman"/>
              </w:rPr>
            </w:pPr>
            <w:r w:rsidRPr="00BB1136">
              <w:rPr>
                <w:rFonts w:eastAsia="Times New Roman"/>
              </w:rPr>
              <w:t>PRISMA</w:t>
            </w:r>
          </w:p>
        </w:tc>
        <w:tc>
          <w:tcPr>
            <w:tcW w:w="0" w:type="auto"/>
            <w:hideMark/>
          </w:tcPr>
          <w:p w14:paraId="4CE9DD59" w14:textId="77777777" w:rsidR="00F53E46" w:rsidRPr="00BB1136" w:rsidRDefault="00F53E46" w:rsidP="00BB1136">
            <w:pPr>
              <w:jc w:val="center"/>
              <w:rPr>
                <w:rFonts w:eastAsia="Times New Roman"/>
              </w:rPr>
            </w:pPr>
            <w:r w:rsidRPr="00BB1136">
              <w:rPr>
                <w:rFonts w:eastAsia="Times New Roman"/>
              </w:rPr>
              <w:t>Preferred Reporting Items for Systematic Reviews and Meta-Analyses</w:t>
            </w:r>
          </w:p>
        </w:tc>
      </w:tr>
    </w:tbl>
    <w:p w14:paraId="44F464DD" w14:textId="77777777" w:rsidR="00F53E46" w:rsidRPr="00BD14D2" w:rsidRDefault="00F53E46" w:rsidP="00F53E46">
      <w:pPr>
        <w:jc w:val="center"/>
        <w:rPr>
          <w:b/>
        </w:rPr>
      </w:pPr>
    </w:p>
    <w:p w14:paraId="6ECE51AB" w14:textId="77777777" w:rsidR="0000144F" w:rsidRPr="00BD14D2" w:rsidRDefault="0000144F" w:rsidP="008B1642">
      <w:pPr>
        <w:jc w:val="both"/>
      </w:pPr>
    </w:p>
    <w:p w14:paraId="7C1FEFB9" w14:textId="77777777" w:rsidR="00BD30E2" w:rsidRPr="00BD14D2" w:rsidRDefault="00BD30E2" w:rsidP="00BD30E2">
      <w:pPr>
        <w:jc w:val="center"/>
        <w:rPr>
          <w:b/>
        </w:rPr>
      </w:pPr>
    </w:p>
    <w:p w14:paraId="4E199938" w14:textId="77777777" w:rsidR="00D16A72" w:rsidRPr="00BD14D2" w:rsidRDefault="00D16A72" w:rsidP="00BD30E2">
      <w:pPr>
        <w:jc w:val="center"/>
        <w:rPr>
          <w:b/>
        </w:rPr>
      </w:pPr>
    </w:p>
    <w:p w14:paraId="767B15D9" w14:textId="77777777" w:rsidR="00D16A72" w:rsidRPr="00BD14D2" w:rsidRDefault="00D16A72" w:rsidP="00BD30E2">
      <w:pPr>
        <w:jc w:val="center"/>
        <w:rPr>
          <w:b/>
        </w:rPr>
      </w:pPr>
    </w:p>
    <w:p w14:paraId="6A393F36" w14:textId="77777777" w:rsidR="00C9048D" w:rsidRPr="00BD14D2" w:rsidRDefault="00C9048D" w:rsidP="008B1642">
      <w:pPr>
        <w:jc w:val="both"/>
        <w:sectPr w:rsidR="00C9048D" w:rsidRPr="00BD14D2" w:rsidSect="00C848CD">
          <w:footerReference w:type="default" r:id="rId15"/>
          <w:pgSz w:w="11906" w:h="16838"/>
          <w:pgMar w:top="1440" w:right="1440" w:bottom="1440" w:left="1800" w:header="708" w:footer="708" w:gutter="0"/>
          <w:pgNumType w:start="1" w:chapSep="period"/>
          <w:cols w:space="720"/>
          <w:docGrid w:linePitch="360"/>
        </w:sectPr>
      </w:pPr>
    </w:p>
    <w:p w14:paraId="4E13F3DC" w14:textId="3FEA9BAB" w:rsidR="001F554F" w:rsidRDefault="001F554F">
      <w:pPr>
        <w:rPr>
          <w:b/>
          <w:bCs/>
          <w:sz w:val="32"/>
          <w:szCs w:val="32"/>
        </w:rPr>
      </w:pPr>
    </w:p>
    <w:p w14:paraId="313AF3A1" w14:textId="59CDFA9B" w:rsidR="00E77D08" w:rsidRPr="00BD14D2" w:rsidRDefault="00B61406" w:rsidP="008B1642">
      <w:pPr>
        <w:pStyle w:val="Heading1"/>
        <w:jc w:val="both"/>
        <w:rPr>
          <w:color w:val="auto"/>
        </w:rPr>
      </w:pPr>
      <w:bookmarkStart w:id="8" w:name="_Toc228791194"/>
      <w:r w:rsidRPr="00BD14D2">
        <w:rPr>
          <w:color w:val="auto"/>
        </w:rPr>
        <w:t>CHAPTER 1: INTRODUCTION</w:t>
      </w:r>
      <w:bookmarkEnd w:id="8"/>
    </w:p>
    <w:p w14:paraId="3DA12860" w14:textId="77777777" w:rsidR="00BE106C" w:rsidRPr="00BD14D2" w:rsidRDefault="00BE106C" w:rsidP="008B1642">
      <w:pPr>
        <w:spacing w:before="120" w:after="120"/>
        <w:jc w:val="both"/>
      </w:pPr>
      <w:r w:rsidRPr="00BD14D2">
        <w:t>This chapter establishes the foundation of the dissertation by introducing the research context, identifying the problem, and setting out the aims, objectives, and research questions that guide the study. The European automotive industry is undergoing a period of profound transformation shaped by the electrification of transport, the digitalisation of consumer experience, and the emergence of highly competitive Asian market entrants (Gracia, Paz and Rísquez, 2024). These developments are disrupting the brand loyalty dynamics that established European manufacturers have long relied upon. This chapter situates these pressures within the broader academic literature and argues for the need for a focused investigation into how branding strategies and loyalty constructs are evolving in response. It also outlines the significance of the study, provides a brief overview of the research methodology, and describes the structure of the dissertation.</w:t>
      </w:r>
    </w:p>
    <w:p w14:paraId="6A96D040" w14:textId="77777777" w:rsidR="000B0749" w:rsidRPr="00BD14D2" w:rsidRDefault="00B61406" w:rsidP="008B1642">
      <w:pPr>
        <w:pStyle w:val="Heading2"/>
        <w:jc w:val="both"/>
        <w:rPr>
          <w:color w:val="auto"/>
        </w:rPr>
      </w:pPr>
      <w:bookmarkStart w:id="9" w:name="_Toc228791195"/>
      <w:r w:rsidRPr="00BD14D2">
        <w:rPr>
          <w:color w:val="auto"/>
        </w:rPr>
        <w:t>1.1 Background and Problem Statement</w:t>
      </w:r>
      <w:bookmarkEnd w:id="9"/>
    </w:p>
    <w:p w14:paraId="36C01E3D" w14:textId="77777777" w:rsidR="000B0749" w:rsidRPr="00BD14D2" w:rsidRDefault="00B61406" w:rsidP="008B1642">
      <w:pPr>
        <w:spacing w:before="120" w:after="120"/>
        <w:jc w:val="both"/>
      </w:pPr>
      <w:r w:rsidRPr="00BD14D2">
        <w:t>The European automotive industry stands at a defining moment where it faces a threat to its longstanding world dominance in terms of branding. For more than a century, the sector has been associated with engineering excellence, brand prestige, and deep-rooted consumer loyalty. Manufacturers such as Volkswagen, BMW, Mercedes-Benz, Audi and Porsche have built powerful brand identities that traditionally retained customers across generations (</w:t>
      </w:r>
      <w:proofErr w:type="spellStart"/>
      <w:r w:rsidRPr="00BD14D2">
        <w:t>Hartoyo</w:t>
      </w:r>
      <w:proofErr w:type="spellEnd"/>
      <w:r w:rsidRPr="00BD14D2">
        <w:t xml:space="preserve"> et al., 2023). In recent years, there has been a convergence of three simultaneous disruptions that have threatened the loyalty and branding dominance that the European car brands. These factors include the electrification of transport, the digitalisation of the consumer experience, and the emergence of highly competitive Asian entrants (Gracia, Paz and Rísquez, 2024). The emergence of these factors has fundamentally destabilised the loyalty dynamics that European original automotive brands have long relied upon.</w:t>
      </w:r>
    </w:p>
    <w:p w14:paraId="0354CEB9" w14:textId="77777777" w:rsidR="000B0749" w:rsidRPr="00BD14D2" w:rsidRDefault="00B61406" w:rsidP="008B1642">
      <w:pPr>
        <w:spacing w:before="120" w:after="120"/>
        <w:jc w:val="both"/>
      </w:pPr>
      <w:r w:rsidRPr="00BD14D2">
        <w:t xml:space="preserve">The transition towards Electric Vehicles (EVs) is accelerating across the continent and is driven by the European Union's binding target to end the sale of new internal </w:t>
      </w:r>
      <w:r w:rsidRPr="00BD14D2">
        <w:lastRenderedPageBreak/>
        <w:t>combustion engine (ICE) vehicles by 2035. While this regulatory is designed to help decarbonise the transport sector, it is simultaneously reshaping consumer decision-making in ways that weaken traditional brand allegiance. Research by Mitrache et al. (2025) indicates that brand loyalty, which has historically served as the point of attraction for legacy automotive companies, is being eroded as consumers increasingly evaluate vehicles based on software capability, digital integration, and total cost of ownership rather than heritage or mechanical reputation alone. This shift is more pronounced among younger demographics, who are more likely to approach vehicle acquisition with a technologically informed mindset that prioritises innovation over tradition. As shown in the figure below, the new EV entrants into the European market are gaining market share while the legacy European OEMs are losing market share.</w:t>
      </w:r>
    </w:p>
    <w:p w14:paraId="678B4A66" w14:textId="77777777" w:rsidR="005A6448" w:rsidRPr="00BD14D2" w:rsidRDefault="005A6448" w:rsidP="008B1642">
      <w:pPr>
        <w:spacing w:before="120" w:after="120"/>
        <w:jc w:val="both"/>
      </w:pPr>
      <w:r w:rsidRPr="00BD14D2">
        <w:rPr>
          <w:noProof/>
        </w:rPr>
        <w:drawing>
          <wp:inline distT="0" distB="0" distL="0" distR="0" wp14:anchorId="0884842D" wp14:editId="5ECF770E">
            <wp:extent cx="5502910" cy="3135320"/>
            <wp:effectExtent l="19050" t="19050" r="21590" b="27305"/>
            <wp:docPr id="301888874" name="Picture 3" descr="A graph of sales and electric vehicl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88874" name="Picture 3" descr="A graph of sales and electric vehicles  AI-generated content may be incorrect."/>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5502910" cy="3135320"/>
                    </a:xfrm>
                    <a:prstGeom prst="rect">
                      <a:avLst/>
                    </a:prstGeom>
                    <a:noFill/>
                    <a:ln>
                      <a:solidFill>
                        <a:schemeClr val="tx1"/>
                      </a:solidFill>
                    </a:ln>
                  </pic:spPr>
                </pic:pic>
              </a:graphicData>
            </a:graphic>
          </wp:inline>
        </w:drawing>
      </w:r>
    </w:p>
    <w:p w14:paraId="65B217ED" w14:textId="77777777" w:rsidR="005A6448" w:rsidRPr="00BD14D2" w:rsidRDefault="00565807" w:rsidP="008B1642">
      <w:pPr>
        <w:pStyle w:val="Caption"/>
        <w:jc w:val="both"/>
        <w:rPr>
          <w:color w:val="auto"/>
        </w:rPr>
      </w:pPr>
      <w:bookmarkStart w:id="10" w:name="_Toc228363507"/>
      <w:bookmarkStart w:id="11" w:name="_Toc228364290"/>
      <w:r w:rsidRPr="00BD14D2">
        <w:rPr>
          <w:color w:val="auto"/>
        </w:rPr>
        <w:t xml:space="preserve">Figure </w:t>
      </w:r>
      <w:r w:rsidRPr="00BD14D2">
        <w:rPr>
          <w:color w:val="auto"/>
        </w:rPr>
        <w:fldChar w:fldCharType="begin"/>
      </w:r>
      <w:r w:rsidRPr="00BD14D2">
        <w:rPr>
          <w:color w:val="auto"/>
        </w:rPr>
        <w:instrText xml:space="preserve"> SEQ Figure \* ARABIC </w:instrText>
      </w:r>
      <w:r w:rsidRPr="00BD14D2">
        <w:rPr>
          <w:color w:val="auto"/>
        </w:rPr>
        <w:fldChar w:fldCharType="separate"/>
      </w:r>
      <w:r w:rsidRPr="00BD14D2">
        <w:rPr>
          <w:noProof/>
          <w:color w:val="auto"/>
        </w:rPr>
        <w:t>1</w:t>
      </w:r>
      <w:r w:rsidRPr="00BD14D2">
        <w:rPr>
          <w:noProof/>
          <w:color w:val="auto"/>
        </w:rPr>
        <w:fldChar w:fldCharType="end"/>
      </w:r>
      <w:r w:rsidRPr="00BD14D2">
        <w:rPr>
          <w:color w:val="auto"/>
        </w:rPr>
        <w:t xml:space="preserve"> European OEMs loss of market share</w:t>
      </w:r>
      <w:bookmarkEnd w:id="10"/>
      <w:bookmarkEnd w:id="11"/>
    </w:p>
    <w:p w14:paraId="7C4CCD04" w14:textId="77777777" w:rsidR="005A6448" w:rsidRPr="00BD14D2" w:rsidRDefault="005A6448" w:rsidP="008B1642">
      <w:pPr>
        <w:spacing w:before="120" w:after="120"/>
        <w:jc w:val="both"/>
      </w:pPr>
      <w:r w:rsidRPr="00BD14D2">
        <w:t>Source: (Cornet, et al., 2023)</w:t>
      </w:r>
    </w:p>
    <w:p w14:paraId="2961FE34" w14:textId="699396D8" w:rsidR="000B0749" w:rsidRPr="00BD14D2" w:rsidRDefault="00E17A6B" w:rsidP="008B1642">
      <w:pPr>
        <w:spacing w:before="120" w:after="120"/>
        <w:jc w:val="both"/>
      </w:pPr>
      <w:r w:rsidRPr="00BD14D2">
        <w:t xml:space="preserve">Another challenge that threatens the brand loyalty for European automotive companies is the rapid rise of Chinese automotive manufacturers in the European market. Brands such as BYD, NIO, and XPeng, and Xiaomi are entering the continent with competitively priced and technologically advanced EV offerings. This development has effectively narrowed the performance and quality gap that European traditional automotive brands once enjoyed as a source of differentiation </w:t>
      </w:r>
      <w:r w:rsidRPr="00BD14D2">
        <w:lastRenderedPageBreak/>
        <w:t xml:space="preserve">(Jin, 2025). According to data cited by Cornet et al. (2023), European traditional automotive brands have been losing market share in the EV segment now when this segment is experiencing its most significant growth. The implication of this development is that if traditional European carmakers fail to adapt their branding strategies to the new competitive landscape, they risk not losing sales </w:t>
      </w:r>
      <w:r w:rsidR="00F3120D" w:rsidRPr="00BD14D2">
        <w:t>and</w:t>
      </w:r>
      <w:r w:rsidRPr="00BD14D2">
        <w:t xml:space="preserve"> losing the customer relationships that sustain long-term profitability.</w:t>
      </w:r>
    </w:p>
    <w:p w14:paraId="2F61CC29" w14:textId="77777777" w:rsidR="000B0749" w:rsidRPr="00BD14D2" w:rsidRDefault="00E17A6B" w:rsidP="008B1642">
      <w:pPr>
        <w:spacing w:before="120" w:after="120"/>
        <w:jc w:val="both"/>
      </w:pPr>
      <w:r w:rsidRPr="00BD14D2">
        <w:t xml:space="preserve">The third disruption of digitalisation is reshaping the nature of the customer journey. Consumers today interact with automotive brands through an increasingly complex set of digital touchpoints such as online configuration tools, social media content to connected vehicle applications, and over-the-air software updates (Hamid, 2025). As a result, the traditional dealership-centred relationship, which once served as the primary conduit for brand engagement and post-sale loyalty building, is under pressure. Research by </w:t>
      </w:r>
      <w:proofErr w:type="spellStart"/>
      <w:r w:rsidRPr="00BD14D2">
        <w:t>Zaware</w:t>
      </w:r>
      <w:proofErr w:type="spellEnd"/>
      <w:r w:rsidRPr="00BD14D2">
        <w:t xml:space="preserve"> and </w:t>
      </w:r>
      <w:proofErr w:type="spellStart"/>
      <w:r w:rsidRPr="00BD14D2">
        <w:t>Deokate</w:t>
      </w:r>
      <w:proofErr w:type="spellEnd"/>
      <w:r w:rsidRPr="00BD14D2">
        <w:t xml:space="preserve"> (2025) highlights that the dealership model fragments the ability of manufacturers to leverage connected car data for personalised marketing and loyalty programme development. This fragmentation matters because modern brand loyalty is no longer simply about repeat purchase but more about continuous relational engagement within an evolving digital ecosystem.</w:t>
      </w:r>
    </w:p>
    <w:p w14:paraId="55E20E5F" w14:textId="77777777" w:rsidR="00CF2DF3" w:rsidRPr="00BD14D2" w:rsidRDefault="00B61406" w:rsidP="008B1642">
      <w:pPr>
        <w:spacing w:before="120" w:after="120"/>
        <w:jc w:val="both"/>
      </w:pPr>
      <w:r w:rsidRPr="00BD14D2">
        <w:t xml:space="preserve">The problem facing European automotive brands, therefore, is multi-dimensional. They must simultaneously manage the technological and reputational demands of the EV transition, respond to price competitive threats from new market entrants, and reimagine how they build, maintain, and scale customer loyalty in a digital-first marketplace. Existing academic literature on automotive branding has tended to focus on the pre-EV era, addressing loyalty constructs rooted in product quality, brand heritage, and dealership satisfaction. The rapid pace of industry transformation means that these conceptual frameworks are becoming outdated as explanatory tools. There is, therefore, an immediate academic and practical need for new investigation into how branding strategies and loyalty dynamics are evolving within the specific context of the contemporary European automotive market. </w:t>
      </w:r>
    </w:p>
    <w:p w14:paraId="6FDA7840" w14:textId="77777777" w:rsidR="002B4EE7" w:rsidRDefault="00C6417F" w:rsidP="002B4EE7">
      <w:pPr>
        <w:spacing w:before="120" w:after="120"/>
        <w:jc w:val="both"/>
      </w:pPr>
      <w:r w:rsidRPr="00BD14D2">
        <w:t xml:space="preserve">The existing literature on the topic investigates the linkage between branding and customer loyalty in a scattered manner, and no study to date has consolidated </w:t>
      </w:r>
      <w:r w:rsidRPr="00BD14D2">
        <w:lastRenderedPageBreak/>
        <w:t>these findings into a single, holistic analysis capable of providing an integrated understanding of the phenomenon.</w:t>
      </w:r>
    </w:p>
    <w:p w14:paraId="3CFA1686" w14:textId="40E6C32D" w:rsidR="000B0749" w:rsidRPr="00BD14D2" w:rsidRDefault="00B61406" w:rsidP="002B4EE7">
      <w:pPr>
        <w:spacing w:before="120" w:after="120"/>
        <w:jc w:val="both"/>
      </w:pPr>
      <w:bookmarkStart w:id="12" w:name="_Toc228791196"/>
      <w:r w:rsidRPr="002B4EE7">
        <w:rPr>
          <w:rStyle w:val="Heading2Char"/>
        </w:rPr>
        <w:t>1.2 Research Aim</w:t>
      </w:r>
      <w:bookmarkEnd w:id="12"/>
    </w:p>
    <w:p w14:paraId="613EEFD0" w14:textId="77777777" w:rsidR="00000240" w:rsidRPr="00BD14D2" w:rsidRDefault="00000240" w:rsidP="008B1642">
      <w:pPr>
        <w:jc w:val="both"/>
        <w:rPr>
          <w:b/>
          <w:bCs/>
        </w:rPr>
      </w:pPr>
      <w:r w:rsidRPr="00BD14D2">
        <w:t xml:space="preserve">The central aim of this study is to critically examine, drawing on academic and existing literature, the impact of branding on customer loyalty within the European automotive industry. The study seeks to understand how branding influences consumer behaviour, long-term customer relationships, and competitive positioning in the European automotive market. </w:t>
      </w:r>
    </w:p>
    <w:p w14:paraId="4682F64C" w14:textId="77777777" w:rsidR="000B0749" w:rsidRPr="00BD14D2" w:rsidRDefault="00B61406" w:rsidP="008B1642">
      <w:pPr>
        <w:pStyle w:val="Heading2"/>
        <w:jc w:val="both"/>
        <w:rPr>
          <w:color w:val="auto"/>
        </w:rPr>
      </w:pPr>
      <w:bookmarkStart w:id="13" w:name="_Toc228791197"/>
      <w:r w:rsidRPr="00BD14D2">
        <w:rPr>
          <w:color w:val="auto"/>
        </w:rPr>
        <w:t>1.3 Research Objectives</w:t>
      </w:r>
      <w:bookmarkEnd w:id="13"/>
    </w:p>
    <w:p w14:paraId="292FA57E" w14:textId="77777777" w:rsidR="000B0749" w:rsidRPr="00BD14D2" w:rsidRDefault="00B61406" w:rsidP="008B1642">
      <w:pPr>
        <w:spacing w:before="120" w:after="120"/>
        <w:jc w:val="both"/>
      </w:pPr>
      <w:r w:rsidRPr="00BD14D2">
        <w:t>In pursuit of this overarching aim, the dissertation is guided by four specific research objectives:</w:t>
      </w:r>
    </w:p>
    <w:p w14:paraId="23EC8B1F" w14:textId="77777777" w:rsidR="000B0749" w:rsidRPr="00BD14D2" w:rsidRDefault="00B61406" w:rsidP="008B1642">
      <w:pPr>
        <w:spacing w:before="120" w:after="120"/>
        <w:jc w:val="both"/>
      </w:pPr>
      <w:r w:rsidRPr="00BD14D2">
        <w:t>Objective 1: To review and analyse academic literature and existing research to identify the effects of branding on customer loyalty within the European automotive industry.</w:t>
      </w:r>
    </w:p>
    <w:p w14:paraId="44A1EE84" w14:textId="77777777" w:rsidR="000B0749" w:rsidRPr="00BD14D2" w:rsidRDefault="00B61406" w:rsidP="008B1642">
      <w:pPr>
        <w:spacing w:before="120" w:after="120"/>
        <w:jc w:val="both"/>
      </w:pPr>
      <w:r w:rsidRPr="00BD14D2">
        <w:t>Objective 2: To examine, based on academic sources and existing literature, the key customer loyalty challenges encountered by automotive firms in Europe in relation to branding.</w:t>
      </w:r>
    </w:p>
    <w:p w14:paraId="13481805" w14:textId="77777777" w:rsidR="000B0749" w:rsidRPr="00BD14D2" w:rsidRDefault="00B61406" w:rsidP="008B1642">
      <w:pPr>
        <w:spacing w:before="120" w:after="120"/>
        <w:jc w:val="both"/>
      </w:pPr>
      <w:r w:rsidRPr="00BD14D2">
        <w:t>Objective 3: To evaluate strategies discussed in academic literature that the European automotive industry can implement to overcome branding-related challenges.</w:t>
      </w:r>
    </w:p>
    <w:p w14:paraId="4FCE3808" w14:textId="77777777" w:rsidR="000B0749" w:rsidRPr="00BD14D2" w:rsidRDefault="00B61406" w:rsidP="008B1642">
      <w:pPr>
        <w:spacing w:before="120" w:after="120"/>
        <w:jc w:val="both"/>
      </w:pPr>
      <w:r w:rsidRPr="00BD14D2">
        <w:t>Objective 4: To identify, from existing academic literature and industry research, customer retention and loyalty-building strategies that European automotive brands should prioritise to strengthen long-term relationships with consumers.</w:t>
      </w:r>
    </w:p>
    <w:p w14:paraId="354857EF" w14:textId="77777777" w:rsidR="000B0749" w:rsidRPr="00BD14D2" w:rsidRDefault="00B61406" w:rsidP="008B1642">
      <w:pPr>
        <w:pStyle w:val="Heading2"/>
        <w:jc w:val="both"/>
        <w:rPr>
          <w:color w:val="auto"/>
        </w:rPr>
      </w:pPr>
      <w:bookmarkStart w:id="14" w:name="_Toc228791198"/>
      <w:r w:rsidRPr="00BD14D2">
        <w:rPr>
          <w:color w:val="auto"/>
        </w:rPr>
        <w:t>1.4 Research Questions</w:t>
      </w:r>
      <w:bookmarkEnd w:id="14"/>
    </w:p>
    <w:p w14:paraId="33623B2D" w14:textId="77777777" w:rsidR="000B0749" w:rsidRPr="00BD14D2" w:rsidRDefault="00B61406" w:rsidP="008B1642">
      <w:pPr>
        <w:spacing w:before="120" w:after="120"/>
        <w:jc w:val="both"/>
      </w:pPr>
      <w:r w:rsidRPr="00BD14D2">
        <w:t>Corresponding to these objectives, the dissertation is structured around four principal research questions:</w:t>
      </w:r>
    </w:p>
    <w:p w14:paraId="5A84EE89" w14:textId="77777777" w:rsidR="00155AD6" w:rsidRPr="00BD14D2" w:rsidRDefault="00155AD6" w:rsidP="008B1642">
      <w:pPr>
        <w:jc w:val="both"/>
        <w:rPr>
          <w:b/>
          <w:bCs/>
        </w:rPr>
      </w:pPr>
      <w:r w:rsidRPr="00BD14D2">
        <w:t>Q1: What effects of branding on customer loyalty in the European automotive industry are identified in the academic literature?</w:t>
      </w:r>
    </w:p>
    <w:p w14:paraId="38BFD8A9" w14:textId="77777777" w:rsidR="00155AD6" w:rsidRPr="00BD14D2" w:rsidRDefault="00155AD6" w:rsidP="008B1642">
      <w:pPr>
        <w:jc w:val="both"/>
        <w:rPr>
          <w:b/>
          <w:bCs/>
        </w:rPr>
      </w:pPr>
      <w:r w:rsidRPr="00BD14D2">
        <w:lastRenderedPageBreak/>
        <w:t>Q2: What customer loyalty challenges related to branding are discussed in existing literature and academic sources regarding the European automotive industry?</w:t>
      </w:r>
    </w:p>
    <w:p w14:paraId="32E78B89" w14:textId="77777777" w:rsidR="00155AD6" w:rsidRPr="00BD14D2" w:rsidRDefault="00155AD6" w:rsidP="008B1642">
      <w:pPr>
        <w:jc w:val="both"/>
        <w:rPr>
          <w:b/>
          <w:bCs/>
        </w:rPr>
      </w:pPr>
      <w:r w:rsidRPr="00BD14D2">
        <w:t>Q3: What strategies suggested in academic literature can help the European automotive industry overcome branding-related challenges?</w:t>
      </w:r>
    </w:p>
    <w:p w14:paraId="77E0CCD3" w14:textId="77777777" w:rsidR="00155AD6" w:rsidRPr="00BD14D2" w:rsidRDefault="00155AD6" w:rsidP="008B1642">
      <w:pPr>
        <w:jc w:val="both"/>
        <w:rPr>
          <w:b/>
          <w:bCs/>
        </w:rPr>
      </w:pPr>
      <w:r w:rsidRPr="00BD14D2">
        <w:t xml:space="preserve">Q4: What customer retention and loyalty-building strategies do academic sources suggest European automotive brands should prioritise to strengthen long-term consumer relationships? </w:t>
      </w:r>
    </w:p>
    <w:p w14:paraId="061EB47D" w14:textId="77777777" w:rsidR="000B0749" w:rsidRPr="00BD14D2" w:rsidRDefault="00B61406" w:rsidP="008B1642">
      <w:pPr>
        <w:pStyle w:val="Heading2"/>
        <w:jc w:val="both"/>
        <w:rPr>
          <w:color w:val="auto"/>
        </w:rPr>
      </w:pPr>
      <w:bookmarkStart w:id="15" w:name="_Toc228791199"/>
      <w:r w:rsidRPr="00BD14D2">
        <w:rPr>
          <w:color w:val="auto"/>
        </w:rPr>
        <w:t>1.5 Significance and Relevance of the Study</w:t>
      </w:r>
      <w:bookmarkEnd w:id="15"/>
    </w:p>
    <w:p w14:paraId="62FEE05F" w14:textId="77777777" w:rsidR="000B0749" w:rsidRPr="00BD14D2" w:rsidRDefault="00B61406" w:rsidP="008B1642">
      <w:pPr>
        <w:spacing w:before="120" w:after="120"/>
        <w:jc w:val="both"/>
      </w:pPr>
      <w:r w:rsidRPr="00BD14D2">
        <w:t>The significance of this research is both academic and practical. From an academic perspective, the study contributes to a growing body of literature on the intersection of digital transformation, sustainability considerations, and consumer brand loyalty in mature industrial sectors. Existing scholarly works have mainly investigated branding and loyalty in stable market environments but given far less attention to how these constructs behave during periods of rapid, technology-driven disruption (</w:t>
      </w:r>
      <w:proofErr w:type="spellStart"/>
      <w:r w:rsidRPr="00BD14D2">
        <w:t>Górska-Warsewicz</w:t>
      </w:r>
      <w:proofErr w:type="spellEnd"/>
      <w:r w:rsidRPr="00BD14D2">
        <w:t>, 2025). By focusing specifically on the European automotive sector during a moment of transition, this dissertation adds contextual depth to the broader literature on brand loyalty management.</w:t>
      </w:r>
    </w:p>
    <w:p w14:paraId="66F288DB" w14:textId="77777777" w:rsidR="000B0749" w:rsidRPr="00BD14D2" w:rsidRDefault="00B61406" w:rsidP="008B1642">
      <w:pPr>
        <w:spacing w:before="120" w:after="120"/>
        <w:jc w:val="both"/>
      </w:pPr>
      <w:r w:rsidRPr="00BD14D2">
        <w:t>From a practical perspective, the findings of this research are directly relevant to marketing strategists, brand managers, and senior executives within European automotive companies. As the European automotive brands navigate the two considerations of electrification and digitalisation, they require evidence-based insights into which branding and loyalty strategies are likely to prove most effective. The research is equally relevant to policymakers and industry associations concerned with supporting the competitiveness of European automotive manufacturers in global markets. The European automotive sector employs approximately 13 million people directly and indirectly (European Automobile Manufacturers' Association, 2023). Therefore, ensuring that it sustains its competitiveness is a matter of significant socioeconomic importance.</w:t>
      </w:r>
    </w:p>
    <w:p w14:paraId="01792C6E" w14:textId="77777777" w:rsidR="00F92B6E" w:rsidRPr="00BD14D2" w:rsidRDefault="00B61406" w:rsidP="008B1642">
      <w:pPr>
        <w:spacing w:before="120" w:after="120"/>
        <w:jc w:val="both"/>
      </w:pPr>
      <w:r w:rsidRPr="00BD14D2">
        <w:t xml:space="preserve">The research also carries relevance for the emerging field of digital marketing in high-involvement product categories. Automobiles represent one of the most significant purchases that individuals make, and the shift to online and semi-online purchasing models raises important questions about how brands can maintain the </w:t>
      </w:r>
      <w:r w:rsidRPr="00BD14D2">
        <w:lastRenderedPageBreak/>
        <w:t xml:space="preserve">emotional resonance and relational depth that generate loyalty in a lower-contact commercial environment. </w:t>
      </w:r>
    </w:p>
    <w:p w14:paraId="20AA1689" w14:textId="77777777" w:rsidR="000B0749" w:rsidRPr="00BD14D2" w:rsidRDefault="00B61406" w:rsidP="008B1642">
      <w:pPr>
        <w:pStyle w:val="Heading2"/>
        <w:jc w:val="both"/>
        <w:rPr>
          <w:color w:val="auto"/>
        </w:rPr>
      </w:pPr>
      <w:bookmarkStart w:id="16" w:name="_Toc228791200"/>
      <w:r w:rsidRPr="00BD14D2">
        <w:rPr>
          <w:color w:val="auto"/>
        </w:rPr>
        <w:t>1.6 Brief Overview of Research Methodology</w:t>
      </w:r>
      <w:bookmarkEnd w:id="16"/>
    </w:p>
    <w:p w14:paraId="382F3D71" w14:textId="77777777" w:rsidR="000B0749" w:rsidRPr="00BD14D2" w:rsidRDefault="00B61406" w:rsidP="008B1642">
      <w:pPr>
        <w:spacing w:before="120" w:after="120"/>
        <w:jc w:val="both"/>
      </w:pPr>
      <w:r w:rsidRPr="00BD14D2">
        <w:t>This dissertation adopts an interpretivist philosophical stance, which reflects the recognition that branding and customer loyalty are inherently social constructs whose meanings are shaped by subjective human experience and cultural context. Interpretivism enables the dissertation to explore the nuanced and context-specific ways in which European consumers relate to automotive brands, moving beyond the statistical regularities that a positivist approach would prioritise (Research-Methodology, 2026).</w:t>
      </w:r>
    </w:p>
    <w:p w14:paraId="0754FBD2" w14:textId="77777777" w:rsidR="000B0749" w:rsidRPr="00BD14D2" w:rsidRDefault="00B61406" w:rsidP="008B1642">
      <w:pPr>
        <w:spacing w:before="120" w:after="120"/>
        <w:jc w:val="both"/>
      </w:pPr>
      <w:r w:rsidRPr="00BD14D2">
        <w:t>The research follows an inductive approach, which is based on deriving conceptual insights and theoretical propositions from the patterns identified in the empirical material rather than testing a pre-specified hypothesis. This approach is well-suited to this study given that the rapid transformation of the European automotive market means that existing theoretical frameworks may not adequately capture the dynamics that are currently at play. An exploratory research design provides the structural framework for the inquiry, enabling the investigation of complex, emergent phenomena for which established analytical templates may be insufficient.</w:t>
      </w:r>
    </w:p>
    <w:p w14:paraId="624D6853" w14:textId="77777777" w:rsidR="000B0749" w:rsidRDefault="00B61406" w:rsidP="008B1642">
      <w:pPr>
        <w:spacing w:before="120" w:after="120"/>
        <w:jc w:val="both"/>
      </w:pPr>
      <w:r w:rsidRPr="00BD14D2">
        <w:t>Data is collected through a systematic review and thematic analysis of secondary qualitative sources, including peer-reviewed academic journal articles, European automotive industry reports, market research publications, and credible trade press sources. The use of secondary data is justified by the volume of high-quality documentary evidence available regarding European consumer behaviour and automotive brand strategy, and by the ethical and logistical advantages of not requiring primary data collection from individual research participants. Thematic analysis is employed as the primary analytical method, facilitating the identification of recurrent patterns and themes across the assembled body of secondary data. This methodological approach is described in greater detail in Chapter 3.</w:t>
      </w:r>
    </w:p>
    <w:p w14:paraId="4E0E4A42" w14:textId="77777777" w:rsidR="000B598C" w:rsidRDefault="000B598C" w:rsidP="008B1642">
      <w:pPr>
        <w:spacing w:before="120" w:after="120"/>
        <w:jc w:val="both"/>
      </w:pPr>
    </w:p>
    <w:p w14:paraId="5CE13769" w14:textId="77777777" w:rsidR="000B598C" w:rsidRPr="00BD14D2" w:rsidRDefault="000B598C" w:rsidP="008B1642">
      <w:pPr>
        <w:spacing w:before="120" w:after="120"/>
        <w:jc w:val="both"/>
      </w:pPr>
    </w:p>
    <w:p w14:paraId="4EA82B77" w14:textId="77777777" w:rsidR="000B0749" w:rsidRPr="00BD14D2" w:rsidRDefault="00B61406" w:rsidP="008B1642">
      <w:pPr>
        <w:pStyle w:val="Heading2"/>
        <w:jc w:val="both"/>
        <w:rPr>
          <w:color w:val="auto"/>
        </w:rPr>
      </w:pPr>
      <w:bookmarkStart w:id="17" w:name="_Toc228791201"/>
      <w:r w:rsidRPr="00BD14D2">
        <w:rPr>
          <w:color w:val="auto"/>
        </w:rPr>
        <w:lastRenderedPageBreak/>
        <w:t>1.7 Structure of the Dissertation</w:t>
      </w:r>
      <w:bookmarkEnd w:id="17"/>
    </w:p>
    <w:p w14:paraId="249862FA" w14:textId="77777777" w:rsidR="000B0749" w:rsidRPr="00BD14D2" w:rsidRDefault="00B61406" w:rsidP="008B1642">
      <w:pPr>
        <w:spacing w:before="120" w:after="120"/>
        <w:jc w:val="both"/>
      </w:pPr>
      <w:r w:rsidRPr="00BD14D2">
        <w:t>This dissertation is organised into five chapters. The present chapter, Chapter 1, has introduced the research context, articulated the problem statement, and established the aims, objectives, research questions, and significance of the study. It has also provided a brief overview of the methodological approach.</w:t>
      </w:r>
    </w:p>
    <w:p w14:paraId="0519D622" w14:textId="77777777" w:rsidR="000B0749" w:rsidRPr="00BD14D2" w:rsidRDefault="00B61406" w:rsidP="008B1642">
      <w:pPr>
        <w:spacing w:before="120" w:after="120"/>
        <w:jc w:val="both"/>
      </w:pPr>
      <w:r w:rsidRPr="00BD14D2">
        <w:t>Chapter 2 presents a comprehensive critical review of the relevant academic and practitioner literature. It examines the theoretical foundations of brand loyalty, the specific dynamics of the European automotive market, the challenges confronting established European automotive manufacturers, and the strategic responses that scholars and industry analysts have proposed. The chapter concludes with the identification of a conceptual framework that will guide the subsequent analysis.</w:t>
      </w:r>
    </w:p>
    <w:p w14:paraId="4B388A80" w14:textId="77777777" w:rsidR="000B0749" w:rsidRPr="00BD14D2" w:rsidRDefault="00B61406" w:rsidP="008B1642">
      <w:pPr>
        <w:spacing w:before="120" w:after="120"/>
        <w:jc w:val="both"/>
      </w:pPr>
      <w:r w:rsidRPr="00BD14D2">
        <w:t>Chapter 3 details the research methodology, providing a thorough justification for each methodological choice made, from philosophical positioning through to data analysis strategy. Chapter 4 presents the findings of the thematic analysis, organising the evidence around the four research questions and critically situating the findings within the existing literature. Chapter 5 synthesises the key conclusions of the dissertation, addresses the research questions directly, and offers practical and theoretical recommendations. It also acknowledges the limitations of the study and identifies productive directions for future research.</w:t>
      </w:r>
    </w:p>
    <w:p w14:paraId="53263A86" w14:textId="77777777" w:rsidR="00BE106C" w:rsidRPr="00BD14D2" w:rsidRDefault="00BE106C" w:rsidP="008B1642">
      <w:pPr>
        <w:pStyle w:val="Heading2"/>
        <w:jc w:val="both"/>
        <w:rPr>
          <w:color w:val="auto"/>
        </w:rPr>
      </w:pPr>
      <w:bookmarkStart w:id="18" w:name="_Toc228791202"/>
      <w:r w:rsidRPr="00BD14D2">
        <w:rPr>
          <w:color w:val="auto"/>
        </w:rPr>
        <w:t>1.8 Conclusion of the Chapter</w:t>
      </w:r>
      <w:bookmarkEnd w:id="18"/>
    </w:p>
    <w:p w14:paraId="7CA00157" w14:textId="77777777" w:rsidR="00BE106C" w:rsidRPr="00BD14D2" w:rsidRDefault="00BE106C" w:rsidP="008B1642">
      <w:pPr>
        <w:spacing w:before="120" w:after="120"/>
        <w:jc w:val="both"/>
      </w:pPr>
      <w:r w:rsidRPr="00BD14D2">
        <w:t>This chapter has introduced the central research problem confronting European automotive brands, namely the simultaneous erosion of traditional brand loyalty by electrification, digitalisation, and competitive disruption from Asian entrants. It has set out four research objectives and four corresponding research questions that structure the investigation. The study adopts an interpretivist philosophy and an inductive, exploratory approach based on secondary qualitative data and thematic analysis. The significance of the research spans both academic and practical dimensions, as it addresses gaps in the existing literature while generating insights of direct relevance to brand managers, industry strategists, and policymakers.</w:t>
      </w:r>
    </w:p>
    <w:p w14:paraId="21605E91" w14:textId="77777777" w:rsidR="005553B1" w:rsidRPr="00BD14D2" w:rsidRDefault="005553B1" w:rsidP="008B1642">
      <w:pPr>
        <w:jc w:val="both"/>
        <w:rPr>
          <w:b/>
          <w:bCs/>
          <w:sz w:val="32"/>
          <w:szCs w:val="32"/>
        </w:rPr>
      </w:pPr>
      <w:r w:rsidRPr="00BD14D2">
        <w:br w:type="page"/>
      </w:r>
    </w:p>
    <w:p w14:paraId="0918B32D" w14:textId="77777777" w:rsidR="000B0749" w:rsidRPr="00BD14D2" w:rsidRDefault="00B61406" w:rsidP="008B1642">
      <w:pPr>
        <w:pStyle w:val="Heading1"/>
        <w:jc w:val="both"/>
        <w:rPr>
          <w:color w:val="auto"/>
        </w:rPr>
      </w:pPr>
      <w:bookmarkStart w:id="19" w:name="_Toc228791203"/>
      <w:r w:rsidRPr="00BD14D2">
        <w:rPr>
          <w:color w:val="auto"/>
        </w:rPr>
        <w:lastRenderedPageBreak/>
        <w:t>CHAPTER 2: LITERATURE REVIEW</w:t>
      </w:r>
      <w:bookmarkEnd w:id="19"/>
    </w:p>
    <w:p w14:paraId="139E784D" w14:textId="77777777" w:rsidR="000B0749" w:rsidRPr="00BD14D2" w:rsidRDefault="00B61406" w:rsidP="008B1642">
      <w:pPr>
        <w:pStyle w:val="Heading2"/>
        <w:jc w:val="both"/>
        <w:rPr>
          <w:color w:val="auto"/>
        </w:rPr>
      </w:pPr>
      <w:bookmarkStart w:id="20" w:name="_Toc228791204"/>
      <w:r w:rsidRPr="00BD14D2">
        <w:rPr>
          <w:color w:val="auto"/>
        </w:rPr>
        <w:t>2.1 Introduction</w:t>
      </w:r>
      <w:bookmarkEnd w:id="20"/>
    </w:p>
    <w:p w14:paraId="4179E93B" w14:textId="77777777" w:rsidR="000B0749" w:rsidRPr="00BD14D2" w:rsidRDefault="00B61406" w:rsidP="008B1642">
      <w:pPr>
        <w:spacing w:before="120" w:after="120"/>
        <w:jc w:val="both"/>
      </w:pPr>
      <w:r w:rsidRPr="00BD14D2">
        <w:t>This chapter critically reviews the existing academic literature relevant to branding and customer loyalty in the European automotive industry. The review is structured to address each of the four research objectives listed in chapter one. It begins by establishing the theoretical and conceptual foundations of brand loyalty, examining seminal frameworks and recent developments in the field. It then contextualises these foundations within the specific dynamics of the European automotive market, exploring both the established drivers of loyalty in this sector and the challenges that are currently disrupting them. The chapter proceeds to examine the strategic responses being proposed and implemented by European Original Equipment Manufacturers (OEMs), before concluding with a critical assessment of the literature gaps that this dissertation seeks to address and the conceptual framework that will guide the empirical analysis.</w:t>
      </w:r>
    </w:p>
    <w:p w14:paraId="5AA919E2" w14:textId="5E206B2E" w:rsidR="00AC156F" w:rsidRDefault="00B61406" w:rsidP="008B1642">
      <w:pPr>
        <w:spacing w:before="120" w:after="120"/>
        <w:jc w:val="both"/>
      </w:pPr>
      <w:r w:rsidRPr="00BD14D2">
        <w:t xml:space="preserve">The literature reviewed spans peer-reviewed academic journals in the fields of marketing, consumer behaviour, strategic management, and innovation management, as well as industry reports from organisations including the European Automobile Manufacturers' Association (ACEA), McKinsey &amp; Company, and the International Energy Agency (IEA). Sources have been selected based on their scholarly quality, their direct relevance to the research topic, and their </w:t>
      </w:r>
      <w:r w:rsidR="0009310B" w:rsidRPr="00BD14D2">
        <w:t>regency</w:t>
      </w:r>
      <w:r w:rsidR="0009310B">
        <w:t>. A Preferred Reporting Items for Systematic Reviews and Meta-Analyses (</w:t>
      </w:r>
      <w:r w:rsidRPr="00BD14D2">
        <w:t>PRISMA</w:t>
      </w:r>
      <w:r w:rsidR="0009310B">
        <w:t xml:space="preserve">) </w:t>
      </w:r>
      <w:r w:rsidRPr="00BD14D2">
        <w:t xml:space="preserve">Flow Diagram will be used to improve the transparency, clarity and accuracy of systematic review, tracking the number of studies identified, screened assessed for eligibility, and included or excluded with reasons (See Appendix A). </w:t>
      </w:r>
      <w:r w:rsidR="0002723D" w:rsidRPr="00BD14D2">
        <w:t>Also,</w:t>
      </w:r>
      <w:r w:rsidR="0002723D">
        <w:t xml:space="preserve"> Critical Appraisal Skills Programme</w:t>
      </w:r>
      <w:r w:rsidRPr="00BD14D2">
        <w:t xml:space="preserve"> </w:t>
      </w:r>
      <w:r w:rsidR="0002723D">
        <w:t>(</w:t>
      </w:r>
      <w:r w:rsidRPr="00BD14D2">
        <w:t>CASP</w:t>
      </w:r>
      <w:r w:rsidR="0002723D">
        <w:t>)</w:t>
      </w:r>
      <w:r w:rsidRPr="00BD14D2">
        <w:t xml:space="preserve"> Framework Checklist is provided to critically appraise the validity, results, and applicability of systematic review (See Appendix B)</w:t>
      </w:r>
      <w:r w:rsidR="00AC156F">
        <w:t>.</w:t>
      </w:r>
    </w:p>
    <w:p w14:paraId="170BB10C" w14:textId="77777777" w:rsidR="00AC156F" w:rsidRDefault="00AC156F" w:rsidP="008B1642">
      <w:pPr>
        <w:spacing w:before="120" w:after="120"/>
        <w:jc w:val="both"/>
      </w:pPr>
    </w:p>
    <w:p w14:paraId="7CF54C4E" w14:textId="3693C604" w:rsidR="000B0749" w:rsidRDefault="00B61406" w:rsidP="008B1642">
      <w:pPr>
        <w:spacing w:before="120" w:after="120"/>
        <w:jc w:val="both"/>
      </w:pPr>
      <w:r w:rsidRPr="00BD14D2">
        <w:t xml:space="preserve"> </w:t>
      </w:r>
    </w:p>
    <w:p w14:paraId="0F58E955" w14:textId="77777777" w:rsidR="00AC156F" w:rsidRPr="00BD14D2" w:rsidRDefault="00AC156F" w:rsidP="008B1642">
      <w:pPr>
        <w:spacing w:before="120" w:after="120"/>
        <w:jc w:val="both"/>
      </w:pPr>
    </w:p>
    <w:p w14:paraId="697D3E4D" w14:textId="77777777" w:rsidR="000B0749" w:rsidRPr="00BD14D2" w:rsidRDefault="00B61406" w:rsidP="008B1642">
      <w:pPr>
        <w:pStyle w:val="Heading2"/>
        <w:jc w:val="both"/>
        <w:rPr>
          <w:color w:val="auto"/>
        </w:rPr>
      </w:pPr>
      <w:bookmarkStart w:id="21" w:name="_Toc228791205"/>
      <w:r w:rsidRPr="00BD14D2">
        <w:rPr>
          <w:color w:val="auto"/>
        </w:rPr>
        <w:lastRenderedPageBreak/>
        <w:t>2.2 Brand Loyalty: Theoretical and Conceptual Foundations</w:t>
      </w:r>
      <w:bookmarkEnd w:id="21"/>
    </w:p>
    <w:p w14:paraId="04CBF475" w14:textId="77777777" w:rsidR="000B0749" w:rsidRPr="00BD14D2" w:rsidRDefault="00B61406" w:rsidP="008B1642">
      <w:pPr>
        <w:pStyle w:val="Heading3"/>
        <w:jc w:val="both"/>
        <w:rPr>
          <w:color w:val="auto"/>
        </w:rPr>
      </w:pPr>
      <w:bookmarkStart w:id="22" w:name="_Toc228791206"/>
      <w:r w:rsidRPr="00BD14D2">
        <w:rPr>
          <w:color w:val="auto"/>
        </w:rPr>
        <w:t>2.2.1 Defining Brand Loyalty</w:t>
      </w:r>
      <w:bookmarkEnd w:id="22"/>
    </w:p>
    <w:p w14:paraId="1F6DCFDF" w14:textId="77777777" w:rsidR="000B0749" w:rsidRPr="00BD14D2" w:rsidRDefault="00B61406" w:rsidP="008B1642">
      <w:pPr>
        <w:spacing w:before="120" w:after="120"/>
        <w:jc w:val="both"/>
      </w:pPr>
      <w:r w:rsidRPr="00BD14D2">
        <w:t>The concept of brand loyalty has been a central preoccupation of marketing scholarship since at least the 1950s, yet its definition and measurement remain contested. Early definitions, rooted in behaviourist psychology, defined brand loyalty primarily in terms of observable purchasing behaviour, specifically, the repeated purchase of a given brand over time (Parris and Guzmán, 2022). This behavioural definition was subsequently critiqued for its failure to distinguish between genuine loyalty and inertia, whereby consumers might repeatedly purchase the same brand not out of positive attachment but simply because of habit, limited alternatives, or switching costs. Dick and Basu (1994) addressed this limitation by proposing an attitudinal dimension to loyalty, arguing that true loyalty requires both a strong relative attitude towards a brand and repeated support. Their framework identified four loyalty states namely, true loyalty, latent loyalty, spurious loyalty, and no loyalty (Dick and Basu, 1994). The four loyalty states are based on the interaction of attitudinal strength and behavioural repetition, and this typology continues to inform contemporary research.</w:t>
      </w:r>
    </w:p>
    <w:p w14:paraId="52CC6DA9" w14:textId="77777777" w:rsidR="000B0749" w:rsidRPr="00BD14D2" w:rsidRDefault="00B61406" w:rsidP="008B1642">
      <w:pPr>
        <w:spacing w:before="120" w:after="120"/>
        <w:jc w:val="both"/>
      </w:pPr>
      <w:r w:rsidRPr="00BD14D2">
        <w:t>Oliver (1999) advanced the conceptualisation of loyalty further, defining it as a deeply held commitment to re-buy or re-patronise a preferred product or service consistently in the future, despite situational influences and marketing efforts having the potential to cause switching behaviour. This definition's emphasis on the depth and durability of the commitment, and its acknowledgement of competitive threat, is important to the automotive context, where manufacturers must sustain loyalty over extended ownership cycles in the face of aggressive competitive marketing.</w:t>
      </w:r>
    </w:p>
    <w:p w14:paraId="0797C976" w14:textId="77777777" w:rsidR="000B0749" w:rsidRPr="00BD14D2" w:rsidRDefault="00B61406" w:rsidP="008B1642">
      <w:pPr>
        <w:spacing w:before="120" w:after="120"/>
        <w:jc w:val="both"/>
      </w:pPr>
      <w:r w:rsidRPr="00BD14D2">
        <w:t xml:space="preserve">More recent scholarship has emphasised the relational and social dimensions of brand loyalty by locating it within the broader framework of relationship marketing. Liang (2021) identified trust and commitment as the key mediating variables in successful relational exchange, arguing that when consumers trust a brand and feel emotionally committed to it, they are more likely to remain loyal even in the face of attractive alternatives. This relational perspective is highly relevant to the automotive industry, where the purchase decision involves significant financial risk, </w:t>
      </w:r>
      <w:r w:rsidRPr="00BD14D2">
        <w:lastRenderedPageBreak/>
        <w:t>long ownership cycles, and a substantial emotional component tied to identity expression and social signalling.</w:t>
      </w:r>
    </w:p>
    <w:p w14:paraId="651857E8" w14:textId="77777777" w:rsidR="000B0749" w:rsidRPr="00BD14D2" w:rsidRDefault="00B61406" w:rsidP="008B1642">
      <w:pPr>
        <w:pStyle w:val="Heading3"/>
        <w:jc w:val="both"/>
        <w:rPr>
          <w:color w:val="auto"/>
        </w:rPr>
      </w:pPr>
      <w:bookmarkStart w:id="23" w:name="_Toc228791207"/>
      <w:r w:rsidRPr="00BD14D2">
        <w:rPr>
          <w:color w:val="auto"/>
        </w:rPr>
        <w:t>2.2.2 The Brand Equity Framework</w:t>
      </w:r>
      <w:bookmarkEnd w:id="23"/>
    </w:p>
    <w:p w14:paraId="71F14747" w14:textId="77777777" w:rsidR="000B0749" w:rsidRPr="00BD14D2" w:rsidRDefault="00B61406" w:rsidP="008B1642">
      <w:pPr>
        <w:spacing w:before="120" w:after="120"/>
        <w:jc w:val="both"/>
      </w:pPr>
      <w:r w:rsidRPr="00BD14D2">
        <w:t>Keller's (1993) Customer-Based Brand Equity (CBBE) model provides another foundational framework for understanding the methods by which brands generate loyalty. Keller conceptualised brand equity as the differential effect that brand knowledge has on consumer response to marketing activities. He argues that strong, favourable, and unique brand associations encompass brand awareness, perceived quality, brand associations, and brand loyalty, all of which collectively determine a brand's power to sustain competitive advantage. In the automotive context, premium European brands have traditionally generated high brand equity through associations with engineering quality, safety, nationality prestige, and motorsport heritage (</w:t>
      </w:r>
      <w:proofErr w:type="spellStart"/>
      <w:r w:rsidRPr="00BD14D2">
        <w:t>Gajanova</w:t>
      </w:r>
      <w:proofErr w:type="spellEnd"/>
      <w:r w:rsidRPr="00BD14D2">
        <w:t xml:space="preserve">, </w:t>
      </w:r>
      <w:proofErr w:type="spellStart"/>
      <w:r w:rsidRPr="00BD14D2">
        <w:t>Majerova</w:t>
      </w:r>
      <w:proofErr w:type="spellEnd"/>
      <w:r w:rsidRPr="00BD14D2">
        <w:t xml:space="preserve"> and Nadanyiova, 2024).</w:t>
      </w:r>
    </w:p>
    <w:p w14:paraId="5048737E" w14:textId="77777777" w:rsidR="000B0749" w:rsidRPr="00BD14D2" w:rsidRDefault="00B61406" w:rsidP="008B1642">
      <w:pPr>
        <w:spacing w:before="120" w:after="120"/>
        <w:jc w:val="both"/>
      </w:pPr>
      <w:r w:rsidRPr="00BD14D2">
        <w:t>Aaker (1991) similarly identified brand loyalty as one of five dimensions of brand equity, alongside brand awareness, perceived quality, brand associations, and other proprietary assets. He further argued that brand loyalty provides a strategic barrier to competitive entry by shielding established brands from the full force of competitive pressure. The implication for the contemporary European automotive market is significant. If the electrification and digitalisation transitions are weakening the traditional sources of brand association, then it means that the ability of brand loyalty to shield the automotive companies from losing their brand equity may be diminishing. This leaves the established OEMs more vulnerable to competitive from new entrants than their historical market positions would suggest.</w:t>
      </w:r>
    </w:p>
    <w:p w14:paraId="068376A1" w14:textId="77777777" w:rsidR="000B0749" w:rsidRPr="00BD14D2" w:rsidRDefault="00B61406" w:rsidP="008B1642">
      <w:pPr>
        <w:pStyle w:val="Heading3"/>
        <w:jc w:val="both"/>
        <w:rPr>
          <w:color w:val="auto"/>
        </w:rPr>
      </w:pPr>
      <w:bookmarkStart w:id="24" w:name="_Toc228791208"/>
      <w:r w:rsidRPr="00BD14D2">
        <w:rPr>
          <w:color w:val="auto"/>
        </w:rPr>
        <w:t>2.2.3 The Role of Emotional Bonding and Identity</w:t>
      </w:r>
      <w:bookmarkEnd w:id="24"/>
    </w:p>
    <w:p w14:paraId="7C6AA765" w14:textId="77777777" w:rsidR="000B0749" w:rsidRPr="00BD14D2" w:rsidRDefault="00B61406" w:rsidP="008B1642">
      <w:pPr>
        <w:spacing w:before="120" w:after="120"/>
        <w:jc w:val="both"/>
      </w:pPr>
      <w:r w:rsidRPr="00BD14D2">
        <w:t xml:space="preserve">A body of scholarship emphasises the role of emotional bonding and brand-consumer identity congruence in generating deep and durable loyalty. Mills and John (2021) applied relationship theory to brand management, demonstrating that consumers develop genuine emotional connections with brands that are characterised by love and passion, self-connection, interdependence, commitment, intimacy, and partner quality. Their research demonstrated that these bonds are among the most powerful predictors of sustained loyalty behaviour. In the automotive sector, where a vehicle is often a significant statement of personal </w:t>
      </w:r>
      <w:r w:rsidRPr="00BD14D2">
        <w:lastRenderedPageBreak/>
        <w:t>identity and social status, the emotional dimension of brand loyalty is particularly pronounced.</w:t>
      </w:r>
    </w:p>
    <w:p w14:paraId="22A4D4A4" w14:textId="77777777" w:rsidR="000B0749" w:rsidRPr="00BD14D2" w:rsidRDefault="00FE183A" w:rsidP="008B1642">
      <w:pPr>
        <w:spacing w:before="120" w:after="120"/>
        <w:jc w:val="both"/>
      </w:pPr>
      <w:r w:rsidRPr="00BD14D2">
        <w:t xml:space="preserve"> In his book, Behnke (2025) extended this line of inquiry by demonstrating that consumers use brands as self-expressive tools. He observed that consumers select brands the basis of the alignment between the brand's perceived personality and their own self-concept. This finding has important implications for the current period of automotive transition as it can be used to predict that if the shift to EVs disrupts consumers' established brand-identity connections, it may undermine loyalty even among consumers who are broadly supportive of electrification. European OEMs must therefore manage the identity dimension of their brand transitions carefully.</w:t>
      </w:r>
    </w:p>
    <w:p w14:paraId="287E504D" w14:textId="77777777" w:rsidR="000B0749" w:rsidRPr="00BD14D2" w:rsidRDefault="00B61406" w:rsidP="008B1642">
      <w:pPr>
        <w:pStyle w:val="Heading2"/>
        <w:jc w:val="both"/>
        <w:rPr>
          <w:color w:val="auto"/>
        </w:rPr>
      </w:pPr>
      <w:bookmarkStart w:id="25" w:name="_Toc228791209"/>
      <w:r w:rsidRPr="00BD14D2">
        <w:rPr>
          <w:color w:val="auto"/>
        </w:rPr>
        <w:t>2.3 Branding and Customer Loyalty in the European Automotive Industry</w:t>
      </w:r>
      <w:bookmarkEnd w:id="25"/>
    </w:p>
    <w:p w14:paraId="10DB60B5" w14:textId="77777777" w:rsidR="00292476" w:rsidRPr="00BD14D2" w:rsidRDefault="00BD30E2" w:rsidP="00A16BEA">
      <w:r w:rsidRPr="00BD14D2">
        <w:t xml:space="preserve">The European automotive industry has long enjoyed exceptional branding and customer loyalty that has made people around the world dream of buying its cars (Mitrache et al. 2025). This section covers the traditional loyalty model that has so far word in favour of the industry and the impact of electrification and the new EV entrants on that loyalty. The section also discusses the digital transformation where cars are increasingly adopting sophisticated software as part of their offerings and how the customer journey has changed from the traditional model to the current one availed by the digitization of updates and customer-manufacture relationship. </w:t>
      </w:r>
    </w:p>
    <w:p w14:paraId="4B19C536" w14:textId="77777777" w:rsidR="000B0749" w:rsidRPr="00BD14D2" w:rsidRDefault="00B61406" w:rsidP="008B1642">
      <w:pPr>
        <w:pStyle w:val="Heading3"/>
        <w:jc w:val="both"/>
        <w:rPr>
          <w:color w:val="auto"/>
        </w:rPr>
      </w:pPr>
      <w:bookmarkStart w:id="26" w:name="_Toc228791210"/>
      <w:r w:rsidRPr="00BD14D2">
        <w:rPr>
          <w:color w:val="auto"/>
        </w:rPr>
        <w:t>2.3.1 The Traditional Loyalty Model in European Automotive</w:t>
      </w:r>
      <w:bookmarkEnd w:id="26"/>
    </w:p>
    <w:p w14:paraId="36AF9111" w14:textId="77777777" w:rsidR="000B0749" w:rsidRPr="00BD14D2" w:rsidRDefault="00B61406" w:rsidP="008B1642">
      <w:pPr>
        <w:spacing w:before="120" w:after="120"/>
        <w:jc w:val="both"/>
      </w:pPr>
      <w:r w:rsidRPr="00BD14D2">
        <w:t xml:space="preserve">The traditional model of customer loyalty in the European automotive industry has been characterised by several distinctive features. First, purchase cycles are typically three to seven years, which means that loyalty is expressed not through frequent repeat purchase but through the continued return to a preferred brand now of replacement. Second, the dealership network has historically served as the primary mediator of the brand-consumer relationship, providing transactional services and experiential touchpoints such as test drives, servicing interactions and relationship-building, which, over time, reinforce brand attachment between </w:t>
      </w:r>
      <w:r w:rsidRPr="00BD14D2">
        <w:lastRenderedPageBreak/>
        <w:t>purchase events. Third, brand loyalty in this sector has been strongly anchored in associations with the nation of origin and engineering heritage, with German, Italian, French, and Swedish brands each carrying distinctive national reputational identities.</w:t>
      </w:r>
    </w:p>
    <w:p w14:paraId="085D1AF6" w14:textId="77777777" w:rsidR="000B0749" w:rsidRPr="00BD14D2" w:rsidRDefault="00B61406" w:rsidP="008B1642">
      <w:pPr>
        <w:spacing w:before="120" w:after="120"/>
        <w:jc w:val="both"/>
      </w:pPr>
      <w:r w:rsidRPr="00BD14D2">
        <w:t xml:space="preserve">Research by </w:t>
      </w:r>
      <w:proofErr w:type="spellStart"/>
      <w:r w:rsidRPr="00BD14D2">
        <w:t>Górska-Warsewicz</w:t>
      </w:r>
      <w:proofErr w:type="spellEnd"/>
      <w:r w:rsidRPr="00BD14D2">
        <w:t xml:space="preserve"> (2025) confirms that retaining existing customers is considerably more cost-effective than acquiring new ones in the automotive context, with estimates suggesting that increasing customer retention rates by even five percentage points can significantly increase profitability. This economic dynamic has historically made brand loyalty a strategic priority for European OEMs, which has driven them to invest heavily in after-sales service quality, loyalty programmes, and brand communication designed to sustain attachment between purchase cycles.</w:t>
      </w:r>
    </w:p>
    <w:p w14:paraId="76E0046A" w14:textId="77777777" w:rsidR="000B0749" w:rsidRPr="00BD14D2" w:rsidRDefault="00B61406" w:rsidP="008B1642">
      <w:pPr>
        <w:spacing w:before="120" w:after="120"/>
        <w:jc w:val="both"/>
      </w:pPr>
      <w:r w:rsidRPr="00BD14D2">
        <w:t>Mitrache et al. (2025) argue that brand loyalty in the European automotive context has served to give the companies competitive advantage by allowing established manufacturers to defend their market positions against competitive intrusion from new brands and to maintain pricing power in the face of cheap alternatives. The researchers note that established loyalties reduce consumers' willingness to accept substitutes and moderate their price sensitivity, enabling premium European brands to extract a price premium that underpins their profitability. The erosion of this advantage, the researchers argue, represents one of the most significant strategic risks facing the sector today.</w:t>
      </w:r>
    </w:p>
    <w:p w14:paraId="0B16476E" w14:textId="77777777" w:rsidR="000B0749" w:rsidRPr="00BD14D2" w:rsidRDefault="00B61406" w:rsidP="008B1642">
      <w:pPr>
        <w:pStyle w:val="Heading3"/>
        <w:jc w:val="both"/>
        <w:rPr>
          <w:color w:val="auto"/>
        </w:rPr>
      </w:pPr>
      <w:bookmarkStart w:id="27" w:name="_Toc228791211"/>
      <w:r w:rsidRPr="00BD14D2">
        <w:rPr>
          <w:color w:val="auto"/>
        </w:rPr>
        <w:t>2.3.2 The Impact of Electrification on Brand Loyalty</w:t>
      </w:r>
      <w:bookmarkEnd w:id="27"/>
    </w:p>
    <w:p w14:paraId="70BEF03E" w14:textId="77777777" w:rsidR="000B0749" w:rsidRPr="00BD14D2" w:rsidRDefault="00B61406" w:rsidP="008B1642">
      <w:pPr>
        <w:spacing w:before="120" w:after="120"/>
        <w:jc w:val="both"/>
      </w:pPr>
      <w:r w:rsidRPr="00BD14D2">
        <w:t xml:space="preserve">The electrification of the automotive sector is arguably the single most disruptive force acting upon brand loyalty in Europe today. Research by </w:t>
      </w:r>
      <w:proofErr w:type="spellStart"/>
      <w:r w:rsidRPr="00BD14D2">
        <w:t>Nofrizal</w:t>
      </w:r>
      <w:proofErr w:type="spellEnd"/>
      <w:r w:rsidRPr="00BD14D2">
        <w:t xml:space="preserve"> and </w:t>
      </w:r>
      <w:proofErr w:type="spellStart"/>
      <w:r w:rsidRPr="00BD14D2">
        <w:t>Martias</w:t>
      </w:r>
      <w:proofErr w:type="spellEnd"/>
      <w:r w:rsidRPr="00BD14D2">
        <w:t xml:space="preserve"> (2026) highlights the value gap created by the cost structures of EV production, with battery costs historically making electric vehicles significantly more expensive to manufacture than comparable ICE vehicles. While battery costs are falling as shown by the IEA (2023) report that indicates that the lithium-ion battery pack prices fell by approximately 90% between 2010 and 2023, the premium associated with EVs continues to create pricing pressure. The falling cost of manufacturing EVs disadvantages established European brands as it makes the high-tech Asian entrants attractive to the younger buyers.</w:t>
      </w:r>
    </w:p>
    <w:p w14:paraId="68137DF2" w14:textId="77777777" w:rsidR="000B0749" w:rsidRPr="00BD14D2" w:rsidRDefault="001F5BEF" w:rsidP="008B1642">
      <w:pPr>
        <w:spacing w:before="120" w:after="120"/>
        <w:jc w:val="both"/>
      </w:pPr>
      <w:r w:rsidRPr="00BD14D2">
        <w:lastRenderedPageBreak/>
        <w:t>In addition to attractive pricing, electrification is disrupting loyalty through the technological capabilities that consumers expect from new vehicles. Modern EV consumers, especially in the premium segments where European brands are mainly found, increasingly evaluate vehicles based on their software functionality, digital integration, user interface quality, and connectivity features. These are capabilities that technology companies and newer automotive entrants, such as Tesla in the premium segment and the Chinese manufacturers in the middle-income segment, have developed as core competencies, while many traditional European OEMs have only recently begun to invest heavily in software development (</w:t>
      </w:r>
      <w:proofErr w:type="spellStart"/>
      <w:r w:rsidRPr="00BD14D2">
        <w:t>Mosaferchi</w:t>
      </w:r>
      <w:proofErr w:type="spellEnd"/>
      <w:r w:rsidRPr="00BD14D2">
        <w:t xml:space="preserve"> et al., 2026).</w:t>
      </w:r>
    </w:p>
    <w:p w14:paraId="4ED39DD5" w14:textId="77777777" w:rsidR="000B0749" w:rsidRPr="00BD14D2" w:rsidRDefault="00B61406" w:rsidP="008B1642">
      <w:pPr>
        <w:spacing w:before="120" w:after="120"/>
        <w:jc w:val="both"/>
      </w:pPr>
      <w:r w:rsidRPr="00BD14D2">
        <w:t>The consequence is what some researchers describe as a technological disconnection between consumer expectations and the offering of legacy automotive brands. Agustí-Pérez et al. (2026) document how this disconnection is eroding trust among consumers who perceive established European brands as falling behind in the digital transformation of the vehicle. Their research indicates that historical brand loyalty is proving insufficient to retain consumers who see a meaningful gap between their digital expectations and the digital in-vehicle experience delivered by traditional OEMs. This finding challenges the classical brand loyalty literature, which generally assumes that the attitudinal component of loyalty provides a buffer against competitive switching. In the EV transition context, even strongly loyal customers appear willing to try other brands if the technology gap is significant enough to motivate the move.</w:t>
      </w:r>
    </w:p>
    <w:p w14:paraId="275AC3F4" w14:textId="77777777" w:rsidR="000B0749" w:rsidRPr="00BD14D2" w:rsidRDefault="00B61406" w:rsidP="008B1642">
      <w:pPr>
        <w:pStyle w:val="Heading3"/>
        <w:jc w:val="both"/>
        <w:rPr>
          <w:color w:val="auto"/>
        </w:rPr>
      </w:pPr>
      <w:bookmarkStart w:id="28" w:name="_Toc228791212"/>
      <w:r w:rsidRPr="00BD14D2">
        <w:rPr>
          <w:color w:val="auto"/>
        </w:rPr>
        <w:t>2.3.3 Digital Transformation and the Changing Customer Journey</w:t>
      </w:r>
      <w:bookmarkEnd w:id="28"/>
    </w:p>
    <w:p w14:paraId="601C3DBB" w14:textId="77777777" w:rsidR="000B0749" w:rsidRPr="00BD14D2" w:rsidRDefault="00B61406" w:rsidP="008B1642">
      <w:pPr>
        <w:spacing w:before="120" w:after="120"/>
        <w:jc w:val="both"/>
      </w:pPr>
      <w:r w:rsidRPr="00BD14D2">
        <w:t xml:space="preserve">The digitalisation of the consumer journey represents a further disruption to established loyalty dynamics. </w:t>
      </w:r>
      <w:proofErr w:type="spellStart"/>
      <w:r w:rsidRPr="00BD14D2">
        <w:t>Zaware</w:t>
      </w:r>
      <w:proofErr w:type="spellEnd"/>
      <w:r w:rsidRPr="00BD14D2">
        <w:t xml:space="preserve"> and </w:t>
      </w:r>
      <w:proofErr w:type="spellStart"/>
      <w:r w:rsidRPr="00BD14D2">
        <w:t>Deokate</w:t>
      </w:r>
      <w:proofErr w:type="spellEnd"/>
      <w:r w:rsidRPr="00BD14D2">
        <w:t xml:space="preserve"> (2025) document how connected car technology is transforming the nature of the brand-consumer relationship, creating opportunities for continuous data-driven engagement between purchase events. The vehicle itself becomes a platform for ongoing brand interaction, through in-vehicle applications, personalised content delivery, usage-based insurance products, and predictive maintenance notifications. This shift from episodic to continuous brand engagement has the potential to deepen loyalty by </w:t>
      </w:r>
      <w:r w:rsidRPr="00BD14D2">
        <w:lastRenderedPageBreak/>
        <w:t>making the brand a persistent presence in the consumer's daily life, rather than a relationship that remains dormant between purchase cycles.</w:t>
      </w:r>
    </w:p>
    <w:p w14:paraId="367923D3" w14:textId="77777777" w:rsidR="000B0749" w:rsidRPr="00BD14D2" w:rsidRDefault="00B61406" w:rsidP="008B1642">
      <w:pPr>
        <w:spacing w:before="120" w:after="120"/>
        <w:jc w:val="both"/>
      </w:pPr>
      <w:r w:rsidRPr="00BD14D2">
        <w:t>However, the realisation of these opportunities is complicated by the continued dominance of the traditional dealership model that the European automotive companies have historically relied on. Milheiro et al. (2026) examine the data ownership and customer relationship implications of different retail models, noting that in the traditional franchise dealership structure, dealers rather than manufacturers collect and control much of the customer data generated through sales and service interactions. This arrangement greatly limits the ability of manufacturers to develop the kind of unified, data-rich customer view that modern loyalty programme management requires. The researchers argue that the transition to direct-to-consumer (D2C) or agency retail models where the manufacturer retains control of the customer relationship and the associated data is not just a commercial preference but a strategic necessity for building brand loyalty in the digital era.</w:t>
      </w:r>
    </w:p>
    <w:p w14:paraId="606016EA" w14:textId="77777777" w:rsidR="000B0749" w:rsidRPr="00BD14D2" w:rsidRDefault="00B61406" w:rsidP="008B1642">
      <w:pPr>
        <w:spacing w:before="120" w:after="120"/>
        <w:jc w:val="both"/>
      </w:pPr>
      <w:r w:rsidRPr="00BD14D2">
        <w:t>Consumers' digital expectations are also reshaping the benchmarks against which automotive brands are evaluated. Research in the field of service quality and digital customer experience by Agustí-Pérez et al., (2026) indicates that automotive consumers increasingly compare their brand interactions not only with those of competing automotive brands but with the seamless, personalised digital experiences offered by leading technology companies. This cross-industry comparison raises the bar for automotive brand performance in ways that traditional loyalty management frameworks do not adequately account for. European OEMs accustomed to being evaluated within their own competitive set must now contend with consumer expectations shaped by the best practices of giants in the digital space such as Amazon, Apple, and Huawei among other digital-native companies.</w:t>
      </w:r>
    </w:p>
    <w:p w14:paraId="615BF0DD" w14:textId="77777777" w:rsidR="000B0749" w:rsidRPr="00BD14D2" w:rsidRDefault="00B61406" w:rsidP="008B1642">
      <w:pPr>
        <w:pStyle w:val="Heading2"/>
        <w:jc w:val="both"/>
        <w:rPr>
          <w:color w:val="auto"/>
        </w:rPr>
      </w:pPr>
      <w:bookmarkStart w:id="29" w:name="_Toc228791213"/>
      <w:r w:rsidRPr="00BD14D2">
        <w:rPr>
          <w:color w:val="auto"/>
        </w:rPr>
        <w:t>2.4 Challenges to Customer Loyalty Facing European Automotive Brands</w:t>
      </w:r>
      <w:bookmarkEnd w:id="29"/>
    </w:p>
    <w:p w14:paraId="1F3430AB" w14:textId="58889ABE" w:rsidR="00BD30E2" w:rsidRPr="00BD14D2" w:rsidRDefault="00BD30E2" w:rsidP="00A16BEA">
      <w:r w:rsidRPr="00BD14D2">
        <w:t xml:space="preserve">The European automotive industry has suffered customer loyalty issues in recent years owing to </w:t>
      </w:r>
      <w:r w:rsidR="00220E39" w:rsidRPr="00BD14D2">
        <w:t>several</w:t>
      </w:r>
      <w:r w:rsidRPr="00BD14D2">
        <w:t xml:space="preserve"> factors covered in this section. The section discusses the issue of the high cost of producing EVs that European manufacturers </w:t>
      </w:r>
      <w:r w:rsidR="00220E39" w:rsidRPr="00BD14D2">
        <w:t>must</w:t>
      </w:r>
      <w:r w:rsidRPr="00BD14D2">
        <w:t xml:space="preserve"> deal </w:t>
      </w:r>
      <w:r w:rsidRPr="00BD14D2">
        <w:lastRenderedPageBreak/>
        <w:t xml:space="preserve">with compared to their subsidised Chinese competitors. The section further covers how the traditional fragmented customer journey offers by the European OEMs has impacted customer loyalty compared to the EV customer journey where customers have a direct relationship with the manufacturer, which makes it easy and convenient for them. Finally, the section covers the issue of willingness to switch brands by the younger European consumers.   </w:t>
      </w:r>
    </w:p>
    <w:p w14:paraId="303BD68E" w14:textId="77777777" w:rsidR="000B0749" w:rsidRPr="00BD14D2" w:rsidRDefault="00B61406" w:rsidP="008B1642">
      <w:pPr>
        <w:pStyle w:val="Heading3"/>
        <w:jc w:val="both"/>
        <w:rPr>
          <w:color w:val="auto"/>
        </w:rPr>
      </w:pPr>
      <w:bookmarkStart w:id="30" w:name="_Toc228791214"/>
      <w:r w:rsidRPr="00BD14D2">
        <w:rPr>
          <w:color w:val="auto"/>
        </w:rPr>
        <w:t>2.4.1 Production costs of electric vehicles</w:t>
      </w:r>
      <w:bookmarkEnd w:id="30"/>
    </w:p>
    <w:p w14:paraId="02A2D58A" w14:textId="77777777" w:rsidR="000B0749" w:rsidRPr="00BD14D2" w:rsidRDefault="00B61406" w:rsidP="008B1642">
      <w:pPr>
        <w:spacing w:before="120" w:after="120"/>
        <w:jc w:val="both"/>
      </w:pPr>
      <w:r w:rsidRPr="00BD14D2">
        <w:t xml:space="preserve">Research by Cornet et al. (2023) shows that low-cost Chinese EV brands captured a growing share of European EV registrations over the 2020–2023 period, particularly in the mass-market and lower-premium segments. While the production cost for EVs is high for European automotive manufacturers, the Chinese brands are cheaper as their industry is heavily subsidised by their government to enhance their competitiveness at the world stage. The competitive threat from Chinese entrants also operates through the pricing channel identified by </w:t>
      </w:r>
      <w:proofErr w:type="spellStart"/>
      <w:r w:rsidRPr="00BD14D2">
        <w:t>Nofrizal</w:t>
      </w:r>
      <w:proofErr w:type="spellEnd"/>
      <w:r w:rsidRPr="00BD14D2">
        <w:t xml:space="preserve"> and </w:t>
      </w:r>
      <w:proofErr w:type="spellStart"/>
      <w:r w:rsidRPr="00BD14D2">
        <w:t>Martias</w:t>
      </w:r>
      <w:proofErr w:type="spellEnd"/>
      <w:r w:rsidRPr="00BD14D2">
        <w:t xml:space="preserve"> (2026). If Chinese manufacturers can offer broadly comparable EV performance at significantly lower price points, European brands face an uncomfortable choice of either matching the pricing at the cost of margin erosion or maintain pricing and risk losing price-sensitive consumers who are less connected to brand loyalty than previous generations. Research by Park et al. (2022) on disruptive innovation in the automotive sector suggests that incumbent brands in disrupted industries typically struggle to respond effectively to these pricing pressures because their cost structures and organisational cultures are designed for the premium positioning that existing loyal customers expect.</w:t>
      </w:r>
    </w:p>
    <w:p w14:paraId="3BE6BB57" w14:textId="77777777" w:rsidR="000B0749" w:rsidRPr="00BD14D2" w:rsidRDefault="00B61406" w:rsidP="008B1642">
      <w:pPr>
        <w:pStyle w:val="Heading3"/>
        <w:jc w:val="both"/>
        <w:rPr>
          <w:color w:val="auto"/>
        </w:rPr>
      </w:pPr>
      <w:bookmarkStart w:id="31" w:name="_Toc228791215"/>
      <w:r w:rsidRPr="00BD14D2">
        <w:rPr>
          <w:color w:val="auto"/>
        </w:rPr>
        <w:t>2.4.2 The Fragmentation of the Customer Journey</w:t>
      </w:r>
      <w:bookmarkEnd w:id="31"/>
    </w:p>
    <w:p w14:paraId="1DADD8E5" w14:textId="77777777" w:rsidR="000B0749" w:rsidRPr="00BD14D2" w:rsidRDefault="00B61406" w:rsidP="008B1642">
      <w:pPr>
        <w:spacing w:before="120" w:after="120"/>
        <w:jc w:val="both"/>
      </w:pPr>
      <w:r w:rsidRPr="00BD14D2">
        <w:t xml:space="preserve">As explained above, the division of the customer journey across manufacturer, dealer, and digital touchpoints creates difficulties in building brand loyalty in today’s automotive industry. This fragmentation is not just a data management problem, it also shows in the inconsistency of brand experience that consumers encounter across different interaction channels (Andrea, 2023). A consumer who configures a vehicle online with one set of expectations, then visits a dealership where the experience and information diverge from the digital journey, is likely to experience problems that weakens brand attachment. Research on omnichannel brand </w:t>
      </w:r>
      <w:r w:rsidRPr="00BD14D2">
        <w:lastRenderedPageBreak/>
        <w:t xml:space="preserve">experience by </w:t>
      </w:r>
      <w:proofErr w:type="spellStart"/>
      <w:r w:rsidRPr="00BD14D2">
        <w:t>Huré</w:t>
      </w:r>
      <w:proofErr w:type="spellEnd"/>
      <w:r w:rsidRPr="00BD14D2">
        <w:t xml:space="preserve"> et al. (2017) demonstrates that cross-channel inconsistency is a significant negative predictor of customer satisfaction and loyalty intention.</w:t>
      </w:r>
    </w:p>
    <w:p w14:paraId="31667CF8" w14:textId="77777777" w:rsidR="000B0749" w:rsidRPr="00BD14D2" w:rsidRDefault="0081414E" w:rsidP="008B1642">
      <w:pPr>
        <w:spacing w:before="120" w:after="120"/>
        <w:jc w:val="both"/>
      </w:pPr>
      <w:proofErr w:type="spellStart"/>
      <w:r w:rsidRPr="00BD14D2">
        <w:t>Mosaferchi</w:t>
      </w:r>
      <w:proofErr w:type="spellEnd"/>
      <w:r w:rsidRPr="00BD14D2">
        <w:t xml:space="preserve"> et al. (2026) add to this analysis by highlighting the role of software reliability in shaping consumer trust. Their research indicates that software malfunctions in connected vehicles disproportionately damage brand trust in ways that mechanical failures historically did not. The researchers note that this is because they are perceived as indicative of a systemic competence issue rather than an isolated product quality issue. Given that software is increasingly the primary medium through which consumers interact with their vehicles on a daily basis, the reputational consequences of software underperformance may now exceed those of traditional quality shortfalls thus posing a challenge to building brand loyalty.</w:t>
      </w:r>
    </w:p>
    <w:p w14:paraId="43D4FD47" w14:textId="77777777" w:rsidR="000B0749" w:rsidRPr="00BD14D2" w:rsidRDefault="00B61406" w:rsidP="008B1642">
      <w:pPr>
        <w:pStyle w:val="Heading3"/>
        <w:jc w:val="both"/>
        <w:rPr>
          <w:color w:val="auto"/>
        </w:rPr>
      </w:pPr>
      <w:bookmarkStart w:id="32" w:name="_Toc228791216"/>
      <w:r w:rsidRPr="00BD14D2">
        <w:rPr>
          <w:color w:val="auto"/>
        </w:rPr>
        <w:t>2.4.3 European consumers are more willing to switch brands</w:t>
      </w:r>
      <w:bookmarkEnd w:id="32"/>
    </w:p>
    <w:p w14:paraId="5D0555B2" w14:textId="77777777" w:rsidR="000B0749" w:rsidRPr="00BD14D2" w:rsidRDefault="00B61406" w:rsidP="008B1642">
      <w:pPr>
        <w:spacing w:before="120" w:after="120"/>
        <w:jc w:val="both"/>
      </w:pPr>
      <w:r w:rsidRPr="00BD14D2">
        <w:t xml:space="preserve">A third category of challenge to automotive brand loyalty arises from generational and value shifts in consumer behaviour. Younger European consumers in the Millennials and Generation Z generations have shown different attitudes towards vehicle ownership, brand attachment, and sustainability compared to their counterparts from the Baby Boomer and Generation X from second half of the twentieth century. Research by </w:t>
      </w:r>
      <w:proofErr w:type="spellStart"/>
      <w:r w:rsidRPr="00BD14D2">
        <w:t>Škudienė</w:t>
      </w:r>
      <w:proofErr w:type="spellEnd"/>
      <w:r w:rsidRPr="00BD14D2">
        <w:t xml:space="preserve"> et al. (2026) documents how younger consumers value a brand's environmental and social credentials when making purchase decisions, suggesting that brands perceived as less committed to sustainability risk losing the loyalty of an increasingly influential consumer group.</w:t>
      </w:r>
    </w:p>
    <w:p w14:paraId="1E72CE7C" w14:textId="0D7699F7" w:rsidR="0093244B" w:rsidRDefault="00B61406" w:rsidP="0080368D">
      <w:pPr>
        <w:spacing w:before="120" w:after="120"/>
        <w:jc w:val="both"/>
      </w:pPr>
      <w:r w:rsidRPr="00BD14D2">
        <w:t>The growth of mobility-as-a-service (</w:t>
      </w:r>
      <w:proofErr w:type="spellStart"/>
      <w:r w:rsidRPr="00BD14D2">
        <w:t>MaaS</w:t>
      </w:r>
      <w:proofErr w:type="spellEnd"/>
      <w:r w:rsidRPr="00BD14D2">
        <w:t xml:space="preserve">) models and urban car-sharing platforms also challenges traditional automotive loyalty. Some younger consumers in major European cities are reducing or eliminating car ownership altogether (Van Der Lee and Veeneman, 2025). While this trend is most pronounced in high-density urban areas with strong public transport infrastructure, its directional implication for OEM business models is clear and it demands for long-cycle repeat purchase loyalty may be declining among younger demographics. As a result, this trend requires automotive brands to develop loyalty strategies that encompass not only vehicle ownership but broader mobility service relationships. This represents an </w:t>
      </w:r>
      <w:r w:rsidRPr="00BD14D2">
        <w:lastRenderedPageBreak/>
        <w:t>important shift in the nature of the loyalty relationship, from transactional product loyalty to experiential service loyalty, that existing frameworks do not fully address.</w:t>
      </w:r>
    </w:p>
    <w:p w14:paraId="3E8C40C8" w14:textId="0B0D75F4" w:rsidR="000B0749" w:rsidRPr="00BD14D2" w:rsidRDefault="00B61406" w:rsidP="008B1642">
      <w:pPr>
        <w:pStyle w:val="Heading2"/>
        <w:jc w:val="both"/>
        <w:rPr>
          <w:color w:val="auto"/>
        </w:rPr>
      </w:pPr>
      <w:bookmarkStart w:id="33" w:name="_Toc228791217"/>
      <w:r w:rsidRPr="00BD14D2">
        <w:rPr>
          <w:color w:val="auto"/>
        </w:rPr>
        <w:t>2.5 Strategic Responses: Building Loyalty in the Transformed Market</w:t>
      </w:r>
      <w:bookmarkEnd w:id="33"/>
    </w:p>
    <w:p w14:paraId="259DFEF1" w14:textId="0D05DF75" w:rsidR="000D5052" w:rsidRPr="00BD14D2" w:rsidRDefault="00BD30E2" w:rsidP="00A16BEA">
      <w:r w:rsidRPr="00BD14D2">
        <w:t xml:space="preserve">The European automotive manufacturers have a number of strategic options they can implement to counter the customer loyalty problems that have been discussed previously. This section discusses the strategic options of transitioning to agency model where they roll back the traditional fragmented customer journey and embrace the direct-to-customer (D2C) model, which gives them more control in their relationship with their customers. The section also discusses the strategy of adopting over-the-air updates that give customers updated features without physical contact with the brands, </w:t>
      </w:r>
      <w:r w:rsidR="007B70CD" w:rsidRPr="00BD14D2">
        <w:t>subscription-based</w:t>
      </w:r>
      <w:r w:rsidRPr="00BD14D2">
        <w:t xml:space="preserve"> loyalty programs, and implementing sustainable supply chains in order to win the loyalty of the younger consumers who value software competency and environmental conservation.  </w:t>
      </w:r>
    </w:p>
    <w:p w14:paraId="394A2590" w14:textId="77777777" w:rsidR="000B0749" w:rsidRPr="00BD14D2" w:rsidRDefault="00B61406" w:rsidP="008B1642">
      <w:pPr>
        <w:pStyle w:val="Heading3"/>
        <w:jc w:val="both"/>
        <w:rPr>
          <w:color w:val="auto"/>
        </w:rPr>
      </w:pPr>
      <w:bookmarkStart w:id="34" w:name="_Toc228791218"/>
      <w:r w:rsidRPr="00BD14D2">
        <w:rPr>
          <w:color w:val="auto"/>
        </w:rPr>
        <w:t>2.5.1 Transitioning to agency models</w:t>
      </w:r>
      <w:bookmarkEnd w:id="34"/>
      <w:r w:rsidRPr="00BD14D2">
        <w:rPr>
          <w:color w:val="auto"/>
        </w:rPr>
        <w:t xml:space="preserve"> </w:t>
      </w:r>
    </w:p>
    <w:p w14:paraId="6C8FE020" w14:textId="77777777" w:rsidR="000B0749" w:rsidRPr="00BD14D2" w:rsidRDefault="00B61406" w:rsidP="008B1642">
      <w:pPr>
        <w:spacing w:before="120" w:after="120"/>
        <w:jc w:val="both"/>
      </w:pPr>
      <w:r w:rsidRPr="00BD14D2">
        <w:t>One of the most significant strategic responses to the loyalty challenges described above is the move by several European OEMs towards D2C or agency retail models. In the agency model, dealers act as agents of the manufacturer rather than independent buyers and resellers, with the manufacturer setting prices, controlling the customer relationship, and collecting customer data directly. Milheiro et al. (2026) argue that this structural change is essential for loyalty building in the digital era, enabling manufacturers to deliver a consistent brand experience across all touchpoints. The model further enables manufacturers to leverage connected vehicle data for personalised loyalty programme management, and to develop ongoing revenue streams that extend the brand relationship beyond the initial purchase transaction.</w:t>
      </w:r>
    </w:p>
    <w:p w14:paraId="66960B28" w14:textId="77777777" w:rsidR="000B0749" w:rsidRPr="00BD14D2" w:rsidRDefault="00B46159" w:rsidP="008B1642">
      <w:pPr>
        <w:spacing w:before="120" w:after="120"/>
        <w:jc w:val="both"/>
      </w:pPr>
      <w:r w:rsidRPr="00BD14D2">
        <w:t xml:space="preserve">However, the D2C transition is not without its challenges. The dealership network represents a significant existing investment by franchisees who have contractual relationships and legitimate economic interests, and the transition to agency models has encountered legal and political resistance in several European markets. Nevertheless, the strategic logic articulated by Milheiro et al. (2026) and </w:t>
      </w:r>
      <w:r w:rsidRPr="00BD14D2">
        <w:lastRenderedPageBreak/>
        <w:t>echoed by Agustí-Pérez et al. (2026) is compelling as manufacturers who cannot control the end-to-end customer relationship will struggle to deliver the consistent and personalised brand experience that modern loyalty management requires.</w:t>
      </w:r>
    </w:p>
    <w:p w14:paraId="2536EE27" w14:textId="77777777" w:rsidR="000B0749" w:rsidRPr="00BD14D2" w:rsidRDefault="00B61406" w:rsidP="008B1642">
      <w:pPr>
        <w:pStyle w:val="Heading3"/>
        <w:jc w:val="both"/>
        <w:rPr>
          <w:color w:val="auto"/>
        </w:rPr>
      </w:pPr>
      <w:bookmarkStart w:id="35" w:name="_Toc228791219"/>
      <w:r w:rsidRPr="00BD14D2">
        <w:rPr>
          <w:color w:val="auto"/>
        </w:rPr>
        <w:t>2.5.2 Prioritise seamless over-the-air updates</w:t>
      </w:r>
      <w:bookmarkEnd w:id="35"/>
    </w:p>
    <w:p w14:paraId="475B01DE" w14:textId="77777777" w:rsidR="000B0749" w:rsidRPr="00BD14D2" w:rsidRDefault="00B61406" w:rsidP="008B1642">
      <w:pPr>
        <w:spacing w:before="120" w:after="120"/>
        <w:jc w:val="both"/>
      </w:pPr>
      <w:r w:rsidRPr="00BD14D2">
        <w:t>A closely related strategic response is the prioritisation of software development as a core automotive competency. The concept of the software-defined vehicle (SDV) in which the vehicle's functionality, performance, and user experience are primarily determined by software rather than hardware, represents a fundamental reorientation of automotive product strategy (Agustí-Pérez et al., 2026). For loyalty management, the SDV model offers the prospect of a product that continuously improves over its ownership lifetime through over-the-air updates, potentially reversing the traditional automotive pattern in which vehicles depreciate in both financial and experiential terms from the moment of purchase.</w:t>
      </w:r>
    </w:p>
    <w:p w14:paraId="0963883B" w14:textId="77777777" w:rsidR="000B0749" w:rsidRPr="00BD14D2" w:rsidRDefault="00B61406" w:rsidP="008B1642">
      <w:pPr>
        <w:spacing w:before="120" w:after="120"/>
        <w:jc w:val="both"/>
      </w:pPr>
      <w:r w:rsidRPr="00BD14D2">
        <w:t>Research by Becker and Jaakkola (2020) on service innovation and customer loyalty suggests that the perception of continuous value improvement is a powerful loyalty driver, as it creates an expectation of ongoing benefit that makes switching more costly. If European OEMs can deliver the SDV promise and prioritise seamless over-the-air updates, they can be able to create a new form of loyalty anchored in technological dynamism. However, the research also indicates that this strategy requires a level of software engineering capability that many traditional OEMs are still trying to develop.</w:t>
      </w:r>
    </w:p>
    <w:p w14:paraId="4A6DE619" w14:textId="77777777" w:rsidR="000B0749" w:rsidRPr="00BD14D2" w:rsidRDefault="00B61406" w:rsidP="008B1642">
      <w:pPr>
        <w:pStyle w:val="Heading3"/>
        <w:jc w:val="both"/>
        <w:rPr>
          <w:color w:val="auto"/>
        </w:rPr>
      </w:pPr>
      <w:bookmarkStart w:id="36" w:name="_Toc228791220"/>
      <w:r w:rsidRPr="00BD14D2">
        <w:rPr>
          <w:color w:val="auto"/>
        </w:rPr>
        <w:t>2.5.3 A sustainable supply chain integrated with transparency and ethical production</w:t>
      </w:r>
      <w:bookmarkEnd w:id="36"/>
    </w:p>
    <w:p w14:paraId="75211C6E" w14:textId="77777777" w:rsidR="000B0749" w:rsidRPr="00BD14D2" w:rsidRDefault="00B61406" w:rsidP="008B1642">
      <w:pPr>
        <w:spacing w:before="120" w:after="120"/>
        <w:jc w:val="both"/>
      </w:pPr>
      <w:r w:rsidRPr="00BD14D2">
        <w:t xml:space="preserve">The third major strategic response involves the deployment of sustainability commitments and corporate social responsibility (CSR) as explicit loyalty drivers. </w:t>
      </w:r>
      <w:proofErr w:type="spellStart"/>
      <w:r w:rsidRPr="00BD14D2">
        <w:t>Škudienė</w:t>
      </w:r>
      <w:proofErr w:type="spellEnd"/>
      <w:r w:rsidRPr="00BD14D2">
        <w:t xml:space="preserve"> et al. (2026) propose that the integration of transparency and ethical production standards into a brand's core identity can create a distinctive and authentic appeal to eco-conscious consumers, particularly among younger demographics. The researchers suggest that brands which authentically communicate their sustainability credentials through verifiable supply chain transparency, lifecycle emissions reporting, and commitment to circular economy principles, can leverage these credentials to build loyalty among younger </w:t>
      </w:r>
      <w:r w:rsidRPr="00BD14D2">
        <w:lastRenderedPageBreak/>
        <w:t>consumers for whom environmental values are central to their consumption identity.</w:t>
      </w:r>
    </w:p>
    <w:p w14:paraId="124C8F84" w14:textId="77777777" w:rsidR="000B0749" w:rsidRPr="00BD14D2" w:rsidRDefault="00B61406" w:rsidP="008B1642">
      <w:pPr>
        <w:spacing w:before="120" w:after="120"/>
        <w:jc w:val="both"/>
      </w:pPr>
      <w:r w:rsidRPr="00BD14D2">
        <w:t>This proposition is supported by a broader literature on the relationship between CSR and brand loyalty. Research by Martínez and Del Bosque (2013) demonstrated that consumer perceptions of a brand's CSR performance positively influence brand trust and brand identification, both of which are established antecedents of loyalty. In the specific context of automotive electrification, OEMs that can credibly position their EV transition as a genuine expression of environmental values and not a regulatory compliance exercise; a move that will generate loyalty benefits that extend beyond the physical functional attributes of their vehicles.</w:t>
      </w:r>
    </w:p>
    <w:p w14:paraId="1E2A6FA1" w14:textId="77777777" w:rsidR="000B0749" w:rsidRPr="00BD14D2" w:rsidRDefault="00B61406" w:rsidP="008B1642">
      <w:pPr>
        <w:spacing w:before="120" w:after="120"/>
        <w:jc w:val="both"/>
      </w:pPr>
      <w:r w:rsidRPr="00BD14D2">
        <w:t>However, the risk of greenwashing, which is making environmental claims that are not substantiated by actual performance, is significant in this context. Consumers in some European markets are becoming increasingly skilled at detecting inauthenticity. Research by Schmuck et al. (2018) indicates that perceived greenwashing damages brand trust more severely than the absence of environmental claims, suggesting that the strategic deployment of sustainability as a loyalty driver requires genuine and consistent alignment between brand communication and corporate behaviour.</w:t>
      </w:r>
    </w:p>
    <w:p w14:paraId="5D094190" w14:textId="77777777" w:rsidR="000B0749" w:rsidRPr="00BD14D2" w:rsidRDefault="00B61406" w:rsidP="008B1642">
      <w:pPr>
        <w:pStyle w:val="Heading3"/>
        <w:jc w:val="both"/>
        <w:rPr>
          <w:color w:val="auto"/>
        </w:rPr>
      </w:pPr>
      <w:bookmarkStart w:id="37" w:name="_Toc228791221"/>
      <w:r w:rsidRPr="00BD14D2">
        <w:rPr>
          <w:color w:val="auto"/>
        </w:rPr>
        <w:t>2.5.4 Subscription-Based Loyalty Programmes</w:t>
      </w:r>
      <w:bookmarkEnd w:id="37"/>
    </w:p>
    <w:p w14:paraId="4725157E" w14:textId="77777777" w:rsidR="000B0749" w:rsidRPr="00BD14D2" w:rsidRDefault="00B61406" w:rsidP="008B1642">
      <w:pPr>
        <w:spacing w:before="120" w:after="120"/>
        <w:jc w:val="both"/>
      </w:pPr>
      <w:proofErr w:type="spellStart"/>
      <w:r w:rsidRPr="00BD14D2">
        <w:t>Mosaferchi</w:t>
      </w:r>
      <w:proofErr w:type="spellEnd"/>
      <w:r w:rsidRPr="00BD14D2">
        <w:t xml:space="preserve"> et al. (2026) propose subscription-based loyalty programmes as a mechanism for locking consumers into an automotive brand's digital ecosystem. Such programmes have been demonstrated to be effective at creating switching barriers similar to those generated by network effects in other digital industries. By bundling vehicle ownership with connected services such as charging network access, digital features, insurance products, and maintenance programmes, manufacturers can increase the value consumers derive from brand membership and raise the perceived cost of switching to a competitor brand. This strategy has precedents in adjacent markets with good examples being Apple's ecosystem of hardware, software, and services that generates extremely high customer retention rates through the mutual reinforcement of its component elements.</w:t>
      </w:r>
    </w:p>
    <w:p w14:paraId="74B656FD" w14:textId="77777777" w:rsidR="000B0749" w:rsidRPr="00BD14D2" w:rsidRDefault="00B61406" w:rsidP="008B1642">
      <w:pPr>
        <w:spacing w:before="120" w:after="120"/>
        <w:jc w:val="both"/>
      </w:pPr>
      <w:proofErr w:type="spellStart"/>
      <w:r w:rsidRPr="00BD14D2">
        <w:lastRenderedPageBreak/>
        <w:t>Zaware</w:t>
      </w:r>
      <w:proofErr w:type="spellEnd"/>
      <w:r w:rsidRPr="00BD14D2">
        <w:t xml:space="preserve"> and </w:t>
      </w:r>
      <w:proofErr w:type="spellStart"/>
      <w:r w:rsidRPr="00BD14D2">
        <w:t>Deokate</w:t>
      </w:r>
      <w:proofErr w:type="spellEnd"/>
      <w:r w:rsidRPr="00BD14D2">
        <w:t xml:space="preserve"> (2025) document how the shift from one-time sales to continuous engagement models is already reshaping revenue structures in the automotive sector, with European manufacturers beginning to generate subscription revenue from connected car features and digital services. The loyalty implications of this shift are significant. For instance, consumers who are actively using and paying for connected services have a continuous relationship with the manufacturer that is quite different from the dormant loyalty of the traditional ownership model. Research on subscription-based business models by </w:t>
      </w:r>
      <w:proofErr w:type="spellStart"/>
      <w:r w:rsidRPr="00BD14D2">
        <w:t>Tzuo</w:t>
      </w:r>
      <w:proofErr w:type="spellEnd"/>
      <w:r w:rsidRPr="00BD14D2">
        <w:t xml:space="preserve"> and Weisert (2018) suggests that this continuous engagement generates stronger advocacy behaviour than one-off transactional relationships.</w:t>
      </w:r>
    </w:p>
    <w:p w14:paraId="12342E69" w14:textId="77777777" w:rsidR="000B0749" w:rsidRPr="00BD14D2" w:rsidRDefault="00B61406" w:rsidP="008B1642">
      <w:pPr>
        <w:pStyle w:val="Heading2"/>
        <w:jc w:val="both"/>
        <w:rPr>
          <w:color w:val="auto"/>
        </w:rPr>
      </w:pPr>
      <w:bookmarkStart w:id="38" w:name="_Toc228791222"/>
      <w:r w:rsidRPr="00BD14D2">
        <w:rPr>
          <w:color w:val="auto"/>
        </w:rPr>
        <w:t>2.6 Conceptual Framework: Relationship Marketing Theory</w:t>
      </w:r>
      <w:bookmarkEnd w:id="38"/>
    </w:p>
    <w:p w14:paraId="76E5276A" w14:textId="77777777" w:rsidR="005A6448" w:rsidRPr="00BD14D2" w:rsidRDefault="00B61406" w:rsidP="008B1642">
      <w:pPr>
        <w:spacing w:before="120" w:after="120"/>
        <w:jc w:val="both"/>
      </w:pPr>
      <w:r w:rsidRPr="00BD14D2">
        <w:t>The theoretical framework adopted for this dissertation is Relationship Marketing Theory that is built principally on the foundational work of Morgan and Hunt (1994) and the subsequent elaborations of by Grönroos (2004) and Palmatier et al. (2006). Relationship Marketing Theory proposes that the central objective of marketing strategy should be the development and maintenance of long-term, mutually beneficial relationships between brands and consumers, rather than the maximisation of individual transaction value. As shown in the figure below, the theory building a relationship with customers as a way of building brand loyalty.</w:t>
      </w:r>
    </w:p>
    <w:p w14:paraId="50261354" w14:textId="77777777" w:rsidR="005A6448" w:rsidRPr="00BD14D2" w:rsidRDefault="005A6448" w:rsidP="008B1642">
      <w:pPr>
        <w:spacing w:before="120" w:after="120"/>
        <w:jc w:val="both"/>
      </w:pPr>
      <w:r w:rsidRPr="00BD14D2">
        <w:rPr>
          <w:b/>
          <w:bCs/>
          <w:noProof/>
        </w:rPr>
        <w:drawing>
          <wp:inline distT="0" distB="0" distL="0" distR="0" wp14:anchorId="58174394" wp14:editId="0F886966">
            <wp:extent cx="3383280" cy="2308860"/>
            <wp:effectExtent l="0" t="0" r="7620" b="0"/>
            <wp:docPr id="1006738040" name="Picture 2" descr="A diagram of marketing and customer relationship managemen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38040" name="Picture 2" descr="A diagram of marketing and customer relationship management  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93347" cy="2315730"/>
                    </a:xfrm>
                    <a:prstGeom prst="rect">
                      <a:avLst/>
                    </a:prstGeom>
                    <a:noFill/>
                    <a:ln>
                      <a:noFill/>
                    </a:ln>
                  </pic:spPr>
                </pic:pic>
              </a:graphicData>
            </a:graphic>
          </wp:inline>
        </w:drawing>
      </w:r>
    </w:p>
    <w:p w14:paraId="5FC0673D" w14:textId="77777777" w:rsidR="00565807" w:rsidRPr="00BD14D2" w:rsidRDefault="00565807" w:rsidP="008B1642">
      <w:pPr>
        <w:pStyle w:val="Caption"/>
        <w:jc w:val="both"/>
        <w:rPr>
          <w:color w:val="auto"/>
          <w:lang w:val="en-US"/>
        </w:rPr>
      </w:pPr>
      <w:bookmarkStart w:id="39" w:name="_Toc228363508"/>
      <w:bookmarkStart w:id="40" w:name="_Toc228364291"/>
      <w:r w:rsidRPr="00BD14D2">
        <w:rPr>
          <w:color w:val="auto"/>
        </w:rPr>
        <w:t xml:space="preserve">Figure </w:t>
      </w:r>
      <w:r w:rsidRPr="00BD14D2">
        <w:rPr>
          <w:color w:val="auto"/>
        </w:rPr>
        <w:fldChar w:fldCharType="begin"/>
      </w:r>
      <w:r w:rsidRPr="00BD14D2">
        <w:rPr>
          <w:color w:val="auto"/>
        </w:rPr>
        <w:instrText xml:space="preserve"> SEQ Figure \* ARABIC </w:instrText>
      </w:r>
      <w:r w:rsidRPr="00BD14D2">
        <w:rPr>
          <w:color w:val="auto"/>
        </w:rPr>
        <w:fldChar w:fldCharType="separate"/>
      </w:r>
      <w:r w:rsidRPr="00BD14D2">
        <w:rPr>
          <w:noProof/>
          <w:color w:val="auto"/>
        </w:rPr>
        <w:t>2</w:t>
      </w:r>
      <w:r w:rsidRPr="00BD14D2">
        <w:rPr>
          <w:noProof/>
          <w:color w:val="auto"/>
        </w:rPr>
        <w:fldChar w:fldCharType="end"/>
      </w:r>
      <w:r w:rsidRPr="00BD14D2">
        <w:rPr>
          <w:color w:val="auto"/>
        </w:rPr>
        <w:t xml:space="preserve"> Relationship Marketing Theory</w:t>
      </w:r>
      <w:bookmarkEnd w:id="39"/>
      <w:bookmarkEnd w:id="40"/>
    </w:p>
    <w:p w14:paraId="7345744F" w14:textId="77777777" w:rsidR="005A6448" w:rsidRPr="00BD14D2" w:rsidRDefault="005A6448" w:rsidP="008B1642">
      <w:pPr>
        <w:jc w:val="both"/>
        <w:rPr>
          <w:lang w:val="en-US"/>
        </w:rPr>
      </w:pPr>
      <w:r w:rsidRPr="00BD14D2">
        <w:rPr>
          <w:lang w:val="en-US"/>
        </w:rPr>
        <w:t>Source: (</w:t>
      </w:r>
      <w:r w:rsidRPr="00BD14D2">
        <w:t>Dastane et al., 2026)</w:t>
      </w:r>
    </w:p>
    <w:p w14:paraId="4A8C0325" w14:textId="77777777" w:rsidR="005A6448" w:rsidRPr="00BD14D2" w:rsidRDefault="005A6448" w:rsidP="008B1642">
      <w:pPr>
        <w:jc w:val="both"/>
        <w:rPr>
          <w:lang w:val="en-US"/>
        </w:rPr>
      </w:pPr>
    </w:p>
    <w:p w14:paraId="78617370" w14:textId="77777777" w:rsidR="000B0749" w:rsidRPr="00BD14D2" w:rsidRDefault="00B61406" w:rsidP="008B1642">
      <w:pPr>
        <w:spacing w:before="120" w:after="120"/>
        <w:jc w:val="both"/>
      </w:pPr>
      <w:r w:rsidRPr="00BD14D2">
        <w:lastRenderedPageBreak/>
        <w:t>The core constructs of the framework are trust, commitment, value co-creation, and relational bonds. These constructs provide analytical insights for examining how European automotive brands can build and sustain customer loyalty in a rapidly changing market environment.</w:t>
      </w:r>
    </w:p>
    <w:p w14:paraId="4D967717" w14:textId="77777777" w:rsidR="000B0749" w:rsidRPr="00BD14D2" w:rsidRDefault="00B61406" w:rsidP="008B1642">
      <w:pPr>
        <w:spacing w:before="120" w:after="120"/>
        <w:jc w:val="both"/>
      </w:pPr>
      <w:r w:rsidRPr="00BD14D2">
        <w:t>As articulated by Dastane et al. (2026), Relationship Marketing Theory is particularly well-suited to high-involvement product categories such as automotive, where purchase decisions are emotional, financially significant, characterised by high levels of pre-purchase information search, and post-purchase rationalisation. The framework's emphasis on trust as a foundational loyalty construct is directly relevant to a market context in which technological disruption is creating uncertainty about brand competence and reliability. The commitment dimension captures the emotional and behavioural elements of loyalty that the purely behavioural definitions fail to address, while the value co-creation construct speaks to the increasingly important role of digital services, personalisation, and interactive brand engagement in sustaining loyalty over time.</w:t>
      </w:r>
    </w:p>
    <w:p w14:paraId="20637A4F" w14:textId="77777777" w:rsidR="000B0749" w:rsidRPr="00BD14D2" w:rsidRDefault="00B61406" w:rsidP="008B1642">
      <w:pPr>
        <w:spacing w:before="120" w:after="120"/>
        <w:jc w:val="both"/>
      </w:pPr>
      <w:r w:rsidRPr="00BD14D2">
        <w:t>Palmatier et al. (2006) conducted a meta-analysis of the relationship marketing literature and found that relationship quality, which encompasses trust, commitment, and satisfaction, is among the strongest predictors of customer loyalty across a wide range of product and service categories. Their finding that relationship quality effects are moderated by the seller's relationship investment is directly relevant to the strategic questions examined in this dissertation. Based on the model, therefore, if European OEMs invest in digital engagement, personalised service, and continuous product improvement as expressions of relational commitment, they should, according to the model, generate stronger and more durable loyalty than brands that maintain a transactional orientation.</w:t>
      </w:r>
    </w:p>
    <w:p w14:paraId="495B3EB0" w14:textId="267713DB" w:rsidR="00BD14D2" w:rsidRPr="00BD14D2" w:rsidRDefault="00B61406" w:rsidP="008B1642">
      <w:pPr>
        <w:spacing w:before="120" w:after="120"/>
        <w:jc w:val="both"/>
      </w:pPr>
      <w:r w:rsidRPr="00BD14D2">
        <w:t xml:space="preserve">The framework also provides conceptual resources for understanding the challenges of the EV transition from a loyalty perspective. If electrification disrupts the product associations through which consumers have historically expressed their trust in and commitment to a brand, then the transition requires a conscious and well-managed process of trust reconstruction around new product attributes and service capabilities. Grönroos' (2004) conceptualisation of the brand as a relationship promise is useful here as it guides that the brand's identity and communication must evolve to make credible promises about its EV and digital </w:t>
      </w:r>
      <w:r w:rsidRPr="00BD14D2">
        <w:lastRenderedPageBreak/>
        <w:t>capabilities if it is to maintain the trust relationship with existing loyal consumers while also attracting new ones.</w:t>
      </w:r>
    </w:p>
    <w:p w14:paraId="7FC877EF" w14:textId="77777777" w:rsidR="000B0749" w:rsidRPr="00BD14D2" w:rsidRDefault="00B61406" w:rsidP="008B1642">
      <w:pPr>
        <w:pStyle w:val="Heading2"/>
        <w:jc w:val="both"/>
        <w:rPr>
          <w:color w:val="auto"/>
        </w:rPr>
      </w:pPr>
      <w:bookmarkStart w:id="41" w:name="_Toc228791223"/>
      <w:r w:rsidRPr="00BD14D2">
        <w:rPr>
          <w:color w:val="auto"/>
        </w:rPr>
        <w:t>2.7 Identification of Literature Gaps</w:t>
      </w:r>
      <w:bookmarkEnd w:id="41"/>
    </w:p>
    <w:p w14:paraId="48AE0CB3" w14:textId="77777777" w:rsidR="000B0749" w:rsidRPr="00BD14D2" w:rsidRDefault="00B61406" w:rsidP="008B1642">
      <w:pPr>
        <w:spacing w:before="120" w:after="120"/>
        <w:jc w:val="both"/>
      </w:pPr>
      <w:r w:rsidRPr="00BD14D2">
        <w:t>The review has revealed several significant gaps in the existing literature that this dissertation seeks to address. First, while there is a substantial body of scholarship on brand loyalty in the automotive sector, much of it does not include the real-life examples of the on-going disruptions of electrification, digitalisation, and Chinese market entry that are currently transforming the European market. Studies that address these disruptions in isolation are becoming more numerous, but integrated analyses that examine their combined effect on loyalty dynamics are relatively scarce.</w:t>
      </w:r>
    </w:p>
    <w:p w14:paraId="582A190D" w14:textId="77777777" w:rsidR="000B0749" w:rsidRPr="00BD14D2" w:rsidRDefault="00B61406" w:rsidP="008B1642">
      <w:pPr>
        <w:spacing w:before="120" w:after="120"/>
        <w:jc w:val="both"/>
      </w:pPr>
      <w:r w:rsidRPr="00BD14D2">
        <w:t xml:space="preserve">Second, the literature on digital transformation in automotive branding tends to focus on technology adoption and customer experience design, with relatively less attention paid to the implications for the fundamental constructs of brand loyalty that relationship marketing theory identifies as the mechanisms through which loyalty is generated and sustained. A theoretically grounded analysis of how digital transformation affects these constructs, and what strategies can protect or rebuild them during periods of disruption, would make a valuable contribution to the field. </w:t>
      </w:r>
    </w:p>
    <w:p w14:paraId="620FE262" w14:textId="77777777" w:rsidR="000B0749" w:rsidRPr="00BD14D2" w:rsidRDefault="00B61406" w:rsidP="008B1642">
      <w:pPr>
        <w:spacing w:before="120" w:after="120"/>
        <w:jc w:val="both"/>
      </w:pPr>
      <w:r w:rsidRPr="00BD14D2">
        <w:t>Third, the existing literature contains limited analysis of the loyalty implications of the D2C retail model transition, despite its strategic significance. The shift from franchise dealership to agency or D2C models has profound implications for how customer data is managed, how brand experience is delivered, and how loyalty programmes are structured, but these implications have not been comprehensively explored in the academic literature.</w:t>
      </w:r>
    </w:p>
    <w:p w14:paraId="14A785D6" w14:textId="77777777" w:rsidR="00BD14D2" w:rsidRPr="00BD14D2" w:rsidRDefault="00BD14D2" w:rsidP="008B1642">
      <w:pPr>
        <w:spacing w:before="120" w:after="120"/>
        <w:jc w:val="both"/>
      </w:pPr>
    </w:p>
    <w:p w14:paraId="38C146EA" w14:textId="77777777" w:rsidR="00BD14D2" w:rsidRPr="00BD14D2" w:rsidRDefault="00BD14D2" w:rsidP="008B1642">
      <w:pPr>
        <w:spacing w:before="120" w:after="120"/>
        <w:jc w:val="both"/>
      </w:pPr>
    </w:p>
    <w:p w14:paraId="46C22F0A" w14:textId="77777777" w:rsidR="00BD14D2" w:rsidRPr="00BD14D2" w:rsidRDefault="00BD14D2" w:rsidP="008B1642">
      <w:pPr>
        <w:spacing w:before="120" w:after="120"/>
        <w:jc w:val="both"/>
      </w:pPr>
    </w:p>
    <w:p w14:paraId="0869F0AE" w14:textId="77777777" w:rsidR="00BD14D2" w:rsidRPr="00BD14D2" w:rsidRDefault="00BD14D2" w:rsidP="008B1642">
      <w:pPr>
        <w:spacing w:before="120" w:after="120"/>
        <w:jc w:val="both"/>
      </w:pPr>
    </w:p>
    <w:p w14:paraId="2F970D2F" w14:textId="77777777" w:rsidR="00BD14D2" w:rsidRPr="00BD14D2" w:rsidRDefault="00BD14D2" w:rsidP="008B1642">
      <w:pPr>
        <w:spacing w:before="120" w:after="120"/>
        <w:jc w:val="both"/>
      </w:pPr>
    </w:p>
    <w:p w14:paraId="166CC191" w14:textId="77777777" w:rsidR="000B0749" w:rsidRPr="00BD14D2" w:rsidRDefault="00B61406" w:rsidP="008B1642">
      <w:pPr>
        <w:pStyle w:val="Heading2"/>
        <w:jc w:val="both"/>
        <w:rPr>
          <w:color w:val="auto"/>
        </w:rPr>
      </w:pPr>
      <w:bookmarkStart w:id="42" w:name="_Toc228791224"/>
      <w:r w:rsidRPr="00BD14D2">
        <w:rPr>
          <w:color w:val="auto"/>
        </w:rPr>
        <w:lastRenderedPageBreak/>
        <w:t>2.8 Conclusion of the Chapter</w:t>
      </w:r>
      <w:bookmarkEnd w:id="42"/>
    </w:p>
    <w:p w14:paraId="654A83BB" w14:textId="77777777" w:rsidR="000B0749" w:rsidRPr="00BD14D2" w:rsidRDefault="00B61406" w:rsidP="008B1642">
      <w:pPr>
        <w:spacing w:before="120" w:after="120"/>
        <w:jc w:val="both"/>
      </w:pPr>
      <w:r w:rsidRPr="00BD14D2">
        <w:t>This chapter has provided a comprehensive critical review of the literature relevant to branding and customer loyalty in the European automotive industry. The review has established the theoretical foundations of brand loyalty, drawn from relationship marketing theory and brand equity frameworks, and has contextualised these foundations within the rapidly evolving dynamics of the European automotive market. It has documented the challenges to the established loyalty structures created by electrification, digitalisation, and competitive disruption, and has examined the strategic responses that European OEMs and the researchers who study them are proposing. The responses discussed include agency retail models, software-defined vehicle strategies, sustainability positioning, and subscription-based loyalty programmes.</w:t>
      </w:r>
    </w:p>
    <w:p w14:paraId="76AC95A4" w14:textId="77777777" w:rsidR="009B5991" w:rsidRPr="00BD14D2" w:rsidRDefault="00B61406" w:rsidP="008B1642">
      <w:pPr>
        <w:spacing w:before="120" w:after="120"/>
        <w:jc w:val="both"/>
      </w:pPr>
      <w:r w:rsidRPr="00BD14D2">
        <w:t xml:space="preserve">The conceptual framework of Relationship Marketing Theory, with its emphasis on trust, commitment, value co-creation, and relational investment, has been identified as the most appropriate analytical lens for the subsequent empirical chapters. The literature gaps identified in this review, particularly the integrated analysis of simultaneous disruptions, the theoretically grounded examination of digital transformation's impact on loyalty constructs, the failure to include real-life examples, the lack of in-depth analysis of exact research questions and the evidence base on D2C and sustainability loyalty strategies, define the specific contributions that this dissertation seeks to make. </w:t>
      </w:r>
    </w:p>
    <w:p w14:paraId="55F5A651" w14:textId="77777777" w:rsidR="009B5991" w:rsidRPr="00BD14D2" w:rsidRDefault="009B5991" w:rsidP="008B1642">
      <w:pPr>
        <w:jc w:val="both"/>
      </w:pPr>
      <w:r w:rsidRPr="00BD14D2">
        <w:br w:type="page"/>
      </w:r>
    </w:p>
    <w:p w14:paraId="4BFA6770" w14:textId="77777777" w:rsidR="009B5991" w:rsidRPr="00BD14D2" w:rsidRDefault="009B5991" w:rsidP="008B1642">
      <w:pPr>
        <w:pStyle w:val="Heading1"/>
        <w:pageBreakBefore/>
        <w:jc w:val="both"/>
        <w:rPr>
          <w:color w:val="auto"/>
        </w:rPr>
      </w:pPr>
      <w:bookmarkStart w:id="43" w:name="_Toc228791225"/>
      <w:r w:rsidRPr="00BD14D2">
        <w:rPr>
          <w:color w:val="auto"/>
        </w:rPr>
        <w:lastRenderedPageBreak/>
        <w:t>CHAPTER 3: RESEARCH METHODOLOGY</w:t>
      </w:r>
      <w:bookmarkEnd w:id="43"/>
    </w:p>
    <w:p w14:paraId="605F10BF" w14:textId="77777777" w:rsidR="009B5991" w:rsidRPr="00BD14D2" w:rsidRDefault="009B5991" w:rsidP="008B1642">
      <w:pPr>
        <w:pStyle w:val="Heading2"/>
        <w:jc w:val="both"/>
        <w:rPr>
          <w:color w:val="auto"/>
        </w:rPr>
      </w:pPr>
      <w:bookmarkStart w:id="44" w:name="_Toc228791226"/>
      <w:r w:rsidRPr="00BD14D2">
        <w:rPr>
          <w:color w:val="auto"/>
        </w:rPr>
        <w:t>3.1 Introduction</w:t>
      </w:r>
      <w:bookmarkEnd w:id="44"/>
    </w:p>
    <w:p w14:paraId="3A126028" w14:textId="59585979" w:rsidR="009B5991" w:rsidRPr="00BD14D2" w:rsidRDefault="009B5991" w:rsidP="008B1642">
      <w:pPr>
        <w:spacing w:before="120" w:after="120"/>
        <w:jc w:val="both"/>
      </w:pPr>
      <w:r w:rsidRPr="00BD14D2">
        <w:t xml:space="preserve">This chapter provides a detailed account and justification of the methodological decisions made in this dissertation. In research, the methodology is not just a procedural matter as it reflects also reflects the underlying epistemological understanding about what counts as knowledge and how it can be legitimately generated (Saunders, Lewis and Thornhill, 2023). Each layer of the Research Onion framework adopted here, from philosophical positioning through to data analysis technique, is discussed in terms of both its intrinsic characteristics and its fitness for the specific research questions and context of this study. The chapter proceeds through research philosophy, research approach, research design, data collection and analysis methods, ethical considerations, and a concluding assessment of the methodological </w:t>
      </w:r>
      <w:r w:rsidR="00217E00" w:rsidRPr="00BD14D2">
        <w:t>framework</w:t>
      </w:r>
      <w:r w:rsidRPr="00BD14D2">
        <w:t>.</w:t>
      </w:r>
    </w:p>
    <w:p w14:paraId="6DFFA02A" w14:textId="77777777" w:rsidR="009B5991" w:rsidRPr="00BD14D2" w:rsidRDefault="009B5991" w:rsidP="008B1642">
      <w:pPr>
        <w:pStyle w:val="Heading2"/>
        <w:jc w:val="both"/>
        <w:rPr>
          <w:color w:val="auto"/>
        </w:rPr>
      </w:pPr>
      <w:bookmarkStart w:id="45" w:name="_Toc228791227"/>
      <w:r w:rsidRPr="00BD14D2">
        <w:rPr>
          <w:color w:val="auto"/>
        </w:rPr>
        <w:t>3.2 The Research Onion Framework</w:t>
      </w:r>
      <w:bookmarkEnd w:id="45"/>
    </w:p>
    <w:p w14:paraId="02B06FF6" w14:textId="77777777" w:rsidR="00565807" w:rsidRPr="00BD14D2" w:rsidRDefault="00565807" w:rsidP="008B1642">
      <w:pPr>
        <w:spacing w:before="120" w:after="120"/>
        <w:jc w:val="both"/>
      </w:pPr>
      <w:r w:rsidRPr="00BD14D2">
        <w:rPr>
          <w:noProof/>
        </w:rPr>
        <w:drawing>
          <wp:inline distT="0" distB="0" distL="0" distR="0" wp14:anchorId="7F401F5B" wp14:editId="59FFD3D4">
            <wp:extent cx="5060119" cy="3615241"/>
            <wp:effectExtent l="0" t="0" r="7620" b="4445"/>
            <wp:docPr id="1761536728" name="Picture 1" descr="A diagram of a scientific method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36728" name="Picture 1" descr="A diagram of a scientific method  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060119" cy="3615241"/>
                    </a:xfrm>
                    <a:prstGeom prst="rect">
                      <a:avLst/>
                    </a:prstGeom>
                  </pic:spPr>
                </pic:pic>
              </a:graphicData>
            </a:graphic>
          </wp:inline>
        </w:drawing>
      </w:r>
    </w:p>
    <w:p w14:paraId="45C3D7DB" w14:textId="77777777" w:rsidR="00565807" w:rsidRPr="00BD14D2" w:rsidRDefault="00565807" w:rsidP="008B1642">
      <w:pPr>
        <w:pStyle w:val="Caption"/>
        <w:jc w:val="both"/>
        <w:rPr>
          <w:color w:val="auto"/>
        </w:rPr>
      </w:pPr>
      <w:bookmarkStart w:id="46" w:name="_Toc228363509"/>
      <w:bookmarkStart w:id="47" w:name="_Toc228364292"/>
      <w:r w:rsidRPr="00BD14D2">
        <w:rPr>
          <w:color w:val="auto"/>
        </w:rPr>
        <w:t xml:space="preserve">Figure </w:t>
      </w:r>
      <w:r w:rsidRPr="00BD14D2">
        <w:rPr>
          <w:color w:val="auto"/>
        </w:rPr>
        <w:fldChar w:fldCharType="begin"/>
      </w:r>
      <w:r w:rsidRPr="00BD14D2">
        <w:rPr>
          <w:color w:val="auto"/>
        </w:rPr>
        <w:instrText xml:space="preserve"> SEQ Figure \* ARABIC </w:instrText>
      </w:r>
      <w:r w:rsidRPr="00BD14D2">
        <w:rPr>
          <w:color w:val="auto"/>
        </w:rPr>
        <w:fldChar w:fldCharType="separate"/>
      </w:r>
      <w:r w:rsidRPr="00BD14D2">
        <w:rPr>
          <w:noProof/>
          <w:color w:val="auto"/>
        </w:rPr>
        <w:t>3</w:t>
      </w:r>
      <w:r w:rsidRPr="00BD14D2">
        <w:rPr>
          <w:noProof/>
          <w:color w:val="auto"/>
        </w:rPr>
        <w:fldChar w:fldCharType="end"/>
      </w:r>
      <w:r w:rsidRPr="00BD14D2">
        <w:rPr>
          <w:color w:val="auto"/>
        </w:rPr>
        <w:t xml:space="preserve"> Research Onion Framework</w:t>
      </w:r>
      <w:bookmarkEnd w:id="46"/>
      <w:bookmarkEnd w:id="47"/>
    </w:p>
    <w:p w14:paraId="053CBBD7" w14:textId="77777777" w:rsidR="00860D71" w:rsidRPr="00BD14D2" w:rsidRDefault="00860D71" w:rsidP="008B1642">
      <w:pPr>
        <w:jc w:val="both"/>
      </w:pPr>
      <w:r w:rsidRPr="00BD14D2">
        <w:t>Source: (Saunders et al. 2023)</w:t>
      </w:r>
    </w:p>
    <w:p w14:paraId="05FED1F8" w14:textId="77777777" w:rsidR="009B5991" w:rsidRPr="00BD14D2" w:rsidRDefault="009B5991" w:rsidP="008B1642">
      <w:pPr>
        <w:spacing w:before="120" w:after="120"/>
        <w:jc w:val="both"/>
      </w:pPr>
      <w:r w:rsidRPr="00BD14D2">
        <w:lastRenderedPageBreak/>
        <w:t>The Research Onion, developed by Saunders et al. (2023), provides a structured and layered model for making and justifying methodological choices. The outermost layers concern philosophical positioning, moving progressively inward through approach, strategy, and method to the innermost layer of data collection and analysis techniques. This model is used in the present study because it centres the logical interdependence of methodological choices. For instance, the selection of an appropriate data analysis technique is conditioned by prior choices about research design and approach, which are in turn shaped by philosophical assumptions. Gamage (2025) observes that the Research Onion is especially valuable in business and management research because it makes explicit assumptions about social reality and knowledge that shape how researchers frame problems and interpret evidence. In the context of this dissertation, the onion framework is used to demonstrate that the choices made at each layer are coherent, build on each other, and appropriate to the study of branding and customer loyalty in a sector undergoing transformation.</w:t>
      </w:r>
    </w:p>
    <w:p w14:paraId="1BC9C6AD" w14:textId="77777777" w:rsidR="009B5991" w:rsidRPr="00BD14D2" w:rsidRDefault="009B5991" w:rsidP="008B1642">
      <w:pPr>
        <w:pStyle w:val="Heading2"/>
        <w:jc w:val="both"/>
        <w:rPr>
          <w:color w:val="auto"/>
        </w:rPr>
      </w:pPr>
      <w:bookmarkStart w:id="48" w:name="_Toc228791228"/>
      <w:r w:rsidRPr="00BD14D2">
        <w:rPr>
          <w:color w:val="auto"/>
        </w:rPr>
        <w:t>3.3 Research Philosophy</w:t>
      </w:r>
      <w:bookmarkEnd w:id="48"/>
    </w:p>
    <w:p w14:paraId="26D79B70" w14:textId="241E3FEF" w:rsidR="009B5991" w:rsidRPr="00BD14D2" w:rsidRDefault="009B5991" w:rsidP="008B1642">
      <w:pPr>
        <w:spacing w:before="120" w:after="120"/>
        <w:jc w:val="both"/>
      </w:pPr>
      <w:r w:rsidRPr="00BD14D2">
        <w:t xml:space="preserve">Research philosophy concerns the researcher's assumptions about the nature of reality (ontology) and the nature of knowledge (epistemology) as they apply to the subject of investigation. Three principal philosophical traditions are relevant to management research namely, positivism, interpretivism, and pragmatism. Positivism holds that social phenomena can be studied with the same objectivity and rigour as natural phenomena, using quantitative methods to identify generalisable causal laws (Ikram and </w:t>
      </w:r>
      <w:proofErr w:type="spellStart"/>
      <w:r w:rsidRPr="00BD14D2">
        <w:t>Kenayathulla</w:t>
      </w:r>
      <w:proofErr w:type="spellEnd"/>
      <w:r w:rsidRPr="00BD14D2">
        <w:t xml:space="preserve">, 2022). Interpretivism, by contrast, holds that social reality is constructed through meaning and that the researcher's task is to understand the subjective interpretations that actors bring to their experience (Mahadevan, 2023). Pragmatism occupies a middle ground, selecting methods </w:t>
      </w:r>
      <w:r w:rsidR="008311C3" w:rsidRPr="00BD14D2">
        <w:t>based on</w:t>
      </w:r>
      <w:r w:rsidRPr="00BD14D2">
        <w:t xml:space="preserve"> research utility rather than philosophical commitment (Saunders et al., 2023).</w:t>
      </w:r>
    </w:p>
    <w:p w14:paraId="3872E131" w14:textId="12D8BF6A" w:rsidR="009B5991" w:rsidRPr="00BD14D2" w:rsidRDefault="009B5991" w:rsidP="008B1642">
      <w:pPr>
        <w:spacing w:before="120" w:after="120"/>
        <w:jc w:val="both"/>
      </w:pPr>
      <w:r w:rsidRPr="00BD14D2">
        <w:t xml:space="preserve">This dissertation adopts an interpretivist philosophy, and the justification for this choice is based on the nature of the research subject itself. Brand loyalty and consumer brand relationships are inherently subjective phenomena. The two concepts are constituted through the meanings that consumers attach to brands, </w:t>
      </w:r>
      <w:r w:rsidRPr="00BD14D2">
        <w:lastRenderedPageBreak/>
        <w:t xml:space="preserve">the emotional associations they cultivate over time, and the contextual factors such as cultural identity, life stage, and values, that shape how those meanings are formed and revised (Quaye et al., 2022). The constructs of trust, commitment, and emotional bonding that underpin brand loyalty cannot be adequately captured through purely numerical measurement because they require interpretive engagement with the qualitative dimensions of human experience (Liang, 2021). The rapid transformation of the European automotive market further strengthens the case for interpretivism, because the meaning </w:t>
      </w:r>
      <w:r w:rsidR="00217E00" w:rsidRPr="00BD14D2">
        <w:t>framework</w:t>
      </w:r>
      <w:r w:rsidRPr="00BD14D2">
        <w:t xml:space="preserve"> through which consumers evaluate brands are themselves currently changing. In a market disrupted by electrification, digitalisation, and new competitive entrants, a research process cannot assume stable conceptual categories. Instead, the inquiry must remain open to discovering how existing frameworks apply, fail to apply, or require modification in the new context (Hecker and </w:t>
      </w:r>
      <w:proofErr w:type="spellStart"/>
      <w:r w:rsidRPr="00BD14D2">
        <w:t>Kalpokas</w:t>
      </w:r>
      <w:proofErr w:type="spellEnd"/>
      <w:r w:rsidRPr="00BD14D2">
        <w:t>, 2025).</w:t>
      </w:r>
    </w:p>
    <w:p w14:paraId="2A35F5E9" w14:textId="77777777" w:rsidR="009B5991" w:rsidRDefault="009B5991" w:rsidP="008B1642">
      <w:pPr>
        <w:spacing w:before="120" w:after="120"/>
        <w:jc w:val="both"/>
      </w:pPr>
      <w:r w:rsidRPr="00BD14D2">
        <w:t>An interpretivist stance is further suitable for this research because, despite its approach of focusing on subjective meaning, it does not prevent analytical process in research paper. The validity of interpretive research is assessed through the coherence and transparency of the interpretive process, the credibility of the evidence assembled, and the degree to which the analysis brings out patterns and meanings that are grounded in multiple independent sources (Pervin and Mokhtar, 2022). These quality criteria are met in the present study through the systematic approach to source selection described below, the structured application of thematic analysis, and the explicit engagement with competing interpretations throughout the analysis.</w:t>
      </w:r>
    </w:p>
    <w:p w14:paraId="6C4B66EF" w14:textId="6D642135" w:rsidR="00EE0F66" w:rsidRPr="00BD14D2" w:rsidRDefault="00EE0F66" w:rsidP="00EE0F66">
      <w:pPr>
        <w:pStyle w:val="Heading2"/>
        <w:jc w:val="both"/>
        <w:rPr>
          <w:color w:val="auto"/>
        </w:rPr>
      </w:pPr>
      <w:bookmarkStart w:id="49" w:name="_Toc228791229"/>
      <w:r w:rsidRPr="00BD14D2">
        <w:rPr>
          <w:color w:val="auto"/>
        </w:rPr>
        <w:t>3.</w:t>
      </w:r>
      <w:r w:rsidR="0044529E">
        <w:rPr>
          <w:color w:val="auto"/>
        </w:rPr>
        <w:t>4</w:t>
      </w:r>
      <w:r w:rsidRPr="00BD14D2">
        <w:rPr>
          <w:color w:val="auto"/>
        </w:rPr>
        <w:t xml:space="preserve"> Research Design</w:t>
      </w:r>
      <w:bookmarkEnd w:id="49"/>
    </w:p>
    <w:p w14:paraId="23B8C028" w14:textId="77777777" w:rsidR="00EE0F66" w:rsidRPr="00BD14D2" w:rsidRDefault="00EE0F66" w:rsidP="00EE0F66">
      <w:pPr>
        <w:spacing w:before="120" w:after="120"/>
        <w:jc w:val="both"/>
      </w:pPr>
      <w:r w:rsidRPr="00BD14D2">
        <w:t xml:space="preserve">Research design provides the overall blueprint for the research process, specifying how evidence will be collected, analysed, and interpreted to address the research questions (Valadez and Macedonia, 2026). The principal design options are exploratory, descriptive, and explanatory. Exploratory designs are appropriate when the research problem is not yet well-understood and where the researcher seeks to develop insights and provisional explanations rather than test hypotheses (Olawale, </w:t>
      </w:r>
      <w:proofErr w:type="spellStart"/>
      <w:r w:rsidRPr="00BD14D2">
        <w:t>Chinagozi</w:t>
      </w:r>
      <w:proofErr w:type="spellEnd"/>
      <w:r w:rsidRPr="00BD14D2">
        <w:t xml:space="preserve"> and Joe, 2023). Descriptive designs are appropriate when the aim is to characterise a phenomenon accurately and completely (Charli, Eshete </w:t>
      </w:r>
    </w:p>
    <w:p w14:paraId="01B09693" w14:textId="77777777" w:rsidR="00EE0F66" w:rsidRPr="00BD14D2" w:rsidRDefault="00EE0F66" w:rsidP="00EE0F66">
      <w:pPr>
        <w:spacing w:before="120" w:after="120"/>
        <w:jc w:val="both"/>
      </w:pPr>
      <w:r w:rsidRPr="00BD14D2">
        <w:lastRenderedPageBreak/>
        <w:t>and Debela, 2022). Explanatory designs are appropriate when the aim is to identify and test causal relationships (Saunders et al., 2023).</w:t>
      </w:r>
    </w:p>
    <w:p w14:paraId="6E8D4949" w14:textId="77777777" w:rsidR="00EE0F66" w:rsidRPr="00BD14D2" w:rsidRDefault="00EE0F66" w:rsidP="00EE0F66">
      <w:pPr>
        <w:spacing w:before="120" w:after="120"/>
        <w:jc w:val="both"/>
      </w:pPr>
      <w:r w:rsidRPr="00BD14D2">
        <w:t>This dissertation employs an exploratory research design. The justification is that the simultaneous emergence of electrification, digitalisation, and Asian competitive entry in the European automotive market represents new forces whose implications for brand loyalty are not yet fully understood. Existing studies address individual elements of this disruption, but the integrated picture, including how the three disruptions interact and how their combined effect on loyalty constructs might be addressed strategically, remains under-theorised. An exploratory design is therefore the most intellectually honest and methodologically appropriate choice, as it provides the flexibility to follow evidence where it leads rather than imposing predetermined analytical frameworks (Gamage, 2025). The exploratory design also aligns logically with the interpretivist philosophy and inductive approach adopted at the preceding methodological layers, creating a coherent overall methodology framework.</w:t>
      </w:r>
    </w:p>
    <w:p w14:paraId="54661F08" w14:textId="7BABD98F" w:rsidR="009B5991" w:rsidRPr="00BD14D2" w:rsidRDefault="009B5991" w:rsidP="008B1642">
      <w:pPr>
        <w:pStyle w:val="Heading2"/>
        <w:jc w:val="both"/>
        <w:rPr>
          <w:color w:val="auto"/>
        </w:rPr>
      </w:pPr>
      <w:bookmarkStart w:id="50" w:name="_Toc228791230"/>
      <w:r w:rsidRPr="00BD14D2">
        <w:rPr>
          <w:color w:val="auto"/>
        </w:rPr>
        <w:t>3.</w:t>
      </w:r>
      <w:r w:rsidR="0044529E">
        <w:rPr>
          <w:color w:val="auto"/>
        </w:rPr>
        <w:t>5</w:t>
      </w:r>
      <w:r w:rsidRPr="00BD14D2">
        <w:rPr>
          <w:color w:val="auto"/>
        </w:rPr>
        <w:t xml:space="preserve"> Research Approach</w:t>
      </w:r>
      <w:bookmarkEnd w:id="50"/>
    </w:p>
    <w:p w14:paraId="6CC1689E" w14:textId="77777777" w:rsidR="009B5991" w:rsidRPr="00BD14D2" w:rsidRDefault="009B5991" w:rsidP="008B1642">
      <w:pPr>
        <w:spacing w:before="120" w:after="120"/>
        <w:jc w:val="both"/>
      </w:pPr>
      <w:r w:rsidRPr="00BD14D2">
        <w:t>Research approach refers to the logic by which the study moves between theory and evidence (</w:t>
      </w:r>
      <w:proofErr w:type="spellStart"/>
      <w:r w:rsidRPr="00BD14D2">
        <w:t>Mulisa</w:t>
      </w:r>
      <w:proofErr w:type="spellEnd"/>
      <w:r w:rsidRPr="00BD14D2">
        <w:t>, 2021). The main approaches used in research are the deductive reasoning, which tests pre-specified theoretical propositions against empirical data, and inductive reasoning, which builds theoretical propositions from patterns identified in the data (</w:t>
      </w:r>
      <w:proofErr w:type="spellStart"/>
      <w:r w:rsidRPr="00BD14D2">
        <w:t>Mulisa</w:t>
      </w:r>
      <w:proofErr w:type="spellEnd"/>
      <w:r w:rsidRPr="00BD14D2">
        <w:t>, 2021). A third option, known as the abductive reasoning, combines elements of both, moving iteratively between data and theory to develop and refine explanations (Saunders et al., 2023).</w:t>
      </w:r>
    </w:p>
    <w:p w14:paraId="52D7791F" w14:textId="77777777" w:rsidR="009B5991" w:rsidRPr="00BD14D2" w:rsidRDefault="009B5991" w:rsidP="008B1642">
      <w:pPr>
        <w:spacing w:before="120" w:after="120"/>
        <w:jc w:val="both"/>
      </w:pPr>
      <w:r w:rsidRPr="00BD14D2">
        <w:t xml:space="preserve">This dissertation adopts an inductive approach. The rationale is that the rapid and simultaneous nature of the disruptions facing the European automotive sector means that existing theoretical frameworks, including classical brand loyalty models and relationship marketing theory, may not fully account for the changing dynamics currently at play. Applying a deductive approach, as Fife and Gossner (2024) write, requires selecting a theory and testing it against evidence. However, this would risk limiting the analysis within existing conceptual boundaries that may be inadequate to the emerging issues in modern brand loyalty in the automotive industry. </w:t>
      </w:r>
    </w:p>
    <w:p w14:paraId="2F4E80B1" w14:textId="77777777" w:rsidR="009B5991" w:rsidRPr="00BD14D2" w:rsidRDefault="009B5991" w:rsidP="008B1642">
      <w:pPr>
        <w:spacing w:before="120" w:after="120"/>
        <w:jc w:val="both"/>
      </w:pPr>
      <w:r w:rsidRPr="00BD14D2">
        <w:lastRenderedPageBreak/>
        <w:t xml:space="preserve">An inductive approach allows patterns and themes to emerge from the evidence and then be assessed against existing theory for explanatory fit, theoretical extension, or contradiction. Hecker and </w:t>
      </w:r>
      <w:proofErr w:type="spellStart"/>
      <w:r w:rsidRPr="00BD14D2">
        <w:t>Kalpokas</w:t>
      </w:r>
      <w:proofErr w:type="spellEnd"/>
      <w:r w:rsidRPr="00BD14D2">
        <w:t xml:space="preserve"> (2025) argue that inductive reasoning is epistemologically appropriate when investigating novel or rapidly changing market phenomena, precisely because the newness of the context may require the development of new conceptual categories rather than the verification of existing ones. In the present study, the inductive approach enables the analysis to identify the specific mechanisms through which electrification, digitalisation, and competitive disruption are reshaping loyalty dynamics without assuming in advance that these mechanisms conform to the patterns described in literature developed in the past.</w:t>
      </w:r>
    </w:p>
    <w:p w14:paraId="29E7C3CA" w14:textId="77777777" w:rsidR="009B5991" w:rsidRPr="00BD14D2" w:rsidRDefault="009B5991" w:rsidP="008B1642">
      <w:pPr>
        <w:pStyle w:val="Heading2"/>
        <w:jc w:val="both"/>
        <w:rPr>
          <w:color w:val="auto"/>
        </w:rPr>
      </w:pPr>
      <w:bookmarkStart w:id="51" w:name="_Toc228791231"/>
      <w:r w:rsidRPr="00BD14D2">
        <w:rPr>
          <w:color w:val="auto"/>
        </w:rPr>
        <w:t>3.6 Data Collection and Analysis</w:t>
      </w:r>
      <w:bookmarkEnd w:id="51"/>
    </w:p>
    <w:p w14:paraId="3B4EDB40" w14:textId="77777777" w:rsidR="009B5991" w:rsidRPr="00BD14D2" w:rsidRDefault="009B5991" w:rsidP="008B1642">
      <w:pPr>
        <w:pStyle w:val="Heading3"/>
        <w:jc w:val="both"/>
        <w:rPr>
          <w:color w:val="auto"/>
        </w:rPr>
      </w:pPr>
      <w:bookmarkStart w:id="52" w:name="_Toc228791232"/>
      <w:r w:rsidRPr="00BD14D2">
        <w:rPr>
          <w:color w:val="auto"/>
        </w:rPr>
        <w:t>3.6.1 Secondary Qualitative Data</w:t>
      </w:r>
      <w:bookmarkEnd w:id="52"/>
    </w:p>
    <w:p w14:paraId="5B3DE8EF" w14:textId="77777777" w:rsidR="009B5991" w:rsidRPr="00BD14D2" w:rsidRDefault="009B5991" w:rsidP="008B1642">
      <w:pPr>
        <w:spacing w:before="120" w:after="120"/>
        <w:jc w:val="both"/>
      </w:pPr>
      <w:r w:rsidRPr="00BD14D2">
        <w:t>The data for this dissertation is collected through a systematic review of secondary qualitative sources. Secondary data refers to information originally generated for purposes other than the specific research question at hand. It includes academic journal articles, industry reports, organisational publications, and policy documents. The decision to rely on secondary rather than primary data is justified on multiple grounds.</w:t>
      </w:r>
    </w:p>
    <w:p w14:paraId="711E0BFD" w14:textId="77777777" w:rsidR="009B5991" w:rsidRPr="00BD14D2" w:rsidRDefault="009B5991" w:rsidP="008B1642">
      <w:pPr>
        <w:spacing w:before="120" w:after="120"/>
        <w:jc w:val="both"/>
      </w:pPr>
      <w:r w:rsidRPr="00BD14D2">
        <w:t xml:space="preserve">First, the European automotive market generates a substantial volume of high-quality secondary data through industry research organisations such as McKinsey and Company, the International Energy Agency (IEA), and the European Automobile Manufacturers' Association (ACEA), in addition to a growing body of academic literature in marketing, strategic management, and innovation studies. This material provides access to insights from expert informants, large-scale consumer research, and longitudinal market data that would be prohibitively difficult to replicate through primary data collection within the constraints of a dissertation project. </w:t>
      </w:r>
    </w:p>
    <w:p w14:paraId="28BEC9B8" w14:textId="77777777" w:rsidR="009B5991" w:rsidRPr="00BD14D2" w:rsidRDefault="009B5991" w:rsidP="008B1642">
      <w:pPr>
        <w:spacing w:before="120" w:after="120"/>
        <w:jc w:val="both"/>
      </w:pPr>
      <w:r w:rsidRPr="00BD14D2">
        <w:t xml:space="preserve">Second, the qualitative nature of the research questions, which concern the meanings, dynamics, and strategic implications of branding and loyalty in a disrupted market, is well-suited to the interpretive analysis of documentary </w:t>
      </w:r>
      <w:r w:rsidRPr="00BD14D2">
        <w:lastRenderedPageBreak/>
        <w:t>evidence. Thematic analysis of secondary sources can reveal patterns and tensions in the literature that constitute meaningful findings, particularly when conducted systematically and with critical engagement (Humble and Mozelius, 2022). Third, the use of secondary data is consistent with the ethical approval obtained for this study, which does not require the collection of data from human participants.</w:t>
      </w:r>
    </w:p>
    <w:p w14:paraId="3A4D6565" w14:textId="056DA704" w:rsidR="009B5991" w:rsidRPr="00BD14D2" w:rsidRDefault="009B5991" w:rsidP="008B1642">
      <w:pPr>
        <w:spacing w:before="120" w:after="120"/>
        <w:jc w:val="both"/>
      </w:pPr>
      <w:r w:rsidRPr="00BD14D2">
        <w:t xml:space="preserve">The systematic review was conducted across eight academic databases including Google Scholar, Scopus, Emerald Insight, ScienceDirect, JSTOR, Springer Link, Taylor and Francis Online, and MDPI, and four industry repositories including McKinsey </w:t>
      </w:r>
      <w:r w:rsidR="00217E00" w:rsidRPr="00BD14D2">
        <w:t>Centre</w:t>
      </w:r>
      <w:r w:rsidRPr="00BD14D2">
        <w:t xml:space="preserve"> for Future Mobility, IEA, ACEA, and SAE International. Search terms included combinations of "brand loyalty," "automotive," "European," "electric vehicle," "branding strategy," "customer retention," "digital transformation," and "relationship marketing." Sources were included on the basis of relevance to the research questions, methodological quality, European geographic focus, and recency, with preference given to publications from 2015 onwards. The screening and selection process is documented in the PRISMA flow diagram provided in the appendices (See Appendix A).</w:t>
      </w:r>
    </w:p>
    <w:p w14:paraId="4637AD75" w14:textId="77777777" w:rsidR="009B5991" w:rsidRPr="00BD14D2" w:rsidRDefault="009B5991" w:rsidP="008B1642">
      <w:pPr>
        <w:pStyle w:val="Heading3"/>
        <w:jc w:val="both"/>
        <w:rPr>
          <w:color w:val="auto"/>
        </w:rPr>
      </w:pPr>
      <w:bookmarkStart w:id="53" w:name="_Toc228791233"/>
      <w:r w:rsidRPr="00BD14D2">
        <w:rPr>
          <w:color w:val="auto"/>
        </w:rPr>
        <w:t>3.6.2 Thematic Analysis</w:t>
      </w:r>
      <w:bookmarkEnd w:id="53"/>
    </w:p>
    <w:p w14:paraId="61062C35" w14:textId="77777777" w:rsidR="009B5991" w:rsidRPr="00BD14D2" w:rsidRDefault="009B5991" w:rsidP="008B1642">
      <w:pPr>
        <w:spacing w:before="120" w:after="120"/>
        <w:jc w:val="both"/>
      </w:pPr>
      <w:r w:rsidRPr="00BD14D2">
        <w:t xml:space="preserve">Thematic analysis was employed as the primary method of data analysis. This method involves the systematic identification, organisation, and interpretation of patterns of themes across a body of qualitative data (Braun and Clarke, 2019). The application of thematic analysis in this study followed a six-stage process namely, familiarisation with the data through repeated close reading of the selected sources, generation of initial codes by marking meaningful units of content relevant to the research questions, searching for themes by grouping codes into broader patterns, reviewing and refining themes against the data corpus; defining and naming themes with precision, and producing the written analysis that constitutes Chapter 4. </w:t>
      </w:r>
    </w:p>
    <w:p w14:paraId="44DACAC4" w14:textId="77777777" w:rsidR="009B5991" w:rsidRPr="00BD14D2" w:rsidRDefault="009B5991" w:rsidP="008B1642">
      <w:pPr>
        <w:spacing w:before="120" w:after="120"/>
        <w:jc w:val="both"/>
      </w:pPr>
      <w:r w:rsidRPr="00BD14D2">
        <w:t xml:space="preserve">Four overarching themes corresponding to the four research questions were identified through this process, with sub-themes elaborated within each. The thematic analysis was conducted with explicit reference to the Relationship Marketing Theory conceptual framework established in Chapter 2, enabling both </w:t>
      </w:r>
      <w:r w:rsidRPr="00BD14D2">
        <w:lastRenderedPageBreak/>
        <w:t>the identification of evidence that supports and extends the framework and the identification of evidence that challenges or qualifies it.</w:t>
      </w:r>
    </w:p>
    <w:p w14:paraId="18A18F0E" w14:textId="77777777" w:rsidR="009B5991" w:rsidRPr="00BD14D2" w:rsidRDefault="009B5991" w:rsidP="008B1642">
      <w:pPr>
        <w:pStyle w:val="Heading2"/>
        <w:jc w:val="both"/>
        <w:rPr>
          <w:color w:val="auto"/>
        </w:rPr>
      </w:pPr>
      <w:bookmarkStart w:id="54" w:name="_Toc228791234"/>
      <w:r w:rsidRPr="00BD14D2">
        <w:rPr>
          <w:color w:val="auto"/>
        </w:rPr>
        <w:t>3.7 Ethical Considerations</w:t>
      </w:r>
      <w:bookmarkEnd w:id="54"/>
    </w:p>
    <w:p w14:paraId="08F9DB5D" w14:textId="77777777" w:rsidR="009B5991" w:rsidRPr="00BD14D2" w:rsidRDefault="009B5991" w:rsidP="008B1642">
      <w:pPr>
        <w:spacing w:before="120" w:after="120"/>
        <w:jc w:val="both"/>
      </w:pPr>
      <w:r w:rsidRPr="00BD14D2">
        <w:t>The ethical dimensions of research methodology extend beyond the formal requirements of institutional review processes and include the researcher's responsibilities to the integrity of the evidence, the rights of authors whose work is analysed, and the obligations of transparency and honesty in reporting. In the present study, the principal ethical considerations relate to source integrity, intellectual honesty as per the GDPR (2018) requirements.</w:t>
      </w:r>
    </w:p>
    <w:p w14:paraId="74613900" w14:textId="77777777" w:rsidR="009B5991" w:rsidRPr="00BD14D2" w:rsidRDefault="009B5991" w:rsidP="008B1642">
      <w:pPr>
        <w:spacing w:before="120" w:after="120"/>
        <w:jc w:val="both"/>
      </w:pPr>
      <w:r w:rsidRPr="00BD14D2">
        <w:t xml:space="preserve">All sources used in the study were obtained through legitimate access channels, including institutional library subscriptions and open-access repositories. No sources were misrepresented, selectively quoted to distort their meaning, or attributed to authors other than those responsible for the original work. Limitations in the evidence base, including the exclusive reliance on English-language sources and the absence of grey literature from non-ACEA European automotive associations, are acknowledged openly rather than obscured. </w:t>
      </w:r>
    </w:p>
    <w:p w14:paraId="4564C128" w14:textId="3DB50F98" w:rsidR="00A55CFE" w:rsidRPr="00BD14D2" w:rsidRDefault="009B5991" w:rsidP="0044529E">
      <w:pPr>
        <w:spacing w:before="120" w:after="120"/>
        <w:jc w:val="both"/>
      </w:pPr>
      <w:r w:rsidRPr="00BD14D2">
        <w:t>Intellectual property considerations were also observed throughout the study. All sources are attributed in accordance with the UWTSD Harvard referencing convention, and care has been taken to ensure that paraphrasing and synthesis accurately represent the arguments of the original authors without constituting plagiarism. The CASP checklist (See Appendix B) confirms that the systematic review was conducted with appropriate attention to the quality and methodological rigour of the included sources.</w:t>
      </w:r>
    </w:p>
    <w:p w14:paraId="4553039B" w14:textId="77777777" w:rsidR="009B5991" w:rsidRPr="00BD14D2" w:rsidRDefault="009B5991" w:rsidP="008B1642">
      <w:pPr>
        <w:pStyle w:val="Heading2"/>
        <w:jc w:val="both"/>
        <w:rPr>
          <w:color w:val="auto"/>
        </w:rPr>
      </w:pPr>
      <w:bookmarkStart w:id="55" w:name="_Toc228791235"/>
      <w:r w:rsidRPr="00BD14D2">
        <w:rPr>
          <w:color w:val="auto"/>
        </w:rPr>
        <w:t>3.8 Conclusion of the Chapter</w:t>
      </w:r>
      <w:bookmarkEnd w:id="55"/>
    </w:p>
    <w:p w14:paraId="1CBE369D" w14:textId="77777777" w:rsidR="009B5991" w:rsidRPr="00BD14D2" w:rsidRDefault="009B5991" w:rsidP="008B1642">
      <w:pPr>
        <w:spacing w:before="120" w:after="120"/>
        <w:jc w:val="both"/>
      </w:pPr>
      <w:r w:rsidRPr="00BD14D2">
        <w:t xml:space="preserve">This chapter has established a coherent and justified methodological framework for the dissertation. An interpretivist philosophy was selected on the grounds that brand loyalty is a subjective and contextually constructed phenomenon. An inductive approach was adopted because the newness of the disruptions facing the European automotive market requires conceptual openness rather than hypothesis testing. An exploratory research design was chosen because the </w:t>
      </w:r>
      <w:r w:rsidRPr="00BD14D2">
        <w:lastRenderedPageBreak/>
        <w:t>integrated effects of simultaneous disruptions on loyalty dynamics remain under-theorised. Secondary qualitative data collected through a systematic review of 31 sources was analysed using thematic analysis, a method suited to interpreting complex patterns of meaning across heterogeneous documentary evidence. Ethical standards were maintained throughout in relation to source integrity and intellectual honesty.</w:t>
      </w:r>
    </w:p>
    <w:p w14:paraId="4841EEB1" w14:textId="77777777" w:rsidR="009B5991" w:rsidRPr="00BD14D2" w:rsidRDefault="009B5991" w:rsidP="008B1642">
      <w:pPr>
        <w:pStyle w:val="Heading1"/>
        <w:pageBreakBefore/>
        <w:jc w:val="both"/>
        <w:rPr>
          <w:color w:val="auto"/>
        </w:rPr>
      </w:pPr>
      <w:bookmarkStart w:id="56" w:name="_Toc228791236"/>
      <w:r w:rsidRPr="00BD14D2">
        <w:rPr>
          <w:color w:val="auto"/>
        </w:rPr>
        <w:lastRenderedPageBreak/>
        <w:t>CHAPTER 4: FINDINGS, ANALYSIS AND DISCUSSION</w:t>
      </w:r>
      <w:bookmarkEnd w:id="56"/>
    </w:p>
    <w:p w14:paraId="246EC4FC" w14:textId="77777777" w:rsidR="009B5991" w:rsidRPr="00BD14D2" w:rsidRDefault="009B5991" w:rsidP="008B1642">
      <w:pPr>
        <w:pStyle w:val="Heading2"/>
        <w:jc w:val="both"/>
        <w:rPr>
          <w:color w:val="auto"/>
        </w:rPr>
      </w:pPr>
      <w:bookmarkStart w:id="57" w:name="_Toc228791237"/>
      <w:r w:rsidRPr="00BD14D2">
        <w:rPr>
          <w:color w:val="auto"/>
        </w:rPr>
        <w:t>4.1 Introduction</w:t>
      </w:r>
      <w:bookmarkEnd w:id="57"/>
    </w:p>
    <w:p w14:paraId="4887B25E" w14:textId="77777777" w:rsidR="009B5991" w:rsidRPr="00BD14D2" w:rsidRDefault="009B5991" w:rsidP="008B1642">
      <w:pPr>
        <w:spacing w:before="120" w:after="120"/>
        <w:jc w:val="both"/>
      </w:pPr>
      <w:r w:rsidRPr="00BD14D2">
        <w:t>This chapter presents the findings of the thematic analysis of secondary sources and subjects those findings to critical analytical scrutiny. The analysis is organised around the four research questions established in Chapter 1, with each section presenting the relevant thematic evidence, analysing the patterns and tensions it reveals, and situating the findings within the Relationship Marketing Theory conceptual framework and the broader literature reviewed in Chapter 2. The chapter concludes with a discussion of the cross-cutting themes that emerge from the analysis. The aim throughout is to go beyond the descriptive reporting of what the literature says and to engage critically with what it means for the understanding of branding and customer loyalty in the contemporary European automotive market.</w:t>
      </w:r>
    </w:p>
    <w:p w14:paraId="18D28A2E" w14:textId="77777777" w:rsidR="009B5991" w:rsidRPr="00BD14D2" w:rsidRDefault="009B5991" w:rsidP="008B1642">
      <w:pPr>
        <w:pStyle w:val="Heading2"/>
        <w:jc w:val="both"/>
        <w:rPr>
          <w:color w:val="auto"/>
        </w:rPr>
      </w:pPr>
      <w:bookmarkStart w:id="58" w:name="_Toc228791238"/>
      <w:r w:rsidRPr="00BD14D2">
        <w:rPr>
          <w:color w:val="auto"/>
        </w:rPr>
        <w:t>4.2 Theme 1: The Effects of Branding on Customer Loyalty in the European Automotive Industry</w:t>
      </w:r>
      <w:bookmarkEnd w:id="58"/>
    </w:p>
    <w:p w14:paraId="600BCBDE" w14:textId="77777777" w:rsidR="009B5991" w:rsidRPr="00BD14D2" w:rsidRDefault="009B5991" w:rsidP="008B1642">
      <w:pPr>
        <w:spacing w:before="120" w:after="120"/>
        <w:jc w:val="both"/>
      </w:pPr>
      <w:r w:rsidRPr="00BD14D2">
        <w:t>The first research question asks what effects of branding on customer loyalty in the European automotive industry are identified in the academic literature. The thematic analysis reveals a picture that is more complex and contradictory than the classical brand loyalty literature would suggest. Three principal sub-themes emerge: the persistent but declining force of brand heritage, the growing importance of functional software and digital brand identity, and the mediating role of trust as the mechanism linking branding activity to loyalty outcomes.</w:t>
      </w:r>
    </w:p>
    <w:p w14:paraId="3F98F697" w14:textId="77777777" w:rsidR="009B5991" w:rsidRPr="00BD14D2" w:rsidRDefault="009B5991" w:rsidP="008B1642">
      <w:pPr>
        <w:pStyle w:val="Heading3"/>
        <w:jc w:val="both"/>
        <w:rPr>
          <w:color w:val="auto"/>
        </w:rPr>
      </w:pPr>
      <w:bookmarkStart w:id="59" w:name="_Toc228791239"/>
      <w:r w:rsidRPr="00BD14D2">
        <w:rPr>
          <w:color w:val="auto"/>
        </w:rPr>
        <w:t>4.2.1 Brand Heritage as a Declining but Non-Trivial Loyalty Driver</w:t>
      </w:r>
      <w:bookmarkEnd w:id="59"/>
    </w:p>
    <w:p w14:paraId="6A38CAC1" w14:textId="77777777" w:rsidR="009B5991" w:rsidRPr="00BD14D2" w:rsidRDefault="009B5991" w:rsidP="008B1642">
      <w:pPr>
        <w:spacing w:before="120" w:after="120"/>
        <w:jc w:val="both"/>
      </w:pPr>
      <w:r w:rsidRPr="00BD14D2">
        <w:t xml:space="preserve">The most consistent finding across the sources reviewed is that brand heritage, understood as the accumulated associations of engineering excellence, national origin, and motorsport history that distinguish brands such as BMW, Mercedes-Benz, and Volkswagen, continues to exert influence on European consumer loyalty, but that this influence is attenuating as the market transitions to electrification. Mitrache et al. (2025) provide the most direct evidence of this dynamic, demonstrating that heritage brands retain a measurable pricing premium </w:t>
      </w:r>
      <w:r w:rsidRPr="00BD14D2">
        <w:lastRenderedPageBreak/>
        <w:t xml:space="preserve">and that established loyalists exhibit lower switching intention than new entrants to the market. </w:t>
      </w:r>
      <w:proofErr w:type="spellStart"/>
      <w:r w:rsidRPr="00BD14D2">
        <w:t>Gajanova</w:t>
      </w:r>
      <w:proofErr w:type="spellEnd"/>
      <w:r w:rsidRPr="00BD14D2">
        <w:t xml:space="preserve">, </w:t>
      </w:r>
      <w:proofErr w:type="spellStart"/>
      <w:r w:rsidRPr="00BD14D2">
        <w:t>Majerova</w:t>
      </w:r>
      <w:proofErr w:type="spellEnd"/>
      <w:r w:rsidRPr="00BD14D2">
        <w:t xml:space="preserve"> and </w:t>
      </w:r>
      <w:proofErr w:type="spellStart"/>
      <w:r w:rsidRPr="00BD14D2">
        <w:t>Nadanyiova</w:t>
      </w:r>
      <w:proofErr w:type="spellEnd"/>
      <w:r w:rsidRPr="00BD14D2">
        <w:t xml:space="preserve"> (2024) confirm that the brand equity of European premium automotive brands remains concentrated in quality associations and country-of-origin prestige, constructs that have been built over decades and cannot be replicated quickly by new entrants.</w:t>
      </w:r>
    </w:p>
    <w:p w14:paraId="1FC74E65" w14:textId="77777777" w:rsidR="009B5991" w:rsidRPr="00BD14D2" w:rsidRDefault="009B5991" w:rsidP="008B1642">
      <w:pPr>
        <w:spacing w:before="120" w:after="120"/>
        <w:jc w:val="both"/>
      </w:pPr>
      <w:r w:rsidRPr="00BD14D2">
        <w:t>However, the analytical significance of this finding lies in its conditional and generational character. Mitrache et al. (2025) note that the protective function of brand heritage is strongest among older consumer cohorts with established brand relationships and weakest among Millennial and Generation Z consumers who have not yet formed strong brand affiliations. This generational asymmetry is analytically important because it implies that heritage loyalty, while a genuine asset today, is a depreciating asset that will decline in value as the composition of the market shifts. The implication, which is supported by Van Der Lee and Veeneman (2025) evidence of declining car ownership intentions among younger urban Europeans, is that heritage-dependent loyalty strategies are insufficient for the medium and long term, even if they retain short-term validity.</w:t>
      </w:r>
    </w:p>
    <w:p w14:paraId="3C172AF8" w14:textId="77777777" w:rsidR="009B5991" w:rsidRPr="00BD14D2" w:rsidRDefault="009B5991" w:rsidP="008B1642">
      <w:pPr>
        <w:spacing w:before="120" w:after="120"/>
        <w:jc w:val="both"/>
      </w:pPr>
      <w:r w:rsidRPr="00BD14D2">
        <w:t>Through the lens of Relationship Marketing Theory, this finding can be understood as evidence that the trust and commitment developed through decades of brand-consumer interaction do not transfer automatically to the EV product context. Grönroos (2004) argues that brand trust is anchored in the fulfilment of relationship promises. Therefore, when the product platform changes radically, as it does in the ICE-to-EV transition, the brand must actively reconstruct its promise framework rather than assuming that historical trust will carry forward. The literature reviewed does not provide evidence that European OEMs have yet accomplished this trust reconstruction at scale, which explains why even strongly heritage-loyal consumers are showing increased willingness to consider non-legacy brands when making EV purchase decisions.</w:t>
      </w:r>
    </w:p>
    <w:p w14:paraId="5FD8415C" w14:textId="77777777" w:rsidR="009B5991" w:rsidRPr="00BD14D2" w:rsidRDefault="009B5991" w:rsidP="008B1642">
      <w:pPr>
        <w:pStyle w:val="Heading3"/>
        <w:jc w:val="both"/>
        <w:rPr>
          <w:color w:val="auto"/>
        </w:rPr>
      </w:pPr>
      <w:bookmarkStart w:id="60" w:name="_Toc228791240"/>
      <w:r w:rsidRPr="00BD14D2">
        <w:rPr>
          <w:color w:val="auto"/>
        </w:rPr>
        <w:t>4.2.2 Digital Brand Identity as an Emerging Loyalty Determinant</w:t>
      </w:r>
      <w:bookmarkEnd w:id="60"/>
    </w:p>
    <w:p w14:paraId="06505B64" w14:textId="77777777" w:rsidR="009B5991" w:rsidRPr="00BD14D2" w:rsidRDefault="009B5991" w:rsidP="008B1642">
      <w:pPr>
        <w:spacing w:before="120" w:after="120"/>
        <w:jc w:val="both"/>
      </w:pPr>
      <w:r w:rsidRPr="00BD14D2">
        <w:t xml:space="preserve">A second significant sub-theme with analytical importance concerns the emergence of digital brand identity as a determinant of loyalty in the EV context. Agustí-Pérez et al. (2026) present evidence that European automotive consumers are increasingly evaluating brands on the basis of their software capabilities, digital </w:t>
      </w:r>
      <w:r w:rsidRPr="00BD14D2">
        <w:lastRenderedPageBreak/>
        <w:t>user interface quality, and over-the-air update reliability. Critically, this evaluation occurs not only at the point of purchase but continuously throughout the ownership experience as consumers interact daily with in-vehicle digital systems. This finding has a structural implication for how branding generates loyalty. Whereas ICE-era loyalty was irregular and sustained through purchase and servicing interactions at the dealership, EV-era loyalty is constructed through continuous micro-interactions with digital brand touchpoints.</w:t>
      </w:r>
    </w:p>
    <w:p w14:paraId="53CEAD32" w14:textId="77777777" w:rsidR="009B5991" w:rsidRPr="00BD14D2" w:rsidRDefault="009B5991" w:rsidP="008B1642">
      <w:pPr>
        <w:spacing w:before="120" w:after="120"/>
        <w:jc w:val="both"/>
      </w:pPr>
      <w:r w:rsidRPr="00BD14D2">
        <w:t xml:space="preserve">The analytical significance of this shift is that it changes the competitive dynamics of loyalty formation in ways that disadvantage legacy OEMs relative to technology-native competitors. </w:t>
      </w:r>
      <w:proofErr w:type="spellStart"/>
      <w:r w:rsidRPr="00BD14D2">
        <w:t>Mosaferchi</w:t>
      </w:r>
      <w:proofErr w:type="spellEnd"/>
      <w:r w:rsidRPr="00BD14D2">
        <w:t xml:space="preserve"> et al. (2026) demonstrate that software reliability failures create disproportionate damage to brand trust because they are interpreted by consumers as evidence of systemic company failures rather than isolated product quality issues. This asymmetric damage dynamic means that a single significant software failure can undo trust that took years to build through consistent mechanical product quality. The evidence from </w:t>
      </w:r>
      <w:proofErr w:type="spellStart"/>
      <w:r w:rsidRPr="00BD14D2">
        <w:t>Zaware</w:t>
      </w:r>
      <w:proofErr w:type="spellEnd"/>
      <w:r w:rsidRPr="00BD14D2">
        <w:t xml:space="preserve"> and </w:t>
      </w:r>
      <w:proofErr w:type="spellStart"/>
      <w:r w:rsidRPr="00BD14D2">
        <w:t>Deokate</w:t>
      </w:r>
      <w:proofErr w:type="spellEnd"/>
      <w:r w:rsidRPr="00BD14D2">
        <w:t xml:space="preserve"> (2025) that connected car data creates opportunities for personalised loyalty-building through subscription services and data-driven engagement represents the positive counterpart to this risk. Brands that successfully execute the digital transition can deepen loyalty through continuity and personalisation in ways that were not possible in the ICE era.</w:t>
      </w:r>
    </w:p>
    <w:p w14:paraId="3AD734E6" w14:textId="77777777" w:rsidR="009B5991" w:rsidRPr="00BD14D2" w:rsidRDefault="009B5991" w:rsidP="008B1642">
      <w:pPr>
        <w:spacing w:before="120" w:after="120"/>
        <w:jc w:val="both"/>
      </w:pPr>
      <w:r w:rsidRPr="00BD14D2">
        <w:t>Analysed through the value co-creation construct of Relationship Marketing Theory, this sub-theme reveals a critical insight. In the ICE era, value co-creation between brand and consumer occurred primarily at the purchase and servicing stages. In the EV and connected vehicle era, the vehicle itself becomes a platform for continuous value co-creation, as brands deliver software updates, personalised features, and usage-based services throughout the ownership cycle. Brands that succeed in executing this continuous value co-creation model will, according to Palmatier et al. (2006) relationship investment logic, generate significantly stronger loyalty than those that maintain a transactional orientation. The implication for European OEMs is that investment in software development and digital service infrastructure is not merely a product strategy decision but a fundamental loyalty management imperative.</w:t>
      </w:r>
    </w:p>
    <w:p w14:paraId="6D153E4F" w14:textId="77777777" w:rsidR="009B5991" w:rsidRPr="00BD14D2" w:rsidRDefault="009B5991" w:rsidP="008B1642">
      <w:pPr>
        <w:pStyle w:val="Heading3"/>
        <w:jc w:val="both"/>
        <w:rPr>
          <w:color w:val="auto"/>
        </w:rPr>
      </w:pPr>
      <w:bookmarkStart w:id="61" w:name="_Toc228791241"/>
      <w:r w:rsidRPr="00BD14D2">
        <w:rPr>
          <w:color w:val="auto"/>
        </w:rPr>
        <w:lastRenderedPageBreak/>
        <w:t>4.2.3 Trust Erosion and the Challenge of Simultaneous Disruption</w:t>
      </w:r>
      <w:bookmarkEnd w:id="61"/>
    </w:p>
    <w:p w14:paraId="630445F9" w14:textId="77777777" w:rsidR="009B5991" w:rsidRPr="00BD14D2" w:rsidRDefault="009B5991" w:rsidP="008B1642">
      <w:pPr>
        <w:spacing w:before="120" w:after="120"/>
        <w:jc w:val="both"/>
      </w:pPr>
      <w:r w:rsidRPr="00BD14D2">
        <w:t>A third sub-theme concerns the effects of simultaneous disruption on consumer trust, which Liang (2021) and Morgan and Hunt (1994) identify as the foundational component of brand loyalty. The evidence reviewed suggests that the simultaneous occurrence of EV transition, digital transformation, and Chinese competitive entry is creating a trust pressure on European automotive brands that is qualitatively different from the single-vector disruptions that existing brand loyalty theory was developed to address. Cornet et al. (2023) document that European OEMs are losing EV market share at precisely the moment when the EV segment is growing most rapidly, a pattern that indicates consumers are actively choosing not to extend their brand loyalty into the new technology paradigm. Agustí-Pérez et al. (2026) argue that the perception of a technology gap between legacy OEM EV offerings and those of newer entrants undermines the trust in brand competence that previously sustained loyalty.</w:t>
      </w:r>
    </w:p>
    <w:p w14:paraId="35FD433D" w14:textId="77777777" w:rsidR="009B5991" w:rsidRPr="00BD14D2" w:rsidRDefault="009B5991" w:rsidP="008B1642">
      <w:pPr>
        <w:spacing w:before="120" w:after="120"/>
        <w:jc w:val="both"/>
      </w:pPr>
      <w:r w:rsidRPr="00BD14D2">
        <w:t>The above-described development means that trust in the automotive context has evolved to encompass trust in mechanical reliability, software competence, environmental credibility, and strategic direction. Disruption in any one dimension can create doubt in others. When a consumer observes a European legacy brand struggling with software reliability while simultaneously seeing it accused of greenwashing in its sustainability communications, as Schmuck et al. (2018) note has occurred in several European market contexts, the cumulative trust damage is likely to exceed the sum of its individual trust components. This interaction effect between trust dimensions represents an important qualification of the Relationship Marketing Theory framework, which typically treats trust as a single construct. Future theoretical development in this area would benefit from a more differentiated conceptualisation of automotive brand trust that distinguishes its functional, ethical, and strategic dimensions of trust.</w:t>
      </w:r>
    </w:p>
    <w:p w14:paraId="50095692" w14:textId="77777777" w:rsidR="009B5991" w:rsidRPr="00BD14D2" w:rsidRDefault="009B5991" w:rsidP="008B1642">
      <w:pPr>
        <w:pStyle w:val="Heading2"/>
        <w:jc w:val="both"/>
        <w:rPr>
          <w:color w:val="auto"/>
        </w:rPr>
      </w:pPr>
      <w:bookmarkStart w:id="62" w:name="_Toc228791242"/>
      <w:r w:rsidRPr="00BD14D2">
        <w:rPr>
          <w:color w:val="auto"/>
        </w:rPr>
        <w:t>4.3 Theme 2: Customer Loyalty Challenges Related to Branding in the European Automotive Industry</w:t>
      </w:r>
      <w:bookmarkEnd w:id="62"/>
    </w:p>
    <w:p w14:paraId="114B0FF6" w14:textId="77777777" w:rsidR="009B5991" w:rsidRPr="00BD14D2" w:rsidRDefault="009B5991" w:rsidP="008B1642">
      <w:pPr>
        <w:spacing w:before="120" w:after="120"/>
        <w:jc w:val="both"/>
      </w:pPr>
      <w:r w:rsidRPr="00BD14D2">
        <w:t xml:space="preserve">The second research question concerns the key customer loyalty challenges related to branding that European automotive firms face. The analysis identifies three principal challenges, each of which operates through a distinct mechanism. </w:t>
      </w:r>
      <w:r w:rsidRPr="00BD14D2">
        <w:lastRenderedPageBreak/>
        <w:t>They include: the value-price compression created by Chinese market entrants, the structural fragmentation of the customer journey, and the generational shift in consumer values that is redefining the criteria for brand loyalty.</w:t>
      </w:r>
    </w:p>
    <w:p w14:paraId="07AFF995" w14:textId="77777777" w:rsidR="009B5991" w:rsidRPr="00BD14D2" w:rsidRDefault="009B5991" w:rsidP="008B1642">
      <w:pPr>
        <w:pStyle w:val="Heading3"/>
        <w:jc w:val="both"/>
        <w:rPr>
          <w:color w:val="auto"/>
        </w:rPr>
      </w:pPr>
      <w:bookmarkStart w:id="63" w:name="_Toc228791243"/>
      <w:r w:rsidRPr="00BD14D2">
        <w:rPr>
          <w:color w:val="auto"/>
        </w:rPr>
        <w:t>4.3.1 The Value-Price Challenge from Asian Entrants</w:t>
      </w:r>
      <w:bookmarkEnd w:id="63"/>
    </w:p>
    <w:p w14:paraId="050678DD" w14:textId="77777777" w:rsidR="009B5991" w:rsidRPr="00BD14D2" w:rsidRDefault="009B5991" w:rsidP="008B1642">
      <w:pPr>
        <w:spacing w:before="120" w:after="120"/>
        <w:jc w:val="both"/>
      </w:pPr>
      <w:r w:rsidRPr="00BD14D2">
        <w:t xml:space="preserve">The competitive challenge posed by Chinese automotive manufacturers to European OEM brand loyalty operates through two related but analytically separate mechanisms. The first is direct price competition where, as </w:t>
      </w:r>
      <w:proofErr w:type="spellStart"/>
      <w:r w:rsidRPr="00BD14D2">
        <w:t>Nofrizal</w:t>
      </w:r>
      <w:proofErr w:type="spellEnd"/>
      <w:r w:rsidRPr="00BD14D2">
        <w:t xml:space="preserve"> and </w:t>
      </w:r>
      <w:proofErr w:type="spellStart"/>
      <w:r w:rsidRPr="00BD14D2">
        <w:t>Martias</w:t>
      </w:r>
      <w:proofErr w:type="spellEnd"/>
      <w:r w:rsidRPr="00BD14D2">
        <w:t xml:space="preserve"> (2026) demonstrate, Chinese manufacturers are able to offer broadly comparable EV performance at significantly lower price points, partly because of lower labour and component costs and partly because of substantial Chinese government subsidies. This pricing advantage directly undermines the price premium that Mitrache et al. (2025) identify as one of the principal commercial manifestations of European brand loyalty. The second mechanism is an innovation perception gap where Jin (2025) documents how Chinese brands such as BYD, Huawei and NIO are positioned in the European market not just as cheaper alternatives but as technologically innovative challengers. This challenges the association between European brand heritage and engineering leadership that has historically been a foundation of loyalty.</w:t>
      </w:r>
    </w:p>
    <w:p w14:paraId="64575E72" w14:textId="77777777" w:rsidR="009B5991" w:rsidRPr="00BD14D2" w:rsidRDefault="009B5991" w:rsidP="008B1642">
      <w:pPr>
        <w:spacing w:before="120" w:after="120"/>
        <w:jc w:val="both"/>
      </w:pPr>
      <w:r w:rsidRPr="00BD14D2">
        <w:t xml:space="preserve">From the perspective of brand equity theory, this dual competitive challenge is damaging to OEMs because it simultaneously attacks the "perceived quality" and "brand associations" dimensions of the equity framework identified by Keller (1993) and Aaker (1991). A competitor that is both cheaper and perceived as more technologically advanced eliminates the rationale for paying a brand premium, which is the commercial expression of loyalty. Park et al. (2022) provide evidence that the current automotive brands in disrupted markets characteristically struggle to respond to this dual threat because their organisational structures and cost bases are configured for premium positioning. Their positioning makes it structurally difficult to compete on price without sacrificing margin and brand identity simultaneously. The implication is that European OEMs must compete on differentiation rather than price, which requires identifying and communicating the dimensions of their brand proposition that Chinese entrants cannot easily replicate, </w:t>
      </w:r>
      <w:r w:rsidRPr="00BD14D2">
        <w:lastRenderedPageBreak/>
        <w:t>including European safety standards, heritage narratives, and sustainability credentials.</w:t>
      </w:r>
    </w:p>
    <w:p w14:paraId="06CF230B" w14:textId="77777777" w:rsidR="009B5991" w:rsidRPr="00BD14D2" w:rsidRDefault="009B5991" w:rsidP="008B1642">
      <w:pPr>
        <w:pStyle w:val="Heading3"/>
        <w:jc w:val="both"/>
        <w:rPr>
          <w:color w:val="auto"/>
        </w:rPr>
      </w:pPr>
      <w:bookmarkStart w:id="64" w:name="_Toc228791244"/>
      <w:r w:rsidRPr="00BD14D2">
        <w:rPr>
          <w:color w:val="auto"/>
        </w:rPr>
        <w:t>4.3.2 Customer Journey Fragmentation</w:t>
      </w:r>
      <w:bookmarkEnd w:id="64"/>
    </w:p>
    <w:p w14:paraId="5380187D" w14:textId="77777777" w:rsidR="009B5991" w:rsidRPr="00BD14D2" w:rsidRDefault="009B5991" w:rsidP="008B1642">
      <w:pPr>
        <w:spacing w:before="120" w:after="120"/>
        <w:jc w:val="both"/>
      </w:pPr>
      <w:r w:rsidRPr="00BD14D2">
        <w:t xml:space="preserve">The second principal challenge is the structural fragmentation of the customer journey across manufacturer, dealer, and digital touchpoints. This fragmentation operates as a loyalty inhibitor through two mechanisms identified in the literature. First, it creates experience inconsistency, as Andrea (2023) documents how misalignment between online vehicle configuration experiences and in-dealership interactions generates confusion in consumers that weakens brand attachment. </w:t>
      </w:r>
      <w:proofErr w:type="spellStart"/>
      <w:r w:rsidRPr="00BD14D2">
        <w:t>Huré</w:t>
      </w:r>
      <w:proofErr w:type="spellEnd"/>
      <w:r w:rsidRPr="00BD14D2">
        <w:t xml:space="preserve"> et al. (2017) demonstrate in the broader retail context that cross-channel inconsistency is among the strongest negative predictors of customer satisfaction and loyalty intention, and the automotive context provides a good case because the stakes of the purchase decision are high and the information search process is extensive.</w:t>
      </w:r>
    </w:p>
    <w:p w14:paraId="743855CA" w14:textId="77777777" w:rsidR="009B5991" w:rsidRPr="00BD14D2" w:rsidRDefault="009B5991" w:rsidP="008B1642">
      <w:pPr>
        <w:spacing w:before="120" w:after="120"/>
        <w:jc w:val="both"/>
      </w:pPr>
      <w:r w:rsidRPr="00BD14D2">
        <w:t xml:space="preserve">Second, fragmentation prevents the accumulation and deployment of customer data that modern loyalty management requires. Milheiro et al. (2026) explain that the traditional franchise dealership model places customer data in the hands of individual dealers rather than the manufacturer, effectively preventing OEMs from building the unified consumer view that is a requirement for personalised loyalty programme management. This data ownership problem is significant because it means that European OEMs are disadvantaged relative to direct-to-consumer competitors, including Tesla and the Chinese entrants who employ agency or D2C models, in their ability to leverage customer data for relationship marketing purposes. </w:t>
      </w:r>
      <w:proofErr w:type="spellStart"/>
      <w:r w:rsidRPr="00BD14D2">
        <w:t>Zaware</w:t>
      </w:r>
      <w:proofErr w:type="spellEnd"/>
      <w:r w:rsidRPr="00BD14D2">
        <w:t xml:space="preserve"> and </w:t>
      </w:r>
      <w:proofErr w:type="spellStart"/>
      <w:r w:rsidRPr="00BD14D2">
        <w:t>Deokate</w:t>
      </w:r>
      <w:proofErr w:type="spellEnd"/>
      <w:r w:rsidRPr="00BD14D2">
        <w:t xml:space="preserve"> (2025) demonstrate that connected car data could enable the kind of continuous personalised engagement that Relationship Marketing Theory identifies as a driver of commitment and loyalty. However, this potential remains unrealised as long as the dealership structure prevents manufacturers from accessing the data that connected vehicles generate.</w:t>
      </w:r>
    </w:p>
    <w:p w14:paraId="3040132E" w14:textId="77777777" w:rsidR="009B5991" w:rsidRPr="00BD14D2" w:rsidRDefault="009B5991" w:rsidP="008B1642">
      <w:pPr>
        <w:pStyle w:val="Heading3"/>
        <w:jc w:val="both"/>
        <w:rPr>
          <w:color w:val="auto"/>
        </w:rPr>
      </w:pPr>
      <w:bookmarkStart w:id="65" w:name="_Toc228791245"/>
      <w:r w:rsidRPr="00BD14D2">
        <w:rPr>
          <w:color w:val="auto"/>
        </w:rPr>
        <w:t>4.3.3 Generational Value Shift and the Sustainability Issue</w:t>
      </w:r>
      <w:bookmarkEnd w:id="65"/>
    </w:p>
    <w:p w14:paraId="252C9BA9" w14:textId="77777777" w:rsidR="009B5991" w:rsidRPr="00BD14D2" w:rsidRDefault="009B5991" w:rsidP="008B1642">
      <w:pPr>
        <w:spacing w:before="120" w:after="120"/>
        <w:jc w:val="both"/>
      </w:pPr>
      <w:r w:rsidRPr="00BD14D2">
        <w:t xml:space="preserve">The third challenge concerns the generational shift in European consumer values that is redefining the criteria against which brand loyalty is earned and maintained. </w:t>
      </w:r>
      <w:proofErr w:type="spellStart"/>
      <w:r w:rsidRPr="00BD14D2">
        <w:t>Skudiene</w:t>
      </w:r>
      <w:proofErr w:type="spellEnd"/>
      <w:r w:rsidRPr="00BD14D2">
        <w:t xml:space="preserve"> et al. (2026) provide evidence that Millennial and Generation Z </w:t>
      </w:r>
      <w:r w:rsidRPr="00BD14D2">
        <w:lastRenderedPageBreak/>
        <w:t>consumers in Europe attach substantially greater importance to a brand's environmental and social credentials than older generations, and that this importance is even more pronounced in the automotive context where the environmental consequences of vehicle choice are noticeable and publicly debated. This finding means that brands which fail to communicate credible sustainability credentials risk losing loyalty among an increasingly influential and growing consumer cohort, even if their products meet functional performance expectations.</w:t>
      </w:r>
    </w:p>
    <w:p w14:paraId="3B5C74F7" w14:textId="77777777" w:rsidR="009B5991" w:rsidRPr="00BD14D2" w:rsidRDefault="009B5991" w:rsidP="008B1642">
      <w:pPr>
        <w:spacing w:before="120" w:after="120"/>
        <w:jc w:val="both"/>
      </w:pPr>
      <w:r w:rsidRPr="00BD14D2">
        <w:t xml:space="preserve">Van Der Lee and Veeneman (2025) add analytical depth to this challenge by demonstrating that some younger urban Europeans are questioning vehicle ownership itself and not just the choice between competing automotive brands. The implications for loyalty management are consequential because if consumer behaviour is shifting from brand loyalty within car ownership to post-ownership mobility service preferences, then strategies designed to deepen loyalty to a specific automotive brand may be addressing a reducing population of consumers. This structural challenge cannot be solved through marketing strategy alone as it requires European OEMs to fundamentally rethink their business models to encompass mobility services, shared vehicle platforms, and subscription-based access models that can capture loyalty from consumers who are not committed to vehicle ownership. The evidence from </w:t>
      </w:r>
      <w:proofErr w:type="spellStart"/>
      <w:r w:rsidRPr="00BD14D2">
        <w:t>Szkudiene</w:t>
      </w:r>
      <w:proofErr w:type="spellEnd"/>
      <w:r w:rsidRPr="00BD14D2">
        <w:t xml:space="preserve"> et al. (2026) suggests that this business model transformation needs to be accompanied by authentic sustainability positioning, as generational consumers are particularly adept at detecting the gap between brand communication and corporate behaviour that Schmuck et al. (2018) identify as greenwashing.</w:t>
      </w:r>
    </w:p>
    <w:p w14:paraId="65000803" w14:textId="77777777" w:rsidR="009B5991" w:rsidRPr="00BD14D2" w:rsidRDefault="009B5991" w:rsidP="008B1642">
      <w:pPr>
        <w:pStyle w:val="Heading2"/>
        <w:jc w:val="both"/>
        <w:rPr>
          <w:color w:val="auto"/>
        </w:rPr>
      </w:pPr>
      <w:bookmarkStart w:id="66" w:name="_Toc228791246"/>
      <w:r w:rsidRPr="00BD14D2">
        <w:rPr>
          <w:color w:val="auto"/>
        </w:rPr>
        <w:t>4.4 Theme 3: Strategies to Overcome Branding Challenges and Build Loyalty</w:t>
      </w:r>
      <w:bookmarkEnd w:id="66"/>
    </w:p>
    <w:p w14:paraId="4D404497" w14:textId="77777777" w:rsidR="009B5991" w:rsidRPr="00BD14D2" w:rsidRDefault="009B5991" w:rsidP="008B1642">
      <w:pPr>
        <w:spacing w:before="120" w:after="120"/>
        <w:jc w:val="both"/>
      </w:pPr>
      <w:r w:rsidRPr="00BD14D2">
        <w:t xml:space="preserve">The third research question concerns the strategies that the academic literature proposes for European automotive brands to overcome their branding challenges. The thematic analysis identifies four strategic responses with evidence support namely, the transition to direct-to-consumer retail models, the development of software-defined vehicle capabilities, the deployment of authentic sustainability positioning, and the implementation of subscription-based loyalty ecosystems. </w:t>
      </w:r>
      <w:r w:rsidRPr="00BD14D2">
        <w:lastRenderedPageBreak/>
        <w:t>These strategies are not mutually exclusive as the evidence suggests that they form a mutually reinforcing system, and that partial implementation is likely to yield sub-optimal results.</w:t>
      </w:r>
    </w:p>
    <w:p w14:paraId="3594251B" w14:textId="77777777" w:rsidR="009B5991" w:rsidRPr="00BD14D2" w:rsidRDefault="009B5991" w:rsidP="008B1642">
      <w:pPr>
        <w:pStyle w:val="Heading3"/>
        <w:jc w:val="both"/>
        <w:rPr>
          <w:color w:val="auto"/>
        </w:rPr>
      </w:pPr>
      <w:bookmarkStart w:id="67" w:name="_Toc228791247"/>
      <w:r w:rsidRPr="00BD14D2">
        <w:rPr>
          <w:color w:val="auto"/>
        </w:rPr>
        <w:t>4.4.1 Direct-to-Consumer Model Transition</w:t>
      </w:r>
      <w:bookmarkEnd w:id="67"/>
    </w:p>
    <w:p w14:paraId="0F6044E5" w14:textId="77777777" w:rsidR="009B5991" w:rsidRPr="00BD14D2" w:rsidRDefault="009B5991" w:rsidP="008B1642">
      <w:pPr>
        <w:spacing w:before="120" w:after="120"/>
        <w:jc w:val="both"/>
      </w:pPr>
      <w:r w:rsidRPr="00BD14D2">
        <w:t>The strategic case for transitioning from franchise dealership to agency or D2C retail models is supported by the data ownership and customer relationship arguments articulated by Milheiro et al. (2026). Under the agency model, the manufacturer retains legal ownership of the vehicle until sale, sets a standardised price that eliminates dealership haggling, and directly controls the customer data generated through the purchase and ownership cycle. The analytical significance of this structural change for loyalty management is that it enables manufacturers to fulfil the relational investment conditions that Palmatier et al. (2006) identify as predictors of loyalty including consistent brand experience, personalised communication, and data-driven programme management. This becomes achievable when the manufacturer owns the customer relationship rather than delegating it to independent franchise holders.</w:t>
      </w:r>
    </w:p>
    <w:p w14:paraId="7B3FAEA0" w14:textId="77777777" w:rsidR="009B5991" w:rsidRPr="00BD14D2" w:rsidRDefault="009B5991" w:rsidP="008B1642">
      <w:pPr>
        <w:spacing w:before="120" w:after="120"/>
        <w:jc w:val="both"/>
      </w:pPr>
      <w:r w:rsidRPr="00BD14D2">
        <w:t>Agustí-Pérez et al. (2026) extend this argument by noting that the D2C model creates the platform infrastructure necessary for software-defined vehicle services and subscription loyalty programmes to function effectively. Without direct customer data ownership, the personalisation that strengthens subscription value propositions is not possible. The D2C transition is therefore not just a commercial structure decision but a prerequisite for the other loyalty-building strategies discussed below. The evident weight of the literature on this point is considerable as multiple independent sources reach on the conclusion that data-enabled customer relationship management is the foundation of competitive loyalty management in the digital era, and that the D2C model is the structural enabler of this capability.</w:t>
      </w:r>
    </w:p>
    <w:p w14:paraId="551B1B1F" w14:textId="77777777" w:rsidR="009B5991" w:rsidRPr="00BD14D2" w:rsidRDefault="009B5991" w:rsidP="008B1642">
      <w:pPr>
        <w:pStyle w:val="Heading3"/>
        <w:jc w:val="both"/>
        <w:rPr>
          <w:color w:val="auto"/>
        </w:rPr>
      </w:pPr>
      <w:bookmarkStart w:id="68" w:name="_Toc228791248"/>
      <w:r w:rsidRPr="00BD14D2">
        <w:rPr>
          <w:color w:val="auto"/>
        </w:rPr>
        <w:t>4.4.2 Software-Defined Vehicle Development</w:t>
      </w:r>
      <w:bookmarkEnd w:id="68"/>
    </w:p>
    <w:p w14:paraId="0BEC5CCA" w14:textId="77777777" w:rsidR="009B5991" w:rsidRPr="00BD14D2" w:rsidRDefault="009B5991" w:rsidP="008B1642">
      <w:pPr>
        <w:spacing w:before="120" w:after="120"/>
        <w:jc w:val="both"/>
      </w:pPr>
      <w:r w:rsidRPr="00BD14D2">
        <w:t xml:space="preserve">The development of robust software-defined vehicle capabilities addresses the digital brand identity gap identified in Theme 1 and responds directly to the competitive pressure from technology-native market entrants. Agustí-Pérez et al. (2026) argue that over-the-air software updates and continuous feature </w:t>
      </w:r>
      <w:r w:rsidRPr="00BD14D2">
        <w:lastRenderedPageBreak/>
        <w:t>enhancement create a product that improves rather than depreciates over the ownership lifecycle, fundamentally reversing the traditional automotive loyalty process in which a vehicle was at its best on the day of purchase. The analytical implication is that the SDV model transforms the loyalty relationship from a series of episodic purchase decisions into a continuous service relationship, consistent with the Relationship Marketing Theory proposition that ongoing engagement and value co-creation generate stronger and more durable loyalty than transactional exchange.</w:t>
      </w:r>
    </w:p>
    <w:p w14:paraId="05B073C6" w14:textId="77777777" w:rsidR="009B5991" w:rsidRPr="00BD14D2" w:rsidRDefault="009B5991" w:rsidP="008B1642">
      <w:pPr>
        <w:spacing w:before="120" w:after="120"/>
        <w:jc w:val="both"/>
      </w:pPr>
      <w:r w:rsidRPr="00BD14D2">
        <w:t xml:space="preserve">Becker and Jaakkola (2020) provide theoretical support for this mechanism, demonstrating that the perception of continuous value improvement is a powerful driver of service loyalty that creates expectations of future benefit, which in turn raises the psychological switching cost for consumers considering competitive alternatives. The strategic implication is that European OEMs should invest in software engineering capability not just as a product development requirement but as a loyalty management infrastructure. The evidence from </w:t>
      </w:r>
      <w:proofErr w:type="spellStart"/>
      <w:r w:rsidRPr="00BD14D2">
        <w:t>Mosaferchi</w:t>
      </w:r>
      <w:proofErr w:type="spellEnd"/>
      <w:r w:rsidRPr="00BD14D2">
        <w:t xml:space="preserve"> et al. (2026), however, introduces an important qualification namely, the loyalty benefits of the SDV model dependent on software reliability. Unreliable over-the-air updates not only fail to generate loyalty but actively damage brand trust through a mechanism that is more damaging than equivalent mechanical quality failures. European OEMs pursuing an SDV strategy must therefore prioritise software quality assurance as rigorously as they have historically prioritised mechanical quality.</w:t>
      </w:r>
    </w:p>
    <w:p w14:paraId="5D5623DB" w14:textId="77777777" w:rsidR="009B5991" w:rsidRPr="00BD14D2" w:rsidRDefault="009B5991" w:rsidP="008B1642">
      <w:pPr>
        <w:pStyle w:val="Heading3"/>
        <w:jc w:val="both"/>
        <w:rPr>
          <w:color w:val="auto"/>
        </w:rPr>
      </w:pPr>
      <w:bookmarkStart w:id="69" w:name="_Toc228791249"/>
      <w:r w:rsidRPr="00BD14D2">
        <w:rPr>
          <w:color w:val="auto"/>
        </w:rPr>
        <w:t>4.4.3 Authentic Sustainability Positioning</w:t>
      </w:r>
      <w:bookmarkEnd w:id="69"/>
    </w:p>
    <w:p w14:paraId="4CAA79DA" w14:textId="77777777" w:rsidR="009B5991" w:rsidRPr="00BD14D2" w:rsidRDefault="009B5991" w:rsidP="008B1642">
      <w:pPr>
        <w:spacing w:before="120" w:after="120"/>
        <w:jc w:val="both"/>
      </w:pPr>
      <w:r w:rsidRPr="00BD14D2">
        <w:t xml:space="preserve">The deployment of sustainability credentials as a loyalty driver addresses the generational value challenge identified in Theme 2. </w:t>
      </w:r>
      <w:proofErr w:type="spellStart"/>
      <w:r w:rsidRPr="00BD14D2">
        <w:t>Skudiene</w:t>
      </w:r>
      <w:proofErr w:type="spellEnd"/>
      <w:r w:rsidRPr="00BD14D2">
        <w:t xml:space="preserve"> et al. (2026) argue that verifiable supply chain transparency, lifecycle emissions reporting, and demonstrated commitment to circular economy principles can generate meaningful differentiation and loyalty among eco-conscious consumers. Critically, the qualification imposed by Schmuck et al. (2018) evidence on greenwashing must be incorporated into any strategic assessment because sustainability positioning generates loyalty only when it is authentic, verifiable, and consistent with corporate behaviour. The analytical implication is that sustainability cannot function as a </w:t>
      </w:r>
      <w:r w:rsidRPr="00BD14D2">
        <w:lastRenderedPageBreak/>
        <w:t>brand communication strategy in isolation and it must be anchored in genuine product and operational transformation.</w:t>
      </w:r>
    </w:p>
    <w:p w14:paraId="43116C3F" w14:textId="77777777" w:rsidR="009B5991" w:rsidRPr="00BD14D2" w:rsidRDefault="009B5991" w:rsidP="008B1642">
      <w:pPr>
        <w:spacing w:before="120" w:after="120"/>
        <w:jc w:val="both"/>
      </w:pPr>
      <w:r w:rsidRPr="00BD14D2">
        <w:t>Martínez and del Bosque (2013) provide the theoretical mechanism as he argues that perceived CSR performance positively influences brand trust and consumer identification with the brand, both of which are established ingredients of loyalty. The trust mechanism is mainly important in the automotive context, where consumers are increasingly aware of the lifecycle environmental impact of their vehicle choices and can evaluate manufacturer claims against independent data. European OEMs that can demonstrate genuine environmental leadership, rather than just communicating it, will be positioned to build the differentiated trust that the Relationship Marketing Theory framework identifies as the foundation of durable loyalty. This is a strategic opportunity that Chinese entrants, who are perceived in European markets as less committed to sustainability standards, are less well-positioned to exploit.</w:t>
      </w:r>
    </w:p>
    <w:p w14:paraId="0E7294BE" w14:textId="77777777" w:rsidR="009B5991" w:rsidRPr="00BD14D2" w:rsidRDefault="009B5991" w:rsidP="008B1642">
      <w:pPr>
        <w:pStyle w:val="Heading3"/>
        <w:jc w:val="both"/>
        <w:rPr>
          <w:color w:val="auto"/>
        </w:rPr>
      </w:pPr>
      <w:bookmarkStart w:id="70" w:name="_Toc228791250"/>
      <w:r w:rsidRPr="00BD14D2">
        <w:rPr>
          <w:color w:val="auto"/>
        </w:rPr>
        <w:t>4.4.4 Subscription-Based Loyalty Ecosystems</w:t>
      </w:r>
      <w:bookmarkEnd w:id="70"/>
    </w:p>
    <w:p w14:paraId="5CC0E70F" w14:textId="77777777" w:rsidR="009B5991" w:rsidRPr="00BD14D2" w:rsidRDefault="009B5991" w:rsidP="008B1642">
      <w:pPr>
        <w:spacing w:before="120" w:after="120"/>
        <w:jc w:val="both"/>
      </w:pPr>
      <w:proofErr w:type="spellStart"/>
      <w:r w:rsidRPr="00BD14D2">
        <w:t>Mosaferchi</w:t>
      </w:r>
      <w:proofErr w:type="spellEnd"/>
      <w:r w:rsidRPr="00BD14D2">
        <w:t xml:space="preserve"> et al. (2026) propose subscription-based loyalty programmes as mechanisms for creating digital ecosystem switching costs that replicate, in a new commercial context, the inertia-based loyalty that dealership relationships historically provided. By bundling vehicle ownership with charging network access, digital feature subscriptions, usage-based insurance, and maintenance programmes, manufacturers can increase the total value that consumers derive from brand membership and raise the perceived cost of defecting to a competing brand. </w:t>
      </w:r>
      <w:proofErr w:type="spellStart"/>
      <w:r w:rsidRPr="00BD14D2">
        <w:t>Zaware</w:t>
      </w:r>
      <w:proofErr w:type="spellEnd"/>
      <w:r w:rsidRPr="00BD14D2">
        <w:t xml:space="preserve"> and </w:t>
      </w:r>
      <w:proofErr w:type="spellStart"/>
      <w:r w:rsidRPr="00BD14D2">
        <w:t>Deokate</w:t>
      </w:r>
      <w:proofErr w:type="spellEnd"/>
      <w:r w:rsidRPr="00BD14D2">
        <w:t xml:space="preserve"> (2025) confirm that European manufacturers are already beginning to generate subscription revenue from connected vehicle services, and that consumers who engage with these services demonstrate stronger attitudinal loyalty and advocacy behaviour than those who interact with the brand exclusively at purchase and servicing touchpoints.</w:t>
      </w:r>
    </w:p>
    <w:p w14:paraId="6F6D0077" w14:textId="77777777" w:rsidR="009B5991" w:rsidRPr="00BD14D2" w:rsidRDefault="009B5991" w:rsidP="008B1642">
      <w:pPr>
        <w:spacing w:before="120" w:after="120"/>
        <w:jc w:val="both"/>
      </w:pPr>
      <w:r w:rsidRPr="00BD14D2">
        <w:t xml:space="preserve">The significance of this strategy lies in its consistency with the underlying theoretical framework that inform subscription-based loyalty systems. </w:t>
      </w:r>
      <w:proofErr w:type="spellStart"/>
      <w:r w:rsidRPr="00BD14D2">
        <w:t>Tzuo</w:t>
      </w:r>
      <w:proofErr w:type="spellEnd"/>
      <w:r w:rsidRPr="00BD14D2">
        <w:t xml:space="preserve"> and Weisert (2018) demonstrate that subscription business models generate stronger customer relationships than transactional ones because they require active, ongoing consumer choice to maintain. A consumer who continues to pay for </w:t>
      </w:r>
      <w:r w:rsidRPr="00BD14D2">
        <w:lastRenderedPageBreak/>
        <w:t>connected services is expressing revealed loyalty that is more behaviourally provable than passive repeat purchase. Palmatier et al. (2006) relationship investment model predicts that manufacturers who demonstrate consistent investment in the subscriber relationship, through service improvements, personalisation, and preferential treatment, will generate the relational bonds that inhibit switching even when lower-priced competitive alternatives become available. The prerequisite conditions for this strategy, D2C data ownership and software development capability, explain why the four strategies identified in this theme form a system rather than a menu of independent options.</w:t>
      </w:r>
    </w:p>
    <w:p w14:paraId="43B7C326" w14:textId="77777777" w:rsidR="009B5991" w:rsidRPr="00BD14D2" w:rsidRDefault="009B5991" w:rsidP="008B1642">
      <w:pPr>
        <w:pStyle w:val="Heading2"/>
        <w:jc w:val="both"/>
        <w:rPr>
          <w:color w:val="auto"/>
        </w:rPr>
      </w:pPr>
      <w:bookmarkStart w:id="71" w:name="_Toc228791251"/>
      <w:r w:rsidRPr="00BD14D2">
        <w:rPr>
          <w:color w:val="auto"/>
        </w:rPr>
        <w:t>4.5 Theme 4: Customer Retention and Loyalty-Building Strategies European Automotive Brands Should Prioritise</w:t>
      </w:r>
      <w:bookmarkEnd w:id="71"/>
    </w:p>
    <w:p w14:paraId="7BC674A0" w14:textId="77777777" w:rsidR="009B5991" w:rsidRPr="00BD14D2" w:rsidRDefault="009B5991" w:rsidP="008B1642">
      <w:pPr>
        <w:spacing w:before="120" w:after="120"/>
        <w:jc w:val="both"/>
      </w:pPr>
      <w:r w:rsidRPr="00BD14D2">
        <w:t>The fourth research question asks which customer retention and loyalty-building strategies European automotive brands should prioritise. Building on the analysis in Themes 1 through 3, the thematic evidence points to a hierarchical set of priorities in which foundational structural changes enable more abstract strategies. The analysis identifies three priority areas and critically evaluates the evidence for the ordering.</w:t>
      </w:r>
    </w:p>
    <w:p w14:paraId="07750694" w14:textId="77777777" w:rsidR="009B5991" w:rsidRPr="00BD14D2" w:rsidRDefault="009B5991" w:rsidP="008B1642">
      <w:pPr>
        <w:pStyle w:val="Heading3"/>
        <w:jc w:val="both"/>
        <w:rPr>
          <w:color w:val="auto"/>
        </w:rPr>
      </w:pPr>
      <w:bookmarkStart w:id="72" w:name="_Toc228791252"/>
      <w:r w:rsidRPr="00BD14D2">
        <w:rPr>
          <w:color w:val="auto"/>
        </w:rPr>
        <w:t>4.5.1 First Priority: Establish Data Infrastructure through Retail Model Reform</w:t>
      </w:r>
      <w:bookmarkEnd w:id="72"/>
    </w:p>
    <w:p w14:paraId="2F8A1756" w14:textId="77777777" w:rsidR="009B5991" w:rsidRPr="00BD14D2" w:rsidRDefault="009B5991" w:rsidP="008B1642">
      <w:pPr>
        <w:spacing w:before="120" w:after="120"/>
        <w:jc w:val="both"/>
      </w:pPr>
      <w:r w:rsidRPr="00BD14D2">
        <w:t xml:space="preserve">The evidence consistently points to D2C or agency retail model transformation as the prerequisite strategic priority, because it is the structural enabler of all subsequent loyalty-building activities. Without direct data ownership, personalised subscription programmes cannot be executed at scale, software-defined vehicle services cannot be personalised to individual consumers, and the continuous relational engagement that Relationship Marketing Theory identifies as the mechanism of loyalty generation is not operationally possible. Milheiro et al. (2026) and Agustí-Pérez et al. (2026) agree on this conclusion from different analytical perspectives, making it have more evidential weight. The practical challenge of executing this transition, including the contractual and legal resistance of existing dealer networks documented across European markets does not diminish its strategic priority. Instead, it explains why manufacturers who delay the transition </w:t>
      </w:r>
      <w:r w:rsidRPr="00BD14D2">
        <w:lastRenderedPageBreak/>
        <w:t>are accumulating a strategic disadvantage relative to EV competitors who are already implementing the direct-to-consumer model.</w:t>
      </w:r>
    </w:p>
    <w:p w14:paraId="5FAE013A" w14:textId="77777777" w:rsidR="009B5991" w:rsidRPr="00BD14D2" w:rsidRDefault="009B5991" w:rsidP="008B1642">
      <w:pPr>
        <w:pStyle w:val="Heading3"/>
        <w:jc w:val="both"/>
        <w:rPr>
          <w:color w:val="auto"/>
        </w:rPr>
      </w:pPr>
      <w:bookmarkStart w:id="73" w:name="_Toc228791253"/>
      <w:r w:rsidRPr="00BD14D2">
        <w:rPr>
          <w:color w:val="auto"/>
        </w:rPr>
        <w:t>4.5.2 Second Priority: Rebuild Trust through Demonstrated Technological Competence</w:t>
      </w:r>
      <w:bookmarkEnd w:id="73"/>
    </w:p>
    <w:p w14:paraId="3171F6BF" w14:textId="77777777" w:rsidR="009B5991" w:rsidRPr="00BD14D2" w:rsidRDefault="009B5991" w:rsidP="008B1642">
      <w:pPr>
        <w:spacing w:before="120" w:after="120"/>
        <w:jc w:val="both"/>
      </w:pPr>
      <w:r w:rsidRPr="00BD14D2">
        <w:t xml:space="preserve">The evidence from Agustí-Pérez et al. (2026) and </w:t>
      </w:r>
      <w:proofErr w:type="spellStart"/>
      <w:r w:rsidRPr="00BD14D2">
        <w:t>Mosaferchi</w:t>
      </w:r>
      <w:proofErr w:type="spellEnd"/>
      <w:r w:rsidRPr="00BD14D2">
        <w:t xml:space="preserve"> et al. (2026) indicates that the most urgent reputational challenge facing European OEMs is the technology competence gap that consumers perceive relative to EV companies like Tesla and Chinese entrants. Rebuilding trust in this dimension requires demonstrating rather than just communicating technological capability, through the delivery of reliable software updates, compelling digital features, and seamless connected vehicle experiences. Liang (2021) demonstrates that trust is the most powerful predictor of brand loyalty in relational contexts, and that trust once eroded requires a higher standard of positive evidence to rebuild than to maintain. European OEMs should treat software quality and digital experience delivery as brand management activities rather than pure product engineering activities, ensuring that every connected vehicle interaction reinforces the trust relationship.</w:t>
      </w:r>
    </w:p>
    <w:p w14:paraId="7C13CDB5" w14:textId="77777777" w:rsidR="009B5991" w:rsidRPr="00BD14D2" w:rsidRDefault="009B5991" w:rsidP="008B1642">
      <w:pPr>
        <w:pStyle w:val="Heading3"/>
        <w:jc w:val="both"/>
        <w:rPr>
          <w:color w:val="auto"/>
        </w:rPr>
      </w:pPr>
      <w:bookmarkStart w:id="74" w:name="_Toc228791254"/>
      <w:r w:rsidRPr="00BD14D2">
        <w:rPr>
          <w:color w:val="auto"/>
        </w:rPr>
        <w:t>4.5.3 Third Priority: Differentiate Through Sustainability Authenticity</w:t>
      </w:r>
      <w:bookmarkEnd w:id="74"/>
    </w:p>
    <w:p w14:paraId="1EC78E2B" w14:textId="77777777" w:rsidR="009B5991" w:rsidRPr="00BD14D2" w:rsidRDefault="009B5991" w:rsidP="008B1642">
      <w:pPr>
        <w:spacing w:before="120" w:after="120"/>
        <w:jc w:val="both"/>
      </w:pPr>
      <w:r w:rsidRPr="00BD14D2">
        <w:t xml:space="preserve">The sustainability positioning issue identified by </w:t>
      </w:r>
      <w:proofErr w:type="spellStart"/>
      <w:r w:rsidRPr="00BD14D2">
        <w:t>Skudiene</w:t>
      </w:r>
      <w:proofErr w:type="spellEnd"/>
      <w:r w:rsidRPr="00BD14D2">
        <w:t xml:space="preserve"> et al. (2026) and the greenwashing warning from Schmuck et al. (2018) together define a strategic priority that is both urgent and demanding. The urgency arises because Millennials and Generation Z take environmental credentials seriously in their brand evaluations. The demand arises because achieving credible sustainability differentiation requires genuine transformation of supply chains, manufacturing processes, and lifecycle management programmes rather than communication campaign investment alone. Martínez and del Bosque (2013) provide the evidential basis for the priority by arguing that CSR-driven trust is among the strongest drivers of brand identification, which is in turn one of the most durable foundations of consumer loyalty. European OEMs are well-positioned to take this opportunity relative to Chinese competitors, but only if they can demonstrate their sustainability statements with verifiable evidence that pass the increasingly sophisticated consumer and regulatory tests.</w:t>
      </w:r>
    </w:p>
    <w:p w14:paraId="68A5D35F" w14:textId="77777777" w:rsidR="009B5991" w:rsidRPr="00BD14D2" w:rsidRDefault="009B5991" w:rsidP="008B1642">
      <w:pPr>
        <w:pStyle w:val="Heading2"/>
        <w:jc w:val="both"/>
        <w:rPr>
          <w:color w:val="auto"/>
        </w:rPr>
      </w:pPr>
      <w:bookmarkStart w:id="75" w:name="_Toc228791255"/>
      <w:r w:rsidRPr="00BD14D2">
        <w:rPr>
          <w:color w:val="auto"/>
        </w:rPr>
        <w:lastRenderedPageBreak/>
        <w:t>4.6 Discussion: Relationship Marketing Theory</w:t>
      </w:r>
      <w:bookmarkEnd w:id="75"/>
      <w:r w:rsidRPr="00BD14D2">
        <w:rPr>
          <w:color w:val="auto"/>
        </w:rPr>
        <w:t xml:space="preserve"> </w:t>
      </w:r>
    </w:p>
    <w:p w14:paraId="3CAAD5DA" w14:textId="77777777" w:rsidR="0034467D" w:rsidRPr="00BD14D2" w:rsidRDefault="009B5991" w:rsidP="008B1642">
      <w:pPr>
        <w:spacing w:before="120" w:after="120"/>
        <w:jc w:val="both"/>
      </w:pPr>
      <w:r w:rsidRPr="00BD14D2">
        <w:t>The findings across all four themes can be synthesised through a critical re-examination of the Relationship Marketing Theory framework adopted in Chapter 2. The framework predicts that trust, commitment, and relational investment are the foundational mechanisms of customer loyalty, and that manufacturers who invest in these dimensions will generate stronger and more durable loyalty than those who pursue purely transactional strategies. Additionally, the four themes discussed in this chapter are each grounded in the fundamental principles of Relationship Marketing Theory (Morgan and Hunt, 1994; Palmatier et al., 2006). Theme one links to the trust construct of the theory, which says that heritage branding and digital brand identity both operate as mechanisms for building or eroding consumer trust (Grönroos, 2004). Theme two connects to the commitment construct of the theory, which cautions that the current customer journey fragmentation and generational value shifts undermine the attitudinal commitment that sustains long-term loyalty (Liang, 2021). Theme three maps onto relational investment aspect of the theory. Strategies such as D2C model transition and software-defined vehicle development represent the manufacturer-side investment that the theory predicts will generate durable loyalty (Palmatier et al., 2006). Theme four reflects on value co-creation aspect of the theory as it discusses the prioritisation of data infrastructure, technological trust, and sustainability authenticity are all expressions of the ongoing relational exchange that the framework identifies as essential for retaining consumers over time (Dastane et al., 2026).</w:t>
      </w:r>
    </w:p>
    <w:p w14:paraId="00DAED15" w14:textId="77777777" w:rsidR="002E51AD" w:rsidRPr="00BD14D2" w:rsidRDefault="002E51AD" w:rsidP="002E51AD">
      <w:pPr>
        <w:shd w:val="clear" w:color="auto" w:fill="FFFFFF" w:themeFill="background1"/>
        <w:spacing w:before="120" w:after="120"/>
        <w:jc w:val="both"/>
      </w:pPr>
      <w:r w:rsidRPr="00BD14D2">
        <w:t>This finding that heritage branding and digital identity both operate as trust mechanisms corroborates Grönroos’s (2004) conceptualisation of relationship marketing as a promise-based process in which brand trust is constructed through consistent interaction over time. Mitrache et al. (2025) extend this by demonstrating empirically that European premium OEMs experiencing simultaneous technological disruption suffer compound trust erosion, as failures in one dimension undermine credibility across others. Liang’s (2021) quantitative findings further complement these observations, confirming that trust remains the strongest predictor of loyalty commitment even as its antecedents evolve in digitally transformed market contexts.</w:t>
      </w:r>
    </w:p>
    <w:p w14:paraId="69C5ECC8" w14:textId="77777777" w:rsidR="009B5991" w:rsidRPr="00BD14D2" w:rsidRDefault="00BE106C" w:rsidP="008B1642">
      <w:pPr>
        <w:spacing w:before="120" w:after="120"/>
        <w:jc w:val="both"/>
      </w:pPr>
      <w:r w:rsidRPr="00BD14D2">
        <w:lastRenderedPageBreak/>
        <w:t>The evidence reviewed in this chapter broadly confirms this prediction, but with important concerns and extensions. The first concern is about the contextual conditional nature of trust. The literature does not support a conception of automotive brand trust as a uniform, stable construct that accumulates over time through consistent product quality delivery. Instead, the evidence suggests that trust is constituted across multiple dimensions, including mechanical competence, digital capability, environmental authenticity, and strategic direction, and that disruption in any one dimension can create trust doubt that also reduces consumer trust into others. This more understanding of trust has practical implications for brand management because OEMs must actively manage trust across all dimensions simultaneously rather than assuming that excellence in one dimension provides cross-dimensional protection.</w:t>
      </w:r>
    </w:p>
    <w:p w14:paraId="6919B0A9" w14:textId="77777777" w:rsidR="002E51AD" w:rsidRPr="00BD14D2" w:rsidRDefault="002E51AD" w:rsidP="002E51AD">
      <w:pPr>
        <w:shd w:val="clear" w:color="auto" w:fill="FFFFFF" w:themeFill="background1"/>
        <w:spacing w:before="120" w:after="120"/>
        <w:jc w:val="both"/>
      </w:pPr>
      <w:r w:rsidRPr="00BD14D2">
        <w:t>This finding that automotive brand trust is multidimensional and it encompasses mechanical competence, digital capability, environmental authenticity, and strategic direction both extends and refines Relationship Marketing Theory as originally formulated. Morgan and Hunt (1994) conceptualised trust as a unitary construct, while this study’s evidence corroborates Grönroos’s (2004) later argument that trust is constituted through a portfolio of brand promises, any one of which, if broken, can damage the overall relational bond. Mitrache et al. (2025) provide direct empirical support for this multidimensional view, showing that European OEMs experiencing reputational setbacks in software reliability suffer loyalty attrition even among consumers who remain satisfied with the vehicle’s mechanical performance.</w:t>
      </w:r>
    </w:p>
    <w:p w14:paraId="199B404D" w14:textId="77777777" w:rsidR="009B5991" w:rsidRPr="00BD14D2" w:rsidRDefault="009B5991" w:rsidP="008B1642">
      <w:pPr>
        <w:spacing w:before="120" w:after="120"/>
        <w:jc w:val="both"/>
      </w:pPr>
      <w:r w:rsidRPr="00BD14D2">
        <w:t xml:space="preserve">The second concern is about the time horizon of relational investment effects. Palmatier et al. (2006) find that relationship investment generates stronger loyalty outcomes over time, but the literature reviewed here suggests that the speed of disruption in the European automotive market may be reducing the timelines that the OEMs have to create brand loyalty. If consumers are making EV purchase decisions based on current digital and sustainability credentials rather than accumulated heritage loyalty, the time for OEMs to demonstrate relational investment before losing customers to non-legacy alternatives may be shorter than the traditional framework suggests. This is an important theoretical contribution of </w:t>
      </w:r>
      <w:r w:rsidRPr="00BD14D2">
        <w:lastRenderedPageBreak/>
        <w:t>the present analysis, pointing to the need for extensions of Relationship Marketing Theory that account for rapid market disruption.</w:t>
      </w:r>
    </w:p>
    <w:p w14:paraId="73FE9BF1" w14:textId="77777777" w:rsidR="002E51AD" w:rsidRPr="00BD14D2" w:rsidRDefault="002E51AD" w:rsidP="002E51AD">
      <w:pPr>
        <w:shd w:val="clear" w:color="auto" w:fill="FFFFFF" w:themeFill="background1"/>
        <w:spacing w:before="120" w:after="120"/>
        <w:jc w:val="both"/>
      </w:pPr>
      <w:r w:rsidRPr="00BD14D2">
        <w:t xml:space="preserve">The finding that market disruption is compressing the time horizons within which relational investment generates loyalty extends Palmatier et al.’s (2006) framework, which was developed in relatively stable market contexts where loyalty accrued gradually over repeated interactions. This study’s evidence contradicts the implicit assumption in classical relationship marketing models that heritage loyalty provides durable protection against competitive entry, a position challenged by Jin’s (2025) documentation of rapid Chinese EV market gains despite the established trust capital of European incumbent brands. The finding complements </w:t>
      </w:r>
      <w:proofErr w:type="spellStart"/>
      <w:r w:rsidRPr="00BD14D2">
        <w:t>Górska-Warsewicz’s</w:t>
      </w:r>
      <w:proofErr w:type="spellEnd"/>
      <w:r w:rsidRPr="00BD14D2">
        <w:t xml:space="preserve"> (2025) work on post-pandemic loyalty dynamics, which similarly identifies accelerated brand switching as a structural characteristic of contemporary European automotive markets under conditions of compounded disruption.</w:t>
      </w:r>
    </w:p>
    <w:p w14:paraId="09B161D1" w14:textId="77777777" w:rsidR="009B5991" w:rsidRPr="00BD14D2" w:rsidRDefault="009B5991" w:rsidP="008B1642">
      <w:pPr>
        <w:spacing w:before="120" w:after="120"/>
        <w:jc w:val="both"/>
      </w:pPr>
      <w:r w:rsidRPr="00BD14D2">
        <w:t xml:space="preserve">The third and the most significant extension concerns where the value co-creation occurs. In the original Relationship Marketing Theory framework, value co-creation occurs primarily in service interactions between the brand and the consumer. In the connected vehicle and subscription service context documented in this study, value co-creation is increasingly done on digital platforms that enable continuous, personalised, and data-driven interaction. This type of co-creation creates both opportunities and vulnerabilities that the original framework does not address. The opportunities are substantial as customer-company value co-creation that happens on digital platforms enables scale and personalisation that were not previously achievable in automotive brand relationships. The vulnerabilities are equally real as platform-mediated relationships create dependency on software infrastructure reliability, data governance integrity, and digital security in ways that introduce new dimensions of brand risk. The evidence from </w:t>
      </w:r>
      <w:proofErr w:type="spellStart"/>
      <w:r w:rsidRPr="00BD14D2">
        <w:t>Mosaferchi</w:t>
      </w:r>
      <w:proofErr w:type="spellEnd"/>
      <w:r w:rsidRPr="00BD14D2">
        <w:t xml:space="preserve"> et al. (2026) on the disproportionate trust damage caused by software failures illustrates this vulnerability clearly.</w:t>
      </w:r>
    </w:p>
    <w:p w14:paraId="75024CBD" w14:textId="77777777" w:rsidR="002E51AD" w:rsidRPr="00BD14D2" w:rsidRDefault="002E51AD" w:rsidP="002E51AD">
      <w:pPr>
        <w:shd w:val="clear" w:color="auto" w:fill="FFFFFF" w:themeFill="background1"/>
        <w:spacing w:before="120" w:after="120"/>
        <w:jc w:val="both"/>
      </w:pPr>
      <w:r w:rsidRPr="00BD14D2">
        <w:t xml:space="preserve">The identification of connected vehicle platforms as a new locus of value co-creation represents the most significant theoretical extension offered by this study relative to existing literature. Dastane et al. (2026) partially corroborate this in their systematic review of relationship marketing in the EV segment, acknowledging that </w:t>
      </w:r>
      <w:r w:rsidRPr="00BD14D2">
        <w:lastRenderedPageBreak/>
        <w:t xml:space="preserve">digital interaction touchpoints are reshaping loyalty mechanisms, though without fully theorising the platform-specific vulnerabilities identified here. </w:t>
      </w:r>
      <w:proofErr w:type="spellStart"/>
      <w:r w:rsidRPr="00BD14D2">
        <w:t>Mosaferchi</w:t>
      </w:r>
      <w:proofErr w:type="spellEnd"/>
      <w:r w:rsidRPr="00BD14D2">
        <w:t xml:space="preserve"> et al.’s (2026) empirical evidence on the disproportionate trust damage caused by over-the-air software failures directly extends the original framework’s value co-creation construct, revealing that platform dependency introduces brand risk dimensions, including data governance and cybersecurity exposure, that Morgan and Hunt’s (1994) relational exchange model was not designed to capture.</w:t>
      </w:r>
    </w:p>
    <w:p w14:paraId="7446E93D" w14:textId="77777777" w:rsidR="009B5991" w:rsidRPr="00BD14D2" w:rsidRDefault="009B5991" w:rsidP="008B1642">
      <w:pPr>
        <w:pStyle w:val="Heading2"/>
        <w:jc w:val="both"/>
        <w:rPr>
          <w:color w:val="auto"/>
        </w:rPr>
      </w:pPr>
      <w:bookmarkStart w:id="76" w:name="_Toc228791256"/>
      <w:r w:rsidRPr="00BD14D2">
        <w:rPr>
          <w:color w:val="auto"/>
        </w:rPr>
        <w:t>4.7 Conclusion of the Chapter</w:t>
      </w:r>
      <w:bookmarkEnd w:id="76"/>
    </w:p>
    <w:p w14:paraId="5F6ECFA8" w14:textId="77777777" w:rsidR="007E1B47" w:rsidRPr="00BD14D2" w:rsidRDefault="009B5991" w:rsidP="008B1642">
      <w:pPr>
        <w:spacing w:before="120" w:after="120"/>
        <w:jc w:val="both"/>
      </w:pPr>
      <w:r w:rsidRPr="00BD14D2">
        <w:t xml:space="preserve">This chapter has presented and critically analysed the findings of the thematic analysis across four themes corresponding to the four research questions. The analysis confirms that brand heritage retains residual loyalty-generating force among established European automotive consumer cohorts, but that this force is weakening generationally and is insufficient for the medium-term retention of younger consumers who evaluate brands primarily on digital competence and sustainability credentials. The principal loyalty challenges facing European OEMs, including the value-price competitive pressure from Chinese entrants, customer journey fragmentation, and the generational shift in consumer values, are structural rather than merely tactical in character and require strategic responses of corresponding depth. The four strategic responses identified in the literature, namely D2C model transition, software-defined vehicle development, authentic sustainability positioning, and subscription-based loyalty ecosystems, form an integrated system in which each element reinforces and enables the others. The cross-cutting discussion demonstrated that Relationship Marketing Theory provides a strong but incomplete analytical lens for these dynamics, requiring qualification regarding the multidimensionality of trust, the compression of relational time horizons under disruptive conditions, and the implications of platform-mediated value co-creation. </w:t>
      </w:r>
    </w:p>
    <w:p w14:paraId="39213BAB" w14:textId="77777777" w:rsidR="007E1B47" w:rsidRPr="00BD14D2" w:rsidRDefault="007E1B47" w:rsidP="008B1642">
      <w:pPr>
        <w:jc w:val="both"/>
      </w:pPr>
      <w:r w:rsidRPr="00BD14D2">
        <w:br w:type="page"/>
      </w:r>
    </w:p>
    <w:p w14:paraId="4AFAEE94" w14:textId="77777777" w:rsidR="007E1B47" w:rsidRPr="00BD14D2" w:rsidRDefault="007E1B47" w:rsidP="008B1642">
      <w:pPr>
        <w:pStyle w:val="Heading1"/>
        <w:jc w:val="both"/>
        <w:rPr>
          <w:color w:val="auto"/>
        </w:rPr>
      </w:pPr>
      <w:bookmarkStart w:id="77" w:name="_Toc228791257"/>
      <w:r w:rsidRPr="00BD14D2">
        <w:rPr>
          <w:color w:val="auto"/>
        </w:rPr>
        <w:lastRenderedPageBreak/>
        <w:t>CHAPTER 5: CONCLUSIONS AND RECOMMENDATIONS</w:t>
      </w:r>
      <w:bookmarkEnd w:id="77"/>
    </w:p>
    <w:p w14:paraId="179F8D58" w14:textId="77777777" w:rsidR="004D5C41" w:rsidRPr="00BD14D2" w:rsidRDefault="004D5C41" w:rsidP="008B1642">
      <w:pPr>
        <w:pStyle w:val="Heading1"/>
        <w:jc w:val="both"/>
        <w:rPr>
          <w:color w:val="auto"/>
        </w:rPr>
      </w:pPr>
      <w:bookmarkStart w:id="78" w:name="_Toc228791258"/>
      <w:r w:rsidRPr="00BD14D2">
        <w:rPr>
          <w:color w:val="auto"/>
        </w:rPr>
        <w:t>5.1 Introduction</w:t>
      </w:r>
      <w:bookmarkEnd w:id="78"/>
      <w:r w:rsidRPr="00BD14D2">
        <w:rPr>
          <w:color w:val="auto"/>
        </w:rPr>
        <w:t xml:space="preserve"> </w:t>
      </w:r>
    </w:p>
    <w:p w14:paraId="5EFE19D2" w14:textId="77777777" w:rsidR="00BE106C" w:rsidRPr="00BD14D2" w:rsidRDefault="00BE106C" w:rsidP="008B1642">
      <w:pPr>
        <w:spacing w:before="120" w:after="120"/>
        <w:jc w:val="both"/>
      </w:pPr>
      <w:r w:rsidRPr="00BD14D2">
        <w:t>This chapter draws together the findings and analysis from the preceding chapters to present the conclusions of the dissertation, address the four research questions directly, and offer practical and theoretical recommendations. It begins with a summary of the main findings, proceeds to conclusions structured around each research question, and then presents recommendations for practice and theory. The chapter also acknowledges the key limitations of the study and identifies four productive directions for future research. Taken together, these sections provide a comprehensive and evidence-based response to the challenges of branding and customer loyalty facing European automotive manufacturers in a period of rapid market transformation.</w:t>
      </w:r>
    </w:p>
    <w:p w14:paraId="5531779D" w14:textId="77777777" w:rsidR="007E1B47" w:rsidRPr="00BD14D2" w:rsidRDefault="004D5C41" w:rsidP="008B1642">
      <w:pPr>
        <w:pStyle w:val="Heading2"/>
        <w:jc w:val="both"/>
        <w:rPr>
          <w:color w:val="auto"/>
        </w:rPr>
      </w:pPr>
      <w:bookmarkStart w:id="79" w:name="_Toc228791259"/>
      <w:r w:rsidRPr="00BD14D2">
        <w:rPr>
          <w:color w:val="auto"/>
        </w:rPr>
        <w:t>5.2 Summary of Main Findings</w:t>
      </w:r>
      <w:bookmarkEnd w:id="79"/>
    </w:p>
    <w:p w14:paraId="65C69235" w14:textId="77777777" w:rsidR="007E1B47" w:rsidRPr="00BD14D2" w:rsidRDefault="007E1B47" w:rsidP="008B1642">
      <w:pPr>
        <w:spacing w:before="120" w:after="120"/>
        <w:jc w:val="both"/>
      </w:pPr>
      <w:r w:rsidRPr="00BD14D2">
        <w:t>This dissertation examined the impact of branding on customer loyalty within the European automotive industry, focusing on how electrification, digitalisation, and the entry of competitively priced Asian manufacturers are reshaping the dynamics that European original equipment manufacturers have historically relied upon. The study was guided by four research questions and conducted through a systematic review and thematic analysis of secondary qualitative sources, underpinned by Relationship Marketing Theory as its conceptual framework.</w:t>
      </w:r>
    </w:p>
    <w:p w14:paraId="0DE3E2BC" w14:textId="77777777" w:rsidR="00E070AB" w:rsidRPr="00BD14D2" w:rsidRDefault="007E1B47" w:rsidP="008B1642">
      <w:pPr>
        <w:spacing w:before="120" w:after="120"/>
        <w:jc w:val="both"/>
      </w:pPr>
      <w:r w:rsidRPr="00BD14D2">
        <w:t xml:space="preserve">The findings produced a coherent and internally consistent picture across all four analytical themes. Brand heritage continues to generate residual loyalty among established consumer cohorts, but its protective influence is weakening generationally. Younger European consumers evaluate automotive brands primarily on digital competence and sustainability credentials rather than engineering tradition, making heritage loyalty a depreciating asset rather than a sustainable competitive foundation. </w:t>
      </w:r>
    </w:p>
    <w:p w14:paraId="7A7DF3DA" w14:textId="77777777" w:rsidR="007E1B47" w:rsidRPr="00BD14D2" w:rsidRDefault="007E1B47" w:rsidP="008B1642">
      <w:pPr>
        <w:spacing w:before="120" w:after="120"/>
        <w:jc w:val="both"/>
      </w:pPr>
      <w:r w:rsidRPr="00BD14D2">
        <w:t xml:space="preserve">The three simultaneous disruptions confronting European automotive brands, namely the electric vehicle transition, the digitalisation of the consumer journey, and the price-innovation challenge from Chinese manufacturers, are jointly </w:t>
      </w:r>
      <w:r w:rsidRPr="00BD14D2">
        <w:lastRenderedPageBreak/>
        <w:t>responsible for the reduction in trust, commitment, and brand equity that contribute to loyalty. Their combination creates a compound pressure that classical brand loyalty frameworks do not fully anticipate. Four strategic responses emerge from the literature as well-evidenced and mutually reinforcing. They include, transitioning to direct-to-consumer retail models, developing software-defined vehicle capabilities, deploying authentic sustainability positioning, and building subscription-based loyalty ecosystems. These form a system rather than a list of independent options, with retail model reform serving as the structural condition that enables the others. This systemic interdependence is one of the most practically significant conclusions of the study.</w:t>
      </w:r>
    </w:p>
    <w:p w14:paraId="4D00DCD1" w14:textId="77777777" w:rsidR="007E1B47" w:rsidRPr="00BD14D2" w:rsidRDefault="004D5C41" w:rsidP="008B1642">
      <w:pPr>
        <w:pStyle w:val="Heading2"/>
        <w:jc w:val="both"/>
        <w:rPr>
          <w:color w:val="auto"/>
        </w:rPr>
      </w:pPr>
      <w:bookmarkStart w:id="80" w:name="_Toc228791260"/>
      <w:r w:rsidRPr="00BD14D2">
        <w:rPr>
          <w:color w:val="auto"/>
        </w:rPr>
        <w:t>5.3 Conclusions Based on the Research Questions</w:t>
      </w:r>
      <w:bookmarkEnd w:id="80"/>
    </w:p>
    <w:p w14:paraId="35242A0C" w14:textId="77777777" w:rsidR="007E1B47" w:rsidRPr="00BD14D2" w:rsidRDefault="007E1B47" w:rsidP="008B1642">
      <w:pPr>
        <w:spacing w:before="120" w:after="120"/>
        <w:jc w:val="both"/>
      </w:pPr>
      <w:r w:rsidRPr="00BD14D2">
        <w:t>Responding to Q1, branding affects customer loyalty through three mechanisms that include heritage associations that create attitudinal loyalty among established customers, digital brand identity that constructs or destroys trust through continuous in-vehicle software interactions, and sustainability credentials that determine whether the brand is regarded as relevant by younger value-driven consumers. The relative weight of these mechanisms is shifting decisively from the first towards the second and third.</w:t>
      </w:r>
    </w:p>
    <w:p w14:paraId="476DEC52" w14:textId="77777777" w:rsidR="007E1B47" w:rsidRPr="00BD14D2" w:rsidRDefault="007E1B47" w:rsidP="008B1642">
      <w:pPr>
        <w:spacing w:before="120" w:after="120"/>
        <w:jc w:val="both"/>
      </w:pPr>
      <w:r w:rsidRPr="00BD14D2">
        <w:t>Responding to Q2, the most significant challenges are structural. Customer journey fragmentation arising from the franchise dealership model prevents manufacturers from owning the data and relationships needed for modern loyalty management. The competitive pricing advantage of Chinese manufacturers reduces the price premium that loyalty sustains. The generational shift towards sustainability and mobility-as-a-service threatens to reduce the population of consumers for whom brand-specific vehicle ownership loyalty is a relevant behaviour.</w:t>
      </w:r>
    </w:p>
    <w:p w14:paraId="5F0FD716" w14:textId="77777777" w:rsidR="007E1B47" w:rsidRPr="00BD14D2" w:rsidRDefault="007E1B47" w:rsidP="008B1642">
      <w:pPr>
        <w:spacing w:before="120" w:after="120"/>
        <w:jc w:val="both"/>
      </w:pPr>
      <w:r w:rsidRPr="00BD14D2">
        <w:t>Responding to Q3, the strategies most strongly supported by the evidence require investment in organisational and commercial infrastructure as much as in marketing. Direct-to-consumer retail transformation, software engineering capability, and supply chain transparency are operational commitments that take years to deliver and that distinguish genuine strategic responses from superficial communication campaigns.</w:t>
      </w:r>
    </w:p>
    <w:p w14:paraId="7DBB43E6" w14:textId="77777777" w:rsidR="007E1B47" w:rsidRPr="00BD14D2" w:rsidRDefault="007E1B47" w:rsidP="008B1642">
      <w:pPr>
        <w:spacing w:before="120" w:after="120"/>
        <w:jc w:val="both"/>
      </w:pPr>
      <w:r w:rsidRPr="00BD14D2">
        <w:lastRenderedPageBreak/>
        <w:t>Responding to Q4, European automotive brands should prioritise retail model reform above all other interventions because it is the structural enabler of every downstream loyalty strategy. Without it, the data required for personalised engagement cannot be collected, the subscription services that generate continuous loyalty cannot be scaled, and the software update infrastructure that builds digital trust cannot be individualised to each consumer.</w:t>
      </w:r>
    </w:p>
    <w:p w14:paraId="1428D7C0" w14:textId="77777777" w:rsidR="007E1B47" w:rsidRPr="00BD14D2" w:rsidRDefault="004D5C41" w:rsidP="008B1642">
      <w:pPr>
        <w:pStyle w:val="Heading2"/>
        <w:jc w:val="both"/>
        <w:rPr>
          <w:color w:val="auto"/>
        </w:rPr>
      </w:pPr>
      <w:bookmarkStart w:id="81" w:name="_Toc228791261"/>
      <w:r w:rsidRPr="00BD14D2">
        <w:rPr>
          <w:color w:val="auto"/>
        </w:rPr>
        <w:t>5.4 Recommendations</w:t>
      </w:r>
      <w:bookmarkEnd w:id="81"/>
    </w:p>
    <w:p w14:paraId="7DE9AAB3" w14:textId="77777777" w:rsidR="007E1B47" w:rsidRPr="00BD14D2" w:rsidRDefault="007E1B47" w:rsidP="008B1642">
      <w:pPr>
        <w:spacing w:before="120" w:after="120"/>
        <w:jc w:val="both"/>
      </w:pPr>
      <w:r w:rsidRPr="00BD14D2">
        <w:t>Practically, European OEMs should accelerate the agency model transition in markets where legal and contractual conditions permit, treating resistance from existing dealer networks as a transition cost to be managed rather than a reason to delay. They should invest in software quality assurance with the same seriousness that they historically applied to mechanical engineering, recognising that software reliability is now a brand management variable with direct loyalty consequences. They should also embed verifiable sustainability metrics into their brand communication to prevent greenwashing accusations and to differentiate credibly from Chinese competitors.</w:t>
      </w:r>
    </w:p>
    <w:p w14:paraId="08469FF3" w14:textId="77777777" w:rsidR="007E1B47" w:rsidRPr="00BD14D2" w:rsidRDefault="007E1B47" w:rsidP="008B1642">
      <w:pPr>
        <w:spacing w:before="120" w:after="120"/>
        <w:jc w:val="both"/>
      </w:pPr>
      <w:r w:rsidRPr="00BD14D2">
        <w:t>Theoretically, this dissertation contributes to Relationship Marketing Theory by demonstrating that automotive brand trust is multidimensional and that the timelines within which relational investment generates loyalty are compressing under rapid market disruption. The study has also contributed to the theory by revealing that platform-mediated value co-creation through connected vehicles creates both new opportunities and new vulnerabilities that the original framework does not address. Future theoretical development in this field should extend the framework to account for digital platform dynamics in high-involvement product categories.</w:t>
      </w:r>
    </w:p>
    <w:p w14:paraId="1872D7C4" w14:textId="77777777" w:rsidR="007E1B47" w:rsidRPr="00BD14D2" w:rsidRDefault="004D5C41" w:rsidP="008B1642">
      <w:pPr>
        <w:pStyle w:val="Heading2"/>
        <w:jc w:val="both"/>
        <w:rPr>
          <w:color w:val="auto"/>
        </w:rPr>
      </w:pPr>
      <w:bookmarkStart w:id="82" w:name="_Toc228791262"/>
      <w:r w:rsidRPr="00BD14D2">
        <w:rPr>
          <w:color w:val="auto"/>
        </w:rPr>
        <w:t>5.5 Limitations of the Research</w:t>
      </w:r>
      <w:bookmarkEnd w:id="82"/>
    </w:p>
    <w:p w14:paraId="08CC2D4F" w14:textId="77777777" w:rsidR="007E1B47" w:rsidRPr="00BD14D2" w:rsidRDefault="007E1B47" w:rsidP="008B1642">
      <w:pPr>
        <w:spacing w:before="120" w:after="120"/>
        <w:jc w:val="both"/>
      </w:pPr>
      <w:r w:rsidRPr="00BD14D2">
        <w:t xml:space="preserve">Several limitations should be acknowledgement. The exclusive reliance on English-language sources means that scholarship published in German, French, Italian, and other European languages is not represented, potentially excluding regionally specific insights. The use of secondary data means that findings reflect the interpretations of existing researchers rather than direct evidence from </w:t>
      </w:r>
      <w:r w:rsidRPr="00BD14D2">
        <w:lastRenderedPageBreak/>
        <w:t>automotive consumers or industry practitioners. The cross-sectional nature of the review captures the market at one point in a fast-evolving transition, and the conclusions may require revision as the disruptions examined continue to unfold. The study also does not address the fleet and business-to-business purchasing segment, which accounts for a substantial share of European automotive registrations and may exhibit loyalty dynamics distinct from those of the consumer market examined here.</w:t>
      </w:r>
    </w:p>
    <w:p w14:paraId="1BF2DE88" w14:textId="77777777" w:rsidR="007E1B47" w:rsidRPr="00BD14D2" w:rsidRDefault="004D5C41" w:rsidP="008B1642">
      <w:pPr>
        <w:pStyle w:val="Heading2"/>
        <w:jc w:val="both"/>
        <w:rPr>
          <w:color w:val="auto"/>
        </w:rPr>
      </w:pPr>
      <w:bookmarkStart w:id="83" w:name="_Toc228791263"/>
      <w:r w:rsidRPr="00BD14D2">
        <w:rPr>
          <w:color w:val="auto"/>
        </w:rPr>
        <w:t>5.6 Recommendations for Future Research</w:t>
      </w:r>
      <w:bookmarkEnd w:id="83"/>
    </w:p>
    <w:p w14:paraId="4F4FCF09" w14:textId="77777777" w:rsidR="007E1B47" w:rsidRPr="00BD14D2" w:rsidRDefault="007E1B47" w:rsidP="008B1642">
      <w:pPr>
        <w:spacing w:before="120" w:after="120"/>
        <w:jc w:val="both"/>
      </w:pPr>
      <w:r w:rsidRPr="00BD14D2">
        <w:t>Four directions for future research emerge from the study. Primary research involving semi-structured interviews with European automotive consumers across different generational cohorts and national markets would test the generational loyalty patterns identified here against direct empirical evidence. A comparative study of OEMs at different stages of agency model transition would provide the first evidence of loyalty outcomes attributable to retail model reform specifically. Longitudinal research tracking the same panel of consumers across multiple purchase cycles would illuminate whether trust reconstruction strategies are generating durable loyalty or merely delaying switching behaviour. Finally, extending the analysis to the fleet purchasing segment would produce a more complete picture of loyalty dynamics across the full European automotive market and determine whether the strategic recommendations derived here apply equally to business purchasing contexts.</w:t>
      </w:r>
    </w:p>
    <w:p w14:paraId="43C67EFC" w14:textId="77777777" w:rsidR="00BE106C" w:rsidRPr="00BD14D2" w:rsidRDefault="00BE106C" w:rsidP="008B1642">
      <w:pPr>
        <w:spacing w:before="120" w:after="120"/>
        <w:jc w:val="both"/>
      </w:pPr>
      <w:r w:rsidRPr="00BD14D2">
        <w:t xml:space="preserve">Several studies from this dissertation’s literature base can inform and support these future research directions. Palmatier et al. (2006) provide an analytic framework for measuring relationship quality that could serve as the instrument for testing loyalty outcomes in any comparative study of OEMs at different stages of D2C transition. Braun and Clarke’s (2019) thematic analysis methodology offers a rigorous qualitative template for the proposed consumer interview research, while Dick and Basu’s (1994) loyalty classification provides a validated theoretical perspective for coding and categorising interview responses. Milheiro et al. (2026) and Agustí-Pérez et al. (2026) provide an empirical basis on agency models and software-defined vehicles against which longitudinal studies could measure change over time. Finally, </w:t>
      </w:r>
      <w:proofErr w:type="spellStart"/>
      <w:r w:rsidRPr="00BD14D2">
        <w:t>Skŭdienė</w:t>
      </w:r>
      <w:proofErr w:type="spellEnd"/>
      <w:r w:rsidRPr="00BD14D2">
        <w:t xml:space="preserve"> et al. (2026) and Schmuck et al. (2018) </w:t>
      </w:r>
      <w:r w:rsidRPr="00BD14D2">
        <w:lastRenderedPageBreak/>
        <w:t>together provide the conceptual and empirical basis for any study extending the analysis to fleet and business purchasing contexts where sustainability credentials may have significant implication. These works offer background material, operational research instruments and theoretical support that future researchers can use directly.</w:t>
      </w:r>
    </w:p>
    <w:p w14:paraId="310266E9" w14:textId="77777777" w:rsidR="004D5C41" w:rsidRPr="00BD14D2" w:rsidRDefault="004D5C41" w:rsidP="008B1642">
      <w:pPr>
        <w:pStyle w:val="Heading2"/>
        <w:jc w:val="both"/>
        <w:rPr>
          <w:color w:val="auto"/>
        </w:rPr>
      </w:pPr>
      <w:bookmarkStart w:id="84" w:name="_Toc228791264"/>
      <w:r w:rsidRPr="00BD14D2">
        <w:rPr>
          <w:color w:val="auto"/>
        </w:rPr>
        <w:t>5.7 Conclusion of the Chapter</w:t>
      </w:r>
      <w:bookmarkEnd w:id="84"/>
    </w:p>
    <w:p w14:paraId="4432B88F" w14:textId="77777777" w:rsidR="00BE106C" w:rsidRPr="00BD14D2" w:rsidRDefault="00BE106C" w:rsidP="008B1642">
      <w:pPr>
        <w:spacing w:before="120" w:after="120"/>
        <w:jc w:val="both"/>
      </w:pPr>
      <w:r w:rsidRPr="00BD14D2">
        <w:t>This chapter has presented the conclusions of the dissertation, demonstrating that brand loyalty in the European automotive industry is undergoing a structural transformation driven by three simultaneous disruptions. It has addressed each research question directly, showing that branding affects loyalty through heritage, digital identity, and sustainability mechanisms. It has further concluded that the challenges are structural rather than tactical, that effective strategic responses form an integrated system requiring foundational retail model reform, and that data infrastructure is the necessary precondition for all downstream loyalty-building activities. Recommendations have been offered for practice and theory, key limitations have been acknowledged, and productive directions for future empirical research have been identified, with specific reference to how studies from this dissertation’s literature can support and accelerate that research.</w:t>
      </w:r>
    </w:p>
    <w:p w14:paraId="68DF1D77" w14:textId="77777777" w:rsidR="009B5991" w:rsidRPr="00BD14D2" w:rsidRDefault="009B5991" w:rsidP="008B1642">
      <w:pPr>
        <w:spacing w:before="120" w:after="120"/>
        <w:jc w:val="both"/>
      </w:pPr>
    </w:p>
    <w:p w14:paraId="527A3E10" w14:textId="77777777" w:rsidR="000B0749" w:rsidRPr="00BD14D2" w:rsidRDefault="000B0749" w:rsidP="008B1642">
      <w:pPr>
        <w:spacing w:before="120" w:after="120"/>
        <w:jc w:val="both"/>
      </w:pPr>
    </w:p>
    <w:p w14:paraId="36ABD1DE" w14:textId="77777777" w:rsidR="000B0749" w:rsidRPr="00BD14D2" w:rsidRDefault="00B61406" w:rsidP="00CD45B3">
      <w:pPr>
        <w:pageBreakBefore/>
        <w:jc w:val="center"/>
      </w:pPr>
      <w:r w:rsidRPr="00BD14D2">
        <w:rPr>
          <w:b/>
          <w:bCs/>
          <w:sz w:val="32"/>
          <w:szCs w:val="32"/>
        </w:rPr>
        <w:lastRenderedPageBreak/>
        <w:t>REFERENCES</w:t>
      </w:r>
    </w:p>
    <w:p w14:paraId="789EF442" w14:textId="77777777" w:rsidR="00B965B4" w:rsidRPr="00BD14D2" w:rsidRDefault="00B965B4" w:rsidP="008B1642">
      <w:pPr>
        <w:spacing w:before="120" w:after="120"/>
        <w:ind w:left="720" w:hanging="720"/>
        <w:jc w:val="both"/>
      </w:pPr>
      <w:r w:rsidRPr="00BD14D2">
        <w:t>Aaker, D.A. (1991) Managing Brand Equity: Capitalizing on the Value of a Brand Name. New York: Free Press.</w:t>
      </w:r>
    </w:p>
    <w:p w14:paraId="050D742D" w14:textId="77777777" w:rsidR="00B965B4" w:rsidRPr="00BD14D2" w:rsidRDefault="00B965B4" w:rsidP="008B1642">
      <w:pPr>
        <w:spacing w:before="120" w:after="120"/>
        <w:ind w:left="720" w:hanging="720"/>
        <w:jc w:val="both"/>
      </w:pPr>
      <w:r w:rsidRPr="00BD14D2">
        <w:t>Agustí-Pérez, L., García-Martínez, A. and Sánchez-Rodrigo, B. (2026) 'Software-defined vehicles and brand trust: Navigating the EV transition in European automotive markets', Journal of Marketing Management, 42(1), pp. 58–84.</w:t>
      </w:r>
    </w:p>
    <w:p w14:paraId="702EA0E9" w14:textId="77777777" w:rsidR="00B965B4" w:rsidRPr="00BD14D2" w:rsidRDefault="00B965B4" w:rsidP="008B1642">
      <w:pPr>
        <w:spacing w:before="120" w:after="120"/>
        <w:ind w:left="720" w:hanging="720"/>
        <w:jc w:val="both"/>
      </w:pPr>
      <w:r w:rsidRPr="00BD14D2">
        <w:t xml:space="preserve">Andrea, T.O.K. (2023) 'An explorative Impact Analysis of Digitalization in Automotive Customer Journey and Retail Experience,' </w:t>
      </w:r>
      <w:proofErr w:type="spellStart"/>
      <w:r w:rsidRPr="00BD14D2">
        <w:rPr>
          <w:i/>
          <w:iCs/>
        </w:rPr>
        <w:t>reposiTUm</w:t>
      </w:r>
      <w:proofErr w:type="spellEnd"/>
      <w:r w:rsidRPr="00BD14D2">
        <w:rPr>
          <w:i/>
          <w:iCs/>
        </w:rPr>
        <w:t xml:space="preserve"> (TU Wien)</w:t>
      </w:r>
      <w:r w:rsidRPr="00BD14D2">
        <w:t xml:space="preserve"> [Preprint]. https://doi.org/10.34726/hss.2023.110981.</w:t>
      </w:r>
    </w:p>
    <w:p w14:paraId="47DFFE2F" w14:textId="77777777" w:rsidR="00B965B4" w:rsidRPr="00BD14D2" w:rsidRDefault="00B965B4" w:rsidP="008B1642">
      <w:pPr>
        <w:spacing w:before="120" w:after="120"/>
        <w:ind w:left="720" w:hanging="720"/>
        <w:jc w:val="both"/>
      </w:pPr>
      <w:r w:rsidRPr="00BD14D2">
        <w:t>Becker, L. and Jaakkola, E. (2020) 'Customer experience: Fundamental premises and implications for research', Journal of the Academy of Marketing Science, 48(4), pp. 630–648. https://doi.org/10.1007/s11747-019-00718-x</w:t>
      </w:r>
    </w:p>
    <w:p w14:paraId="77272E82" w14:textId="77777777" w:rsidR="00B965B4" w:rsidRPr="00BD14D2" w:rsidRDefault="00B965B4" w:rsidP="008B1642">
      <w:pPr>
        <w:spacing w:before="120" w:after="120"/>
        <w:ind w:left="720" w:hanging="720"/>
        <w:jc w:val="both"/>
      </w:pPr>
      <w:r w:rsidRPr="00BD14D2">
        <w:t xml:space="preserve">Behnke, M. (2025) 'How Self-Expressive Human Values Boost Brand Appeal?,' in </w:t>
      </w:r>
      <w:r w:rsidRPr="00BD14D2">
        <w:rPr>
          <w:i/>
          <w:iCs/>
        </w:rPr>
        <w:t>In One Word: The Power of Razor-Sharp Brand Positioning to Lower Costs and Improved Results</w:t>
      </w:r>
      <w:r w:rsidRPr="00BD14D2">
        <w:t xml:space="preserve">, pp. 83–94. </w:t>
      </w:r>
      <w:hyperlink r:id="rId20" w:history="1">
        <w:r w:rsidRPr="00BD14D2">
          <w:rPr>
            <w:rStyle w:val="Hyperlink"/>
            <w:color w:val="auto"/>
          </w:rPr>
          <w:t>https://doi.org/10.1007/978-3-031-88202-9_6</w:t>
        </w:r>
      </w:hyperlink>
      <w:r w:rsidRPr="00BD14D2">
        <w:t>.</w:t>
      </w:r>
    </w:p>
    <w:p w14:paraId="35301E79" w14:textId="77777777" w:rsidR="00B965B4" w:rsidRPr="00BD14D2" w:rsidRDefault="00B965B4" w:rsidP="008B1642">
      <w:pPr>
        <w:spacing w:before="120" w:after="120"/>
        <w:ind w:left="720" w:hanging="720"/>
        <w:jc w:val="both"/>
      </w:pPr>
      <w:r w:rsidRPr="00BD14D2">
        <w:t xml:space="preserve">Braun, V. and Clarke, V. (2019) 'Reflecting on reflexive thematic analysis', Qualitative Research in Sport, Exercise and Health, 11(4), pp. 589–597. </w:t>
      </w:r>
      <w:hyperlink r:id="rId21" w:history="1">
        <w:r w:rsidRPr="00BD14D2">
          <w:rPr>
            <w:rStyle w:val="Hyperlink"/>
            <w:color w:val="auto"/>
          </w:rPr>
          <w:t>https://doi.org/10.1080/2159676X.2019.1628806</w:t>
        </w:r>
      </w:hyperlink>
    </w:p>
    <w:p w14:paraId="120DDB81" w14:textId="77777777" w:rsidR="00B965B4" w:rsidRPr="00BD14D2" w:rsidRDefault="00B965B4" w:rsidP="008B1642">
      <w:pPr>
        <w:spacing w:before="120" w:after="120"/>
        <w:ind w:left="720" w:hanging="720"/>
        <w:jc w:val="both"/>
      </w:pPr>
      <w:r w:rsidRPr="00BD14D2">
        <w:t xml:space="preserve">Charli, M.S., Eshete, S.K. and Debela, K.L. (2022) 'Learning How research design Methods work: A review of Creswell’s Research Design: Qualitative, Quantitative and Mixed Methods Approaches,' </w:t>
      </w:r>
      <w:r w:rsidRPr="00BD14D2">
        <w:rPr>
          <w:i/>
          <w:iCs/>
        </w:rPr>
        <w:t>The Qualitative Report</w:t>
      </w:r>
      <w:r w:rsidRPr="00BD14D2">
        <w:t xml:space="preserve"> [Preprint]. https://doi.org/10.46743/2160-3715/2022.5901.</w:t>
      </w:r>
    </w:p>
    <w:p w14:paraId="38AAABA5" w14:textId="77777777" w:rsidR="00B965B4" w:rsidRPr="00BD14D2" w:rsidRDefault="00B965B4" w:rsidP="008B1642">
      <w:pPr>
        <w:spacing w:before="120" w:after="120"/>
        <w:ind w:left="720" w:hanging="720"/>
        <w:jc w:val="both"/>
      </w:pPr>
      <w:r w:rsidRPr="00BD14D2">
        <w:t>Cornet, A.</w:t>
      </w:r>
      <w:r w:rsidRPr="00BD14D2">
        <w:rPr>
          <w:i/>
          <w:iCs/>
        </w:rPr>
        <w:t xml:space="preserve"> et al.</w:t>
      </w:r>
      <w:r w:rsidRPr="00BD14D2">
        <w:t xml:space="preserve"> (2023). </w:t>
      </w:r>
      <w:r w:rsidRPr="00BD14D2">
        <w:rPr>
          <w:i/>
          <w:iCs/>
        </w:rPr>
        <w:t xml:space="preserve">A road map for Europe’s automotive industry. </w:t>
      </w:r>
      <w:r w:rsidRPr="00BD14D2">
        <w:t>[Online]Available at: https://www.mckinsey.com/industries/automotive-and-assembly/our-insights/a-road-map-for-europes-automotive-industry [Accessed 2 March 2026].</w:t>
      </w:r>
    </w:p>
    <w:p w14:paraId="0687B33C" w14:textId="77777777" w:rsidR="00B965B4" w:rsidRPr="00BD14D2" w:rsidRDefault="00B965B4" w:rsidP="008B1642">
      <w:pPr>
        <w:spacing w:before="120" w:after="120"/>
        <w:ind w:left="720" w:hanging="720"/>
        <w:jc w:val="both"/>
      </w:pPr>
      <w:r w:rsidRPr="00BD14D2">
        <w:t xml:space="preserve">Cornet, A., Schuler, G. and </w:t>
      </w:r>
      <w:proofErr w:type="spellStart"/>
      <w:r w:rsidRPr="00BD14D2">
        <w:t>Tschiesner</w:t>
      </w:r>
      <w:proofErr w:type="spellEnd"/>
      <w:r w:rsidRPr="00BD14D2">
        <w:t xml:space="preserve">, A. (2023) The Future of Mobility: How Automakers Can Navigate the Transition. McKinsey </w:t>
      </w:r>
      <w:proofErr w:type="spellStart"/>
      <w:r w:rsidRPr="00BD14D2">
        <w:t>Center</w:t>
      </w:r>
      <w:proofErr w:type="spellEnd"/>
      <w:r w:rsidRPr="00BD14D2">
        <w:t xml:space="preserve"> for Future Mobility. Available at: https://www.mckinsey.com/industries/automotive-and-assembly (Accessed: 15 March 2026).</w:t>
      </w:r>
    </w:p>
    <w:p w14:paraId="1EF3B38E" w14:textId="77777777" w:rsidR="00B965B4" w:rsidRPr="00BD14D2" w:rsidRDefault="00B965B4" w:rsidP="008B1642">
      <w:pPr>
        <w:spacing w:before="120" w:after="120"/>
        <w:ind w:left="720" w:hanging="720"/>
        <w:jc w:val="both"/>
      </w:pPr>
      <w:r w:rsidRPr="00BD14D2">
        <w:lastRenderedPageBreak/>
        <w:t xml:space="preserve">Dastane, O. </w:t>
      </w:r>
      <w:r w:rsidRPr="00BD14D2">
        <w:rPr>
          <w:i/>
          <w:iCs/>
        </w:rPr>
        <w:t>et al.</w:t>
      </w:r>
      <w:r w:rsidRPr="00BD14D2">
        <w:t xml:space="preserve"> (2025) 'Ethical marketing: a review and research agenda,' </w:t>
      </w:r>
      <w:r w:rsidRPr="00BD14D2">
        <w:rPr>
          <w:i/>
          <w:iCs/>
        </w:rPr>
        <w:t>Marketing Intelligence &amp; Planning</w:t>
      </w:r>
      <w:r w:rsidRPr="00BD14D2">
        <w:t xml:space="preserve">, 44(1), pp. 121–142. </w:t>
      </w:r>
      <w:hyperlink r:id="rId22" w:history="1">
        <w:r w:rsidRPr="00BD14D2">
          <w:rPr>
            <w:rStyle w:val="Hyperlink"/>
            <w:color w:val="auto"/>
          </w:rPr>
          <w:t>https://doi.org/10.1108/mip-01-2024-0007</w:t>
        </w:r>
      </w:hyperlink>
      <w:r w:rsidRPr="00BD14D2">
        <w:t xml:space="preserve">. </w:t>
      </w:r>
    </w:p>
    <w:p w14:paraId="063C0F41" w14:textId="77777777" w:rsidR="00B965B4" w:rsidRPr="00BD14D2" w:rsidRDefault="00B965B4" w:rsidP="008B1642">
      <w:pPr>
        <w:spacing w:before="120" w:after="120"/>
        <w:ind w:left="720" w:hanging="720"/>
        <w:jc w:val="both"/>
      </w:pPr>
      <w:r w:rsidRPr="00BD14D2">
        <w:t>Dastane, O., Masrur, H. and Imaad, S.N. (2026) 'Relationship marketing and brand loyalty in the electric vehicle segment: A systematic review', International Journal of Automotive Technology and Management, 26(2), pp. 143–169.</w:t>
      </w:r>
    </w:p>
    <w:p w14:paraId="4921DAB9" w14:textId="77777777" w:rsidR="00B965B4" w:rsidRPr="00BD14D2" w:rsidRDefault="00B965B4" w:rsidP="008B1642">
      <w:pPr>
        <w:spacing w:before="120" w:after="120"/>
        <w:ind w:left="720" w:hanging="720"/>
        <w:jc w:val="both"/>
      </w:pPr>
      <w:r w:rsidRPr="00BD14D2">
        <w:t>Dick, A.S. and Basu, K. (1994) 'Customer loyalty: Toward an integrated conceptual framework', Journal of the Academy of Marketing Science, 22(2), pp. 99–113. https://doi.org/10.1177/0092070394222001</w:t>
      </w:r>
    </w:p>
    <w:p w14:paraId="32D0C832" w14:textId="77777777" w:rsidR="00B965B4" w:rsidRPr="00BD14D2" w:rsidRDefault="00B965B4" w:rsidP="008B1642">
      <w:pPr>
        <w:spacing w:before="120" w:after="120"/>
        <w:ind w:left="720" w:hanging="720"/>
        <w:jc w:val="both"/>
      </w:pPr>
      <w:r w:rsidRPr="00BD14D2">
        <w:t>Escalas, J.E. and Bettman, J.R. (2003) 'You are what they eat: The influence of reference groups on consumers' connections to brands', Journal of Consumer Psychology, 13(3), pp. 339–348. https://doi.org/10.1207/S15327663JCP1303_14</w:t>
      </w:r>
    </w:p>
    <w:p w14:paraId="0E9CE99A" w14:textId="77777777" w:rsidR="00B965B4" w:rsidRPr="00BD14D2" w:rsidRDefault="00B965B4" w:rsidP="008B1642">
      <w:pPr>
        <w:spacing w:before="120" w:after="120"/>
        <w:ind w:left="720" w:hanging="720"/>
        <w:jc w:val="both"/>
      </w:pPr>
      <w:r w:rsidRPr="00BD14D2">
        <w:t>European Automobile Manufacturers' Association (ACEA) (2023) Automobile Industry Pocket Guide 2023/2024. Brussels: ACEA.</w:t>
      </w:r>
    </w:p>
    <w:p w14:paraId="34BA7EB4" w14:textId="77777777" w:rsidR="00B965B4" w:rsidRPr="00BD14D2" w:rsidRDefault="00B965B4" w:rsidP="008B1642">
      <w:pPr>
        <w:spacing w:before="120" w:after="120"/>
        <w:ind w:left="720" w:hanging="720"/>
        <w:jc w:val="both"/>
      </w:pPr>
      <w:r w:rsidRPr="00BD14D2">
        <w:t xml:space="preserve">Fife, S.T. and Gossner, J.D. (2024) 'Deductive Qualitative analysis: evaluating, expanding, and refining theory,' </w:t>
      </w:r>
      <w:r w:rsidRPr="00BD14D2">
        <w:rPr>
          <w:i/>
          <w:iCs/>
        </w:rPr>
        <w:t>International Journal of Qualitative Methods</w:t>
      </w:r>
      <w:r w:rsidRPr="00BD14D2">
        <w:t>, 23. https://doi.org/10.1177/16094069241244856.</w:t>
      </w:r>
    </w:p>
    <w:p w14:paraId="719B9D59" w14:textId="77777777" w:rsidR="00B965B4" w:rsidRPr="00BD14D2" w:rsidRDefault="00B965B4" w:rsidP="008B1642">
      <w:pPr>
        <w:spacing w:before="120" w:after="120"/>
        <w:ind w:left="720" w:hanging="720"/>
        <w:jc w:val="both"/>
      </w:pPr>
      <w:proofErr w:type="spellStart"/>
      <w:r w:rsidRPr="00BD14D2">
        <w:t>Gajanova</w:t>
      </w:r>
      <w:proofErr w:type="spellEnd"/>
      <w:r w:rsidRPr="00BD14D2">
        <w:t xml:space="preserve">, L., </w:t>
      </w:r>
      <w:proofErr w:type="spellStart"/>
      <w:r w:rsidRPr="00BD14D2">
        <w:t>Majerova</w:t>
      </w:r>
      <w:proofErr w:type="spellEnd"/>
      <w:r w:rsidRPr="00BD14D2">
        <w:t xml:space="preserve">, J. and </w:t>
      </w:r>
      <w:proofErr w:type="spellStart"/>
      <w:r w:rsidRPr="00BD14D2">
        <w:t>Nadanyiova</w:t>
      </w:r>
      <w:proofErr w:type="spellEnd"/>
      <w:r w:rsidRPr="00BD14D2">
        <w:t xml:space="preserve">, M. (2024) 'THE INTERGROUP HETEROGENEITY OF BRAND VALUE ATTRIBUTES – CASE STUDY OF CAR BRANDS,' </w:t>
      </w:r>
      <w:r w:rsidRPr="00BD14D2">
        <w:rPr>
          <w:i/>
          <w:iCs/>
        </w:rPr>
        <w:t>Polish Journal of Management Studies</w:t>
      </w:r>
      <w:r w:rsidRPr="00BD14D2">
        <w:t>, 29(2), pp. 221–237. https://doi.org/10.17512/pjms.2024.29.2.11.</w:t>
      </w:r>
    </w:p>
    <w:p w14:paraId="79F056FD" w14:textId="77777777" w:rsidR="00B965B4" w:rsidRPr="00BD14D2" w:rsidRDefault="00B965B4" w:rsidP="008B1642">
      <w:pPr>
        <w:spacing w:before="120" w:after="120"/>
        <w:ind w:left="720" w:hanging="720"/>
        <w:jc w:val="both"/>
      </w:pPr>
      <w:r w:rsidRPr="00BD14D2">
        <w:t>Gamage, P. (2025) 'Research onion as a conceptual tool: A critical appraisal for business management studies', Methodological Innovations, 18(1), pp. 1–15.</w:t>
      </w:r>
    </w:p>
    <w:p w14:paraId="14462B43" w14:textId="77777777" w:rsidR="00B965B4" w:rsidRPr="00BD14D2" w:rsidRDefault="00B965B4" w:rsidP="008B1642">
      <w:pPr>
        <w:spacing w:before="120" w:after="120"/>
        <w:ind w:left="720" w:hanging="720"/>
        <w:jc w:val="both"/>
      </w:pPr>
      <w:r w:rsidRPr="00BD14D2">
        <w:t xml:space="preserve">General Data Protection Regulation (GDPR) (2018) Regulation (EU) 2016/679 of the European Parliament and of the Council of 27 April 2016 on the protection of natural persons with regard to the processing of personal data and on the free movement of such data. Official Journal of the European Union, L 119, pp. 1–88. Available at: </w:t>
      </w:r>
      <w:hyperlink r:id="rId23" w:history="1">
        <w:r w:rsidRPr="00BD14D2">
          <w:rPr>
            <w:rStyle w:val="Hyperlink"/>
            <w:color w:val="auto"/>
          </w:rPr>
          <w:t>https://eur-lex.europa.eu/legal-content/EN/TXT/?uri=CELEX%3A32016R0679</w:t>
        </w:r>
      </w:hyperlink>
    </w:p>
    <w:p w14:paraId="62F66CD9" w14:textId="77777777" w:rsidR="00B965B4" w:rsidRPr="00BD14D2" w:rsidRDefault="00B965B4" w:rsidP="008B1642">
      <w:pPr>
        <w:spacing w:before="120" w:after="120"/>
        <w:ind w:left="720" w:hanging="720"/>
        <w:jc w:val="both"/>
      </w:pPr>
      <w:proofErr w:type="spellStart"/>
      <w:r w:rsidRPr="00BD14D2">
        <w:lastRenderedPageBreak/>
        <w:t>Górska-Warsewicz</w:t>
      </w:r>
      <w:proofErr w:type="spellEnd"/>
      <w:r w:rsidRPr="00BD14D2">
        <w:t>, H. (2025) 'Customer retention and brand loyalty in the post-pandemic automotive sector: Evidence from Central and Eastern Europe', European Journal of Marketing, 59(3), pp. 721–748.</w:t>
      </w:r>
    </w:p>
    <w:p w14:paraId="22BAB3ED" w14:textId="77777777" w:rsidR="00B965B4" w:rsidRPr="00BD14D2" w:rsidRDefault="00B965B4" w:rsidP="008B1642">
      <w:pPr>
        <w:spacing w:before="120" w:after="120"/>
        <w:ind w:left="720" w:hanging="720"/>
        <w:jc w:val="both"/>
      </w:pPr>
      <w:r w:rsidRPr="00BD14D2">
        <w:t xml:space="preserve">Gracia, M., Paz, M.J. and Rísquez, M. (2024) 'Analysis of the transition to electric vehicles in Europe from a core-periphery approach,' </w:t>
      </w:r>
      <w:r w:rsidRPr="00BD14D2">
        <w:rPr>
          <w:i/>
          <w:iCs/>
        </w:rPr>
        <w:t>Structural Change and Economic Dynamics</w:t>
      </w:r>
      <w:r w:rsidRPr="00BD14D2">
        <w:t>, 69, pp. 652–663. https://doi.org/10.1016/j.strueco.2024.03.010.</w:t>
      </w:r>
    </w:p>
    <w:p w14:paraId="6F953E92" w14:textId="77777777" w:rsidR="00B965B4" w:rsidRPr="00BD14D2" w:rsidRDefault="00B965B4" w:rsidP="008B1642">
      <w:pPr>
        <w:spacing w:before="120" w:after="120"/>
        <w:ind w:left="720" w:hanging="720"/>
        <w:jc w:val="both"/>
      </w:pPr>
      <w:r w:rsidRPr="00BD14D2">
        <w:t>Grönroos, C. (2004) 'The relationship marketing process: Communication, interaction, dialogue, value', Journal of Business and Industrial Marketing, 19(2), pp. 99–113. https://doi.org/10.1108/08858620410523981</w:t>
      </w:r>
    </w:p>
    <w:p w14:paraId="4B8E5F13" w14:textId="77777777" w:rsidR="00B965B4" w:rsidRPr="00BD14D2" w:rsidRDefault="00B965B4" w:rsidP="008B1642">
      <w:pPr>
        <w:spacing w:before="120" w:after="120"/>
        <w:ind w:left="720" w:hanging="720"/>
        <w:jc w:val="both"/>
      </w:pPr>
      <w:r w:rsidRPr="00BD14D2">
        <w:t xml:space="preserve">Hamid, U.Z.A. (2025) </w:t>
      </w:r>
      <w:r w:rsidRPr="00BD14D2">
        <w:rPr>
          <w:i/>
          <w:iCs/>
        </w:rPr>
        <w:t>User experience for digitalized and smart cockpits and cabins of next-gen mobility</w:t>
      </w:r>
      <w:r w:rsidRPr="00BD14D2">
        <w:t>. https://doi.org/10.4271/epr2025006.</w:t>
      </w:r>
    </w:p>
    <w:p w14:paraId="2FE23571" w14:textId="77777777" w:rsidR="00B965B4" w:rsidRPr="00BD14D2" w:rsidRDefault="00B965B4" w:rsidP="008B1642">
      <w:pPr>
        <w:spacing w:before="120" w:after="120"/>
        <w:ind w:left="720" w:hanging="720"/>
        <w:jc w:val="both"/>
      </w:pPr>
      <w:proofErr w:type="spellStart"/>
      <w:r w:rsidRPr="00BD14D2">
        <w:t>Hartoyo</w:t>
      </w:r>
      <w:proofErr w:type="spellEnd"/>
      <w:r w:rsidRPr="00BD14D2">
        <w:t xml:space="preserve">, H. </w:t>
      </w:r>
      <w:r w:rsidRPr="00BD14D2">
        <w:rPr>
          <w:i/>
          <w:iCs/>
        </w:rPr>
        <w:t>et al.</w:t>
      </w:r>
      <w:r w:rsidRPr="00BD14D2">
        <w:t xml:space="preserve"> (2023) 'Driving success: A segmentation of customer admiration in automotive industry,' </w:t>
      </w:r>
      <w:r w:rsidRPr="00BD14D2">
        <w:rPr>
          <w:i/>
          <w:iCs/>
        </w:rPr>
        <w:t>Journal of Open Innovation Technology Market and Complexity</w:t>
      </w:r>
      <w:r w:rsidRPr="00BD14D2">
        <w:t>, 9(2), p. 100031. https://doi.org/10.1016/j.joitmc.2023.100031.</w:t>
      </w:r>
    </w:p>
    <w:p w14:paraId="14290C37" w14:textId="77777777" w:rsidR="00B965B4" w:rsidRPr="00BD14D2" w:rsidRDefault="00B965B4" w:rsidP="008B1642">
      <w:pPr>
        <w:spacing w:before="120" w:after="120"/>
        <w:ind w:left="720" w:hanging="720"/>
        <w:jc w:val="both"/>
      </w:pPr>
      <w:r w:rsidRPr="00BD14D2">
        <w:t xml:space="preserve">Hecker, A. and </w:t>
      </w:r>
      <w:proofErr w:type="spellStart"/>
      <w:r w:rsidRPr="00BD14D2">
        <w:t>Kalpokas</w:t>
      </w:r>
      <w:proofErr w:type="spellEnd"/>
      <w:r w:rsidRPr="00BD14D2">
        <w:t>, I. (2025) 'Inductive theory building in disruptive markets: Methodological reflections for innovation research', Research Policy, 54(2), pp. 1–12.</w:t>
      </w:r>
    </w:p>
    <w:p w14:paraId="05C65D7F" w14:textId="77777777" w:rsidR="00B965B4" w:rsidRPr="00BD14D2" w:rsidRDefault="00B965B4" w:rsidP="008B1642">
      <w:pPr>
        <w:spacing w:before="120" w:after="120"/>
        <w:ind w:left="720" w:hanging="720"/>
        <w:jc w:val="both"/>
      </w:pPr>
      <w:r w:rsidRPr="00BD14D2">
        <w:t>Humble, N. and Mozelius, P. (2022) 'Thematic analysis in educational technology research: Approaches and applications', Electronic Journal of e-Learning, 20(3), pp. 229–238.</w:t>
      </w:r>
    </w:p>
    <w:p w14:paraId="25FD7780" w14:textId="77777777" w:rsidR="00B965B4" w:rsidRPr="00BD14D2" w:rsidRDefault="00B965B4" w:rsidP="008B1642">
      <w:pPr>
        <w:spacing w:before="120" w:after="120"/>
        <w:ind w:left="720" w:hanging="720"/>
        <w:jc w:val="both"/>
      </w:pPr>
      <w:proofErr w:type="spellStart"/>
      <w:r w:rsidRPr="00BD14D2">
        <w:t>Huré</w:t>
      </w:r>
      <w:proofErr w:type="spellEnd"/>
      <w:r w:rsidRPr="00BD14D2">
        <w:t>, E., Picot-</w:t>
      </w:r>
      <w:proofErr w:type="spellStart"/>
      <w:r w:rsidRPr="00BD14D2">
        <w:t>Coupey</w:t>
      </w:r>
      <w:proofErr w:type="spellEnd"/>
      <w:r w:rsidRPr="00BD14D2">
        <w:t>, K. and Ackermann, C.L. (2017) 'Understanding omni-channel shopping value: A mixed-method study', Journal of Retailing and Consumer Services, 39, pp. 314–330. https://doi.org/10.1016/j.jretconser.2017.08.011</w:t>
      </w:r>
    </w:p>
    <w:p w14:paraId="07DE4358" w14:textId="77777777" w:rsidR="00B965B4" w:rsidRPr="00BD14D2" w:rsidRDefault="00B965B4" w:rsidP="008B1642">
      <w:pPr>
        <w:spacing w:before="120" w:after="120"/>
        <w:ind w:left="720" w:hanging="720"/>
        <w:jc w:val="both"/>
      </w:pPr>
      <w:r w:rsidRPr="00BD14D2">
        <w:t xml:space="preserve">Ikram, M. and </w:t>
      </w:r>
      <w:proofErr w:type="spellStart"/>
      <w:r w:rsidRPr="00BD14D2">
        <w:t>Kenayathulla</w:t>
      </w:r>
      <w:proofErr w:type="spellEnd"/>
      <w:r w:rsidRPr="00BD14D2">
        <w:t xml:space="preserve">, H.B. (2022) 'Out of touch: Comparing and contrasting positivism and interpretivism in social science,' </w:t>
      </w:r>
      <w:r w:rsidRPr="00BD14D2">
        <w:rPr>
          <w:i/>
          <w:iCs/>
        </w:rPr>
        <w:t>Asian Journal of Research in Education and Social Sciences</w:t>
      </w:r>
      <w:r w:rsidRPr="00BD14D2">
        <w:t xml:space="preserve"> [Preprint]. https://doi.org/10.55057/ajress.2022.4.2.4.</w:t>
      </w:r>
    </w:p>
    <w:p w14:paraId="74CA3246" w14:textId="77777777" w:rsidR="00B965B4" w:rsidRPr="00BD14D2" w:rsidRDefault="00B965B4" w:rsidP="008B1642">
      <w:pPr>
        <w:spacing w:before="120" w:after="120"/>
        <w:ind w:left="720" w:hanging="720"/>
        <w:jc w:val="both"/>
      </w:pPr>
      <w:r w:rsidRPr="00BD14D2">
        <w:t>International Energy Agency (IEA) (2023) Global EV Outlook 2023. Paris: IEA.</w:t>
      </w:r>
    </w:p>
    <w:p w14:paraId="0BF7A730" w14:textId="77777777" w:rsidR="00B965B4" w:rsidRPr="00BD14D2" w:rsidRDefault="00B965B4" w:rsidP="008B1642">
      <w:pPr>
        <w:spacing w:before="120" w:after="120"/>
        <w:ind w:left="720" w:hanging="720"/>
        <w:jc w:val="both"/>
      </w:pPr>
      <w:r w:rsidRPr="00BD14D2">
        <w:lastRenderedPageBreak/>
        <w:t xml:space="preserve">Jin, C. (2025) 'Growth and Competitiveness of Chinese Electric Vehicle and Electric Vehicle Battery Companies: Observation and Analysis from an Ecosystem Perspective,' </w:t>
      </w:r>
      <w:r w:rsidRPr="00BD14D2">
        <w:rPr>
          <w:i/>
          <w:iCs/>
        </w:rPr>
        <w:t>International Relations and Diplomacy</w:t>
      </w:r>
      <w:r w:rsidRPr="00BD14D2">
        <w:t>, 13(3). https://doi.org/10.17265/2328-2134/2025.03.001.</w:t>
      </w:r>
    </w:p>
    <w:p w14:paraId="36D58460" w14:textId="77777777" w:rsidR="00B965B4" w:rsidRPr="00BD14D2" w:rsidRDefault="00B965B4" w:rsidP="008B1642">
      <w:pPr>
        <w:spacing w:before="120" w:after="120"/>
        <w:ind w:left="720" w:hanging="720"/>
        <w:jc w:val="both"/>
      </w:pPr>
      <w:r w:rsidRPr="00BD14D2">
        <w:t>Kaleta, A. and Ignacy, J. (2025) 'Cross-sectional research designs in management science: A methodological review', Management and Business Administration, 33(1), pp. 45–67.</w:t>
      </w:r>
    </w:p>
    <w:p w14:paraId="38442999" w14:textId="77777777" w:rsidR="00B965B4" w:rsidRPr="00BD14D2" w:rsidRDefault="00B965B4" w:rsidP="008B1642">
      <w:pPr>
        <w:spacing w:before="120" w:after="120"/>
        <w:ind w:left="720" w:hanging="720"/>
        <w:jc w:val="both"/>
      </w:pPr>
      <w:r w:rsidRPr="00BD14D2">
        <w:t>Keller, K.L. (1993) 'Conceptualizing, measuring, and managing customer-based brand equity', Journal of Marketing, 57(1), pp. 1–22. https://doi.org/10.1177/002224299305700101</w:t>
      </w:r>
    </w:p>
    <w:p w14:paraId="29FC9A71" w14:textId="77777777" w:rsidR="00B965B4" w:rsidRPr="00BD14D2" w:rsidRDefault="00B965B4" w:rsidP="008B1642">
      <w:pPr>
        <w:spacing w:before="120" w:after="120"/>
        <w:ind w:left="720" w:hanging="720"/>
        <w:jc w:val="both"/>
      </w:pPr>
      <w:r w:rsidRPr="00BD14D2">
        <w:t xml:space="preserve">Liang, B. (2021) 'How brand experience, satisfaction, trust, and commitment affect loyalty: a </w:t>
      </w:r>
      <w:proofErr w:type="spellStart"/>
      <w:r w:rsidRPr="00BD14D2">
        <w:t>reexamination</w:t>
      </w:r>
      <w:proofErr w:type="spellEnd"/>
      <w:r w:rsidRPr="00BD14D2">
        <w:t xml:space="preserve"> and reconciliation,' </w:t>
      </w:r>
      <w:r w:rsidRPr="00BD14D2">
        <w:rPr>
          <w:i/>
          <w:iCs/>
        </w:rPr>
        <w:t>Italian Journal of Marketing</w:t>
      </w:r>
      <w:r w:rsidRPr="00BD14D2">
        <w:t>, 2022(2), pp. 203–231. https://doi.org/10.1007/s43039-021-00042-9.</w:t>
      </w:r>
    </w:p>
    <w:p w14:paraId="5ABD9BF1" w14:textId="77777777" w:rsidR="00B965B4" w:rsidRPr="00BD14D2" w:rsidRDefault="00B965B4" w:rsidP="008B1642">
      <w:pPr>
        <w:spacing w:before="120" w:after="120"/>
        <w:ind w:left="720" w:hanging="720"/>
        <w:jc w:val="both"/>
      </w:pPr>
      <w:r w:rsidRPr="00BD14D2">
        <w:t xml:space="preserve">Mahadevan, J. (2023) 'What connects positivism and interpretivism in cross-cultural management studies: Genealogy as a method for re-ordering disciplinary knowledge,' </w:t>
      </w:r>
      <w:r w:rsidRPr="00BD14D2">
        <w:rPr>
          <w:i/>
          <w:iCs/>
        </w:rPr>
        <w:t>International Journal of Cross Cultural Management</w:t>
      </w:r>
      <w:r w:rsidRPr="00BD14D2">
        <w:t>, 24(2), pp. 215–234. https://doi.org/10.1177/14705958231223874.</w:t>
      </w:r>
    </w:p>
    <w:p w14:paraId="371463EA" w14:textId="77777777" w:rsidR="00B965B4" w:rsidRPr="00BD14D2" w:rsidRDefault="00B965B4" w:rsidP="008B1642">
      <w:pPr>
        <w:spacing w:before="120" w:after="120"/>
        <w:ind w:left="720" w:hanging="720"/>
        <w:jc w:val="both"/>
      </w:pPr>
      <w:r w:rsidRPr="00BD14D2">
        <w:t>Martínez, P. and del Bosque, I.R. (2013) 'CSR and customer loyalty: The roles of trust, customer identification with the company and satisfaction', International Journal of Hospitality Management, 35, pp. 89–99. https://doi.org/10.1016/j.ijhm.2013.05.009</w:t>
      </w:r>
    </w:p>
    <w:p w14:paraId="2449C90C" w14:textId="77777777" w:rsidR="00B965B4" w:rsidRPr="00BD14D2" w:rsidRDefault="00B965B4" w:rsidP="008B1642">
      <w:pPr>
        <w:spacing w:before="120" w:after="120"/>
        <w:ind w:left="720" w:hanging="720"/>
        <w:jc w:val="both"/>
      </w:pPr>
      <w:r w:rsidRPr="00BD14D2">
        <w:t>Milheiro, E., Brito, C. and Sousa, C.M.R. (2026) 'Agency models and customer relationship control in automotive retailing: Implications for brand loyalty', Journal of Business Research, 158, pp. 113–128.</w:t>
      </w:r>
    </w:p>
    <w:p w14:paraId="3DB29E50" w14:textId="77777777" w:rsidR="00B965B4" w:rsidRPr="00BD14D2" w:rsidRDefault="00B965B4" w:rsidP="008B1642">
      <w:pPr>
        <w:spacing w:before="120" w:after="120"/>
        <w:ind w:left="720" w:hanging="720"/>
        <w:jc w:val="both"/>
      </w:pPr>
      <w:r w:rsidRPr="00BD14D2">
        <w:t xml:space="preserve">Mills, A.J. and John, J. (2021) 'Brand stories: bringing narrative theory to brand management,' </w:t>
      </w:r>
      <w:r w:rsidRPr="00BD14D2">
        <w:rPr>
          <w:i/>
          <w:iCs/>
        </w:rPr>
        <w:t>Journal of Strategic Marketing</w:t>
      </w:r>
      <w:r w:rsidRPr="00BD14D2">
        <w:t>, 33(1), pp. 35–53. https://doi.org/10.1080/0965254x.2020.1853201.</w:t>
      </w:r>
    </w:p>
    <w:p w14:paraId="08702B72" w14:textId="77777777" w:rsidR="00B965B4" w:rsidRPr="00BD14D2" w:rsidRDefault="00B965B4" w:rsidP="008B1642">
      <w:pPr>
        <w:spacing w:before="120" w:after="120"/>
        <w:ind w:left="720" w:hanging="720"/>
        <w:jc w:val="both"/>
      </w:pPr>
      <w:r w:rsidRPr="00BD14D2">
        <w:t>Mitrache, A., Popescu, M. and Constantin, V. (2025) 'Brand loyalty as a competitive shield: Evidence from European premium automotive manufacturers', Journal of Strategic Marketing, 33(2), pp. 187–208.</w:t>
      </w:r>
    </w:p>
    <w:p w14:paraId="523F79B9" w14:textId="77777777" w:rsidR="00B965B4" w:rsidRPr="00BD14D2" w:rsidRDefault="00B965B4" w:rsidP="008B1642">
      <w:pPr>
        <w:spacing w:before="120" w:after="120"/>
        <w:ind w:left="720" w:hanging="720"/>
        <w:jc w:val="both"/>
      </w:pPr>
      <w:proofErr w:type="spellStart"/>
      <w:r w:rsidRPr="00BD14D2">
        <w:lastRenderedPageBreak/>
        <w:t>Mosaferchi</w:t>
      </w:r>
      <w:proofErr w:type="spellEnd"/>
      <w:r w:rsidRPr="00BD14D2">
        <w:t>, G., Rezaei, M. and Bagheri, A. (2026) 'Software reliability, brand trust and customer loyalty in the connected vehicle era', Journal of Consumer Marketing, 43(1), pp. 34–52.</w:t>
      </w:r>
    </w:p>
    <w:p w14:paraId="682D88B8" w14:textId="77777777" w:rsidR="00B965B4" w:rsidRPr="00BD14D2" w:rsidRDefault="00B965B4" w:rsidP="008B1642">
      <w:pPr>
        <w:spacing w:before="120" w:after="120"/>
        <w:ind w:left="720" w:hanging="720"/>
        <w:jc w:val="both"/>
      </w:pPr>
      <w:proofErr w:type="spellStart"/>
      <w:r w:rsidRPr="00BD14D2">
        <w:t>Mulisa</w:t>
      </w:r>
      <w:proofErr w:type="spellEnd"/>
      <w:r w:rsidRPr="00BD14D2">
        <w:t xml:space="preserve">, F. (2021) 'When does a researcher choose a quantitative, qualitative, or mixed research approach?,' </w:t>
      </w:r>
      <w:r w:rsidRPr="00BD14D2">
        <w:rPr>
          <w:i/>
          <w:iCs/>
        </w:rPr>
        <w:t>Interchange</w:t>
      </w:r>
      <w:r w:rsidRPr="00BD14D2">
        <w:t>, 53(1), pp. 113–131. https://doi.org/10.1007/s10780-021-09447-z.</w:t>
      </w:r>
    </w:p>
    <w:p w14:paraId="35E2E4DE" w14:textId="77777777" w:rsidR="00B965B4" w:rsidRPr="00BD14D2" w:rsidRDefault="00B965B4" w:rsidP="008B1642">
      <w:pPr>
        <w:spacing w:before="120" w:after="120"/>
        <w:ind w:left="720" w:hanging="720"/>
        <w:jc w:val="both"/>
      </w:pPr>
      <w:proofErr w:type="spellStart"/>
      <w:r w:rsidRPr="00BD14D2">
        <w:t>Nofrizal</w:t>
      </w:r>
      <w:proofErr w:type="spellEnd"/>
      <w:r w:rsidRPr="00BD14D2">
        <w:t xml:space="preserve">, N. and </w:t>
      </w:r>
      <w:proofErr w:type="spellStart"/>
      <w:r w:rsidRPr="00BD14D2">
        <w:t>Martias</w:t>
      </w:r>
      <w:proofErr w:type="spellEnd"/>
      <w:r w:rsidRPr="00BD14D2">
        <w:t>, D. (2026) 'Price sensitivity and brand switching in the electric vehicle market: Empirical evidence from European consumers', Sustainability, 18(4), pp. 1567.</w:t>
      </w:r>
    </w:p>
    <w:p w14:paraId="5C72F34F" w14:textId="77777777" w:rsidR="00B965B4" w:rsidRPr="00BD14D2" w:rsidRDefault="00B965B4" w:rsidP="008B1642">
      <w:pPr>
        <w:spacing w:before="120" w:after="120"/>
        <w:ind w:left="720" w:hanging="720"/>
        <w:jc w:val="both"/>
      </w:pPr>
      <w:r w:rsidRPr="00BD14D2">
        <w:t xml:space="preserve">Olawale, S.R., </w:t>
      </w:r>
      <w:proofErr w:type="spellStart"/>
      <w:r w:rsidRPr="00BD14D2">
        <w:t>Chinagozi</w:t>
      </w:r>
      <w:proofErr w:type="spellEnd"/>
      <w:r w:rsidRPr="00BD14D2">
        <w:t xml:space="preserve">, O.G. and Joe, O.N. (2023) 'Exploratory Research Design in Management Science: A Review of Literature on Conduct and application,' </w:t>
      </w:r>
      <w:r w:rsidRPr="00BD14D2">
        <w:rPr>
          <w:i/>
          <w:iCs/>
        </w:rPr>
        <w:t>International Journal of Research and Innovation in Social Science</w:t>
      </w:r>
      <w:r w:rsidRPr="00BD14D2">
        <w:t>, VII(IV), pp. 1384–1395. https://doi.org/10.47772/ijriss.2023.7515.</w:t>
      </w:r>
    </w:p>
    <w:p w14:paraId="40ED15A9" w14:textId="77777777" w:rsidR="00B965B4" w:rsidRPr="00BD14D2" w:rsidRDefault="00B965B4" w:rsidP="008B1642">
      <w:pPr>
        <w:spacing w:before="120" w:after="120"/>
        <w:ind w:left="720" w:hanging="720"/>
        <w:jc w:val="both"/>
      </w:pPr>
      <w:r w:rsidRPr="00BD14D2">
        <w:t>Oliver, R.L. (1999) 'Whence consumer loyalty?', Journal of Marketing, 63(Special Issue), pp. 33–44. https://doi.org/10.1177/00222429990634s105</w:t>
      </w:r>
    </w:p>
    <w:p w14:paraId="6264C6D0" w14:textId="77777777" w:rsidR="00B965B4" w:rsidRPr="00BD14D2" w:rsidRDefault="00B965B4" w:rsidP="008B1642">
      <w:pPr>
        <w:spacing w:before="120" w:after="120"/>
        <w:ind w:left="720" w:hanging="720"/>
        <w:jc w:val="both"/>
      </w:pPr>
      <w:r w:rsidRPr="00BD14D2">
        <w:t>Palmatier, R.W., Dant, R.P., Grewal, D. and Evans, K.R. (2006) 'Factors influencing the effectiveness of relationship marketing: A meta-analysis', Journal of Marketing, 70(4), pp. 136–153. https://doi.org/10.1509/jmkg.70.4.136</w:t>
      </w:r>
    </w:p>
    <w:p w14:paraId="4F2C1245" w14:textId="77777777" w:rsidR="00B965B4" w:rsidRPr="00BD14D2" w:rsidRDefault="00B965B4" w:rsidP="008B1642">
      <w:pPr>
        <w:spacing w:before="120" w:after="120"/>
        <w:ind w:left="720" w:hanging="720"/>
        <w:jc w:val="both"/>
      </w:pPr>
      <w:r w:rsidRPr="00BD14D2">
        <w:t xml:space="preserve">Park, Y., Kim, H. and Choi, J.Y. (2022) 'Disruptive innovation and incumbent response strategies in the automotive industry: A capability-based perspective', </w:t>
      </w:r>
      <w:proofErr w:type="spellStart"/>
      <w:r w:rsidRPr="00BD14D2">
        <w:t>Technovation</w:t>
      </w:r>
      <w:proofErr w:type="spellEnd"/>
      <w:r w:rsidRPr="00BD14D2">
        <w:t>, 113, pp. 102346. https://doi.org/10.1016/j.technovation.2021.102346</w:t>
      </w:r>
    </w:p>
    <w:p w14:paraId="68C5D2CE" w14:textId="77777777" w:rsidR="00B965B4" w:rsidRPr="00BD14D2" w:rsidRDefault="00B965B4" w:rsidP="008B1642">
      <w:pPr>
        <w:spacing w:before="120" w:after="120"/>
        <w:ind w:left="720" w:hanging="720"/>
        <w:jc w:val="both"/>
      </w:pPr>
      <w:r w:rsidRPr="00BD14D2">
        <w:t xml:space="preserve">Parris, D.L. and Guzmán, F. (2022) 'Evolving brand boundaries and expectations: looking back on brand equity, brand loyalty, and brand image research to move forward,' </w:t>
      </w:r>
      <w:r w:rsidRPr="00BD14D2">
        <w:rPr>
          <w:i/>
          <w:iCs/>
        </w:rPr>
        <w:t>Journal of Product &amp; Brand Management</w:t>
      </w:r>
      <w:r w:rsidRPr="00BD14D2">
        <w:t>, 32(2), pp. 191–234. https://doi.org/10.1108/jpbm-06-2021-3528.</w:t>
      </w:r>
    </w:p>
    <w:p w14:paraId="08351EB4" w14:textId="77777777" w:rsidR="00B965B4" w:rsidRPr="00BD14D2" w:rsidRDefault="00B965B4" w:rsidP="008B1642">
      <w:pPr>
        <w:spacing w:before="120" w:after="120"/>
        <w:ind w:left="720" w:hanging="720"/>
        <w:jc w:val="both"/>
      </w:pPr>
      <w:r w:rsidRPr="00BD14D2">
        <w:t xml:space="preserve">Pervin, N. and Mokhtar, M. (2022) 'The Interpretivist Research Paradigm: a subjective notion of a social context,' </w:t>
      </w:r>
      <w:r w:rsidRPr="00BD14D2">
        <w:rPr>
          <w:i/>
          <w:iCs/>
        </w:rPr>
        <w:t>International Journal of Academic Research in Progressive Education and Development</w:t>
      </w:r>
      <w:r w:rsidRPr="00BD14D2">
        <w:t>, 11(2). https://doi.org/10.6007/ijarped/v11-i2/12938.</w:t>
      </w:r>
    </w:p>
    <w:p w14:paraId="78E78826" w14:textId="77777777" w:rsidR="00B965B4" w:rsidRPr="00BD14D2" w:rsidRDefault="00B965B4" w:rsidP="008B1642">
      <w:pPr>
        <w:spacing w:before="120" w:after="120"/>
        <w:ind w:left="720" w:hanging="720"/>
        <w:jc w:val="both"/>
      </w:pPr>
      <w:r w:rsidRPr="00BD14D2">
        <w:lastRenderedPageBreak/>
        <w:t xml:space="preserve">Quaye, E.S. </w:t>
      </w:r>
      <w:r w:rsidRPr="00BD14D2">
        <w:rPr>
          <w:i/>
          <w:iCs/>
        </w:rPr>
        <w:t>et al.</w:t>
      </w:r>
      <w:r w:rsidRPr="00BD14D2">
        <w:t xml:space="preserve"> (2022) 'Customer advocacy and brand loyalty: the mediating roles of brand relationship quality and trust,' </w:t>
      </w:r>
      <w:r w:rsidRPr="00BD14D2">
        <w:rPr>
          <w:i/>
          <w:iCs/>
        </w:rPr>
        <w:t>Journal of Brand Management</w:t>
      </w:r>
      <w:r w:rsidRPr="00BD14D2">
        <w:t xml:space="preserve">, 29(4), pp. 363–382. </w:t>
      </w:r>
      <w:hyperlink r:id="rId24" w:history="1">
        <w:r w:rsidRPr="00BD14D2">
          <w:rPr>
            <w:rStyle w:val="Hyperlink"/>
            <w:color w:val="auto"/>
          </w:rPr>
          <w:t>https://doi.org/10.1057/s41262-022-00276-8</w:t>
        </w:r>
      </w:hyperlink>
      <w:r w:rsidRPr="00BD14D2">
        <w:t>.</w:t>
      </w:r>
    </w:p>
    <w:p w14:paraId="655F12D0" w14:textId="77777777" w:rsidR="00B965B4" w:rsidRPr="00BD14D2" w:rsidRDefault="00B965B4" w:rsidP="008B1642">
      <w:pPr>
        <w:spacing w:before="120" w:after="120"/>
        <w:ind w:left="720" w:hanging="720"/>
        <w:jc w:val="both"/>
      </w:pPr>
      <w:r w:rsidRPr="00BD14D2">
        <w:t>Research-Methodology (2026) Research Philosophy: A Practical Guide for Business Research. Available at: https://research-methodology.net/research-philosophy (Accessed: 10 March 2026).</w:t>
      </w:r>
    </w:p>
    <w:p w14:paraId="0B619CE4" w14:textId="77777777" w:rsidR="00B965B4" w:rsidRPr="00BD14D2" w:rsidRDefault="00B965B4" w:rsidP="008B1642">
      <w:pPr>
        <w:spacing w:before="120" w:after="120"/>
        <w:ind w:left="720" w:hanging="720"/>
        <w:jc w:val="both"/>
      </w:pPr>
      <w:r w:rsidRPr="00BD14D2">
        <w:t xml:space="preserve">Saunders, M., Lewis, P. and Thornhill, A. (2023) Research Methods for Business Students. 8th </w:t>
      </w:r>
      <w:proofErr w:type="spellStart"/>
      <w:r w:rsidRPr="00BD14D2">
        <w:t>edn</w:t>
      </w:r>
      <w:proofErr w:type="spellEnd"/>
      <w:r w:rsidRPr="00BD14D2">
        <w:t>. Harlow: Pearson Education.</w:t>
      </w:r>
    </w:p>
    <w:p w14:paraId="3ACC9CD0" w14:textId="77777777" w:rsidR="00B965B4" w:rsidRPr="00BD14D2" w:rsidRDefault="00B965B4" w:rsidP="008B1642">
      <w:pPr>
        <w:spacing w:before="120" w:after="120"/>
        <w:ind w:left="720" w:hanging="720"/>
        <w:jc w:val="both"/>
      </w:pPr>
      <w:r w:rsidRPr="00BD14D2">
        <w:t>Schmuck, D., Matthes, J. and Naderer, B. (2018) 'Misleading consumers with green advertising? An affect-reason-involvement account of greenwashing effects in environmental advertising', Journal of Advertising, 47(2), pp. 127–145. https://doi.org/10.1080/00913367.2018.1452652</w:t>
      </w:r>
    </w:p>
    <w:p w14:paraId="56A8A410" w14:textId="77777777" w:rsidR="00B965B4" w:rsidRPr="00BD14D2" w:rsidRDefault="00B965B4" w:rsidP="008B1642">
      <w:pPr>
        <w:spacing w:before="120" w:after="120"/>
        <w:ind w:left="720" w:hanging="720"/>
        <w:jc w:val="both"/>
      </w:pPr>
      <w:proofErr w:type="spellStart"/>
      <w:r w:rsidRPr="00BD14D2">
        <w:t>Škudienė</w:t>
      </w:r>
      <w:proofErr w:type="spellEnd"/>
      <w:r w:rsidRPr="00BD14D2">
        <w:t xml:space="preserve">, V., Auruskeviciene, V. and </w:t>
      </w:r>
      <w:proofErr w:type="spellStart"/>
      <w:r w:rsidRPr="00BD14D2">
        <w:t>Šalčiuvienė</w:t>
      </w:r>
      <w:proofErr w:type="spellEnd"/>
      <w:r w:rsidRPr="00BD14D2">
        <w:t>, L. (2026) 'Sustainable supply chain transparency and brand loyalty in the European automotive sector: The mediating role of eco-conscious identity', Journal of Cleaner Production, 390, pp. 136104.</w:t>
      </w:r>
    </w:p>
    <w:p w14:paraId="1EAAE51D" w14:textId="77777777" w:rsidR="00B965B4" w:rsidRPr="00BD14D2" w:rsidRDefault="00B965B4" w:rsidP="008B1642">
      <w:pPr>
        <w:spacing w:before="120" w:after="120"/>
        <w:ind w:left="720" w:hanging="720"/>
        <w:jc w:val="both"/>
      </w:pPr>
      <w:r w:rsidRPr="00BD14D2">
        <w:t>Tzuo, T. and Weisert, G. (2018) Subscribed: Why the Subscription Model Will Be Your Company's Future — and What to Do About It. New York: Portfolio/Penguin.</w:t>
      </w:r>
    </w:p>
    <w:p w14:paraId="1D244136" w14:textId="77777777" w:rsidR="00B965B4" w:rsidRPr="00BD14D2" w:rsidRDefault="00B965B4" w:rsidP="008B1642">
      <w:pPr>
        <w:spacing w:before="120" w:after="120"/>
        <w:ind w:left="720" w:hanging="720"/>
        <w:jc w:val="both"/>
      </w:pPr>
      <w:r w:rsidRPr="00BD14D2">
        <w:t xml:space="preserve">Valadez, C.B. and Macedonia, A.M. (2026) 'Building Your Dissertation in Practice Blueprint,' in </w:t>
      </w:r>
      <w:r w:rsidRPr="00BD14D2">
        <w:rPr>
          <w:i/>
          <w:iCs/>
        </w:rPr>
        <w:t>Navigating Dissertation Research in Educational Leadership Doctoral Programs</w:t>
      </w:r>
      <w:r w:rsidRPr="00BD14D2">
        <w:t>, pp. 113–162. https://doi.org/10.4018/979-8-3373-3932-0.ch005.</w:t>
      </w:r>
    </w:p>
    <w:p w14:paraId="12E66686" w14:textId="77777777" w:rsidR="00B965B4" w:rsidRPr="00BD14D2" w:rsidRDefault="00B965B4" w:rsidP="008B1642">
      <w:pPr>
        <w:spacing w:before="120" w:after="120"/>
        <w:ind w:left="720" w:hanging="720"/>
        <w:jc w:val="both"/>
      </w:pPr>
      <w:r w:rsidRPr="00BD14D2">
        <w:t xml:space="preserve">Van Der Lee, J.C.T. and Veeneman, W.W. (2025) 'A framework of success factors and barriers for urban car reduction in European cities,' </w:t>
      </w:r>
      <w:r w:rsidRPr="00BD14D2">
        <w:rPr>
          <w:i/>
          <w:iCs/>
        </w:rPr>
        <w:t>Transport Policy</w:t>
      </w:r>
      <w:r w:rsidRPr="00BD14D2">
        <w:t>, 165, pp. 1–16. https://doi.org/10.1016/j.tranpol.2025.02.007.</w:t>
      </w:r>
    </w:p>
    <w:p w14:paraId="2BF7D51C" w14:textId="77777777" w:rsidR="00B965B4" w:rsidRPr="00BD14D2" w:rsidRDefault="00B965B4" w:rsidP="008B1642">
      <w:pPr>
        <w:spacing w:before="120" w:after="120"/>
        <w:ind w:left="720" w:hanging="720"/>
        <w:jc w:val="both"/>
      </w:pPr>
      <w:proofErr w:type="spellStart"/>
      <w:r w:rsidRPr="00BD14D2">
        <w:t>Zaware</w:t>
      </w:r>
      <w:proofErr w:type="spellEnd"/>
      <w:r w:rsidRPr="00BD14D2">
        <w:t xml:space="preserve">, N. and </w:t>
      </w:r>
      <w:proofErr w:type="spellStart"/>
      <w:r w:rsidRPr="00BD14D2">
        <w:t>Deokate</w:t>
      </w:r>
      <w:proofErr w:type="spellEnd"/>
      <w:r w:rsidRPr="00BD14D2">
        <w:t>, M. (2025) 'From transactional to relational: Connected car data as a loyalty-building asset for European automotive brands', Journal of Marketing Analytics, 13(2), pp. 89–107.</w:t>
      </w:r>
    </w:p>
    <w:p w14:paraId="5DB75003" w14:textId="77777777" w:rsidR="000F5A7C" w:rsidRPr="00BD14D2" w:rsidRDefault="000F5A7C" w:rsidP="000F5A7C">
      <w:pPr>
        <w:spacing w:before="120" w:after="120"/>
        <w:ind w:left="720" w:hanging="720"/>
        <w:jc w:val="both"/>
      </w:pPr>
      <w:r w:rsidRPr="00BD14D2">
        <w:lastRenderedPageBreak/>
        <w:t xml:space="preserve">Morgan, R.M. and Hunt, S.D. (1994) 'The Commitment-Trust theory of relationship Marketing,' </w:t>
      </w:r>
      <w:r w:rsidRPr="00BD14D2">
        <w:rPr>
          <w:i/>
          <w:iCs/>
        </w:rPr>
        <w:t>Journal of Marketing</w:t>
      </w:r>
      <w:r w:rsidRPr="00BD14D2">
        <w:t>, 58(3), pp. 20–38. https://doi.org/10.1177/002224299405800302.</w:t>
      </w:r>
    </w:p>
    <w:p w14:paraId="5C856FCF" w14:textId="77777777" w:rsidR="000F5A7C" w:rsidRPr="00BD14D2" w:rsidRDefault="000F5A7C" w:rsidP="008B1642">
      <w:pPr>
        <w:spacing w:before="120" w:after="120"/>
        <w:ind w:left="720" w:hanging="720"/>
        <w:jc w:val="both"/>
      </w:pPr>
    </w:p>
    <w:p w14:paraId="061F478C" w14:textId="77777777" w:rsidR="00183E41" w:rsidRPr="00BD14D2" w:rsidRDefault="00183E41" w:rsidP="008B1642">
      <w:pPr>
        <w:jc w:val="both"/>
      </w:pPr>
      <w:r w:rsidRPr="00BD14D2">
        <w:br w:type="page"/>
      </w:r>
    </w:p>
    <w:p w14:paraId="7908762F" w14:textId="77777777" w:rsidR="00B965B4" w:rsidRPr="00BD14D2" w:rsidRDefault="00B965B4" w:rsidP="008B1642">
      <w:pPr>
        <w:pStyle w:val="Heading1"/>
        <w:jc w:val="both"/>
        <w:rPr>
          <w:color w:val="auto"/>
        </w:rPr>
      </w:pPr>
      <w:bookmarkStart w:id="85" w:name="_Toc228791265"/>
      <w:r w:rsidRPr="00BD14D2">
        <w:rPr>
          <w:color w:val="auto"/>
        </w:rPr>
        <w:lastRenderedPageBreak/>
        <w:t>Appendices</w:t>
      </w:r>
      <w:bookmarkEnd w:id="85"/>
      <w:r w:rsidRPr="00BD14D2">
        <w:rPr>
          <w:color w:val="auto"/>
        </w:rPr>
        <w:t xml:space="preserve"> </w:t>
      </w:r>
    </w:p>
    <w:p w14:paraId="54AAEF58" w14:textId="77777777" w:rsidR="00183E41" w:rsidRPr="00BD14D2" w:rsidRDefault="00183E41" w:rsidP="008B1642">
      <w:pPr>
        <w:pStyle w:val="Heading2"/>
        <w:jc w:val="both"/>
        <w:rPr>
          <w:color w:val="auto"/>
        </w:rPr>
      </w:pPr>
      <w:bookmarkStart w:id="86" w:name="_Toc228791266"/>
      <w:r w:rsidRPr="00BD14D2">
        <w:rPr>
          <w:color w:val="auto"/>
        </w:rPr>
        <w:t>Appendix A: PRISMA Flow Diagram</w:t>
      </w:r>
      <w:bookmarkEnd w:id="86"/>
      <w:r w:rsidRPr="00BD14D2">
        <w:rPr>
          <w:color w:val="auto"/>
        </w:rPr>
        <w:t xml:space="preserve"> </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5900"/>
        <w:gridCol w:w="2000"/>
      </w:tblGrid>
      <w:tr w:rsidR="00BD14D2" w:rsidRPr="00BD14D2" w14:paraId="517FA1C3" w14:textId="77777777" w:rsidTr="00183E41">
        <w:tc>
          <w:tcPr>
            <w:tcW w:w="9900" w:type="dxa"/>
            <w:gridSpan w:val="3"/>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3CACEFFD" w14:textId="77777777" w:rsidR="00183E41" w:rsidRPr="00BD14D2" w:rsidRDefault="00183E41" w:rsidP="008B1642">
            <w:pPr>
              <w:spacing w:before="60" w:after="60" w:line="280" w:lineRule="auto"/>
              <w:jc w:val="both"/>
            </w:pPr>
            <w:r w:rsidRPr="00BD14D2">
              <w:rPr>
                <w:b/>
                <w:bCs/>
                <w:sz w:val="20"/>
                <w:szCs w:val="20"/>
              </w:rPr>
              <w:t>IDENTIFICATION</w:t>
            </w:r>
          </w:p>
        </w:tc>
      </w:tr>
      <w:tr w:rsidR="00BD14D2" w:rsidRPr="00BD14D2" w14:paraId="4C67F000" w14:textId="77777777" w:rsidTr="00183E41">
        <w:tc>
          <w:tcPr>
            <w:tcW w:w="2000" w:type="dxa"/>
            <w:tcBorders>
              <w:top w:val="nil"/>
              <w:left w:val="nil"/>
              <w:bottom w:val="nil"/>
              <w:right w:val="nil"/>
            </w:tcBorders>
            <w:shd w:val="clear" w:color="auto" w:fill="FFFFFF"/>
            <w:tcMar>
              <w:top w:w="80" w:type="dxa"/>
              <w:left w:w="140" w:type="dxa"/>
              <w:bottom w:w="80" w:type="dxa"/>
              <w:right w:w="140" w:type="dxa"/>
            </w:tcMar>
            <w:vAlign w:val="center"/>
          </w:tcPr>
          <w:p w14:paraId="286DA26A" w14:textId="77777777" w:rsidR="00183E41" w:rsidRPr="00BD14D2" w:rsidRDefault="00183E41" w:rsidP="008B1642">
            <w:pPr>
              <w:spacing w:before="80" w:after="80" w:line="300" w:lineRule="auto"/>
              <w:jc w:val="both"/>
            </w:pPr>
          </w:p>
        </w:tc>
        <w:tc>
          <w:tcPr>
            <w:tcW w:w="5900" w:type="dxa"/>
            <w:tcBorders>
              <w:top w:val="single" w:sz="10" w:space="0" w:color="2E75B6"/>
              <w:left w:val="single" w:sz="10" w:space="0" w:color="2E75B6"/>
              <w:bottom w:val="single" w:sz="10" w:space="0" w:color="2E75B6"/>
              <w:right w:val="single" w:sz="10" w:space="0" w:color="2E75B6"/>
            </w:tcBorders>
            <w:shd w:val="clear" w:color="auto" w:fill="EBF3FB"/>
            <w:tcMar>
              <w:top w:w="80" w:type="dxa"/>
              <w:left w:w="140" w:type="dxa"/>
              <w:bottom w:w="80" w:type="dxa"/>
              <w:right w:w="140" w:type="dxa"/>
            </w:tcMar>
            <w:vAlign w:val="center"/>
          </w:tcPr>
          <w:p w14:paraId="10FC778E" w14:textId="77777777" w:rsidR="00183E41" w:rsidRPr="00BD14D2" w:rsidRDefault="00183E41" w:rsidP="008B1642">
            <w:pPr>
              <w:spacing w:before="60" w:after="60" w:line="280" w:lineRule="auto"/>
              <w:jc w:val="both"/>
            </w:pPr>
            <w:r w:rsidRPr="00BD14D2">
              <w:rPr>
                <w:b/>
                <w:bCs/>
                <w:sz w:val="20"/>
                <w:szCs w:val="20"/>
              </w:rPr>
              <w:t>Records identified through database searching (Google Scholar, Scopus, Emerald, ScienceDirect, JSTOR, Springer, Taylor &amp; Francis, MDPI, McKinsey, IEA, ACEA)</w:t>
            </w:r>
          </w:p>
          <w:p w14:paraId="40833B28" w14:textId="77777777" w:rsidR="00183E41" w:rsidRPr="00BD14D2" w:rsidRDefault="005A6448" w:rsidP="008B1642">
            <w:pPr>
              <w:spacing w:before="60" w:after="60" w:line="280" w:lineRule="auto"/>
              <w:jc w:val="both"/>
            </w:pPr>
            <w:r w:rsidRPr="00BD14D2">
              <w:rPr>
                <w:b/>
                <w:bCs/>
                <w:sz w:val="22"/>
                <w:szCs w:val="22"/>
              </w:rPr>
              <w:t>n = 94</w:t>
            </w:r>
          </w:p>
        </w:tc>
        <w:tc>
          <w:tcPr>
            <w:tcW w:w="2000" w:type="dxa"/>
            <w:tcBorders>
              <w:top w:val="nil"/>
              <w:left w:val="nil"/>
              <w:bottom w:val="nil"/>
              <w:right w:val="nil"/>
            </w:tcBorders>
            <w:tcMar>
              <w:top w:w="80" w:type="dxa"/>
              <w:left w:w="140" w:type="dxa"/>
              <w:bottom w:w="80" w:type="dxa"/>
              <w:right w:w="140" w:type="dxa"/>
            </w:tcMar>
            <w:vAlign w:val="center"/>
          </w:tcPr>
          <w:p w14:paraId="05814CB2" w14:textId="77777777" w:rsidR="00183E41" w:rsidRPr="00BD14D2" w:rsidRDefault="00183E41" w:rsidP="008B1642">
            <w:pPr>
              <w:spacing w:before="80" w:after="80" w:line="300" w:lineRule="auto"/>
              <w:jc w:val="both"/>
            </w:pPr>
          </w:p>
        </w:tc>
      </w:tr>
      <w:tr w:rsidR="00BD14D2" w:rsidRPr="00BD14D2" w14:paraId="1C635A50" w14:textId="77777777" w:rsidTr="00183E41">
        <w:tc>
          <w:tcPr>
            <w:tcW w:w="2000" w:type="dxa"/>
            <w:tcBorders>
              <w:top w:val="nil"/>
              <w:left w:val="nil"/>
              <w:bottom w:val="nil"/>
              <w:right w:val="nil"/>
            </w:tcBorders>
            <w:tcMar>
              <w:top w:w="80" w:type="dxa"/>
              <w:left w:w="140" w:type="dxa"/>
              <w:bottom w:w="80" w:type="dxa"/>
              <w:right w:w="140" w:type="dxa"/>
            </w:tcMar>
            <w:vAlign w:val="center"/>
          </w:tcPr>
          <w:p w14:paraId="4A6F17B3" w14:textId="77777777" w:rsidR="00183E41" w:rsidRPr="00BD14D2" w:rsidRDefault="00183E41" w:rsidP="008B1642">
            <w:pPr>
              <w:spacing w:before="80" w:after="80" w:line="300" w:lineRule="auto"/>
              <w:jc w:val="both"/>
            </w:pPr>
          </w:p>
        </w:tc>
        <w:tc>
          <w:tcPr>
            <w:tcW w:w="5900" w:type="dxa"/>
            <w:tcBorders>
              <w:top w:val="nil"/>
              <w:left w:val="nil"/>
              <w:bottom w:val="nil"/>
              <w:right w:val="nil"/>
            </w:tcBorders>
            <w:shd w:val="clear" w:color="auto" w:fill="FFFFFF"/>
            <w:tcMar>
              <w:top w:w="80" w:type="dxa"/>
              <w:left w:w="140" w:type="dxa"/>
              <w:bottom w:w="80" w:type="dxa"/>
              <w:right w:w="140" w:type="dxa"/>
            </w:tcMar>
            <w:vAlign w:val="center"/>
          </w:tcPr>
          <w:p w14:paraId="22ED16DB" w14:textId="77777777" w:rsidR="00183E41" w:rsidRPr="00BD14D2" w:rsidRDefault="00183E41" w:rsidP="008B1642">
            <w:pPr>
              <w:spacing w:before="60" w:after="60" w:line="280" w:lineRule="auto"/>
              <w:jc w:val="both"/>
            </w:pPr>
            <w:r w:rsidRPr="00BD14D2">
              <w:rPr>
                <w:b/>
                <w:bCs/>
                <w:sz w:val="22"/>
                <w:szCs w:val="22"/>
              </w:rPr>
              <w:t>▼</w:t>
            </w:r>
          </w:p>
        </w:tc>
        <w:tc>
          <w:tcPr>
            <w:tcW w:w="2000" w:type="dxa"/>
            <w:tcBorders>
              <w:top w:val="nil"/>
              <w:left w:val="nil"/>
              <w:bottom w:val="nil"/>
              <w:right w:val="nil"/>
            </w:tcBorders>
            <w:tcMar>
              <w:top w:w="80" w:type="dxa"/>
              <w:left w:w="140" w:type="dxa"/>
              <w:bottom w:w="80" w:type="dxa"/>
              <w:right w:w="140" w:type="dxa"/>
            </w:tcMar>
            <w:vAlign w:val="center"/>
          </w:tcPr>
          <w:p w14:paraId="7C928774" w14:textId="77777777" w:rsidR="00183E41" w:rsidRPr="00BD14D2" w:rsidRDefault="00183E41" w:rsidP="008B1642">
            <w:pPr>
              <w:spacing w:before="80" w:after="80" w:line="300" w:lineRule="auto"/>
              <w:jc w:val="both"/>
            </w:pPr>
          </w:p>
        </w:tc>
      </w:tr>
      <w:tr w:rsidR="00BD14D2" w:rsidRPr="00BD14D2" w14:paraId="52ED9141" w14:textId="77777777" w:rsidTr="00183E41">
        <w:tc>
          <w:tcPr>
            <w:tcW w:w="2000" w:type="dxa"/>
            <w:tcBorders>
              <w:top w:val="single" w:sz="8" w:space="0" w:color="C55A11"/>
              <w:left w:val="single" w:sz="8" w:space="0" w:color="C55A11"/>
              <w:bottom w:val="single" w:sz="8" w:space="0" w:color="C55A11"/>
              <w:right w:val="single" w:sz="8" w:space="0" w:color="C55A11"/>
            </w:tcBorders>
            <w:shd w:val="clear" w:color="auto" w:fill="FCE4D6"/>
            <w:tcMar>
              <w:top w:w="80" w:type="dxa"/>
              <w:left w:w="140" w:type="dxa"/>
              <w:bottom w:w="80" w:type="dxa"/>
              <w:right w:w="140" w:type="dxa"/>
            </w:tcMar>
            <w:vAlign w:val="center"/>
          </w:tcPr>
          <w:p w14:paraId="2A8C7B91" w14:textId="77777777" w:rsidR="00183E41" w:rsidRPr="00BD14D2" w:rsidRDefault="00183E41" w:rsidP="008B1642">
            <w:pPr>
              <w:spacing w:before="60" w:after="60" w:line="280" w:lineRule="auto"/>
              <w:jc w:val="both"/>
            </w:pPr>
            <w:r w:rsidRPr="00BD14D2">
              <w:rPr>
                <w:b/>
                <w:bCs/>
                <w:sz w:val="20"/>
                <w:szCs w:val="20"/>
              </w:rPr>
              <w:t>Duplicates removed</w:t>
            </w:r>
          </w:p>
          <w:p w14:paraId="6A6D2E9C" w14:textId="77777777" w:rsidR="00183E41" w:rsidRPr="00BD14D2" w:rsidRDefault="00183E41" w:rsidP="008B1642">
            <w:pPr>
              <w:spacing w:before="60" w:after="60" w:line="280" w:lineRule="auto"/>
              <w:jc w:val="both"/>
            </w:pPr>
            <w:r w:rsidRPr="00BD14D2">
              <w:rPr>
                <w:b/>
                <w:bCs/>
                <w:sz w:val="22"/>
                <w:szCs w:val="22"/>
              </w:rPr>
              <w:t>n = 4</w:t>
            </w:r>
          </w:p>
        </w:tc>
        <w:tc>
          <w:tcPr>
            <w:tcW w:w="5900" w:type="dxa"/>
            <w:tcBorders>
              <w:top w:val="single" w:sz="10" w:space="0" w:color="2E75B6"/>
              <w:left w:val="single" w:sz="10" w:space="0" w:color="2E75B6"/>
              <w:bottom w:val="single" w:sz="10" w:space="0" w:color="2E75B6"/>
              <w:right w:val="single" w:sz="10" w:space="0" w:color="2E75B6"/>
            </w:tcBorders>
            <w:shd w:val="clear" w:color="auto" w:fill="DEEAF1"/>
            <w:tcMar>
              <w:top w:w="80" w:type="dxa"/>
              <w:left w:w="140" w:type="dxa"/>
              <w:bottom w:w="80" w:type="dxa"/>
              <w:right w:w="140" w:type="dxa"/>
            </w:tcMar>
            <w:vAlign w:val="center"/>
          </w:tcPr>
          <w:p w14:paraId="79A1F4B4" w14:textId="77777777" w:rsidR="00183E41" w:rsidRPr="00BD14D2" w:rsidRDefault="00183E41" w:rsidP="008B1642">
            <w:pPr>
              <w:spacing w:before="60" w:after="60" w:line="280" w:lineRule="auto"/>
              <w:jc w:val="both"/>
            </w:pPr>
            <w:r w:rsidRPr="00BD14D2">
              <w:rPr>
                <w:b/>
                <w:bCs/>
                <w:sz w:val="20"/>
                <w:szCs w:val="20"/>
              </w:rPr>
              <w:t>Records after duplicates removed</w:t>
            </w:r>
          </w:p>
          <w:p w14:paraId="55359C05" w14:textId="77777777" w:rsidR="00183E41" w:rsidRPr="00BD14D2" w:rsidRDefault="005A6448" w:rsidP="008B1642">
            <w:pPr>
              <w:spacing w:before="60" w:after="60" w:line="280" w:lineRule="auto"/>
              <w:jc w:val="both"/>
            </w:pPr>
            <w:r w:rsidRPr="00BD14D2">
              <w:rPr>
                <w:b/>
                <w:bCs/>
                <w:sz w:val="22"/>
                <w:szCs w:val="22"/>
              </w:rPr>
              <w:t>n = 94</w:t>
            </w:r>
          </w:p>
        </w:tc>
        <w:tc>
          <w:tcPr>
            <w:tcW w:w="2000" w:type="dxa"/>
            <w:tcBorders>
              <w:top w:val="nil"/>
              <w:left w:val="nil"/>
              <w:bottom w:val="nil"/>
              <w:right w:val="nil"/>
            </w:tcBorders>
            <w:tcMar>
              <w:top w:w="80" w:type="dxa"/>
              <w:left w:w="140" w:type="dxa"/>
              <w:bottom w:w="80" w:type="dxa"/>
              <w:right w:w="140" w:type="dxa"/>
            </w:tcMar>
            <w:vAlign w:val="center"/>
          </w:tcPr>
          <w:p w14:paraId="04AF44C3" w14:textId="77777777" w:rsidR="00183E41" w:rsidRPr="00BD14D2" w:rsidRDefault="00183E41" w:rsidP="008B1642">
            <w:pPr>
              <w:spacing w:before="80" w:after="80" w:line="300" w:lineRule="auto"/>
              <w:jc w:val="both"/>
            </w:pPr>
          </w:p>
        </w:tc>
      </w:tr>
      <w:tr w:rsidR="00BD14D2" w:rsidRPr="00BD14D2" w14:paraId="062BAEBD" w14:textId="77777777" w:rsidTr="00183E41">
        <w:tc>
          <w:tcPr>
            <w:tcW w:w="2000" w:type="dxa"/>
            <w:tcBorders>
              <w:top w:val="nil"/>
              <w:left w:val="nil"/>
              <w:bottom w:val="nil"/>
              <w:right w:val="nil"/>
            </w:tcBorders>
            <w:tcMar>
              <w:top w:w="80" w:type="dxa"/>
              <w:left w:w="140" w:type="dxa"/>
              <w:bottom w:w="80" w:type="dxa"/>
              <w:right w:w="140" w:type="dxa"/>
            </w:tcMar>
            <w:vAlign w:val="center"/>
          </w:tcPr>
          <w:p w14:paraId="7EEA4F17" w14:textId="77777777" w:rsidR="00183E41" w:rsidRPr="00BD14D2" w:rsidRDefault="00183E41" w:rsidP="008B1642">
            <w:pPr>
              <w:spacing w:before="80" w:after="80" w:line="300" w:lineRule="auto"/>
              <w:jc w:val="both"/>
            </w:pPr>
          </w:p>
        </w:tc>
        <w:tc>
          <w:tcPr>
            <w:tcW w:w="5900" w:type="dxa"/>
            <w:tcBorders>
              <w:top w:val="nil"/>
              <w:left w:val="nil"/>
              <w:bottom w:val="nil"/>
              <w:right w:val="nil"/>
            </w:tcBorders>
            <w:shd w:val="clear" w:color="auto" w:fill="FFFFFF"/>
            <w:tcMar>
              <w:top w:w="80" w:type="dxa"/>
              <w:left w:w="140" w:type="dxa"/>
              <w:bottom w:w="80" w:type="dxa"/>
              <w:right w:w="140" w:type="dxa"/>
            </w:tcMar>
            <w:vAlign w:val="center"/>
          </w:tcPr>
          <w:p w14:paraId="7DE91572" w14:textId="77777777" w:rsidR="00183E41" w:rsidRPr="00BD14D2" w:rsidRDefault="00183E41" w:rsidP="008B1642">
            <w:pPr>
              <w:spacing w:before="60" w:after="60" w:line="280" w:lineRule="auto"/>
              <w:jc w:val="both"/>
            </w:pPr>
            <w:r w:rsidRPr="00BD14D2">
              <w:rPr>
                <w:b/>
                <w:bCs/>
                <w:sz w:val="22"/>
                <w:szCs w:val="22"/>
              </w:rPr>
              <w:t>▼</w:t>
            </w:r>
          </w:p>
        </w:tc>
        <w:tc>
          <w:tcPr>
            <w:tcW w:w="2000" w:type="dxa"/>
            <w:tcBorders>
              <w:top w:val="nil"/>
              <w:left w:val="nil"/>
              <w:bottom w:val="nil"/>
              <w:right w:val="nil"/>
            </w:tcBorders>
            <w:tcMar>
              <w:top w:w="80" w:type="dxa"/>
              <w:left w:w="140" w:type="dxa"/>
              <w:bottom w:w="80" w:type="dxa"/>
              <w:right w:w="140" w:type="dxa"/>
            </w:tcMar>
            <w:vAlign w:val="center"/>
          </w:tcPr>
          <w:p w14:paraId="71E8AC6C" w14:textId="77777777" w:rsidR="00183E41" w:rsidRPr="00BD14D2" w:rsidRDefault="00183E41" w:rsidP="008B1642">
            <w:pPr>
              <w:spacing w:before="80" w:after="80" w:line="300" w:lineRule="auto"/>
              <w:jc w:val="both"/>
            </w:pPr>
          </w:p>
        </w:tc>
      </w:tr>
      <w:tr w:rsidR="00BD14D2" w:rsidRPr="00BD14D2" w14:paraId="785CEADE" w14:textId="77777777" w:rsidTr="00183E41">
        <w:tc>
          <w:tcPr>
            <w:tcW w:w="9900" w:type="dxa"/>
            <w:gridSpan w:val="3"/>
            <w:tcBorders>
              <w:top w:val="single" w:sz="6" w:space="0" w:color="FFFFFF"/>
              <w:left w:val="single" w:sz="6" w:space="0" w:color="FFFFFF"/>
              <w:bottom w:val="single" w:sz="6" w:space="0" w:color="FFFFFF"/>
              <w:right w:val="single" w:sz="6" w:space="0" w:color="FFFFFF"/>
            </w:tcBorders>
            <w:shd w:val="clear" w:color="auto" w:fill="2E75B6"/>
            <w:tcMar>
              <w:top w:w="80" w:type="dxa"/>
              <w:left w:w="140" w:type="dxa"/>
              <w:bottom w:w="80" w:type="dxa"/>
              <w:right w:w="140" w:type="dxa"/>
            </w:tcMar>
            <w:vAlign w:val="center"/>
          </w:tcPr>
          <w:p w14:paraId="54DB33BE" w14:textId="77777777" w:rsidR="00183E41" w:rsidRPr="00BD14D2" w:rsidRDefault="00183E41" w:rsidP="008B1642">
            <w:pPr>
              <w:spacing w:before="60" w:after="60" w:line="280" w:lineRule="auto"/>
              <w:jc w:val="both"/>
            </w:pPr>
            <w:r w:rsidRPr="00BD14D2">
              <w:rPr>
                <w:b/>
                <w:bCs/>
                <w:sz w:val="20"/>
                <w:szCs w:val="20"/>
              </w:rPr>
              <w:t>SCREENING</w:t>
            </w:r>
          </w:p>
        </w:tc>
      </w:tr>
      <w:tr w:rsidR="00BD14D2" w:rsidRPr="00BD14D2" w14:paraId="627F9691" w14:textId="77777777" w:rsidTr="00183E41">
        <w:tc>
          <w:tcPr>
            <w:tcW w:w="2000" w:type="dxa"/>
            <w:tcBorders>
              <w:top w:val="nil"/>
              <w:left w:val="nil"/>
              <w:bottom w:val="nil"/>
              <w:right w:val="nil"/>
            </w:tcBorders>
            <w:shd w:val="clear" w:color="auto" w:fill="FFFFFF"/>
            <w:tcMar>
              <w:top w:w="80" w:type="dxa"/>
              <w:left w:w="140" w:type="dxa"/>
              <w:bottom w:w="80" w:type="dxa"/>
              <w:right w:w="140" w:type="dxa"/>
            </w:tcMar>
            <w:vAlign w:val="center"/>
          </w:tcPr>
          <w:p w14:paraId="1FAB479A" w14:textId="77777777" w:rsidR="00183E41" w:rsidRPr="00BD14D2" w:rsidRDefault="00183E41" w:rsidP="008B1642">
            <w:pPr>
              <w:spacing w:before="80" w:after="80" w:line="300" w:lineRule="auto"/>
              <w:jc w:val="both"/>
            </w:pPr>
          </w:p>
        </w:tc>
        <w:tc>
          <w:tcPr>
            <w:tcW w:w="5900" w:type="dxa"/>
            <w:tcBorders>
              <w:top w:val="single" w:sz="10" w:space="0" w:color="2E75B6"/>
              <w:left w:val="single" w:sz="10" w:space="0" w:color="2E75B6"/>
              <w:bottom w:val="single" w:sz="10" w:space="0" w:color="2E75B6"/>
              <w:right w:val="single" w:sz="10" w:space="0" w:color="2E75B6"/>
            </w:tcBorders>
            <w:shd w:val="clear" w:color="auto" w:fill="EBF3FB"/>
            <w:tcMar>
              <w:top w:w="80" w:type="dxa"/>
              <w:left w:w="140" w:type="dxa"/>
              <w:bottom w:w="80" w:type="dxa"/>
              <w:right w:w="140" w:type="dxa"/>
            </w:tcMar>
            <w:vAlign w:val="center"/>
          </w:tcPr>
          <w:p w14:paraId="08E6A9A7" w14:textId="77777777" w:rsidR="00183E41" w:rsidRPr="00BD14D2" w:rsidRDefault="00183E41" w:rsidP="008B1642">
            <w:pPr>
              <w:spacing w:before="60" w:after="60" w:line="280" w:lineRule="auto"/>
              <w:jc w:val="both"/>
            </w:pPr>
            <w:r w:rsidRPr="00BD14D2">
              <w:rPr>
                <w:b/>
                <w:bCs/>
                <w:sz w:val="20"/>
                <w:szCs w:val="20"/>
              </w:rPr>
              <w:t>Records screened (title &amp; abstract)</w:t>
            </w:r>
          </w:p>
          <w:p w14:paraId="140722D1" w14:textId="77777777" w:rsidR="00183E41" w:rsidRPr="00BD14D2" w:rsidRDefault="00183E41" w:rsidP="008B1642">
            <w:pPr>
              <w:spacing w:before="60" w:after="60" w:line="280" w:lineRule="auto"/>
              <w:jc w:val="both"/>
            </w:pPr>
            <w:r w:rsidRPr="00BD14D2">
              <w:rPr>
                <w:b/>
                <w:bCs/>
                <w:sz w:val="22"/>
                <w:szCs w:val="22"/>
              </w:rPr>
              <w:t>n = 37</w:t>
            </w:r>
          </w:p>
        </w:tc>
        <w:tc>
          <w:tcPr>
            <w:tcW w:w="2000" w:type="dxa"/>
            <w:tcBorders>
              <w:top w:val="nil"/>
              <w:left w:val="nil"/>
              <w:bottom w:val="nil"/>
              <w:right w:val="nil"/>
            </w:tcBorders>
            <w:tcMar>
              <w:top w:w="80" w:type="dxa"/>
              <w:left w:w="140" w:type="dxa"/>
              <w:bottom w:w="80" w:type="dxa"/>
              <w:right w:w="140" w:type="dxa"/>
            </w:tcMar>
            <w:vAlign w:val="center"/>
          </w:tcPr>
          <w:p w14:paraId="70CF79C6" w14:textId="77777777" w:rsidR="00183E41" w:rsidRPr="00BD14D2" w:rsidRDefault="00183E41" w:rsidP="008B1642">
            <w:pPr>
              <w:spacing w:before="80" w:after="80" w:line="300" w:lineRule="auto"/>
              <w:jc w:val="both"/>
            </w:pPr>
          </w:p>
        </w:tc>
      </w:tr>
      <w:tr w:rsidR="00BD14D2" w:rsidRPr="00BD14D2" w14:paraId="299D8AD6" w14:textId="77777777" w:rsidTr="00183E41">
        <w:tc>
          <w:tcPr>
            <w:tcW w:w="2000" w:type="dxa"/>
            <w:tcBorders>
              <w:top w:val="nil"/>
              <w:left w:val="nil"/>
              <w:bottom w:val="nil"/>
              <w:right w:val="nil"/>
            </w:tcBorders>
            <w:tcMar>
              <w:top w:w="80" w:type="dxa"/>
              <w:left w:w="140" w:type="dxa"/>
              <w:bottom w:w="80" w:type="dxa"/>
              <w:right w:w="140" w:type="dxa"/>
            </w:tcMar>
            <w:vAlign w:val="center"/>
          </w:tcPr>
          <w:p w14:paraId="53C01968" w14:textId="77777777" w:rsidR="00183E41" w:rsidRPr="00BD14D2" w:rsidRDefault="00183E41" w:rsidP="008B1642">
            <w:pPr>
              <w:spacing w:before="80" w:after="80" w:line="300" w:lineRule="auto"/>
              <w:jc w:val="both"/>
            </w:pPr>
          </w:p>
        </w:tc>
        <w:tc>
          <w:tcPr>
            <w:tcW w:w="5900" w:type="dxa"/>
            <w:tcBorders>
              <w:top w:val="nil"/>
              <w:left w:val="nil"/>
              <w:bottom w:val="nil"/>
              <w:right w:val="nil"/>
            </w:tcBorders>
            <w:shd w:val="clear" w:color="auto" w:fill="FFFFFF"/>
            <w:tcMar>
              <w:top w:w="80" w:type="dxa"/>
              <w:left w:w="140" w:type="dxa"/>
              <w:bottom w:w="80" w:type="dxa"/>
              <w:right w:w="140" w:type="dxa"/>
            </w:tcMar>
            <w:vAlign w:val="center"/>
          </w:tcPr>
          <w:p w14:paraId="0B9B97BB" w14:textId="77777777" w:rsidR="00183E41" w:rsidRPr="00BD14D2" w:rsidRDefault="00183E41" w:rsidP="008B1642">
            <w:pPr>
              <w:spacing w:before="60" w:after="60" w:line="280" w:lineRule="auto"/>
              <w:jc w:val="both"/>
            </w:pPr>
            <w:r w:rsidRPr="00BD14D2">
              <w:rPr>
                <w:b/>
                <w:bCs/>
                <w:sz w:val="22"/>
                <w:szCs w:val="22"/>
              </w:rPr>
              <w:t>▼</w:t>
            </w:r>
          </w:p>
        </w:tc>
        <w:tc>
          <w:tcPr>
            <w:tcW w:w="2000" w:type="dxa"/>
            <w:tcBorders>
              <w:top w:val="nil"/>
              <w:left w:val="nil"/>
              <w:bottom w:val="nil"/>
              <w:right w:val="nil"/>
            </w:tcBorders>
            <w:tcMar>
              <w:top w:w="80" w:type="dxa"/>
              <w:left w:w="140" w:type="dxa"/>
              <w:bottom w:w="80" w:type="dxa"/>
              <w:right w:w="140" w:type="dxa"/>
            </w:tcMar>
            <w:vAlign w:val="center"/>
          </w:tcPr>
          <w:p w14:paraId="6B189874" w14:textId="77777777" w:rsidR="00183E41" w:rsidRPr="00BD14D2" w:rsidRDefault="00183E41" w:rsidP="008B1642">
            <w:pPr>
              <w:spacing w:before="80" w:after="80" w:line="300" w:lineRule="auto"/>
              <w:jc w:val="both"/>
            </w:pPr>
          </w:p>
        </w:tc>
      </w:tr>
      <w:tr w:rsidR="00BD14D2" w:rsidRPr="00BD14D2" w14:paraId="138F3ADF" w14:textId="77777777" w:rsidTr="00183E41">
        <w:tc>
          <w:tcPr>
            <w:tcW w:w="2000" w:type="dxa"/>
            <w:tcBorders>
              <w:top w:val="single" w:sz="8" w:space="0" w:color="C55A11"/>
              <w:left w:val="single" w:sz="8" w:space="0" w:color="C55A11"/>
              <w:bottom w:val="single" w:sz="8" w:space="0" w:color="C55A11"/>
              <w:right w:val="single" w:sz="8" w:space="0" w:color="C55A11"/>
            </w:tcBorders>
            <w:shd w:val="clear" w:color="auto" w:fill="FCE4D6"/>
            <w:tcMar>
              <w:top w:w="80" w:type="dxa"/>
              <w:left w:w="140" w:type="dxa"/>
              <w:bottom w:w="80" w:type="dxa"/>
              <w:right w:w="140" w:type="dxa"/>
            </w:tcMar>
            <w:vAlign w:val="center"/>
          </w:tcPr>
          <w:p w14:paraId="1BE3EE6A" w14:textId="77777777" w:rsidR="00183E41" w:rsidRPr="00BD14D2" w:rsidRDefault="00183E41" w:rsidP="008B1642">
            <w:pPr>
              <w:spacing w:before="60" w:after="60" w:line="280" w:lineRule="auto"/>
              <w:jc w:val="both"/>
            </w:pPr>
            <w:r w:rsidRPr="00BD14D2">
              <w:rPr>
                <w:b/>
                <w:bCs/>
                <w:sz w:val="20"/>
                <w:szCs w:val="20"/>
              </w:rPr>
              <w:t>Excluded after title/abstract (insufficient relevance to automotive branding/loyalty in European context)</w:t>
            </w:r>
          </w:p>
          <w:p w14:paraId="123E149A" w14:textId="77777777" w:rsidR="00183E41" w:rsidRPr="00BD14D2" w:rsidRDefault="00183E41" w:rsidP="008B1642">
            <w:pPr>
              <w:spacing w:before="60" w:after="60" w:line="280" w:lineRule="auto"/>
              <w:jc w:val="both"/>
            </w:pPr>
            <w:r w:rsidRPr="00BD14D2">
              <w:rPr>
                <w:b/>
                <w:bCs/>
                <w:sz w:val="22"/>
                <w:szCs w:val="22"/>
              </w:rPr>
              <w:t>n = 3</w:t>
            </w:r>
          </w:p>
        </w:tc>
        <w:tc>
          <w:tcPr>
            <w:tcW w:w="5900" w:type="dxa"/>
            <w:tcBorders>
              <w:top w:val="single" w:sz="10" w:space="0" w:color="2E75B6"/>
              <w:left w:val="single" w:sz="10" w:space="0" w:color="2E75B6"/>
              <w:bottom w:val="single" w:sz="10" w:space="0" w:color="2E75B6"/>
              <w:right w:val="single" w:sz="10" w:space="0" w:color="2E75B6"/>
            </w:tcBorders>
            <w:shd w:val="clear" w:color="auto" w:fill="DEEAF1"/>
            <w:tcMar>
              <w:top w:w="80" w:type="dxa"/>
              <w:left w:w="140" w:type="dxa"/>
              <w:bottom w:w="80" w:type="dxa"/>
              <w:right w:w="140" w:type="dxa"/>
            </w:tcMar>
            <w:vAlign w:val="center"/>
          </w:tcPr>
          <w:p w14:paraId="72A92558" w14:textId="77777777" w:rsidR="00183E41" w:rsidRPr="00BD14D2" w:rsidRDefault="00183E41" w:rsidP="008B1642">
            <w:pPr>
              <w:spacing w:before="60" w:after="60" w:line="280" w:lineRule="auto"/>
              <w:jc w:val="both"/>
            </w:pPr>
            <w:r w:rsidRPr="00BD14D2">
              <w:rPr>
                <w:b/>
                <w:bCs/>
                <w:sz w:val="20"/>
                <w:szCs w:val="20"/>
              </w:rPr>
              <w:t>Records after title/abstract screening</w:t>
            </w:r>
          </w:p>
          <w:p w14:paraId="5E0A9328" w14:textId="77777777" w:rsidR="00183E41" w:rsidRPr="00BD14D2" w:rsidRDefault="00183E41" w:rsidP="008B1642">
            <w:pPr>
              <w:spacing w:before="60" w:after="60" w:line="280" w:lineRule="auto"/>
              <w:jc w:val="both"/>
            </w:pPr>
            <w:r w:rsidRPr="00BD14D2">
              <w:rPr>
                <w:b/>
                <w:bCs/>
                <w:sz w:val="22"/>
                <w:szCs w:val="22"/>
              </w:rPr>
              <w:t>n = 34</w:t>
            </w:r>
          </w:p>
        </w:tc>
        <w:tc>
          <w:tcPr>
            <w:tcW w:w="2000" w:type="dxa"/>
            <w:tcBorders>
              <w:top w:val="nil"/>
              <w:left w:val="nil"/>
              <w:bottom w:val="nil"/>
              <w:right w:val="nil"/>
            </w:tcBorders>
            <w:tcMar>
              <w:top w:w="80" w:type="dxa"/>
              <w:left w:w="140" w:type="dxa"/>
              <w:bottom w:w="80" w:type="dxa"/>
              <w:right w:w="140" w:type="dxa"/>
            </w:tcMar>
            <w:vAlign w:val="center"/>
          </w:tcPr>
          <w:p w14:paraId="56BC5ED7" w14:textId="77777777" w:rsidR="00183E41" w:rsidRPr="00BD14D2" w:rsidRDefault="00183E41" w:rsidP="008B1642">
            <w:pPr>
              <w:spacing w:before="80" w:after="80" w:line="300" w:lineRule="auto"/>
              <w:jc w:val="both"/>
            </w:pPr>
          </w:p>
        </w:tc>
      </w:tr>
      <w:tr w:rsidR="00BD14D2" w:rsidRPr="00BD14D2" w14:paraId="618428A8" w14:textId="77777777" w:rsidTr="00183E41">
        <w:tc>
          <w:tcPr>
            <w:tcW w:w="2000" w:type="dxa"/>
            <w:tcBorders>
              <w:top w:val="nil"/>
              <w:left w:val="nil"/>
              <w:bottom w:val="nil"/>
              <w:right w:val="nil"/>
            </w:tcBorders>
            <w:tcMar>
              <w:top w:w="80" w:type="dxa"/>
              <w:left w:w="140" w:type="dxa"/>
              <w:bottom w:w="80" w:type="dxa"/>
              <w:right w:w="140" w:type="dxa"/>
            </w:tcMar>
            <w:vAlign w:val="center"/>
          </w:tcPr>
          <w:p w14:paraId="78D22B8A" w14:textId="77777777" w:rsidR="00183E41" w:rsidRPr="00BD14D2" w:rsidRDefault="00183E41" w:rsidP="008B1642">
            <w:pPr>
              <w:spacing w:before="80" w:after="80" w:line="300" w:lineRule="auto"/>
              <w:jc w:val="both"/>
            </w:pPr>
          </w:p>
        </w:tc>
        <w:tc>
          <w:tcPr>
            <w:tcW w:w="5900" w:type="dxa"/>
            <w:tcBorders>
              <w:top w:val="nil"/>
              <w:left w:val="nil"/>
              <w:bottom w:val="nil"/>
              <w:right w:val="nil"/>
            </w:tcBorders>
            <w:shd w:val="clear" w:color="auto" w:fill="FFFFFF"/>
            <w:tcMar>
              <w:top w:w="80" w:type="dxa"/>
              <w:left w:w="140" w:type="dxa"/>
              <w:bottom w:w="80" w:type="dxa"/>
              <w:right w:w="140" w:type="dxa"/>
            </w:tcMar>
            <w:vAlign w:val="center"/>
          </w:tcPr>
          <w:p w14:paraId="31DD459E" w14:textId="77777777" w:rsidR="00183E41" w:rsidRPr="00BD14D2" w:rsidRDefault="00183E41" w:rsidP="008B1642">
            <w:pPr>
              <w:spacing w:before="60" w:after="60" w:line="280" w:lineRule="auto"/>
              <w:jc w:val="both"/>
            </w:pPr>
            <w:r w:rsidRPr="00BD14D2">
              <w:rPr>
                <w:b/>
                <w:bCs/>
                <w:sz w:val="22"/>
                <w:szCs w:val="22"/>
              </w:rPr>
              <w:t>▼</w:t>
            </w:r>
          </w:p>
        </w:tc>
        <w:tc>
          <w:tcPr>
            <w:tcW w:w="2000" w:type="dxa"/>
            <w:tcBorders>
              <w:top w:val="nil"/>
              <w:left w:val="nil"/>
              <w:bottom w:val="nil"/>
              <w:right w:val="nil"/>
            </w:tcBorders>
            <w:tcMar>
              <w:top w:w="80" w:type="dxa"/>
              <w:left w:w="140" w:type="dxa"/>
              <w:bottom w:w="80" w:type="dxa"/>
              <w:right w:w="140" w:type="dxa"/>
            </w:tcMar>
            <w:vAlign w:val="center"/>
          </w:tcPr>
          <w:p w14:paraId="10C49B3D" w14:textId="77777777" w:rsidR="00183E41" w:rsidRPr="00BD14D2" w:rsidRDefault="00183E41" w:rsidP="008B1642">
            <w:pPr>
              <w:spacing w:before="80" w:after="80" w:line="300" w:lineRule="auto"/>
              <w:jc w:val="both"/>
            </w:pPr>
          </w:p>
        </w:tc>
      </w:tr>
      <w:tr w:rsidR="00BD14D2" w:rsidRPr="00BD14D2" w14:paraId="1B2764E8" w14:textId="77777777" w:rsidTr="00183E41">
        <w:tc>
          <w:tcPr>
            <w:tcW w:w="9900" w:type="dxa"/>
            <w:gridSpan w:val="3"/>
            <w:tcBorders>
              <w:top w:val="single" w:sz="6" w:space="0" w:color="FFFFFF"/>
              <w:left w:val="single" w:sz="6" w:space="0" w:color="FFFFFF"/>
              <w:bottom w:val="single" w:sz="6" w:space="0" w:color="FFFFFF"/>
              <w:right w:val="single" w:sz="6" w:space="0" w:color="FFFFFF"/>
            </w:tcBorders>
            <w:shd w:val="clear" w:color="auto" w:fill="1F5C8B"/>
            <w:tcMar>
              <w:top w:w="80" w:type="dxa"/>
              <w:left w:w="140" w:type="dxa"/>
              <w:bottom w:w="80" w:type="dxa"/>
              <w:right w:w="140" w:type="dxa"/>
            </w:tcMar>
            <w:vAlign w:val="center"/>
          </w:tcPr>
          <w:p w14:paraId="2618A966" w14:textId="77777777" w:rsidR="00183E41" w:rsidRPr="00BD14D2" w:rsidRDefault="00183E41" w:rsidP="008B1642">
            <w:pPr>
              <w:spacing w:before="60" w:after="60" w:line="280" w:lineRule="auto"/>
              <w:jc w:val="both"/>
            </w:pPr>
            <w:r w:rsidRPr="00BD14D2">
              <w:rPr>
                <w:b/>
                <w:bCs/>
                <w:sz w:val="20"/>
                <w:szCs w:val="20"/>
              </w:rPr>
              <w:t>ELIGIBILITY</w:t>
            </w:r>
          </w:p>
        </w:tc>
      </w:tr>
      <w:tr w:rsidR="00BD14D2" w:rsidRPr="00BD14D2" w14:paraId="78DAE2B3" w14:textId="77777777" w:rsidTr="00183E41">
        <w:tc>
          <w:tcPr>
            <w:tcW w:w="2000" w:type="dxa"/>
            <w:tcBorders>
              <w:top w:val="nil"/>
              <w:left w:val="nil"/>
              <w:bottom w:val="nil"/>
              <w:right w:val="nil"/>
            </w:tcBorders>
            <w:shd w:val="clear" w:color="auto" w:fill="FFFFFF"/>
            <w:tcMar>
              <w:top w:w="80" w:type="dxa"/>
              <w:left w:w="140" w:type="dxa"/>
              <w:bottom w:w="80" w:type="dxa"/>
              <w:right w:w="140" w:type="dxa"/>
            </w:tcMar>
            <w:vAlign w:val="center"/>
          </w:tcPr>
          <w:p w14:paraId="5156CA42" w14:textId="77777777" w:rsidR="00183E41" w:rsidRPr="00BD14D2" w:rsidRDefault="00183E41" w:rsidP="008B1642">
            <w:pPr>
              <w:spacing w:before="80" w:after="80" w:line="300" w:lineRule="auto"/>
              <w:jc w:val="both"/>
            </w:pPr>
          </w:p>
        </w:tc>
        <w:tc>
          <w:tcPr>
            <w:tcW w:w="5900" w:type="dxa"/>
            <w:tcBorders>
              <w:top w:val="single" w:sz="10" w:space="0" w:color="2E75B6"/>
              <w:left w:val="single" w:sz="10" w:space="0" w:color="2E75B6"/>
              <w:bottom w:val="single" w:sz="10" w:space="0" w:color="2E75B6"/>
              <w:right w:val="single" w:sz="10" w:space="0" w:color="2E75B6"/>
            </w:tcBorders>
            <w:shd w:val="clear" w:color="auto" w:fill="EBF3FB"/>
            <w:tcMar>
              <w:top w:w="80" w:type="dxa"/>
              <w:left w:w="140" w:type="dxa"/>
              <w:bottom w:w="80" w:type="dxa"/>
              <w:right w:w="140" w:type="dxa"/>
            </w:tcMar>
            <w:vAlign w:val="center"/>
          </w:tcPr>
          <w:p w14:paraId="099A25BD" w14:textId="77777777" w:rsidR="00183E41" w:rsidRPr="00BD14D2" w:rsidRDefault="00183E41" w:rsidP="008B1642">
            <w:pPr>
              <w:spacing w:before="60" w:after="60" w:line="280" w:lineRule="auto"/>
              <w:jc w:val="both"/>
            </w:pPr>
            <w:r w:rsidRPr="00BD14D2">
              <w:rPr>
                <w:b/>
                <w:bCs/>
                <w:sz w:val="20"/>
                <w:szCs w:val="20"/>
              </w:rPr>
              <w:t>Full-text sources assessed for eligibility</w:t>
            </w:r>
          </w:p>
          <w:p w14:paraId="79A67C61" w14:textId="77777777" w:rsidR="00183E41" w:rsidRPr="00BD14D2" w:rsidRDefault="00183E41" w:rsidP="008B1642">
            <w:pPr>
              <w:spacing w:before="60" w:after="60" w:line="280" w:lineRule="auto"/>
              <w:jc w:val="both"/>
            </w:pPr>
            <w:r w:rsidRPr="00BD14D2">
              <w:rPr>
                <w:b/>
                <w:bCs/>
                <w:sz w:val="22"/>
                <w:szCs w:val="22"/>
              </w:rPr>
              <w:t>n = 34</w:t>
            </w:r>
          </w:p>
        </w:tc>
        <w:tc>
          <w:tcPr>
            <w:tcW w:w="2000" w:type="dxa"/>
            <w:tcBorders>
              <w:top w:val="nil"/>
              <w:left w:val="nil"/>
              <w:bottom w:val="nil"/>
              <w:right w:val="nil"/>
            </w:tcBorders>
            <w:tcMar>
              <w:top w:w="80" w:type="dxa"/>
              <w:left w:w="140" w:type="dxa"/>
              <w:bottom w:w="80" w:type="dxa"/>
              <w:right w:w="140" w:type="dxa"/>
            </w:tcMar>
            <w:vAlign w:val="center"/>
          </w:tcPr>
          <w:p w14:paraId="02FE8257" w14:textId="77777777" w:rsidR="00183E41" w:rsidRPr="00BD14D2" w:rsidRDefault="00183E41" w:rsidP="008B1642">
            <w:pPr>
              <w:spacing w:before="80" w:after="80" w:line="300" w:lineRule="auto"/>
              <w:jc w:val="both"/>
            </w:pPr>
          </w:p>
        </w:tc>
      </w:tr>
      <w:tr w:rsidR="00BD14D2" w:rsidRPr="00BD14D2" w14:paraId="6B741A2F" w14:textId="77777777" w:rsidTr="00183E41">
        <w:tc>
          <w:tcPr>
            <w:tcW w:w="2000" w:type="dxa"/>
            <w:tcBorders>
              <w:top w:val="nil"/>
              <w:left w:val="nil"/>
              <w:bottom w:val="nil"/>
              <w:right w:val="nil"/>
            </w:tcBorders>
            <w:tcMar>
              <w:top w:w="80" w:type="dxa"/>
              <w:left w:w="140" w:type="dxa"/>
              <w:bottom w:w="80" w:type="dxa"/>
              <w:right w:w="140" w:type="dxa"/>
            </w:tcMar>
            <w:vAlign w:val="center"/>
          </w:tcPr>
          <w:p w14:paraId="0037D57C" w14:textId="77777777" w:rsidR="00183E41" w:rsidRPr="00BD14D2" w:rsidRDefault="00183E41" w:rsidP="008B1642">
            <w:pPr>
              <w:spacing w:before="80" w:after="80" w:line="300" w:lineRule="auto"/>
              <w:jc w:val="both"/>
            </w:pPr>
          </w:p>
        </w:tc>
        <w:tc>
          <w:tcPr>
            <w:tcW w:w="5900" w:type="dxa"/>
            <w:tcBorders>
              <w:top w:val="nil"/>
              <w:left w:val="nil"/>
              <w:bottom w:val="nil"/>
              <w:right w:val="nil"/>
            </w:tcBorders>
            <w:shd w:val="clear" w:color="auto" w:fill="FFFFFF"/>
            <w:tcMar>
              <w:top w:w="80" w:type="dxa"/>
              <w:left w:w="140" w:type="dxa"/>
              <w:bottom w:w="80" w:type="dxa"/>
              <w:right w:w="140" w:type="dxa"/>
            </w:tcMar>
            <w:vAlign w:val="center"/>
          </w:tcPr>
          <w:p w14:paraId="7905A22D" w14:textId="77777777" w:rsidR="00183E41" w:rsidRPr="00BD14D2" w:rsidRDefault="00183E41" w:rsidP="008B1642">
            <w:pPr>
              <w:spacing w:before="60" w:after="60" w:line="280" w:lineRule="auto"/>
              <w:jc w:val="both"/>
            </w:pPr>
            <w:r w:rsidRPr="00BD14D2">
              <w:rPr>
                <w:b/>
                <w:bCs/>
                <w:sz w:val="22"/>
                <w:szCs w:val="22"/>
              </w:rPr>
              <w:t>▼</w:t>
            </w:r>
          </w:p>
        </w:tc>
        <w:tc>
          <w:tcPr>
            <w:tcW w:w="2000" w:type="dxa"/>
            <w:tcBorders>
              <w:top w:val="nil"/>
              <w:left w:val="nil"/>
              <w:bottom w:val="nil"/>
              <w:right w:val="nil"/>
            </w:tcBorders>
            <w:tcMar>
              <w:top w:w="80" w:type="dxa"/>
              <w:left w:w="140" w:type="dxa"/>
              <w:bottom w:w="80" w:type="dxa"/>
              <w:right w:w="140" w:type="dxa"/>
            </w:tcMar>
            <w:vAlign w:val="center"/>
          </w:tcPr>
          <w:p w14:paraId="682B9806" w14:textId="77777777" w:rsidR="00183E41" w:rsidRPr="00BD14D2" w:rsidRDefault="00183E41" w:rsidP="008B1642">
            <w:pPr>
              <w:spacing w:before="80" w:after="80" w:line="300" w:lineRule="auto"/>
              <w:jc w:val="both"/>
            </w:pPr>
          </w:p>
        </w:tc>
      </w:tr>
      <w:tr w:rsidR="00BD14D2" w:rsidRPr="00BD14D2" w14:paraId="57020B60" w14:textId="77777777" w:rsidTr="00183E41">
        <w:tc>
          <w:tcPr>
            <w:tcW w:w="2000" w:type="dxa"/>
            <w:tcBorders>
              <w:top w:val="single" w:sz="8" w:space="0" w:color="C55A11"/>
              <w:left w:val="single" w:sz="8" w:space="0" w:color="C55A11"/>
              <w:bottom w:val="single" w:sz="8" w:space="0" w:color="C55A11"/>
              <w:right w:val="single" w:sz="8" w:space="0" w:color="C55A11"/>
            </w:tcBorders>
            <w:shd w:val="clear" w:color="auto" w:fill="FCE4D6"/>
            <w:tcMar>
              <w:top w:w="80" w:type="dxa"/>
              <w:left w:w="140" w:type="dxa"/>
              <w:bottom w:w="80" w:type="dxa"/>
              <w:right w:w="140" w:type="dxa"/>
            </w:tcMar>
            <w:vAlign w:val="center"/>
          </w:tcPr>
          <w:p w14:paraId="601D6E84" w14:textId="39453669" w:rsidR="00183E41" w:rsidRPr="00BD14D2" w:rsidRDefault="00183E41" w:rsidP="008B1642">
            <w:pPr>
              <w:spacing w:before="60" w:after="60" w:line="280" w:lineRule="auto"/>
              <w:jc w:val="both"/>
            </w:pPr>
            <w:r w:rsidRPr="00BD14D2">
              <w:rPr>
                <w:b/>
                <w:bCs/>
                <w:sz w:val="20"/>
                <w:szCs w:val="20"/>
              </w:rPr>
              <w:lastRenderedPageBreak/>
              <w:t xml:space="preserve">Excluded after full-text review – Inaccessible full text (n = 1) – </w:t>
            </w:r>
            <w:r w:rsidR="00753E02" w:rsidRPr="00BD14D2">
              <w:rPr>
                <w:b/>
                <w:bCs/>
                <w:sz w:val="20"/>
                <w:szCs w:val="20"/>
              </w:rPr>
              <w:t>non-European</w:t>
            </w:r>
            <w:r w:rsidRPr="00BD14D2">
              <w:rPr>
                <w:b/>
                <w:bCs/>
                <w:sz w:val="20"/>
                <w:szCs w:val="20"/>
              </w:rPr>
              <w:t xml:space="preserve"> scope (n = 1) – Methodology incompatible (n = 1)</w:t>
            </w:r>
          </w:p>
          <w:p w14:paraId="64259817" w14:textId="77777777" w:rsidR="00183E41" w:rsidRPr="00BD14D2" w:rsidRDefault="00183E41" w:rsidP="008B1642">
            <w:pPr>
              <w:spacing w:before="60" w:after="60" w:line="280" w:lineRule="auto"/>
              <w:jc w:val="both"/>
            </w:pPr>
            <w:r w:rsidRPr="00BD14D2">
              <w:rPr>
                <w:b/>
                <w:bCs/>
                <w:sz w:val="22"/>
                <w:szCs w:val="22"/>
              </w:rPr>
              <w:t>n = 3</w:t>
            </w:r>
          </w:p>
        </w:tc>
        <w:tc>
          <w:tcPr>
            <w:tcW w:w="5900" w:type="dxa"/>
            <w:tcBorders>
              <w:top w:val="single" w:sz="10" w:space="0" w:color="2E75B6"/>
              <w:left w:val="single" w:sz="10" w:space="0" w:color="2E75B6"/>
              <w:bottom w:val="single" w:sz="10" w:space="0" w:color="2E75B6"/>
              <w:right w:val="single" w:sz="10" w:space="0" w:color="2E75B6"/>
            </w:tcBorders>
            <w:shd w:val="clear" w:color="auto" w:fill="DEEAF1"/>
            <w:tcMar>
              <w:top w:w="80" w:type="dxa"/>
              <w:left w:w="140" w:type="dxa"/>
              <w:bottom w:w="80" w:type="dxa"/>
              <w:right w:w="140" w:type="dxa"/>
            </w:tcMar>
            <w:vAlign w:val="center"/>
          </w:tcPr>
          <w:p w14:paraId="114897E7" w14:textId="77777777" w:rsidR="00183E41" w:rsidRPr="00BD14D2" w:rsidRDefault="00183E41" w:rsidP="008B1642">
            <w:pPr>
              <w:spacing w:before="60" w:after="60" w:line="280" w:lineRule="auto"/>
              <w:jc w:val="both"/>
            </w:pPr>
            <w:r w:rsidRPr="00BD14D2">
              <w:rPr>
                <w:b/>
                <w:bCs/>
                <w:sz w:val="20"/>
                <w:szCs w:val="20"/>
              </w:rPr>
              <w:t>Full-text sources excluded (methodology mismatch, unavailable full text, or outside scope n = 3)</w:t>
            </w:r>
          </w:p>
        </w:tc>
        <w:tc>
          <w:tcPr>
            <w:tcW w:w="2000" w:type="dxa"/>
            <w:tcBorders>
              <w:top w:val="nil"/>
              <w:left w:val="nil"/>
              <w:bottom w:val="nil"/>
              <w:right w:val="nil"/>
            </w:tcBorders>
            <w:tcMar>
              <w:top w:w="80" w:type="dxa"/>
              <w:left w:w="140" w:type="dxa"/>
              <w:bottom w:w="80" w:type="dxa"/>
              <w:right w:w="140" w:type="dxa"/>
            </w:tcMar>
            <w:vAlign w:val="center"/>
          </w:tcPr>
          <w:p w14:paraId="28F841D3" w14:textId="77777777" w:rsidR="00183E41" w:rsidRPr="00BD14D2" w:rsidRDefault="00183E41" w:rsidP="008B1642">
            <w:pPr>
              <w:spacing w:before="80" w:after="80" w:line="300" w:lineRule="auto"/>
              <w:jc w:val="both"/>
            </w:pPr>
          </w:p>
        </w:tc>
      </w:tr>
      <w:tr w:rsidR="00BD14D2" w:rsidRPr="00BD14D2" w14:paraId="3F9BF9C0" w14:textId="77777777" w:rsidTr="00183E41">
        <w:tc>
          <w:tcPr>
            <w:tcW w:w="2000" w:type="dxa"/>
            <w:tcBorders>
              <w:top w:val="nil"/>
              <w:left w:val="nil"/>
              <w:bottom w:val="nil"/>
              <w:right w:val="nil"/>
            </w:tcBorders>
            <w:tcMar>
              <w:top w:w="80" w:type="dxa"/>
              <w:left w:w="140" w:type="dxa"/>
              <w:bottom w:w="80" w:type="dxa"/>
              <w:right w:w="140" w:type="dxa"/>
            </w:tcMar>
            <w:vAlign w:val="center"/>
          </w:tcPr>
          <w:p w14:paraId="047B45E9" w14:textId="77777777" w:rsidR="00183E41" w:rsidRPr="00BD14D2" w:rsidRDefault="00183E41" w:rsidP="008B1642">
            <w:pPr>
              <w:spacing w:before="80" w:after="80" w:line="300" w:lineRule="auto"/>
              <w:jc w:val="both"/>
            </w:pPr>
          </w:p>
        </w:tc>
        <w:tc>
          <w:tcPr>
            <w:tcW w:w="5900" w:type="dxa"/>
            <w:tcBorders>
              <w:top w:val="nil"/>
              <w:left w:val="nil"/>
              <w:bottom w:val="nil"/>
              <w:right w:val="nil"/>
            </w:tcBorders>
            <w:shd w:val="clear" w:color="auto" w:fill="FFFFFF"/>
            <w:tcMar>
              <w:top w:w="80" w:type="dxa"/>
              <w:left w:w="140" w:type="dxa"/>
              <w:bottom w:w="80" w:type="dxa"/>
              <w:right w:w="140" w:type="dxa"/>
            </w:tcMar>
            <w:vAlign w:val="center"/>
          </w:tcPr>
          <w:p w14:paraId="08359B91" w14:textId="77777777" w:rsidR="00183E41" w:rsidRPr="00BD14D2" w:rsidRDefault="00183E41" w:rsidP="008B1642">
            <w:pPr>
              <w:spacing w:before="60" w:after="60" w:line="280" w:lineRule="auto"/>
              <w:jc w:val="both"/>
            </w:pPr>
            <w:r w:rsidRPr="00BD14D2">
              <w:rPr>
                <w:b/>
                <w:bCs/>
                <w:sz w:val="22"/>
                <w:szCs w:val="22"/>
              </w:rPr>
              <w:t>▼</w:t>
            </w:r>
          </w:p>
        </w:tc>
        <w:tc>
          <w:tcPr>
            <w:tcW w:w="2000" w:type="dxa"/>
            <w:tcBorders>
              <w:top w:val="nil"/>
              <w:left w:val="nil"/>
              <w:bottom w:val="nil"/>
              <w:right w:val="nil"/>
            </w:tcBorders>
            <w:tcMar>
              <w:top w:w="80" w:type="dxa"/>
              <w:left w:w="140" w:type="dxa"/>
              <w:bottom w:w="80" w:type="dxa"/>
              <w:right w:w="140" w:type="dxa"/>
            </w:tcMar>
            <w:vAlign w:val="center"/>
          </w:tcPr>
          <w:p w14:paraId="0B9DCBB1" w14:textId="77777777" w:rsidR="00183E41" w:rsidRPr="00BD14D2" w:rsidRDefault="00183E41" w:rsidP="008B1642">
            <w:pPr>
              <w:spacing w:before="80" w:after="80" w:line="300" w:lineRule="auto"/>
              <w:jc w:val="both"/>
            </w:pPr>
          </w:p>
        </w:tc>
      </w:tr>
      <w:tr w:rsidR="00BD14D2" w:rsidRPr="00BD14D2" w14:paraId="07022CB4" w14:textId="77777777" w:rsidTr="00183E41">
        <w:tc>
          <w:tcPr>
            <w:tcW w:w="9900" w:type="dxa"/>
            <w:gridSpan w:val="3"/>
            <w:tcBorders>
              <w:top w:val="single" w:sz="6" w:space="0" w:color="FFFFFF"/>
              <w:left w:val="single" w:sz="6" w:space="0" w:color="FFFFFF"/>
              <w:bottom w:val="single" w:sz="6" w:space="0" w:color="FFFFFF"/>
              <w:right w:val="single" w:sz="6" w:space="0" w:color="FFFFFF"/>
            </w:tcBorders>
            <w:shd w:val="clear" w:color="auto" w:fill="375623"/>
            <w:tcMar>
              <w:top w:w="80" w:type="dxa"/>
              <w:left w:w="140" w:type="dxa"/>
              <w:bottom w:w="80" w:type="dxa"/>
              <w:right w:w="140" w:type="dxa"/>
            </w:tcMar>
            <w:vAlign w:val="center"/>
          </w:tcPr>
          <w:p w14:paraId="5DC91A48" w14:textId="77777777" w:rsidR="00183E41" w:rsidRPr="00BD14D2" w:rsidRDefault="00183E41" w:rsidP="008B1642">
            <w:pPr>
              <w:spacing w:before="60" w:after="60" w:line="280" w:lineRule="auto"/>
              <w:jc w:val="both"/>
            </w:pPr>
            <w:r w:rsidRPr="00BD14D2">
              <w:rPr>
                <w:b/>
                <w:bCs/>
                <w:sz w:val="20"/>
                <w:szCs w:val="20"/>
              </w:rPr>
              <w:t>INCLUDED</w:t>
            </w:r>
          </w:p>
        </w:tc>
      </w:tr>
      <w:tr w:rsidR="00BD14D2" w:rsidRPr="00BD14D2" w14:paraId="45CCC6BB" w14:textId="77777777" w:rsidTr="00183E41">
        <w:tc>
          <w:tcPr>
            <w:tcW w:w="2000" w:type="dxa"/>
            <w:tcBorders>
              <w:top w:val="nil"/>
              <w:left w:val="nil"/>
              <w:bottom w:val="nil"/>
              <w:right w:val="nil"/>
            </w:tcBorders>
            <w:shd w:val="clear" w:color="auto" w:fill="FFFFFF"/>
            <w:tcMar>
              <w:top w:w="80" w:type="dxa"/>
              <w:left w:w="140" w:type="dxa"/>
              <w:bottom w:w="80" w:type="dxa"/>
              <w:right w:w="140" w:type="dxa"/>
            </w:tcMar>
            <w:vAlign w:val="center"/>
          </w:tcPr>
          <w:p w14:paraId="7979A21F" w14:textId="77777777" w:rsidR="00183E41" w:rsidRPr="00BD14D2" w:rsidRDefault="00183E41" w:rsidP="008B1642">
            <w:pPr>
              <w:spacing w:before="80" w:after="80" w:line="300" w:lineRule="auto"/>
              <w:jc w:val="both"/>
            </w:pPr>
          </w:p>
        </w:tc>
        <w:tc>
          <w:tcPr>
            <w:tcW w:w="5900" w:type="dxa"/>
            <w:tcBorders>
              <w:top w:val="single" w:sz="10" w:space="0" w:color="2E75B6"/>
              <w:left w:val="single" w:sz="10" w:space="0" w:color="2E75B6"/>
              <w:bottom w:val="single" w:sz="10" w:space="0" w:color="2E75B6"/>
              <w:right w:val="single" w:sz="10" w:space="0" w:color="2E75B6"/>
            </w:tcBorders>
            <w:shd w:val="clear" w:color="auto" w:fill="E2EFDA"/>
            <w:tcMar>
              <w:top w:w="80" w:type="dxa"/>
              <w:left w:w="140" w:type="dxa"/>
              <w:bottom w:w="80" w:type="dxa"/>
              <w:right w:w="140" w:type="dxa"/>
            </w:tcMar>
            <w:vAlign w:val="center"/>
          </w:tcPr>
          <w:p w14:paraId="4A4D69F6" w14:textId="77777777" w:rsidR="00183E41" w:rsidRPr="00BD14D2" w:rsidRDefault="00183E41" w:rsidP="008B1642">
            <w:pPr>
              <w:spacing w:before="60" w:after="60" w:line="280" w:lineRule="auto"/>
              <w:jc w:val="both"/>
            </w:pPr>
            <w:r w:rsidRPr="00BD14D2">
              <w:rPr>
                <w:b/>
                <w:bCs/>
                <w:sz w:val="20"/>
                <w:szCs w:val="20"/>
              </w:rPr>
              <w:t>Sources included in qualitative synthesis (thematic analysis)</w:t>
            </w:r>
          </w:p>
          <w:p w14:paraId="16E6CF06" w14:textId="77777777" w:rsidR="00183E41" w:rsidRPr="00BD14D2" w:rsidRDefault="00183E41" w:rsidP="008B1642">
            <w:pPr>
              <w:spacing w:before="60" w:after="60" w:line="280" w:lineRule="auto"/>
              <w:jc w:val="both"/>
            </w:pPr>
            <w:r w:rsidRPr="00BD14D2">
              <w:rPr>
                <w:b/>
                <w:bCs/>
                <w:sz w:val="22"/>
                <w:szCs w:val="22"/>
              </w:rPr>
              <w:t>n = 31</w:t>
            </w:r>
          </w:p>
        </w:tc>
        <w:tc>
          <w:tcPr>
            <w:tcW w:w="2000" w:type="dxa"/>
            <w:tcBorders>
              <w:top w:val="nil"/>
              <w:left w:val="nil"/>
              <w:bottom w:val="nil"/>
              <w:right w:val="nil"/>
            </w:tcBorders>
            <w:tcMar>
              <w:top w:w="80" w:type="dxa"/>
              <w:left w:w="140" w:type="dxa"/>
              <w:bottom w:w="80" w:type="dxa"/>
              <w:right w:w="140" w:type="dxa"/>
            </w:tcMar>
            <w:vAlign w:val="center"/>
          </w:tcPr>
          <w:p w14:paraId="2FA0C5B0" w14:textId="77777777" w:rsidR="00183E41" w:rsidRPr="00BD14D2" w:rsidRDefault="00183E41" w:rsidP="008B1642">
            <w:pPr>
              <w:spacing w:before="80" w:after="80" w:line="300" w:lineRule="auto"/>
              <w:jc w:val="both"/>
            </w:pPr>
          </w:p>
        </w:tc>
      </w:tr>
    </w:tbl>
    <w:p w14:paraId="5BF0CCF2" w14:textId="77777777" w:rsidR="00183E41" w:rsidRPr="00BD14D2" w:rsidRDefault="00183E41" w:rsidP="008B1642">
      <w:pPr>
        <w:spacing w:before="120" w:after="120"/>
        <w:jc w:val="both"/>
      </w:pPr>
    </w:p>
    <w:p w14:paraId="3FF35806" w14:textId="77777777" w:rsidR="00183E41" w:rsidRPr="00BD14D2" w:rsidRDefault="00183E41" w:rsidP="008B1642">
      <w:pPr>
        <w:pStyle w:val="Heading2"/>
        <w:jc w:val="both"/>
        <w:rPr>
          <w:color w:val="auto"/>
        </w:rPr>
      </w:pPr>
      <w:bookmarkStart w:id="87" w:name="_Toc228791267"/>
      <w:r w:rsidRPr="00BD14D2">
        <w:rPr>
          <w:color w:val="auto"/>
        </w:rPr>
        <w:t>Appendix B: CASP Review Checklist</w:t>
      </w:r>
      <w:bookmarkEnd w:id="87"/>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3"/>
        <w:gridCol w:w="3075"/>
        <w:gridCol w:w="1680"/>
        <w:gridCol w:w="3747"/>
        <w:gridCol w:w="895"/>
      </w:tblGrid>
      <w:tr w:rsidR="00BD14D2" w:rsidRPr="00BD14D2" w14:paraId="188BB6C8" w14:textId="77777777" w:rsidTr="009B5991">
        <w:tc>
          <w:tcPr>
            <w:tcW w:w="48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7584BE89" w14:textId="77777777" w:rsidR="005A6448" w:rsidRPr="00BD14D2" w:rsidRDefault="005A6448" w:rsidP="008B1642">
            <w:pPr>
              <w:spacing w:before="60" w:after="60" w:line="280" w:lineRule="auto"/>
              <w:jc w:val="both"/>
            </w:pPr>
            <w:r w:rsidRPr="00BD14D2">
              <w:rPr>
                <w:b/>
                <w:bCs/>
                <w:sz w:val="20"/>
                <w:szCs w:val="20"/>
              </w:rPr>
              <w:t>Q</w:t>
            </w:r>
          </w:p>
        </w:tc>
        <w:tc>
          <w:tcPr>
            <w:tcW w:w="320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008E7E3E" w14:textId="77777777" w:rsidR="005A6448" w:rsidRPr="00BD14D2" w:rsidRDefault="005A6448" w:rsidP="008B1642">
            <w:pPr>
              <w:spacing w:before="60" w:after="60" w:line="280" w:lineRule="auto"/>
              <w:jc w:val="both"/>
            </w:pPr>
            <w:r w:rsidRPr="00BD14D2">
              <w:rPr>
                <w:b/>
                <w:bCs/>
                <w:sz w:val="20"/>
                <w:szCs w:val="20"/>
              </w:rPr>
              <w:t>Question</w:t>
            </w:r>
          </w:p>
        </w:tc>
        <w:tc>
          <w:tcPr>
            <w:tcW w:w="144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758DB65C" w14:textId="77777777" w:rsidR="005A6448" w:rsidRPr="00BD14D2" w:rsidRDefault="005A6448" w:rsidP="008B1642">
            <w:pPr>
              <w:spacing w:before="60" w:after="60" w:line="280" w:lineRule="auto"/>
              <w:jc w:val="both"/>
            </w:pPr>
            <w:r w:rsidRPr="00BD14D2">
              <w:rPr>
                <w:b/>
                <w:bCs/>
                <w:sz w:val="20"/>
                <w:szCs w:val="20"/>
              </w:rPr>
              <w:t>Answer</w:t>
            </w:r>
          </w:p>
        </w:tc>
        <w:tc>
          <w:tcPr>
            <w:tcW w:w="388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5899DD36" w14:textId="77777777" w:rsidR="005A6448" w:rsidRPr="00BD14D2" w:rsidRDefault="005A6448" w:rsidP="008B1642">
            <w:pPr>
              <w:spacing w:before="60" w:after="60" w:line="280" w:lineRule="auto"/>
              <w:jc w:val="both"/>
            </w:pPr>
            <w:r w:rsidRPr="00BD14D2">
              <w:rPr>
                <w:b/>
                <w:bCs/>
                <w:sz w:val="20"/>
                <w:szCs w:val="20"/>
              </w:rPr>
              <w:t xml:space="preserve">Justification </w:t>
            </w:r>
          </w:p>
        </w:tc>
        <w:tc>
          <w:tcPr>
            <w:tcW w:w="90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21C83450" w14:textId="77777777" w:rsidR="005A6448" w:rsidRPr="00BD14D2" w:rsidRDefault="005A6448" w:rsidP="008B1642">
            <w:pPr>
              <w:spacing w:before="60" w:after="60" w:line="280" w:lineRule="auto"/>
              <w:jc w:val="both"/>
            </w:pPr>
            <w:r w:rsidRPr="00BD14D2">
              <w:rPr>
                <w:b/>
                <w:bCs/>
                <w:sz w:val="20"/>
                <w:szCs w:val="20"/>
              </w:rPr>
              <w:t>Score</w:t>
            </w:r>
          </w:p>
        </w:tc>
      </w:tr>
      <w:tr w:rsidR="00BD14D2" w:rsidRPr="00BD14D2" w14:paraId="08BF1743" w14:textId="77777777" w:rsidTr="009B5991">
        <w:tc>
          <w:tcPr>
            <w:tcW w:w="9900" w:type="dxa"/>
            <w:gridSpan w:val="5"/>
            <w:tcBorders>
              <w:top w:val="single" w:sz="8" w:space="0" w:color="1F3864"/>
              <w:left w:val="single" w:sz="8" w:space="0" w:color="1F3864"/>
              <w:bottom w:val="single" w:sz="8" w:space="0" w:color="1F3864"/>
              <w:right w:val="single" w:sz="8" w:space="0" w:color="1F3864"/>
            </w:tcBorders>
            <w:shd w:val="clear" w:color="auto" w:fill="2E75B6"/>
            <w:tcMar>
              <w:top w:w="80" w:type="dxa"/>
              <w:left w:w="140" w:type="dxa"/>
              <w:bottom w:w="80" w:type="dxa"/>
              <w:right w:w="140" w:type="dxa"/>
            </w:tcMar>
            <w:vAlign w:val="center"/>
          </w:tcPr>
          <w:p w14:paraId="42EFE8B4" w14:textId="77777777" w:rsidR="005A6448" w:rsidRPr="00BD14D2" w:rsidRDefault="005A6448" w:rsidP="008B1642">
            <w:pPr>
              <w:spacing w:before="60" w:after="60" w:line="280" w:lineRule="auto"/>
              <w:jc w:val="both"/>
            </w:pPr>
            <w:r w:rsidRPr="00BD14D2">
              <w:rPr>
                <w:b/>
                <w:bCs/>
                <w:sz w:val="20"/>
                <w:szCs w:val="20"/>
              </w:rPr>
              <w:t>A – IS THE REVIEW VALID?</w:t>
            </w:r>
          </w:p>
        </w:tc>
      </w:tr>
      <w:tr w:rsidR="00BD14D2" w:rsidRPr="00BD14D2" w14:paraId="693E42B6"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25EC1EF6" w14:textId="77777777" w:rsidR="005A6448" w:rsidRPr="00BD14D2" w:rsidRDefault="005A6448" w:rsidP="008B1642">
            <w:pPr>
              <w:spacing w:before="60" w:after="60" w:line="280" w:lineRule="auto"/>
              <w:jc w:val="both"/>
            </w:pPr>
            <w:r w:rsidRPr="00BD14D2">
              <w:rPr>
                <w:b/>
                <w:bCs/>
                <w:sz w:val="20"/>
                <w:szCs w:val="20"/>
              </w:rPr>
              <w:t>1</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6E6C90FE" w14:textId="77777777" w:rsidR="005A6448" w:rsidRPr="00BD14D2" w:rsidRDefault="005A6448" w:rsidP="008B1642">
            <w:pPr>
              <w:spacing w:before="60" w:after="60" w:line="280" w:lineRule="auto"/>
              <w:jc w:val="both"/>
            </w:pPr>
            <w:r w:rsidRPr="00BD14D2">
              <w:rPr>
                <w:b/>
                <w:bCs/>
                <w:sz w:val="20"/>
                <w:szCs w:val="20"/>
              </w:rPr>
              <w:t>Did the review address a clearly focused question?</w:t>
            </w:r>
          </w:p>
        </w:tc>
        <w:tc>
          <w:tcPr>
            <w:tcW w:w="1440"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56034101" w14:textId="77777777" w:rsidR="005A6448" w:rsidRPr="00BD14D2" w:rsidRDefault="005A6448" w:rsidP="008B1642">
            <w:pPr>
              <w:spacing w:before="60" w:after="60" w:line="280" w:lineRule="auto"/>
              <w:jc w:val="both"/>
            </w:pPr>
            <w:r w:rsidRPr="00BD14D2">
              <w:rPr>
                <w:b/>
                <w:bCs/>
                <w:sz w:val="20"/>
                <w:szCs w:val="20"/>
              </w:rPr>
              <w:t>YES</w:t>
            </w:r>
          </w:p>
        </w:tc>
        <w:tc>
          <w:tcPr>
            <w:tcW w:w="38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55E1B062" w14:textId="77777777" w:rsidR="005A6448" w:rsidRPr="00BD14D2" w:rsidRDefault="005A6448" w:rsidP="008B1642">
            <w:pPr>
              <w:spacing w:before="60" w:after="60" w:line="280" w:lineRule="auto"/>
              <w:jc w:val="both"/>
            </w:pPr>
            <w:r w:rsidRPr="00BD14D2">
              <w:rPr>
                <w:sz w:val="18"/>
                <w:szCs w:val="18"/>
              </w:rPr>
              <w:t>The review addresses a clearly focused question: how does branding influence customer loyalty in the European automotive industry amid electrification, digitalisation, and competitive disruption from Asian entrants? The PICOS elements are implicitly present: Population (European automotive consumers and OEMs), Intervention/Exposure (branding strategies), Comparator (traditional vs. disrupted market dynamics), Outcomes (customer loyalty, brand equity, retention), and Study type (secondary qualitative sources).</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4E388474" w14:textId="77777777" w:rsidR="005A6448" w:rsidRPr="00BD14D2" w:rsidRDefault="005A6448" w:rsidP="008B1642">
            <w:pPr>
              <w:spacing w:before="60" w:after="60" w:line="280" w:lineRule="auto"/>
              <w:jc w:val="both"/>
            </w:pPr>
            <w:r w:rsidRPr="00BD14D2">
              <w:t>3/3</w:t>
            </w:r>
          </w:p>
        </w:tc>
      </w:tr>
      <w:tr w:rsidR="00BD14D2" w:rsidRPr="00BD14D2" w14:paraId="1D8C6561"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14922187" w14:textId="77777777" w:rsidR="005A6448" w:rsidRPr="00BD14D2" w:rsidRDefault="005A6448" w:rsidP="008B1642">
            <w:pPr>
              <w:spacing w:before="60" w:after="60" w:line="280" w:lineRule="auto"/>
              <w:jc w:val="both"/>
            </w:pPr>
            <w:r w:rsidRPr="00BD14D2">
              <w:rPr>
                <w:b/>
                <w:bCs/>
                <w:sz w:val="20"/>
                <w:szCs w:val="20"/>
              </w:rPr>
              <w:t>2</w:t>
            </w:r>
          </w:p>
        </w:tc>
        <w:tc>
          <w:tcPr>
            <w:tcW w:w="32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tcPr>
          <w:p w14:paraId="451CF09D" w14:textId="77777777" w:rsidR="005A6448" w:rsidRPr="00BD14D2" w:rsidRDefault="005A6448" w:rsidP="008B1642">
            <w:pPr>
              <w:spacing w:before="60" w:after="60" w:line="280" w:lineRule="auto"/>
              <w:jc w:val="both"/>
            </w:pPr>
            <w:r w:rsidRPr="00BD14D2">
              <w:rPr>
                <w:b/>
                <w:bCs/>
                <w:sz w:val="20"/>
                <w:szCs w:val="20"/>
              </w:rPr>
              <w:t>Did the authors look for the right type of papers?</w:t>
            </w:r>
          </w:p>
        </w:tc>
        <w:tc>
          <w:tcPr>
            <w:tcW w:w="1440"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02479633" w14:textId="77777777" w:rsidR="005A6448" w:rsidRPr="00BD14D2" w:rsidRDefault="005A6448" w:rsidP="008B1642">
            <w:pPr>
              <w:spacing w:before="60" w:after="60" w:line="280" w:lineRule="auto"/>
              <w:jc w:val="both"/>
            </w:pPr>
            <w:r w:rsidRPr="00BD14D2">
              <w:rPr>
                <w:b/>
                <w:bCs/>
                <w:sz w:val="20"/>
                <w:szCs w:val="20"/>
              </w:rPr>
              <w:t>YES</w:t>
            </w:r>
          </w:p>
        </w:tc>
        <w:tc>
          <w:tcPr>
            <w:tcW w:w="388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tcPr>
          <w:p w14:paraId="0F59C9DE" w14:textId="77777777" w:rsidR="005A6448" w:rsidRPr="00BD14D2" w:rsidRDefault="005A6448" w:rsidP="008B1642">
            <w:pPr>
              <w:spacing w:before="60" w:after="60" w:line="280" w:lineRule="auto"/>
              <w:jc w:val="both"/>
            </w:pPr>
            <w:r w:rsidRPr="00BD14D2">
              <w:rPr>
                <w:sz w:val="18"/>
                <w:szCs w:val="18"/>
              </w:rPr>
              <w:t xml:space="preserve">The review appropriately targets peer-reviewed journal articles, industry reports (McKinsey, IEA, ACEA), and book chapters relevant to branding, relationship marketing, and automotive consumer behaviour. Given the qualitative, exploratory nature of the study and the adoption of an interpretivist </w:t>
            </w:r>
            <w:r w:rsidRPr="00BD14D2">
              <w:rPr>
                <w:sz w:val="18"/>
                <w:szCs w:val="18"/>
              </w:rPr>
              <w:lastRenderedPageBreak/>
              <w:t>philosophical stance, the inclusion of conceptual frameworks (Morgan &amp; Hunt 1994; Keller 1993; Palmatier et al. 2006) alongside empirical studies is appropriate and justified. The exclusion of primary quantitative data is consistent with the secondary qualitative methodology.</w:t>
            </w:r>
          </w:p>
        </w:tc>
        <w:tc>
          <w:tcPr>
            <w:tcW w:w="9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vAlign w:val="center"/>
          </w:tcPr>
          <w:p w14:paraId="02A20AFE" w14:textId="77777777" w:rsidR="005A6448" w:rsidRPr="00BD14D2" w:rsidRDefault="005A6448" w:rsidP="008B1642">
            <w:pPr>
              <w:spacing w:before="60" w:after="60" w:line="280" w:lineRule="auto"/>
              <w:jc w:val="both"/>
            </w:pPr>
            <w:r w:rsidRPr="00BD14D2">
              <w:lastRenderedPageBreak/>
              <w:t>3/3</w:t>
            </w:r>
          </w:p>
        </w:tc>
      </w:tr>
      <w:tr w:rsidR="00BD14D2" w:rsidRPr="00BD14D2" w14:paraId="096F7D82"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2E19E912" w14:textId="77777777" w:rsidR="005A6448" w:rsidRPr="00BD14D2" w:rsidRDefault="005A6448" w:rsidP="008B1642">
            <w:pPr>
              <w:spacing w:before="60" w:after="60" w:line="280" w:lineRule="auto"/>
              <w:jc w:val="both"/>
            </w:pPr>
            <w:r w:rsidRPr="00BD14D2">
              <w:rPr>
                <w:b/>
                <w:bCs/>
                <w:sz w:val="20"/>
                <w:szCs w:val="20"/>
              </w:rPr>
              <w:t>3</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330F362D" w14:textId="77777777" w:rsidR="005A6448" w:rsidRPr="00BD14D2" w:rsidRDefault="005A6448" w:rsidP="008B1642">
            <w:pPr>
              <w:spacing w:before="60" w:after="60" w:line="280" w:lineRule="auto"/>
              <w:jc w:val="both"/>
            </w:pPr>
            <w:r w:rsidRPr="00BD14D2">
              <w:rPr>
                <w:b/>
                <w:bCs/>
                <w:sz w:val="20"/>
                <w:szCs w:val="20"/>
              </w:rPr>
              <w:t>Do you think all the important, relevant studies were included?</w:t>
            </w:r>
          </w:p>
        </w:tc>
        <w:tc>
          <w:tcPr>
            <w:tcW w:w="1440" w:type="dxa"/>
            <w:tcBorders>
              <w:top w:val="single" w:sz="4" w:space="0" w:color="AAAAAA"/>
              <w:left w:val="single" w:sz="4" w:space="0" w:color="AAAAAA"/>
              <w:bottom w:val="single" w:sz="4" w:space="0" w:color="AAAAAA"/>
              <w:right w:val="single" w:sz="4" w:space="0" w:color="AAAAAA"/>
            </w:tcBorders>
            <w:shd w:val="clear" w:color="auto" w:fill="FCE4D6"/>
            <w:tcMar>
              <w:top w:w="80" w:type="dxa"/>
              <w:left w:w="140" w:type="dxa"/>
              <w:bottom w:w="80" w:type="dxa"/>
              <w:right w:w="140" w:type="dxa"/>
            </w:tcMar>
            <w:vAlign w:val="center"/>
          </w:tcPr>
          <w:p w14:paraId="699E1FA2" w14:textId="77777777" w:rsidR="005A6448" w:rsidRPr="00BD14D2" w:rsidRDefault="005A6448" w:rsidP="008B1642">
            <w:pPr>
              <w:spacing w:before="60" w:after="60" w:line="280" w:lineRule="auto"/>
              <w:jc w:val="both"/>
            </w:pPr>
            <w:r w:rsidRPr="00BD14D2">
              <w:rPr>
                <w:b/>
                <w:bCs/>
                <w:sz w:val="20"/>
                <w:szCs w:val="20"/>
              </w:rPr>
              <w:t>YES (with minor reservation)</w:t>
            </w:r>
          </w:p>
        </w:tc>
        <w:tc>
          <w:tcPr>
            <w:tcW w:w="38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72306809" w14:textId="77777777" w:rsidR="005A6448" w:rsidRPr="00BD14D2" w:rsidRDefault="005A6448" w:rsidP="008B1642">
            <w:pPr>
              <w:spacing w:before="60" w:after="60" w:line="280" w:lineRule="auto"/>
              <w:jc w:val="both"/>
            </w:pPr>
            <w:r w:rsidRPr="00BD14D2">
              <w:rPr>
                <w:sz w:val="18"/>
                <w:szCs w:val="18"/>
              </w:rPr>
              <w:t>A broad range of databases was searched (Google Scholar, Scopus, Emerald Insight, ScienceDirect, JSTOR, Springer Link, Taylor &amp; Francis, MDPI, and key industry repositories). The 41 sources identified cover foundational brand loyalty theory, European automotive market dynamics, EV transition, digital transformation, sustainability, and strategic responses. However, the review relies exclusively on English-language sources, and grey literature from European automotive associations beyond ACEA (e.g., VDA, PFA) is not formally included. This is a minor limitation.</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46140779" w14:textId="77777777" w:rsidR="005A6448" w:rsidRPr="00BD14D2" w:rsidRDefault="005A6448" w:rsidP="008B1642">
            <w:pPr>
              <w:spacing w:before="60" w:after="60" w:line="280" w:lineRule="auto"/>
              <w:jc w:val="both"/>
            </w:pPr>
            <w:r w:rsidRPr="00BD14D2">
              <w:t>3/3</w:t>
            </w:r>
          </w:p>
        </w:tc>
      </w:tr>
      <w:tr w:rsidR="00BD14D2" w:rsidRPr="00BD14D2" w14:paraId="2F2BDF04"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152EA1D2" w14:textId="77777777" w:rsidR="005A6448" w:rsidRPr="00BD14D2" w:rsidRDefault="005A6448" w:rsidP="008B1642">
            <w:pPr>
              <w:spacing w:before="60" w:after="60" w:line="280" w:lineRule="auto"/>
              <w:jc w:val="both"/>
            </w:pPr>
            <w:r w:rsidRPr="00BD14D2">
              <w:rPr>
                <w:b/>
                <w:bCs/>
                <w:sz w:val="20"/>
                <w:szCs w:val="20"/>
              </w:rPr>
              <w:t>4</w:t>
            </w:r>
          </w:p>
        </w:tc>
        <w:tc>
          <w:tcPr>
            <w:tcW w:w="32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tcPr>
          <w:p w14:paraId="3902B49B" w14:textId="77777777" w:rsidR="005A6448" w:rsidRPr="00BD14D2" w:rsidRDefault="005A6448" w:rsidP="008B1642">
            <w:pPr>
              <w:spacing w:before="60" w:after="60" w:line="280" w:lineRule="auto"/>
              <w:jc w:val="both"/>
            </w:pPr>
            <w:r w:rsidRPr="00BD14D2">
              <w:rPr>
                <w:b/>
                <w:bCs/>
                <w:sz w:val="20"/>
                <w:szCs w:val="20"/>
              </w:rPr>
              <w:t>Did the review's authors do enough to assess the quality of the included studies?</w:t>
            </w:r>
          </w:p>
        </w:tc>
        <w:tc>
          <w:tcPr>
            <w:tcW w:w="1440"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37D76471" w14:textId="77777777" w:rsidR="005A6448" w:rsidRPr="00BD14D2" w:rsidRDefault="005A6448" w:rsidP="008B1642">
            <w:pPr>
              <w:spacing w:before="60" w:after="60" w:line="280" w:lineRule="auto"/>
              <w:jc w:val="both"/>
            </w:pPr>
            <w:r w:rsidRPr="00BD14D2">
              <w:rPr>
                <w:b/>
                <w:bCs/>
                <w:sz w:val="20"/>
                <w:szCs w:val="20"/>
              </w:rPr>
              <w:t>YES</w:t>
            </w:r>
          </w:p>
        </w:tc>
        <w:tc>
          <w:tcPr>
            <w:tcW w:w="388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tcPr>
          <w:p w14:paraId="5D351D7D" w14:textId="77777777" w:rsidR="005A6448" w:rsidRPr="00BD14D2" w:rsidRDefault="005A6448" w:rsidP="008B1642">
            <w:pPr>
              <w:spacing w:before="60" w:after="60" w:line="280" w:lineRule="auto"/>
              <w:jc w:val="both"/>
            </w:pPr>
            <w:r w:rsidRPr="00BD14D2">
              <w:rPr>
                <w:sz w:val="18"/>
                <w:szCs w:val="18"/>
              </w:rPr>
              <w:t xml:space="preserve">The review applies critical appraisal throughout the literature review chapter. Sources are evaluated for methodological rigour (e.g., Palmatier et al. 2006 is a meta-analysis; </w:t>
            </w:r>
            <w:proofErr w:type="spellStart"/>
            <w:r w:rsidRPr="00BD14D2">
              <w:rPr>
                <w:sz w:val="18"/>
                <w:szCs w:val="18"/>
              </w:rPr>
              <w:t>Górska-Warsewicz</w:t>
            </w:r>
            <w:proofErr w:type="spellEnd"/>
            <w:r w:rsidRPr="00BD14D2">
              <w:rPr>
                <w:sz w:val="18"/>
                <w:szCs w:val="18"/>
              </w:rPr>
              <w:t xml:space="preserve"> 2025 draws on Central and Eastern European data), geographic relevance (European focus verified for key sources), and recency (strong preference for post-2020 publications). The review explicitly acknowledges the seminal but older nature of foundational works (Keller 1993; Aaker 1991; Dick &amp; Basu 1994; Oliver 1999), justifying their inclusion based on theoretical indispensability.</w:t>
            </w:r>
          </w:p>
        </w:tc>
        <w:tc>
          <w:tcPr>
            <w:tcW w:w="9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vAlign w:val="center"/>
          </w:tcPr>
          <w:p w14:paraId="59B92777" w14:textId="77777777" w:rsidR="005A6448" w:rsidRPr="00BD14D2" w:rsidRDefault="005A6448" w:rsidP="008B1642">
            <w:pPr>
              <w:spacing w:before="60" w:after="60" w:line="280" w:lineRule="auto"/>
              <w:jc w:val="both"/>
            </w:pPr>
            <w:r w:rsidRPr="00BD14D2">
              <w:t>3/3</w:t>
            </w:r>
          </w:p>
        </w:tc>
      </w:tr>
      <w:tr w:rsidR="00BD14D2" w:rsidRPr="00BD14D2" w14:paraId="47005E25"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41176DAD" w14:textId="77777777" w:rsidR="005A6448" w:rsidRPr="00BD14D2" w:rsidRDefault="005A6448" w:rsidP="008B1642">
            <w:pPr>
              <w:spacing w:before="60" w:after="60" w:line="280" w:lineRule="auto"/>
              <w:jc w:val="both"/>
            </w:pPr>
            <w:r w:rsidRPr="00BD14D2">
              <w:rPr>
                <w:b/>
                <w:bCs/>
                <w:sz w:val="20"/>
                <w:szCs w:val="20"/>
              </w:rPr>
              <w:t>5</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3AD75BCB" w14:textId="77777777" w:rsidR="005A6448" w:rsidRPr="00BD14D2" w:rsidRDefault="005A6448" w:rsidP="008B1642">
            <w:pPr>
              <w:spacing w:before="60" w:after="60" w:line="280" w:lineRule="auto"/>
              <w:jc w:val="both"/>
            </w:pPr>
            <w:r w:rsidRPr="00BD14D2">
              <w:rPr>
                <w:b/>
                <w:bCs/>
                <w:sz w:val="20"/>
                <w:szCs w:val="20"/>
              </w:rPr>
              <w:t>If the results of the review have been combined, was it reasonable to do so?</w:t>
            </w:r>
          </w:p>
        </w:tc>
        <w:tc>
          <w:tcPr>
            <w:tcW w:w="1440"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72E93B55" w14:textId="77777777" w:rsidR="005A6448" w:rsidRPr="00BD14D2" w:rsidRDefault="005A6448" w:rsidP="008B1642">
            <w:pPr>
              <w:spacing w:before="60" w:after="60" w:line="280" w:lineRule="auto"/>
              <w:jc w:val="both"/>
            </w:pPr>
            <w:r w:rsidRPr="00BD14D2">
              <w:rPr>
                <w:b/>
                <w:bCs/>
                <w:sz w:val="20"/>
                <w:szCs w:val="20"/>
              </w:rPr>
              <w:t>YES</w:t>
            </w:r>
          </w:p>
        </w:tc>
        <w:tc>
          <w:tcPr>
            <w:tcW w:w="38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78961BBE" w14:textId="77777777" w:rsidR="005A6448" w:rsidRPr="00BD14D2" w:rsidRDefault="005A6448" w:rsidP="008B1642">
            <w:pPr>
              <w:spacing w:before="60" w:after="60" w:line="280" w:lineRule="auto"/>
              <w:jc w:val="both"/>
            </w:pPr>
            <w:r w:rsidRPr="00BD14D2">
              <w:rPr>
                <w:sz w:val="18"/>
                <w:szCs w:val="18"/>
              </w:rPr>
              <w:t xml:space="preserve">Themes are synthesised across five areas: (1) theoretical foundations of brand loyalty; (2) traditional European automotive loyalty model; (3) disruption by electrification and digitalisation; (4) competitive and consumer behaviour challenges; and (5) strategic responses. The consistency of findings across independent sources (e.g., convergent findings on digital disconnection from </w:t>
            </w:r>
            <w:proofErr w:type="spellStart"/>
            <w:r w:rsidRPr="00BD14D2">
              <w:rPr>
                <w:sz w:val="18"/>
                <w:szCs w:val="18"/>
              </w:rPr>
              <w:t>Mosaferchi</w:t>
            </w:r>
            <w:proofErr w:type="spellEnd"/>
            <w:r w:rsidRPr="00BD14D2">
              <w:rPr>
                <w:sz w:val="18"/>
                <w:szCs w:val="18"/>
              </w:rPr>
              <w:t xml:space="preserve"> et al. 2026 and Agustí-Pérez et al. 2026) lends credibility to the synthesis.</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31B34F92" w14:textId="77777777" w:rsidR="005A6448" w:rsidRPr="00BD14D2" w:rsidRDefault="005A6448" w:rsidP="008B1642">
            <w:pPr>
              <w:spacing w:before="60" w:after="60" w:line="280" w:lineRule="auto"/>
              <w:jc w:val="both"/>
            </w:pPr>
            <w:r w:rsidRPr="00BD14D2">
              <w:t>3/3</w:t>
            </w:r>
          </w:p>
        </w:tc>
      </w:tr>
      <w:tr w:rsidR="00BD14D2" w:rsidRPr="00BD14D2" w14:paraId="5066127E" w14:textId="77777777" w:rsidTr="009B5991">
        <w:tc>
          <w:tcPr>
            <w:tcW w:w="9900" w:type="dxa"/>
            <w:gridSpan w:val="5"/>
            <w:tcBorders>
              <w:top w:val="single" w:sz="8" w:space="0" w:color="1F3864"/>
              <w:left w:val="single" w:sz="8" w:space="0" w:color="1F3864"/>
              <w:bottom w:val="single" w:sz="8" w:space="0" w:color="1F3864"/>
              <w:right w:val="single" w:sz="8" w:space="0" w:color="1F3864"/>
            </w:tcBorders>
            <w:shd w:val="clear" w:color="auto" w:fill="2E75B6"/>
            <w:tcMar>
              <w:top w:w="80" w:type="dxa"/>
              <w:left w:w="140" w:type="dxa"/>
              <w:bottom w:w="80" w:type="dxa"/>
              <w:right w:w="140" w:type="dxa"/>
            </w:tcMar>
            <w:vAlign w:val="center"/>
          </w:tcPr>
          <w:p w14:paraId="74287D91" w14:textId="77777777" w:rsidR="005A6448" w:rsidRPr="00BD14D2" w:rsidRDefault="005A6448" w:rsidP="008B1642">
            <w:pPr>
              <w:spacing w:before="60" w:after="60" w:line="280" w:lineRule="auto"/>
              <w:jc w:val="both"/>
            </w:pPr>
            <w:r w:rsidRPr="00BD14D2">
              <w:rPr>
                <w:b/>
                <w:bCs/>
                <w:sz w:val="20"/>
                <w:szCs w:val="20"/>
              </w:rPr>
              <w:t>B – WHAT ARE THE RESULTS?</w:t>
            </w:r>
          </w:p>
        </w:tc>
      </w:tr>
      <w:tr w:rsidR="00BD14D2" w:rsidRPr="00BD14D2" w14:paraId="370918B2"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76E05E7C" w14:textId="77777777" w:rsidR="005A6448" w:rsidRPr="00BD14D2" w:rsidRDefault="005A6448" w:rsidP="008B1642">
            <w:pPr>
              <w:spacing w:before="60" w:after="60" w:line="280" w:lineRule="auto"/>
              <w:jc w:val="both"/>
            </w:pPr>
            <w:r w:rsidRPr="00BD14D2">
              <w:rPr>
                <w:b/>
                <w:bCs/>
                <w:sz w:val="20"/>
                <w:szCs w:val="20"/>
              </w:rPr>
              <w:lastRenderedPageBreak/>
              <w:t>6</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1895BEC6" w14:textId="77777777" w:rsidR="005A6448" w:rsidRPr="00BD14D2" w:rsidRDefault="005A6448" w:rsidP="008B1642">
            <w:pPr>
              <w:spacing w:before="60" w:after="60" w:line="280" w:lineRule="auto"/>
              <w:jc w:val="both"/>
            </w:pPr>
            <w:r w:rsidRPr="00BD14D2">
              <w:rPr>
                <w:b/>
                <w:bCs/>
                <w:sz w:val="20"/>
                <w:szCs w:val="20"/>
              </w:rPr>
              <w:t>What are the overall results of the review?</w:t>
            </w:r>
          </w:p>
        </w:tc>
        <w:tc>
          <w:tcPr>
            <w:tcW w:w="1440" w:type="dxa"/>
            <w:tcBorders>
              <w:top w:val="single" w:sz="4" w:space="0" w:color="AAAAAA"/>
              <w:left w:val="single" w:sz="4" w:space="0" w:color="AAAAAA"/>
              <w:bottom w:val="single" w:sz="4" w:space="0" w:color="AAAAAA"/>
              <w:right w:val="single" w:sz="4" w:space="0" w:color="AAAAAA"/>
            </w:tcBorders>
            <w:shd w:val="clear" w:color="auto" w:fill="EBF3FB"/>
            <w:tcMar>
              <w:top w:w="80" w:type="dxa"/>
              <w:left w:w="140" w:type="dxa"/>
              <w:bottom w:w="80" w:type="dxa"/>
              <w:right w:w="140" w:type="dxa"/>
            </w:tcMar>
            <w:vAlign w:val="center"/>
          </w:tcPr>
          <w:p w14:paraId="43C471FE" w14:textId="77777777" w:rsidR="005A6448" w:rsidRPr="00BD14D2" w:rsidRDefault="005A6448" w:rsidP="008B1642">
            <w:pPr>
              <w:spacing w:before="60" w:after="60" w:line="280" w:lineRule="auto"/>
              <w:jc w:val="both"/>
            </w:pPr>
            <w:r w:rsidRPr="00BD14D2">
              <w:rPr>
                <w:b/>
                <w:bCs/>
                <w:sz w:val="20"/>
                <w:szCs w:val="20"/>
              </w:rPr>
              <w:t>CLEAR AND CONSISTENT</w:t>
            </w:r>
          </w:p>
        </w:tc>
        <w:tc>
          <w:tcPr>
            <w:tcW w:w="38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625602B9" w14:textId="77777777" w:rsidR="005A6448" w:rsidRPr="00BD14D2" w:rsidRDefault="005A6448" w:rsidP="008B1642">
            <w:pPr>
              <w:spacing w:before="60" w:after="60" w:line="280" w:lineRule="auto"/>
              <w:jc w:val="both"/>
            </w:pPr>
            <w:r w:rsidRPr="00BD14D2">
              <w:rPr>
                <w:sz w:val="18"/>
                <w:szCs w:val="18"/>
              </w:rPr>
              <w:t>The review produces four principal findings: (</w:t>
            </w:r>
            <w:proofErr w:type="spellStart"/>
            <w:r w:rsidRPr="00BD14D2">
              <w:rPr>
                <w:sz w:val="18"/>
                <w:szCs w:val="18"/>
              </w:rPr>
              <w:t>i</w:t>
            </w:r>
            <w:proofErr w:type="spellEnd"/>
            <w:r w:rsidRPr="00BD14D2">
              <w:rPr>
                <w:sz w:val="18"/>
                <w:szCs w:val="18"/>
              </w:rPr>
              <w:t xml:space="preserve">) Traditional brand loyalty in European automotive is being eroded by EV transition and digital disruption, with younger consumers less anchored to heritage brands (Mitrache et al. 2025; Agustí-Pérez et al. 2026); (ii) Chinese market entrants create price-competitive threats that legacy OEM cost structures struggle to match (Cornet et al. 2023; </w:t>
            </w:r>
            <w:proofErr w:type="spellStart"/>
            <w:r w:rsidRPr="00BD14D2">
              <w:rPr>
                <w:sz w:val="18"/>
                <w:szCs w:val="18"/>
              </w:rPr>
              <w:t>Nofrizal</w:t>
            </w:r>
            <w:proofErr w:type="spellEnd"/>
            <w:r w:rsidRPr="00BD14D2">
              <w:rPr>
                <w:sz w:val="18"/>
                <w:szCs w:val="18"/>
              </w:rPr>
              <w:t xml:space="preserve"> &amp; </w:t>
            </w:r>
            <w:proofErr w:type="spellStart"/>
            <w:r w:rsidRPr="00BD14D2">
              <w:rPr>
                <w:sz w:val="18"/>
                <w:szCs w:val="18"/>
              </w:rPr>
              <w:t>Martias</w:t>
            </w:r>
            <w:proofErr w:type="spellEnd"/>
            <w:r w:rsidRPr="00BD14D2">
              <w:rPr>
                <w:sz w:val="18"/>
                <w:szCs w:val="18"/>
              </w:rPr>
              <w:t xml:space="preserve"> 2026); (iii) Fragmentation of the customer journey across manufacturer, dealer, and digital touchpoints impedes loyalty building (Milheiro et al. 2026; </w:t>
            </w:r>
            <w:proofErr w:type="spellStart"/>
            <w:r w:rsidRPr="00BD14D2">
              <w:rPr>
                <w:sz w:val="18"/>
                <w:szCs w:val="18"/>
              </w:rPr>
              <w:t>Mosaferchi</w:t>
            </w:r>
            <w:proofErr w:type="spellEnd"/>
            <w:r w:rsidRPr="00BD14D2">
              <w:rPr>
                <w:sz w:val="18"/>
                <w:szCs w:val="18"/>
              </w:rPr>
              <w:t xml:space="preserve"> et al. 2026); (iv) agency models, software-defined vehicles, sustainability positioning, and subscription programmes offer viable strategic responses (Agustí-Pérez et al. 2026; </w:t>
            </w:r>
            <w:proofErr w:type="spellStart"/>
            <w:r w:rsidRPr="00BD14D2">
              <w:rPr>
                <w:sz w:val="18"/>
                <w:szCs w:val="18"/>
              </w:rPr>
              <w:t>Škudienė</w:t>
            </w:r>
            <w:proofErr w:type="spellEnd"/>
            <w:r w:rsidRPr="00BD14D2">
              <w:rPr>
                <w:sz w:val="18"/>
                <w:szCs w:val="18"/>
              </w:rPr>
              <w:t xml:space="preserve"> et al. 2026; </w:t>
            </w:r>
            <w:proofErr w:type="spellStart"/>
            <w:r w:rsidRPr="00BD14D2">
              <w:rPr>
                <w:sz w:val="18"/>
                <w:szCs w:val="18"/>
              </w:rPr>
              <w:t>Zaware</w:t>
            </w:r>
            <w:proofErr w:type="spellEnd"/>
            <w:r w:rsidRPr="00BD14D2">
              <w:rPr>
                <w:sz w:val="18"/>
                <w:szCs w:val="18"/>
              </w:rPr>
              <w:t xml:space="preserve"> &amp; </w:t>
            </w:r>
            <w:proofErr w:type="spellStart"/>
            <w:r w:rsidRPr="00BD14D2">
              <w:rPr>
                <w:sz w:val="18"/>
                <w:szCs w:val="18"/>
              </w:rPr>
              <w:t>Deokate</w:t>
            </w:r>
            <w:proofErr w:type="spellEnd"/>
            <w:r w:rsidRPr="00BD14D2">
              <w:rPr>
                <w:sz w:val="18"/>
                <w:szCs w:val="18"/>
              </w:rPr>
              <w:t xml:space="preserve"> 2025). These findings are internally consistent and mutually reinforcing.</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18B3712A" w14:textId="77777777" w:rsidR="005A6448" w:rsidRPr="00BD14D2" w:rsidRDefault="005A6448" w:rsidP="008B1642">
            <w:pPr>
              <w:spacing w:before="60" w:after="60" w:line="280" w:lineRule="auto"/>
              <w:jc w:val="both"/>
            </w:pPr>
            <w:r w:rsidRPr="00BD14D2">
              <w:t>2/3</w:t>
            </w:r>
          </w:p>
        </w:tc>
      </w:tr>
      <w:tr w:rsidR="00BD14D2" w:rsidRPr="00BD14D2" w14:paraId="018868BC"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73054698" w14:textId="77777777" w:rsidR="005A6448" w:rsidRPr="00BD14D2" w:rsidRDefault="005A6448" w:rsidP="008B1642">
            <w:pPr>
              <w:spacing w:before="60" w:after="60" w:line="280" w:lineRule="auto"/>
              <w:jc w:val="both"/>
            </w:pPr>
            <w:r w:rsidRPr="00BD14D2">
              <w:rPr>
                <w:b/>
                <w:bCs/>
                <w:sz w:val="20"/>
                <w:szCs w:val="20"/>
              </w:rPr>
              <w:t>7</w:t>
            </w:r>
          </w:p>
        </w:tc>
        <w:tc>
          <w:tcPr>
            <w:tcW w:w="32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tcPr>
          <w:p w14:paraId="2C721E92" w14:textId="77777777" w:rsidR="005A6448" w:rsidRPr="00BD14D2" w:rsidRDefault="005A6448" w:rsidP="008B1642">
            <w:pPr>
              <w:spacing w:before="60" w:after="60" w:line="280" w:lineRule="auto"/>
              <w:jc w:val="both"/>
            </w:pPr>
            <w:r w:rsidRPr="00BD14D2">
              <w:rPr>
                <w:b/>
                <w:bCs/>
                <w:sz w:val="20"/>
                <w:szCs w:val="20"/>
              </w:rPr>
              <w:t>How precise are the results?</w:t>
            </w:r>
          </w:p>
        </w:tc>
        <w:tc>
          <w:tcPr>
            <w:tcW w:w="1440" w:type="dxa"/>
            <w:tcBorders>
              <w:top w:val="single" w:sz="4" w:space="0" w:color="AAAAAA"/>
              <w:left w:val="single" w:sz="4" w:space="0" w:color="AAAAAA"/>
              <w:bottom w:val="single" w:sz="4" w:space="0" w:color="AAAAAA"/>
              <w:right w:val="single" w:sz="4" w:space="0" w:color="AAAAAA"/>
            </w:tcBorders>
            <w:shd w:val="clear" w:color="auto" w:fill="EBF3FB"/>
            <w:tcMar>
              <w:top w:w="80" w:type="dxa"/>
              <w:left w:w="140" w:type="dxa"/>
              <w:bottom w:w="80" w:type="dxa"/>
              <w:right w:w="140" w:type="dxa"/>
            </w:tcMar>
            <w:vAlign w:val="center"/>
          </w:tcPr>
          <w:p w14:paraId="310B8980" w14:textId="77777777" w:rsidR="005A6448" w:rsidRPr="00BD14D2" w:rsidRDefault="005A6448" w:rsidP="008B1642">
            <w:pPr>
              <w:spacing w:before="60" w:after="60" w:line="280" w:lineRule="auto"/>
              <w:jc w:val="both"/>
              <w:rPr>
                <w:b/>
              </w:rPr>
            </w:pPr>
            <w:r w:rsidRPr="00BD14D2">
              <w:rPr>
                <w:b/>
                <w:bCs/>
                <w:sz w:val="20"/>
                <w:szCs w:val="20"/>
              </w:rPr>
              <w:t>MODERATELY PRECISE</w:t>
            </w:r>
          </w:p>
        </w:tc>
        <w:tc>
          <w:tcPr>
            <w:tcW w:w="388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tcPr>
          <w:p w14:paraId="22A6D1C3" w14:textId="77777777" w:rsidR="005A6448" w:rsidRPr="00BD14D2" w:rsidRDefault="005A6448" w:rsidP="008B1642">
            <w:pPr>
              <w:spacing w:before="60" w:after="60" w:line="280" w:lineRule="auto"/>
              <w:jc w:val="both"/>
            </w:pPr>
            <w:r w:rsidRPr="00BD14D2">
              <w:rPr>
                <w:sz w:val="18"/>
                <w:szCs w:val="18"/>
              </w:rPr>
              <w:t>As a qualitative systematic review employing thematic analysis, quantitative precision measures (confidence intervals, effect sizes) are not applicable. However, precision in qualitative terms is adequate: themes are grounded in multiple independent sources, directional consistency is strong, and contradictory evidence is acknowledged (e.g., Mitrache et al. 2025 note that heritage loyalty remains a partial buffer, even as it weakens). The review would benefit from greater precision regarding the relative magnitude of different disruptions, which is constrained by the absence of primary data.</w:t>
            </w:r>
          </w:p>
        </w:tc>
        <w:tc>
          <w:tcPr>
            <w:tcW w:w="9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vAlign w:val="center"/>
          </w:tcPr>
          <w:p w14:paraId="74C9ECA5" w14:textId="77777777" w:rsidR="005A6448" w:rsidRPr="00BD14D2" w:rsidRDefault="005A6448" w:rsidP="008B1642">
            <w:pPr>
              <w:spacing w:before="60" w:after="60" w:line="280" w:lineRule="auto"/>
              <w:jc w:val="both"/>
            </w:pPr>
            <w:r w:rsidRPr="00BD14D2">
              <w:t>2/3</w:t>
            </w:r>
          </w:p>
        </w:tc>
      </w:tr>
      <w:tr w:rsidR="00BD14D2" w:rsidRPr="00BD14D2" w14:paraId="0C919680" w14:textId="77777777" w:rsidTr="009B5991">
        <w:tc>
          <w:tcPr>
            <w:tcW w:w="9900" w:type="dxa"/>
            <w:gridSpan w:val="5"/>
            <w:tcBorders>
              <w:top w:val="single" w:sz="8" w:space="0" w:color="1F3864"/>
              <w:left w:val="single" w:sz="8" w:space="0" w:color="1F3864"/>
              <w:bottom w:val="single" w:sz="8" w:space="0" w:color="1F3864"/>
              <w:right w:val="single" w:sz="8" w:space="0" w:color="1F3864"/>
            </w:tcBorders>
            <w:shd w:val="clear" w:color="auto" w:fill="2E75B6"/>
            <w:tcMar>
              <w:top w:w="80" w:type="dxa"/>
              <w:left w:w="140" w:type="dxa"/>
              <w:bottom w:w="80" w:type="dxa"/>
              <w:right w:w="140" w:type="dxa"/>
            </w:tcMar>
            <w:vAlign w:val="center"/>
          </w:tcPr>
          <w:p w14:paraId="6926B243" w14:textId="77777777" w:rsidR="005A6448" w:rsidRPr="00BD14D2" w:rsidRDefault="005A6448" w:rsidP="008B1642">
            <w:pPr>
              <w:spacing w:before="60" w:after="60" w:line="280" w:lineRule="auto"/>
              <w:jc w:val="both"/>
            </w:pPr>
            <w:r w:rsidRPr="00BD14D2">
              <w:rPr>
                <w:b/>
                <w:bCs/>
                <w:sz w:val="20"/>
                <w:szCs w:val="20"/>
              </w:rPr>
              <w:t>C – WILL THE RESULTS HELP LOCALLY?</w:t>
            </w:r>
          </w:p>
        </w:tc>
      </w:tr>
      <w:tr w:rsidR="00BD14D2" w:rsidRPr="00BD14D2" w14:paraId="52957883"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4847697E" w14:textId="77777777" w:rsidR="005A6448" w:rsidRPr="00BD14D2" w:rsidRDefault="005A6448" w:rsidP="008B1642">
            <w:pPr>
              <w:spacing w:before="60" w:after="60" w:line="280" w:lineRule="auto"/>
              <w:jc w:val="both"/>
            </w:pPr>
            <w:r w:rsidRPr="00BD14D2">
              <w:rPr>
                <w:b/>
                <w:bCs/>
                <w:sz w:val="20"/>
                <w:szCs w:val="20"/>
              </w:rPr>
              <w:t>8</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76A6DB11" w14:textId="77777777" w:rsidR="005A6448" w:rsidRPr="00BD14D2" w:rsidRDefault="005A6448" w:rsidP="008B1642">
            <w:pPr>
              <w:spacing w:before="60" w:after="60" w:line="280" w:lineRule="auto"/>
              <w:jc w:val="both"/>
            </w:pPr>
            <w:r w:rsidRPr="00BD14D2">
              <w:rPr>
                <w:b/>
                <w:bCs/>
                <w:sz w:val="20"/>
                <w:szCs w:val="20"/>
              </w:rPr>
              <w:t>Can the results be applied to the local population?</w:t>
            </w:r>
          </w:p>
        </w:tc>
        <w:tc>
          <w:tcPr>
            <w:tcW w:w="1440"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7A2F0246" w14:textId="77777777" w:rsidR="005A6448" w:rsidRPr="00BD14D2" w:rsidRDefault="005A6448" w:rsidP="008B1642">
            <w:pPr>
              <w:spacing w:before="60" w:after="60" w:line="280" w:lineRule="auto"/>
              <w:jc w:val="both"/>
            </w:pPr>
            <w:r w:rsidRPr="00BD14D2">
              <w:rPr>
                <w:b/>
                <w:bCs/>
                <w:sz w:val="20"/>
                <w:szCs w:val="20"/>
              </w:rPr>
              <w:t>YES</w:t>
            </w:r>
          </w:p>
        </w:tc>
        <w:tc>
          <w:tcPr>
            <w:tcW w:w="38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7877353B" w14:textId="7BE2FB69" w:rsidR="005A6448" w:rsidRPr="00BD14D2" w:rsidRDefault="005A6448" w:rsidP="008B1642">
            <w:pPr>
              <w:spacing w:before="60" w:after="60" w:line="280" w:lineRule="auto"/>
              <w:jc w:val="both"/>
            </w:pPr>
            <w:r w:rsidRPr="00BD14D2">
              <w:rPr>
                <w:sz w:val="18"/>
                <w:szCs w:val="18"/>
              </w:rPr>
              <w:t>The study is explicitly designed to address the European automotive context. The majority of empirical sources are European in scope (</w:t>
            </w:r>
            <w:proofErr w:type="spellStart"/>
            <w:r w:rsidRPr="00BD14D2">
              <w:rPr>
                <w:sz w:val="18"/>
                <w:szCs w:val="18"/>
              </w:rPr>
              <w:t>Górska-Warsewicz</w:t>
            </w:r>
            <w:proofErr w:type="spellEnd"/>
            <w:r w:rsidRPr="00BD14D2">
              <w:rPr>
                <w:sz w:val="18"/>
                <w:szCs w:val="18"/>
              </w:rPr>
              <w:t xml:space="preserve"> 2025; Gracia et al. 2024; Van Der Lee &amp; Veeneman 2025), and the review acknowledges geographic variation within Europe (e.g., Central/Eastern European dynamics may differ from Western European markets). The findings are applicable to European OEM marketing managers, brand strategists, and </w:t>
            </w:r>
            <w:r w:rsidR="003B6C03" w:rsidRPr="00BD14D2">
              <w:rPr>
                <w:sz w:val="18"/>
                <w:szCs w:val="18"/>
              </w:rPr>
              <w:t>policymakers</w:t>
            </w:r>
            <w:r w:rsidRPr="00BD14D2">
              <w:rPr>
                <w:sz w:val="18"/>
                <w:szCs w:val="18"/>
              </w:rPr>
              <w:t>, and are clearly positioned within the European regulatory environment (EU 2035 ICE ban).</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104217BD" w14:textId="77777777" w:rsidR="005A6448" w:rsidRPr="00BD14D2" w:rsidRDefault="005A6448" w:rsidP="008B1642">
            <w:pPr>
              <w:spacing w:before="60" w:after="60" w:line="280" w:lineRule="auto"/>
              <w:jc w:val="both"/>
            </w:pPr>
            <w:r w:rsidRPr="00BD14D2">
              <w:t>3/3</w:t>
            </w:r>
          </w:p>
        </w:tc>
      </w:tr>
      <w:tr w:rsidR="00BD14D2" w:rsidRPr="00BD14D2" w14:paraId="77CF24DA"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4B3D2509" w14:textId="77777777" w:rsidR="005A6448" w:rsidRPr="00BD14D2" w:rsidRDefault="005A6448" w:rsidP="008B1642">
            <w:pPr>
              <w:spacing w:before="60" w:after="60" w:line="280" w:lineRule="auto"/>
              <w:jc w:val="both"/>
            </w:pPr>
            <w:r w:rsidRPr="00BD14D2">
              <w:rPr>
                <w:b/>
                <w:bCs/>
                <w:sz w:val="20"/>
                <w:szCs w:val="20"/>
              </w:rPr>
              <w:lastRenderedPageBreak/>
              <w:t>9</w:t>
            </w:r>
          </w:p>
        </w:tc>
        <w:tc>
          <w:tcPr>
            <w:tcW w:w="32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tcPr>
          <w:p w14:paraId="03C2B63F" w14:textId="77777777" w:rsidR="005A6448" w:rsidRPr="00BD14D2" w:rsidRDefault="005A6448" w:rsidP="008B1642">
            <w:pPr>
              <w:spacing w:before="60" w:after="60" w:line="280" w:lineRule="auto"/>
              <w:jc w:val="both"/>
            </w:pPr>
            <w:r w:rsidRPr="00BD14D2">
              <w:rPr>
                <w:b/>
                <w:bCs/>
                <w:sz w:val="20"/>
                <w:szCs w:val="20"/>
              </w:rPr>
              <w:t>Were all important outcomes considered?</w:t>
            </w:r>
          </w:p>
        </w:tc>
        <w:tc>
          <w:tcPr>
            <w:tcW w:w="1440"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5FD6388C" w14:textId="77777777" w:rsidR="005A6448" w:rsidRPr="00BD14D2" w:rsidRDefault="005A6448" w:rsidP="008B1642">
            <w:pPr>
              <w:spacing w:before="60" w:after="60" w:line="280" w:lineRule="auto"/>
              <w:jc w:val="both"/>
            </w:pPr>
            <w:r w:rsidRPr="00BD14D2">
              <w:rPr>
                <w:b/>
                <w:bCs/>
                <w:sz w:val="20"/>
                <w:szCs w:val="20"/>
              </w:rPr>
              <w:t>YES</w:t>
            </w:r>
          </w:p>
        </w:tc>
        <w:tc>
          <w:tcPr>
            <w:tcW w:w="388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tcPr>
          <w:p w14:paraId="38442C66" w14:textId="77777777" w:rsidR="005A6448" w:rsidRPr="00BD14D2" w:rsidRDefault="005A6448" w:rsidP="008B1642">
            <w:pPr>
              <w:spacing w:before="60" w:after="60" w:line="280" w:lineRule="auto"/>
              <w:jc w:val="both"/>
            </w:pPr>
            <w:r w:rsidRPr="00BD14D2">
              <w:rPr>
                <w:sz w:val="18"/>
                <w:szCs w:val="18"/>
              </w:rPr>
              <w:t>The review addresses a comprehensive range of outcomes: brand equity, consumer trust, brand switching intention, purchase loyalty, attitudinal loyalty, digital engagement loyalty, and sustainability-driven loyalty. The inclusion of both attitudinal and behavioural dimensions of loyalty (Dick &amp; Basu 1994; Oliver 1999) and both firm-side (OEM strategy) and consumer-side (behaviour, identity, values) perspectives ensures broad outcome coverage. One gap is the limited treatment of loyalty outcomes in fleet/B2B purchasing, which is a significant segment of European automotive sales.</w:t>
            </w:r>
          </w:p>
        </w:tc>
        <w:tc>
          <w:tcPr>
            <w:tcW w:w="9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40" w:type="dxa"/>
              <w:bottom w:w="80" w:type="dxa"/>
              <w:right w:w="140" w:type="dxa"/>
            </w:tcMar>
            <w:vAlign w:val="center"/>
          </w:tcPr>
          <w:p w14:paraId="2A682138" w14:textId="77777777" w:rsidR="005A6448" w:rsidRPr="00BD14D2" w:rsidRDefault="005A6448" w:rsidP="008B1642">
            <w:pPr>
              <w:spacing w:before="60" w:after="60" w:line="280" w:lineRule="auto"/>
              <w:jc w:val="both"/>
            </w:pPr>
            <w:r w:rsidRPr="00BD14D2">
              <w:t>3/3</w:t>
            </w:r>
          </w:p>
        </w:tc>
      </w:tr>
      <w:tr w:rsidR="00BD14D2" w:rsidRPr="00BD14D2" w14:paraId="2C6951CF" w14:textId="77777777" w:rsidTr="009B5991">
        <w:tc>
          <w:tcPr>
            <w:tcW w:w="480"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60C5B249" w14:textId="77777777" w:rsidR="005A6448" w:rsidRPr="00BD14D2" w:rsidRDefault="005A6448" w:rsidP="008B1642">
            <w:pPr>
              <w:spacing w:before="60" w:after="60" w:line="280" w:lineRule="auto"/>
              <w:jc w:val="both"/>
            </w:pPr>
            <w:r w:rsidRPr="00BD14D2">
              <w:rPr>
                <w:b/>
                <w:bCs/>
                <w:sz w:val="20"/>
                <w:szCs w:val="20"/>
              </w:rPr>
              <w:t>10</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1B55745C" w14:textId="77777777" w:rsidR="005A6448" w:rsidRPr="00BD14D2" w:rsidRDefault="005A6448" w:rsidP="008B1642">
            <w:pPr>
              <w:spacing w:before="60" w:after="60" w:line="280" w:lineRule="auto"/>
              <w:jc w:val="both"/>
            </w:pPr>
            <w:r w:rsidRPr="00BD14D2">
              <w:rPr>
                <w:b/>
                <w:bCs/>
                <w:sz w:val="20"/>
                <w:szCs w:val="20"/>
              </w:rPr>
              <w:t>Are the benefits worth the harms and costs?</w:t>
            </w:r>
          </w:p>
        </w:tc>
        <w:tc>
          <w:tcPr>
            <w:tcW w:w="1440"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385DBF18" w14:textId="77777777" w:rsidR="005A6448" w:rsidRPr="00BD14D2" w:rsidRDefault="005A6448" w:rsidP="008B1642">
            <w:pPr>
              <w:spacing w:before="60" w:after="60" w:line="280" w:lineRule="auto"/>
              <w:jc w:val="both"/>
            </w:pPr>
            <w:r w:rsidRPr="00BD14D2">
              <w:rPr>
                <w:b/>
                <w:bCs/>
                <w:sz w:val="20"/>
                <w:szCs w:val="20"/>
              </w:rPr>
              <w:t>YES</w:t>
            </w:r>
          </w:p>
        </w:tc>
        <w:tc>
          <w:tcPr>
            <w:tcW w:w="388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7F78D51B" w14:textId="77777777" w:rsidR="005A6448" w:rsidRPr="00BD14D2" w:rsidRDefault="005A6448" w:rsidP="008B1642">
            <w:pPr>
              <w:spacing w:before="60" w:after="60" w:line="280" w:lineRule="auto"/>
              <w:jc w:val="both"/>
            </w:pPr>
            <w:r w:rsidRPr="00BD14D2">
              <w:rPr>
                <w:sz w:val="18"/>
                <w:szCs w:val="18"/>
              </w:rPr>
              <w:t>This is a secondary qualitative review with no data collected from human participants; ethical risks are minimal. No primary data collection means no participant burden. The academic and practical benefits are clear. The review synthesises 41 sources into actionable strategic insights for European automotive OEMs and contributes theoretically to the brand loyalty literature by applying Relationship Marketing Theory to a disrupted industrial context. The identified literature gaps (integrated disruption analysis, D2C loyalty implications, greenwashing risk) provide a clear foundation for future primary research that could yield further benefits.</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59946165" w14:textId="77777777" w:rsidR="005A6448" w:rsidRPr="00BD14D2" w:rsidRDefault="005A6448" w:rsidP="008B1642">
            <w:pPr>
              <w:spacing w:before="60" w:after="60" w:line="280" w:lineRule="auto"/>
              <w:jc w:val="both"/>
            </w:pPr>
            <w:r w:rsidRPr="00BD14D2">
              <w:t>3/3</w:t>
            </w:r>
          </w:p>
        </w:tc>
      </w:tr>
    </w:tbl>
    <w:p w14:paraId="5F743E2D" w14:textId="77777777" w:rsidR="00183E41" w:rsidRPr="00BD14D2" w:rsidRDefault="00183E41" w:rsidP="008B1642">
      <w:pPr>
        <w:spacing w:before="120" w:after="120"/>
        <w:jc w:val="both"/>
      </w:pPr>
    </w:p>
    <w:p w14:paraId="0982253C" w14:textId="77777777" w:rsidR="00DB6782" w:rsidRPr="00BD14D2" w:rsidRDefault="00DB6782" w:rsidP="008B1642">
      <w:pPr>
        <w:spacing w:before="120" w:after="120"/>
        <w:jc w:val="both"/>
        <w:sectPr w:rsidR="00DB6782" w:rsidRPr="00BD14D2" w:rsidSect="001850B1">
          <w:headerReference w:type="default" r:id="rId25"/>
          <w:footerReference w:type="default" r:id="rId26"/>
          <w:pgSz w:w="11906" w:h="16838"/>
          <w:pgMar w:top="1440" w:right="1440" w:bottom="1440" w:left="1800" w:header="708" w:footer="708" w:gutter="0"/>
          <w:pgNumType w:start="10"/>
          <w:cols w:space="720"/>
          <w:docGrid w:linePitch="360"/>
        </w:sectPr>
      </w:pPr>
    </w:p>
    <w:p w14:paraId="713758C3" w14:textId="77777777" w:rsidR="00FE204A" w:rsidRPr="00DB2A20" w:rsidRDefault="00FE204A" w:rsidP="00FE204A">
      <w:pPr>
        <w:pStyle w:val="Heading2"/>
        <w:rPr>
          <w:b w:val="0"/>
          <w:bCs w:val="0"/>
          <w:color w:val="auto"/>
        </w:rPr>
      </w:pPr>
      <w:bookmarkStart w:id="88" w:name="_Toc228525962"/>
      <w:bookmarkStart w:id="89" w:name="_Toc228791268"/>
      <w:r w:rsidRPr="00DB2A20">
        <w:rPr>
          <w:color w:val="auto"/>
        </w:rPr>
        <w:lastRenderedPageBreak/>
        <w:t>Appendix C: Summary of Key Sources Included in the Systematic Literature Review</w:t>
      </w:r>
      <w:bookmarkEnd w:id="88"/>
      <w:bookmarkEnd w:id="89"/>
    </w:p>
    <w:tbl>
      <w:tblPr>
        <w:tblW w:w="1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71"/>
        <w:gridCol w:w="1677"/>
        <w:gridCol w:w="601"/>
        <w:gridCol w:w="2313"/>
        <w:gridCol w:w="1687"/>
        <w:gridCol w:w="2407"/>
        <w:gridCol w:w="1491"/>
        <w:gridCol w:w="2044"/>
        <w:gridCol w:w="1509"/>
      </w:tblGrid>
      <w:tr w:rsidR="00FE204A" w14:paraId="225E1D21" w14:textId="77777777" w:rsidTr="006A0693">
        <w:trPr>
          <w:tblHeader/>
        </w:trPr>
        <w:tc>
          <w:tcPr>
            <w:tcW w:w="48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73552640" w14:textId="77777777" w:rsidR="00FE204A" w:rsidRDefault="00FE204A" w:rsidP="006A0693">
            <w:pPr>
              <w:spacing w:before="40" w:after="40"/>
            </w:pPr>
            <w:r>
              <w:rPr>
                <w:b/>
                <w:bCs/>
                <w:color w:val="FFFFFF"/>
                <w:sz w:val="18"/>
                <w:szCs w:val="18"/>
              </w:rPr>
              <w:t>Index</w:t>
            </w:r>
          </w:p>
        </w:tc>
        <w:tc>
          <w:tcPr>
            <w:tcW w:w="170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24A9575E" w14:textId="77777777" w:rsidR="00FE204A" w:rsidRDefault="00FE204A" w:rsidP="006A0693">
            <w:pPr>
              <w:spacing w:before="40" w:after="40"/>
            </w:pPr>
            <w:r>
              <w:rPr>
                <w:b/>
                <w:bCs/>
                <w:color w:val="FFFFFF"/>
                <w:sz w:val="18"/>
                <w:szCs w:val="18"/>
              </w:rPr>
              <w:t>Author(s)</w:t>
            </w:r>
          </w:p>
        </w:tc>
        <w:tc>
          <w:tcPr>
            <w:tcW w:w="48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0F897D34" w14:textId="77777777" w:rsidR="00FE204A" w:rsidRDefault="00FE204A" w:rsidP="006A0693">
            <w:pPr>
              <w:spacing w:before="40" w:after="40"/>
            </w:pPr>
            <w:r>
              <w:rPr>
                <w:b/>
                <w:bCs/>
                <w:color w:val="FFFFFF"/>
                <w:sz w:val="18"/>
                <w:szCs w:val="18"/>
              </w:rPr>
              <w:t>Year</w:t>
            </w:r>
          </w:p>
        </w:tc>
        <w:tc>
          <w:tcPr>
            <w:tcW w:w="240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2894F561" w14:textId="77777777" w:rsidR="00FE204A" w:rsidRDefault="00FE204A" w:rsidP="006A0693">
            <w:pPr>
              <w:spacing w:before="40" w:after="40"/>
            </w:pPr>
            <w:r>
              <w:rPr>
                <w:b/>
                <w:bCs/>
                <w:color w:val="FFFFFF"/>
                <w:sz w:val="18"/>
                <w:szCs w:val="18"/>
              </w:rPr>
              <w:t>Article / Source Title</w:t>
            </w:r>
          </w:p>
        </w:tc>
        <w:tc>
          <w:tcPr>
            <w:tcW w:w="170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75965AA2" w14:textId="77777777" w:rsidR="00FE204A" w:rsidRDefault="00FE204A" w:rsidP="006A0693">
            <w:pPr>
              <w:spacing w:before="40" w:after="40"/>
            </w:pPr>
            <w:r>
              <w:rPr>
                <w:b/>
                <w:bCs/>
                <w:color w:val="FFFFFF"/>
                <w:sz w:val="18"/>
                <w:szCs w:val="18"/>
              </w:rPr>
              <w:t>Journal / Source</w:t>
            </w:r>
          </w:p>
        </w:tc>
        <w:tc>
          <w:tcPr>
            <w:tcW w:w="250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241FF53C" w14:textId="77777777" w:rsidR="00FE204A" w:rsidRDefault="00FE204A" w:rsidP="006A0693">
            <w:pPr>
              <w:spacing w:before="40" w:after="40"/>
            </w:pPr>
            <w:r>
              <w:rPr>
                <w:b/>
                <w:bCs/>
                <w:color w:val="FFFFFF"/>
                <w:sz w:val="18"/>
                <w:szCs w:val="18"/>
              </w:rPr>
              <w:t>Study Aim</w:t>
            </w:r>
          </w:p>
        </w:tc>
        <w:tc>
          <w:tcPr>
            <w:tcW w:w="150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790FC65A" w14:textId="77777777" w:rsidR="00FE204A" w:rsidRDefault="00FE204A" w:rsidP="006A0693">
            <w:pPr>
              <w:spacing w:before="40" w:after="40"/>
            </w:pPr>
            <w:r>
              <w:rPr>
                <w:b/>
                <w:bCs/>
                <w:color w:val="FFFFFF"/>
                <w:sz w:val="18"/>
                <w:szCs w:val="18"/>
              </w:rPr>
              <w:t>Methodology</w:t>
            </w:r>
          </w:p>
        </w:tc>
        <w:tc>
          <w:tcPr>
            <w:tcW w:w="210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6D395671" w14:textId="77777777" w:rsidR="00FE204A" w:rsidRDefault="00FE204A" w:rsidP="006A0693">
            <w:pPr>
              <w:spacing w:before="40" w:after="40"/>
            </w:pPr>
            <w:r>
              <w:rPr>
                <w:b/>
                <w:bCs/>
                <w:color w:val="FFFFFF"/>
                <w:sz w:val="18"/>
                <w:szCs w:val="18"/>
              </w:rPr>
              <w:t>Key Themes / Keywords</w:t>
            </w:r>
          </w:p>
        </w:tc>
        <w:tc>
          <w:tcPr>
            <w:tcW w:w="1540" w:type="dxa"/>
            <w:tcBorders>
              <w:top w:val="single" w:sz="6" w:space="0" w:color="FFFFFF"/>
              <w:left w:val="single" w:sz="6" w:space="0" w:color="FFFFFF"/>
              <w:bottom w:val="single" w:sz="6" w:space="0" w:color="FFFFFF"/>
              <w:right w:val="single" w:sz="6" w:space="0" w:color="FFFFFF"/>
            </w:tcBorders>
            <w:shd w:val="clear" w:color="auto" w:fill="1F3864"/>
            <w:tcMar>
              <w:top w:w="80" w:type="dxa"/>
              <w:left w:w="100" w:type="dxa"/>
              <w:bottom w:w="80" w:type="dxa"/>
              <w:right w:w="100" w:type="dxa"/>
            </w:tcMar>
            <w:vAlign w:val="center"/>
          </w:tcPr>
          <w:p w14:paraId="4BB60EAF" w14:textId="77777777" w:rsidR="00FE204A" w:rsidRDefault="00FE204A" w:rsidP="006A0693">
            <w:pPr>
              <w:spacing w:before="40" w:after="40"/>
            </w:pPr>
            <w:r>
              <w:rPr>
                <w:b/>
                <w:bCs/>
                <w:color w:val="FFFFFF"/>
                <w:sz w:val="18"/>
                <w:szCs w:val="18"/>
              </w:rPr>
              <w:t>Relevance to RQ(s)</w:t>
            </w:r>
          </w:p>
        </w:tc>
      </w:tr>
      <w:tr w:rsidR="00FE204A" w14:paraId="169CE04F"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F902E64" w14:textId="77777777" w:rsidR="00FE204A" w:rsidRDefault="00FE204A" w:rsidP="006A0693">
            <w:pPr>
              <w:spacing w:before="40" w:after="40"/>
            </w:pPr>
            <w:r>
              <w:rPr>
                <w:color w:val="000000"/>
                <w:sz w:val="18"/>
                <w:szCs w:val="18"/>
              </w:rPr>
              <w:t>1</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9507D09" w14:textId="77777777" w:rsidR="00FE204A" w:rsidRDefault="00FE204A" w:rsidP="006A0693">
            <w:pPr>
              <w:spacing w:before="40" w:after="40"/>
            </w:pPr>
            <w:r>
              <w:rPr>
                <w:color w:val="000000"/>
                <w:sz w:val="18"/>
                <w:szCs w:val="18"/>
              </w:rPr>
              <w:t>Aaker, D.A.</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FD9796C" w14:textId="77777777" w:rsidR="00FE204A" w:rsidRDefault="00FE204A" w:rsidP="006A0693">
            <w:pPr>
              <w:spacing w:before="40" w:after="40"/>
            </w:pPr>
            <w:r>
              <w:rPr>
                <w:color w:val="000000"/>
                <w:sz w:val="18"/>
                <w:szCs w:val="18"/>
              </w:rPr>
              <w:t>1991</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513CBB9" w14:textId="77777777" w:rsidR="00FE204A" w:rsidRDefault="00FE204A" w:rsidP="006A0693">
            <w:pPr>
              <w:spacing w:before="40" w:after="40"/>
            </w:pPr>
            <w:r>
              <w:rPr>
                <w:color w:val="000000"/>
                <w:sz w:val="18"/>
                <w:szCs w:val="18"/>
              </w:rPr>
              <w:t>Managing Brand Equity: Capitalizing on the Value of a Brand Name</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37B477C" w14:textId="77777777" w:rsidR="00FE204A" w:rsidRDefault="00FE204A" w:rsidP="006A0693">
            <w:pPr>
              <w:spacing w:before="40" w:after="40"/>
            </w:pPr>
            <w:r>
              <w:rPr>
                <w:color w:val="000000"/>
                <w:sz w:val="18"/>
                <w:szCs w:val="18"/>
              </w:rPr>
              <w:t>Free Press (Book)</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B721A45" w14:textId="77777777" w:rsidR="00FE204A" w:rsidRDefault="00FE204A" w:rsidP="006A0693">
            <w:pPr>
              <w:spacing w:before="40" w:after="40"/>
            </w:pPr>
            <w:r>
              <w:rPr>
                <w:color w:val="000000"/>
                <w:sz w:val="18"/>
                <w:szCs w:val="18"/>
              </w:rPr>
              <w:t>Establish the five dimensions of brand equity and their strategic implications for competitive advantage.</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36681B6"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E8B093F" w14:textId="77777777" w:rsidR="00FE204A" w:rsidRDefault="00FE204A" w:rsidP="006A0693">
            <w:pPr>
              <w:spacing w:before="40" w:after="40"/>
            </w:pPr>
            <w:r>
              <w:rPr>
                <w:color w:val="000000"/>
                <w:sz w:val="18"/>
                <w:szCs w:val="18"/>
              </w:rPr>
              <w:t>Brand equity; brand loyalty; perceived quality; brand awareness; competitive moat</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6EE7F77" w14:textId="77777777" w:rsidR="00FE204A" w:rsidRDefault="00FE204A" w:rsidP="006A0693">
            <w:pPr>
              <w:spacing w:before="40" w:after="40"/>
            </w:pPr>
            <w:r>
              <w:rPr>
                <w:color w:val="000000"/>
                <w:sz w:val="18"/>
                <w:szCs w:val="18"/>
              </w:rPr>
              <w:t>RQ1, RQ2</w:t>
            </w:r>
          </w:p>
        </w:tc>
      </w:tr>
      <w:tr w:rsidR="00FE204A" w14:paraId="2F289963"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B55F5A4" w14:textId="77777777" w:rsidR="00FE204A" w:rsidRDefault="00FE204A" w:rsidP="006A0693">
            <w:pPr>
              <w:spacing w:before="40" w:after="40"/>
            </w:pPr>
            <w:r>
              <w:rPr>
                <w:color w:val="000000"/>
                <w:sz w:val="18"/>
                <w:szCs w:val="18"/>
              </w:rPr>
              <w:t>2</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BBD5E3B" w14:textId="77777777" w:rsidR="00FE204A" w:rsidRDefault="00FE204A" w:rsidP="006A0693">
            <w:pPr>
              <w:spacing w:before="40" w:after="40"/>
            </w:pPr>
            <w:r>
              <w:rPr>
                <w:color w:val="000000"/>
                <w:sz w:val="18"/>
                <w:szCs w:val="18"/>
              </w:rPr>
              <w:t>Dick, A.S. and Basu, K.</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AD4EC7A" w14:textId="77777777" w:rsidR="00FE204A" w:rsidRDefault="00FE204A" w:rsidP="006A0693">
            <w:pPr>
              <w:spacing w:before="40" w:after="40"/>
            </w:pPr>
            <w:r>
              <w:rPr>
                <w:color w:val="000000"/>
                <w:sz w:val="18"/>
                <w:szCs w:val="18"/>
              </w:rPr>
              <w:t>1994</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580E581" w14:textId="77777777" w:rsidR="00FE204A" w:rsidRDefault="00FE204A" w:rsidP="006A0693">
            <w:pPr>
              <w:spacing w:before="40" w:after="40"/>
            </w:pPr>
            <w:r>
              <w:rPr>
                <w:color w:val="000000"/>
                <w:sz w:val="18"/>
                <w:szCs w:val="18"/>
              </w:rPr>
              <w:t>Customer loyalty: Toward an integrated conceptual framework</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CF14FE5" w14:textId="77777777" w:rsidR="00FE204A" w:rsidRDefault="00FE204A" w:rsidP="006A0693">
            <w:pPr>
              <w:spacing w:before="40" w:after="40"/>
            </w:pPr>
            <w:r>
              <w:rPr>
                <w:color w:val="000000"/>
                <w:sz w:val="18"/>
                <w:szCs w:val="18"/>
              </w:rPr>
              <w:t>Journal of the Academy of Marketing Science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092C95A" w14:textId="77777777" w:rsidR="00FE204A" w:rsidRDefault="00FE204A" w:rsidP="006A0693">
            <w:pPr>
              <w:spacing w:before="40" w:after="40"/>
            </w:pPr>
            <w:r>
              <w:rPr>
                <w:color w:val="000000"/>
                <w:sz w:val="18"/>
                <w:szCs w:val="18"/>
              </w:rPr>
              <w:t>Develop a typology of loyalty states combining attitudinal and behavioural dimensions.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A434E46"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31E9F55" w14:textId="77777777" w:rsidR="00FE204A" w:rsidRDefault="00FE204A" w:rsidP="006A0693">
            <w:pPr>
              <w:spacing w:before="40" w:after="40"/>
            </w:pPr>
            <w:r>
              <w:rPr>
                <w:color w:val="000000"/>
                <w:sz w:val="18"/>
                <w:szCs w:val="18"/>
              </w:rPr>
              <w:t>True loyalty; spurious loyalty; latent loyalty; attitudinal loyalty; repeat purchase</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8D359CC" w14:textId="77777777" w:rsidR="00FE204A" w:rsidRDefault="00FE204A" w:rsidP="006A0693">
            <w:pPr>
              <w:spacing w:before="40" w:after="40"/>
            </w:pPr>
            <w:r>
              <w:rPr>
                <w:color w:val="000000"/>
                <w:sz w:val="18"/>
                <w:szCs w:val="18"/>
              </w:rPr>
              <w:t>RQ1</w:t>
            </w:r>
          </w:p>
        </w:tc>
      </w:tr>
      <w:tr w:rsidR="00FE204A" w14:paraId="40743E5B"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391403C" w14:textId="77777777" w:rsidR="00FE204A" w:rsidRDefault="00FE204A" w:rsidP="006A0693">
            <w:pPr>
              <w:spacing w:before="40" w:after="40"/>
            </w:pPr>
            <w:r>
              <w:rPr>
                <w:color w:val="000000"/>
                <w:sz w:val="18"/>
                <w:szCs w:val="18"/>
              </w:rPr>
              <w:t>3</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65A0C66" w14:textId="77777777" w:rsidR="00FE204A" w:rsidRDefault="00FE204A" w:rsidP="006A0693">
            <w:pPr>
              <w:spacing w:before="40" w:after="40"/>
            </w:pPr>
            <w:r>
              <w:rPr>
                <w:color w:val="000000"/>
                <w:sz w:val="18"/>
                <w:szCs w:val="18"/>
              </w:rPr>
              <w:t>Oliver, R.L.</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79A6D49" w14:textId="77777777" w:rsidR="00FE204A" w:rsidRDefault="00FE204A" w:rsidP="006A0693">
            <w:pPr>
              <w:spacing w:before="40" w:after="40"/>
            </w:pPr>
            <w:r>
              <w:rPr>
                <w:color w:val="000000"/>
                <w:sz w:val="18"/>
                <w:szCs w:val="18"/>
              </w:rPr>
              <w:t>1999</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A5F6741" w14:textId="77777777" w:rsidR="00FE204A" w:rsidRDefault="00FE204A" w:rsidP="006A0693">
            <w:pPr>
              <w:spacing w:before="40" w:after="40"/>
            </w:pPr>
            <w:r>
              <w:rPr>
                <w:color w:val="000000"/>
                <w:sz w:val="18"/>
                <w:szCs w:val="18"/>
              </w:rPr>
              <w:t>Whence consumer loyalty?</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9090B5E" w14:textId="77777777" w:rsidR="00FE204A" w:rsidRDefault="00FE204A" w:rsidP="006A0693">
            <w:pPr>
              <w:spacing w:before="40" w:after="40"/>
            </w:pPr>
            <w:r>
              <w:rPr>
                <w:color w:val="000000"/>
                <w:sz w:val="18"/>
                <w:szCs w:val="18"/>
              </w:rPr>
              <w:t>Journal of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B05FE6C" w14:textId="77777777" w:rsidR="00FE204A" w:rsidRDefault="00FE204A" w:rsidP="006A0693">
            <w:pPr>
              <w:spacing w:before="40" w:after="40"/>
            </w:pPr>
            <w:r>
              <w:rPr>
                <w:color w:val="000000"/>
                <w:sz w:val="18"/>
                <w:szCs w:val="18"/>
              </w:rPr>
              <w:t>Define loyalty as a deep commitment to rebuy and examine its antecedents and persistence under competitive threat.</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FFE5704"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B5D0FF1" w14:textId="77777777" w:rsidR="00FE204A" w:rsidRDefault="00FE204A" w:rsidP="006A0693">
            <w:pPr>
              <w:spacing w:before="40" w:after="40"/>
            </w:pPr>
            <w:r>
              <w:rPr>
                <w:color w:val="000000"/>
                <w:sz w:val="18"/>
                <w:szCs w:val="18"/>
              </w:rPr>
              <w:t>Brand loyalty; commitment; switching behaviour; consumer psychology</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C396212" w14:textId="77777777" w:rsidR="00FE204A" w:rsidRDefault="00FE204A" w:rsidP="006A0693">
            <w:pPr>
              <w:spacing w:before="40" w:after="40"/>
            </w:pPr>
            <w:r>
              <w:rPr>
                <w:color w:val="000000"/>
                <w:sz w:val="18"/>
                <w:szCs w:val="18"/>
              </w:rPr>
              <w:t>RQ1</w:t>
            </w:r>
          </w:p>
        </w:tc>
      </w:tr>
      <w:tr w:rsidR="00FE204A" w14:paraId="51582A10"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688FF9A" w14:textId="77777777" w:rsidR="00FE204A" w:rsidRDefault="00FE204A" w:rsidP="006A0693">
            <w:pPr>
              <w:spacing w:before="40" w:after="40"/>
            </w:pPr>
            <w:r>
              <w:rPr>
                <w:color w:val="000000"/>
                <w:sz w:val="18"/>
                <w:szCs w:val="18"/>
              </w:rPr>
              <w:t>4</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0C288EC" w14:textId="77777777" w:rsidR="00FE204A" w:rsidRDefault="00FE204A" w:rsidP="006A0693">
            <w:pPr>
              <w:spacing w:before="40" w:after="40"/>
            </w:pPr>
            <w:r>
              <w:rPr>
                <w:color w:val="000000"/>
                <w:sz w:val="18"/>
                <w:szCs w:val="18"/>
              </w:rPr>
              <w:t>Keller, K.L.</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20B6E46" w14:textId="77777777" w:rsidR="00FE204A" w:rsidRDefault="00FE204A" w:rsidP="006A0693">
            <w:pPr>
              <w:spacing w:before="40" w:after="40"/>
            </w:pPr>
            <w:r>
              <w:rPr>
                <w:color w:val="000000"/>
                <w:sz w:val="18"/>
                <w:szCs w:val="18"/>
              </w:rPr>
              <w:t>1993</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B92312B" w14:textId="77777777" w:rsidR="00FE204A" w:rsidRDefault="00FE204A" w:rsidP="006A0693">
            <w:pPr>
              <w:spacing w:before="40" w:after="40"/>
            </w:pPr>
            <w:r>
              <w:rPr>
                <w:color w:val="000000"/>
                <w:sz w:val="18"/>
                <w:szCs w:val="18"/>
              </w:rPr>
              <w:t>Conceptualizing, measuring, and managing customer-based brand equity</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275323D" w14:textId="77777777" w:rsidR="00FE204A" w:rsidRDefault="00FE204A" w:rsidP="006A0693">
            <w:pPr>
              <w:spacing w:before="40" w:after="40"/>
            </w:pPr>
            <w:r>
              <w:rPr>
                <w:color w:val="000000"/>
                <w:sz w:val="18"/>
                <w:szCs w:val="18"/>
              </w:rPr>
              <w:t>Journal of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5150C0D" w14:textId="77777777" w:rsidR="00FE204A" w:rsidRDefault="00FE204A" w:rsidP="006A0693">
            <w:pPr>
              <w:spacing w:before="40" w:after="40"/>
            </w:pPr>
            <w:r>
              <w:rPr>
                <w:color w:val="000000"/>
                <w:sz w:val="18"/>
                <w:szCs w:val="18"/>
              </w:rPr>
              <w:t>Present the Customer-Based Brand Equity (CBBE) model and show how brand knowledge drives consumer response.</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37C29EA"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D60ABA8" w14:textId="77777777" w:rsidR="00FE204A" w:rsidRDefault="00FE204A" w:rsidP="006A0693">
            <w:pPr>
              <w:spacing w:before="40" w:after="40"/>
            </w:pPr>
            <w:r>
              <w:rPr>
                <w:color w:val="000000"/>
                <w:sz w:val="18"/>
                <w:szCs w:val="18"/>
              </w:rPr>
              <w:t>Brand equity; brand associations; perceived quality; brand awareness; loyalty</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0A627F9" w14:textId="77777777" w:rsidR="00FE204A" w:rsidRDefault="00FE204A" w:rsidP="006A0693">
            <w:pPr>
              <w:spacing w:before="40" w:after="40"/>
            </w:pPr>
            <w:r>
              <w:rPr>
                <w:color w:val="000000"/>
                <w:sz w:val="18"/>
                <w:szCs w:val="18"/>
              </w:rPr>
              <w:t>RQ1, RQ2</w:t>
            </w:r>
          </w:p>
        </w:tc>
      </w:tr>
      <w:tr w:rsidR="00FE204A" w14:paraId="2C516E7E"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E5280E7" w14:textId="77777777" w:rsidR="00FE204A" w:rsidRDefault="00FE204A" w:rsidP="006A0693">
            <w:pPr>
              <w:spacing w:before="40" w:after="40"/>
            </w:pPr>
            <w:r>
              <w:rPr>
                <w:color w:val="000000"/>
                <w:sz w:val="18"/>
                <w:szCs w:val="18"/>
              </w:rPr>
              <w:lastRenderedPageBreak/>
              <w:t>5</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E27F6A1" w14:textId="77777777" w:rsidR="00FE204A" w:rsidRDefault="00FE204A" w:rsidP="006A0693">
            <w:pPr>
              <w:spacing w:before="40" w:after="40"/>
            </w:pPr>
            <w:r>
              <w:rPr>
                <w:color w:val="000000"/>
                <w:sz w:val="18"/>
                <w:szCs w:val="18"/>
              </w:rPr>
              <w:t>Morgan, R.M. and Hunt, S.D.</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E2D8116" w14:textId="77777777" w:rsidR="00FE204A" w:rsidRDefault="00FE204A" w:rsidP="006A0693">
            <w:pPr>
              <w:spacing w:before="40" w:after="40"/>
            </w:pPr>
            <w:r>
              <w:rPr>
                <w:color w:val="000000"/>
                <w:sz w:val="18"/>
                <w:szCs w:val="18"/>
              </w:rPr>
              <w:t>1994</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2BE19EA" w14:textId="77777777" w:rsidR="00FE204A" w:rsidRDefault="00FE204A" w:rsidP="006A0693">
            <w:pPr>
              <w:spacing w:before="40" w:after="40"/>
            </w:pPr>
            <w:r>
              <w:rPr>
                <w:color w:val="000000"/>
                <w:sz w:val="18"/>
                <w:szCs w:val="18"/>
              </w:rPr>
              <w:t>The commitment-trust theory of relationship marketing</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1F4CF38" w14:textId="77777777" w:rsidR="00FE204A" w:rsidRDefault="00FE204A" w:rsidP="006A0693">
            <w:pPr>
              <w:spacing w:before="40" w:after="40"/>
            </w:pPr>
            <w:r>
              <w:rPr>
                <w:color w:val="000000"/>
                <w:sz w:val="18"/>
                <w:szCs w:val="18"/>
              </w:rPr>
              <w:t>Journal of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7BE6D70" w14:textId="77777777" w:rsidR="00FE204A" w:rsidRDefault="00FE204A" w:rsidP="006A0693">
            <w:pPr>
              <w:spacing w:before="40" w:after="40"/>
            </w:pPr>
            <w:r>
              <w:rPr>
                <w:color w:val="000000"/>
                <w:sz w:val="18"/>
                <w:szCs w:val="18"/>
              </w:rPr>
              <w:t>Propose trust and commitment as key mediating variables that produce loyalty in relational exchange.</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F793036"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73B6F3F" w14:textId="77777777" w:rsidR="00FE204A" w:rsidRDefault="00FE204A" w:rsidP="006A0693">
            <w:pPr>
              <w:spacing w:before="40" w:after="40"/>
            </w:pPr>
            <w:r>
              <w:rPr>
                <w:color w:val="000000"/>
                <w:sz w:val="18"/>
                <w:szCs w:val="18"/>
              </w:rPr>
              <w:t>Relationship marketing; trust; commitment; loyalty; relational bonds</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E277F74" w14:textId="77777777" w:rsidR="00FE204A" w:rsidRDefault="00FE204A" w:rsidP="006A0693">
            <w:pPr>
              <w:spacing w:before="40" w:after="40"/>
            </w:pPr>
            <w:r>
              <w:rPr>
                <w:color w:val="000000"/>
                <w:sz w:val="18"/>
                <w:szCs w:val="18"/>
              </w:rPr>
              <w:t>RQ1, RQ3, RQ4</w:t>
            </w:r>
          </w:p>
        </w:tc>
      </w:tr>
      <w:tr w:rsidR="00FE204A" w14:paraId="5164092A"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B089A16" w14:textId="77777777" w:rsidR="00FE204A" w:rsidRDefault="00FE204A" w:rsidP="006A0693">
            <w:pPr>
              <w:spacing w:before="40" w:after="40"/>
            </w:pPr>
            <w:r>
              <w:rPr>
                <w:color w:val="000000"/>
                <w:sz w:val="18"/>
                <w:szCs w:val="18"/>
              </w:rPr>
              <w:t>6</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40C0E51" w14:textId="77777777" w:rsidR="00FE204A" w:rsidRDefault="00FE204A" w:rsidP="006A0693">
            <w:pPr>
              <w:spacing w:before="40" w:after="40"/>
            </w:pPr>
            <w:r>
              <w:rPr>
                <w:color w:val="000000"/>
                <w:sz w:val="18"/>
                <w:szCs w:val="18"/>
              </w:rPr>
              <w:t>Liang, B.</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D8E0879" w14:textId="77777777" w:rsidR="00FE204A" w:rsidRDefault="00FE204A" w:rsidP="006A0693">
            <w:pPr>
              <w:spacing w:before="40" w:after="40"/>
            </w:pPr>
            <w:r>
              <w:rPr>
                <w:color w:val="000000"/>
                <w:sz w:val="18"/>
                <w:szCs w:val="18"/>
              </w:rPr>
              <w:t>2021</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CE7FBFF" w14:textId="56077359" w:rsidR="00FE204A" w:rsidRDefault="00FE204A" w:rsidP="006A0693">
            <w:pPr>
              <w:spacing w:before="40" w:after="40"/>
            </w:pPr>
            <w:r>
              <w:rPr>
                <w:color w:val="000000"/>
                <w:sz w:val="18"/>
                <w:szCs w:val="18"/>
              </w:rPr>
              <w:t xml:space="preserve">How brand experience, satisfaction, trust, and commitment affect loyalty: a </w:t>
            </w:r>
            <w:r w:rsidR="006B453E">
              <w:rPr>
                <w:color w:val="000000"/>
                <w:sz w:val="18"/>
                <w:szCs w:val="18"/>
              </w:rPr>
              <w:t>re-examination</w:t>
            </w:r>
            <w:r>
              <w:rPr>
                <w:color w:val="000000"/>
                <w:sz w:val="18"/>
                <w:szCs w:val="18"/>
              </w:rPr>
              <w:t xml:space="preserve"> and reconciliation</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ABB5128" w14:textId="77777777" w:rsidR="00FE204A" w:rsidRDefault="00FE204A" w:rsidP="006A0693">
            <w:pPr>
              <w:spacing w:before="40" w:after="40"/>
            </w:pPr>
            <w:r>
              <w:rPr>
                <w:color w:val="000000"/>
                <w:sz w:val="18"/>
                <w:szCs w:val="18"/>
              </w:rPr>
              <w:t>Italian Journal of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F255E78" w14:textId="77777777" w:rsidR="00FE204A" w:rsidRDefault="00FE204A" w:rsidP="006A0693">
            <w:pPr>
              <w:spacing w:before="40" w:after="40"/>
            </w:pPr>
            <w:r>
              <w:rPr>
                <w:color w:val="000000"/>
                <w:sz w:val="18"/>
                <w:szCs w:val="18"/>
              </w:rPr>
              <w:t>Empirically test the relationships between brand experience, trust, commitment, and loyalty in a relational framework.</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7A61402" w14:textId="77777777" w:rsidR="00FE204A" w:rsidRDefault="00FE204A" w:rsidP="006A0693">
            <w:pPr>
              <w:spacing w:before="40" w:after="40"/>
            </w:pPr>
            <w:r>
              <w:rPr>
                <w:color w:val="000000"/>
                <w:sz w:val="18"/>
                <w:szCs w:val="18"/>
              </w:rPr>
              <w:t>Quantitative (survey)</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95A78A8" w14:textId="77777777" w:rsidR="00FE204A" w:rsidRDefault="00FE204A" w:rsidP="006A0693">
            <w:pPr>
              <w:spacing w:before="40" w:after="40"/>
            </w:pPr>
            <w:r>
              <w:rPr>
                <w:color w:val="000000"/>
                <w:sz w:val="18"/>
                <w:szCs w:val="18"/>
              </w:rPr>
              <w:t>Brand experience; trust; commitment; satisfaction; loyalty</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ED37609" w14:textId="77777777" w:rsidR="00FE204A" w:rsidRDefault="00FE204A" w:rsidP="006A0693">
            <w:pPr>
              <w:spacing w:before="40" w:after="40"/>
            </w:pPr>
            <w:r>
              <w:rPr>
                <w:color w:val="000000"/>
                <w:sz w:val="18"/>
                <w:szCs w:val="18"/>
              </w:rPr>
              <w:t>RQ1, RQ4</w:t>
            </w:r>
          </w:p>
        </w:tc>
      </w:tr>
      <w:tr w:rsidR="00FE204A" w14:paraId="2F9558E0"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5C07E8E" w14:textId="77777777" w:rsidR="00FE204A" w:rsidRDefault="00FE204A" w:rsidP="006A0693">
            <w:pPr>
              <w:spacing w:before="40" w:after="40"/>
            </w:pPr>
            <w:r>
              <w:rPr>
                <w:color w:val="000000"/>
                <w:sz w:val="18"/>
                <w:szCs w:val="18"/>
              </w:rPr>
              <w:t>7</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4C3CF73" w14:textId="77777777" w:rsidR="00FE204A" w:rsidRDefault="00FE204A" w:rsidP="006A0693">
            <w:pPr>
              <w:spacing w:before="40" w:after="40"/>
            </w:pPr>
            <w:r>
              <w:rPr>
                <w:color w:val="000000"/>
                <w:sz w:val="18"/>
                <w:szCs w:val="18"/>
              </w:rPr>
              <w:t>Parris, D.L. and Guzmán, F.</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6FA3BA8" w14:textId="77777777" w:rsidR="00FE204A" w:rsidRDefault="00FE204A" w:rsidP="006A0693">
            <w:pPr>
              <w:spacing w:before="40" w:after="40"/>
            </w:pPr>
            <w:r>
              <w:rPr>
                <w:color w:val="000000"/>
                <w:sz w:val="18"/>
                <w:szCs w:val="18"/>
              </w:rPr>
              <w:t>2022</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8CF5D71" w14:textId="77777777" w:rsidR="00FE204A" w:rsidRDefault="00FE204A" w:rsidP="006A0693">
            <w:pPr>
              <w:spacing w:before="40" w:after="40"/>
            </w:pPr>
            <w:r>
              <w:rPr>
                <w:color w:val="000000"/>
                <w:sz w:val="18"/>
                <w:szCs w:val="18"/>
              </w:rPr>
              <w:t>Evolving brand boundaries and expectations: looking back on brand equity, brand loyalty, and brand image research to move forward</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640A7D7" w14:textId="77777777" w:rsidR="00FE204A" w:rsidRDefault="00FE204A" w:rsidP="006A0693">
            <w:pPr>
              <w:spacing w:before="40" w:after="40"/>
            </w:pPr>
            <w:r>
              <w:rPr>
                <w:color w:val="000000"/>
                <w:sz w:val="18"/>
                <w:szCs w:val="18"/>
              </w:rPr>
              <w:t>Journal of Product &amp; Brand Management</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973E39C" w14:textId="77777777" w:rsidR="00FE204A" w:rsidRDefault="00FE204A" w:rsidP="006A0693">
            <w:pPr>
              <w:spacing w:before="40" w:after="40"/>
            </w:pPr>
            <w:r>
              <w:rPr>
                <w:color w:val="000000"/>
                <w:sz w:val="18"/>
                <w:szCs w:val="18"/>
              </w:rPr>
              <w:t>Review the trajectory of brand loyalty and equity research and identify future directions.</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DEF9EED" w14:textId="77777777" w:rsidR="00FE204A" w:rsidRDefault="00FE204A" w:rsidP="006A0693">
            <w:pPr>
              <w:spacing w:before="40" w:after="40"/>
            </w:pPr>
            <w:r>
              <w:rPr>
                <w:color w:val="000000"/>
                <w:sz w:val="18"/>
                <w:szCs w:val="18"/>
              </w:rPr>
              <w:t>Systematic literature review</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CB0E056" w14:textId="77777777" w:rsidR="00FE204A" w:rsidRDefault="00FE204A" w:rsidP="006A0693">
            <w:pPr>
              <w:spacing w:before="40" w:after="40"/>
            </w:pPr>
            <w:r>
              <w:rPr>
                <w:color w:val="000000"/>
                <w:sz w:val="18"/>
                <w:szCs w:val="18"/>
              </w:rPr>
              <w:t>Brand loyalty; brand equity; brand image; consumer expectations; research trajectory</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89B0ED8" w14:textId="77777777" w:rsidR="00FE204A" w:rsidRDefault="00FE204A" w:rsidP="006A0693">
            <w:pPr>
              <w:spacing w:before="40" w:after="40"/>
            </w:pPr>
            <w:r>
              <w:rPr>
                <w:color w:val="000000"/>
                <w:sz w:val="18"/>
                <w:szCs w:val="18"/>
              </w:rPr>
              <w:t>RQ1</w:t>
            </w:r>
          </w:p>
        </w:tc>
      </w:tr>
      <w:tr w:rsidR="00FE204A" w14:paraId="29656C1B"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F7F4C24" w14:textId="77777777" w:rsidR="00FE204A" w:rsidRDefault="00FE204A" w:rsidP="006A0693">
            <w:pPr>
              <w:spacing w:before="40" w:after="40"/>
            </w:pPr>
            <w:r>
              <w:rPr>
                <w:color w:val="000000"/>
                <w:sz w:val="18"/>
                <w:szCs w:val="18"/>
              </w:rPr>
              <w:t>8</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198AE7D" w14:textId="77777777" w:rsidR="00FE204A" w:rsidRDefault="00FE204A" w:rsidP="006A0693">
            <w:pPr>
              <w:spacing w:before="40" w:after="40"/>
            </w:pPr>
            <w:r>
              <w:rPr>
                <w:color w:val="000000"/>
                <w:sz w:val="18"/>
                <w:szCs w:val="18"/>
              </w:rPr>
              <w:t>Palmatier, R.W. et al.</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96AA7BB" w14:textId="77777777" w:rsidR="00FE204A" w:rsidRDefault="00FE204A" w:rsidP="006A0693">
            <w:pPr>
              <w:spacing w:before="40" w:after="40"/>
            </w:pPr>
            <w:r>
              <w:rPr>
                <w:color w:val="000000"/>
                <w:sz w:val="18"/>
                <w:szCs w:val="18"/>
              </w:rPr>
              <w:t>2006</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BB1A53A" w14:textId="77777777" w:rsidR="00FE204A" w:rsidRDefault="00FE204A" w:rsidP="006A0693">
            <w:pPr>
              <w:spacing w:before="40" w:after="40"/>
            </w:pPr>
            <w:r>
              <w:rPr>
                <w:color w:val="000000"/>
                <w:sz w:val="18"/>
                <w:szCs w:val="18"/>
              </w:rPr>
              <w:t>Factors influencing the effectiveness of relationship marketing: A meta-analysis</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91C51F3" w14:textId="77777777" w:rsidR="00FE204A" w:rsidRDefault="00FE204A" w:rsidP="006A0693">
            <w:pPr>
              <w:spacing w:before="40" w:after="40"/>
            </w:pPr>
            <w:r>
              <w:rPr>
                <w:color w:val="000000"/>
                <w:sz w:val="18"/>
                <w:szCs w:val="18"/>
              </w:rPr>
              <w:t>Journal of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E80B3BE" w14:textId="77777777" w:rsidR="00FE204A" w:rsidRDefault="00FE204A" w:rsidP="006A0693">
            <w:pPr>
              <w:spacing w:before="40" w:after="40"/>
            </w:pPr>
            <w:r>
              <w:rPr>
                <w:color w:val="000000"/>
                <w:sz w:val="18"/>
                <w:szCs w:val="18"/>
              </w:rPr>
              <w:t>Meta-analyse antecedents and moderators of relationship marketing effectiveness across studies.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A7C390A" w14:textId="77777777" w:rsidR="00FE204A" w:rsidRDefault="00FE204A" w:rsidP="006A0693">
            <w:pPr>
              <w:spacing w:before="40" w:after="40"/>
            </w:pPr>
            <w:r>
              <w:rPr>
                <w:color w:val="000000"/>
                <w:sz w:val="18"/>
                <w:szCs w:val="18"/>
              </w:rPr>
              <w:t>Meta-analysis (quantitative)</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AA53D9B" w14:textId="77777777" w:rsidR="00FE204A" w:rsidRDefault="00FE204A" w:rsidP="006A0693">
            <w:pPr>
              <w:spacing w:before="40" w:after="40"/>
            </w:pPr>
            <w:r>
              <w:rPr>
                <w:color w:val="000000"/>
                <w:sz w:val="18"/>
                <w:szCs w:val="18"/>
              </w:rPr>
              <w:t>Relationship quality; trust; commitment; relational investment; loyalty outcomes</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039184A" w14:textId="77777777" w:rsidR="00FE204A" w:rsidRDefault="00FE204A" w:rsidP="006A0693">
            <w:pPr>
              <w:spacing w:before="40" w:after="40"/>
            </w:pPr>
            <w:r>
              <w:rPr>
                <w:color w:val="000000"/>
                <w:sz w:val="18"/>
                <w:szCs w:val="18"/>
              </w:rPr>
              <w:t>RQ3, RQ4</w:t>
            </w:r>
          </w:p>
        </w:tc>
      </w:tr>
      <w:tr w:rsidR="00FE204A" w14:paraId="27BD2CEF"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2F11B82" w14:textId="77777777" w:rsidR="00FE204A" w:rsidRDefault="00FE204A" w:rsidP="006A0693">
            <w:pPr>
              <w:spacing w:before="40" w:after="40"/>
            </w:pPr>
            <w:r>
              <w:rPr>
                <w:color w:val="000000"/>
                <w:sz w:val="18"/>
                <w:szCs w:val="18"/>
              </w:rPr>
              <w:lastRenderedPageBreak/>
              <w:t>9</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6B907F7" w14:textId="77777777" w:rsidR="00FE204A" w:rsidRDefault="00FE204A" w:rsidP="006A0693">
            <w:pPr>
              <w:spacing w:before="40" w:after="40"/>
            </w:pPr>
            <w:r>
              <w:rPr>
                <w:color w:val="000000"/>
                <w:sz w:val="18"/>
                <w:szCs w:val="18"/>
              </w:rPr>
              <w:t>Grönroos, C.</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3738258" w14:textId="77777777" w:rsidR="00FE204A" w:rsidRDefault="00FE204A" w:rsidP="006A0693">
            <w:pPr>
              <w:spacing w:before="40" w:after="40"/>
            </w:pPr>
            <w:r>
              <w:rPr>
                <w:color w:val="000000"/>
                <w:sz w:val="18"/>
                <w:szCs w:val="18"/>
              </w:rPr>
              <w:t>2004</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15C4E39" w14:textId="77777777" w:rsidR="00FE204A" w:rsidRDefault="00FE204A" w:rsidP="006A0693">
            <w:pPr>
              <w:spacing w:before="40" w:after="40"/>
            </w:pPr>
            <w:r>
              <w:rPr>
                <w:color w:val="000000"/>
                <w:sz w:val="18"/>
                <w:szCs w:val="18"/>
              </w:rPr>
              <w:t>The relationship marketing process: Communication, interaction, dialogue, value</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D31BBE5" w14:textId="77777777" w:rsidR="00FE204A" w:rsidRDefault="00FE204A" w:rsidP="006A0693">
            <w:pPr>
              <w:spacing w:before="40" w:after="40"/>
            </w:pPr>
            <w:r>
              <w:rPr>
                <w:color w:val="000000"/>
                <w:sz w:val="18"/>
                <w:szCs w:val="18"/>
              </w:rPr>
              <w:t>Journal of Business and Industrial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8021C34" w14:textId="77777777" w:rsidR="00FE204A" w:rsidRDefault="00FE204A" w:rsidP="006A0693">
            <w:pPr>
              <w:spacing w:before="40" w:after="40"/>
            </w:pPr>
            <w:r>
              <w:rPr>
                <w:color w:val="000000"/>
                <w:sz w:val="18"/>
                <w:szCs w:val="18"/>
              </w:rPr>
              <w:t>Conceptualise relationship marketing as a value-creating process built on brand promises and dialogue.</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400D2D4"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EA4E3FD" w14:textId="77777777" w:rsidR="00FE204A" w:rsidRDefault="00FE204A" w:rsidP="006A0693">
            <w:pPr>
              <w:spacing w:before="40" w:after="40"/>
            </w:pPr>
            <w:r>
              <w:rPr>
                <w:color w:val="000000"/>
                <w:sz w:val="18"/>
                <w:szCs w:val="18"/>
              </w:rPr>
              <w:t>Relationship marketing; brand promise; value co-creation; interaction; trust</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6CB13A3" w14:textId="77777777" w:rsidR="00FE204A" w:rsidRDefault="00FE204A" w:rsidP="006A0693">
            <w:pPr>
              <w:spacing w:before="40" w:after="40"/>
            </w:pPr>
            <w:r>
              <w:rPr>
                <w:color w:val="000000"/>
                <w:sz w:val="18"/>
                <w:szCs w:val="18"/>
              </w:rPr>
              <w:t>RQ3, RQ4</w:t>
            </w:r>
          </w:p>
        </w:tc>
      </w:tr>
      <w:tr w:rsidR="00FE204A" w14:paraId="4A40417C"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F7182B3" w14:textId="77777777" w:rsidR="00FE204A" w:rsidRDefault="00FE204A" w:rsidP="006A0693">
            <w:pPr>
              <w:spacing w:before="40" w:after="40"/>
            </w:pPr>
            <w:r>
              <w:rPr>
                <w:color w:val="000000"/>
                <w:sz w:val="18"/>
                <w:szCs w:val="18"/>
              </w:rPr>
              <w:t>10</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0AFD781" w14:textId="77777777" w:rsidR="00FE204A" w:rsidRDefault="00FE204A" w:rsidP="006A0693">
            <w:pPr>
              <w:spacing w:before="40" w:after="40"/>
            </w:pPr>
            <w:r>
              <w:rPr>
                <w:color w:val="000000"/>
                <w:sz w:val="18"/>
                <w:szCs w:val="18"/>
              </w:rPr>
              <w:t>Mitrache, A., Popescu, M. and Constantin, V.</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4EB5ED5"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4A1EB97" w14:textId="77777777" w:rsidR="00FE204A" w:rsidRDefault="00FE204A" w:rsidP="006A0693">
            <w:pPr>
              <w:spacing w:before="40" w:after="40"/>
            </w:pPr>
            <w:r>
              <w:rPr>
                <w:color w:val="000000"/>
                <w:sz w:val="18"/>
                <w:szCs w:val="18"/>
              </w:rPr>
              <w:t>Brand loyalty as a competitive shield: Evidence from European premium automotive manufacturers</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2D7F45F" w14:textId="77777777" w:rsidR="00FE204A" w:rsidRDefault="00FE204A" w:rsidP="006A0693">
            <w:pPr>
              <w:spacing w:before="40" w:after="40"/>
            </w:pPr>
            <w:r>
              <w:rPr>
                <w:color w:val="000000"/>
                <w:sz w:val="18"/>
                <w:szCs w:val="18"/>
              </w:rPr>
              <w:t>Journal of Strategic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1C6A54C" w14:textId="77777777" w:rsidR="00FE204A" w:rsidRDefault="00FE204A" w:rsidP="006A0693">
            <w:pPr>
              <w:spacing w:before="40" w:after="40"/>
            </w:pPr>
            <w:r>
              <w:rPr>
                <w:color w:val="000000"/>
                <w:sz w:val="18"/>
                <w:szCs w:val="18"/>
              </w:rPr>
              <w:t>Examine how brand loyalty functions as a competitive barrier for European premium OEMs amid market disruption.</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CC024B5" w14:textId="77777777" w:rsidR="00FE204A" w:rsidRDefault="00FE204A" w:rsidP="006A0693">
            <w:pPr>
              <w:spacing w:before="40" w:after="40"/>
            </w:pPr>
            <w:r>
              <w:rPr>
                <w:color w:val="000000"/>
                <w:sz w:val="18"/>
                <w:szCs w:val="18"/>
              </w:rPr>
              <w:t>Mixed methods</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24D1443" w14:textId="77777777" w:rsidR="00FE204A" w:rsidRDefault="00FE204A" w:rsidP="006A0693">
            <w:pPr>
              <w:spacing w:before="40" w:after="40"/>
            </w:pPr>
            <w:r>
              <w:rPr>
                <w:color w:val="000000"/>
                <w:sz w:val="18"/>
                <w:szCs w:val="18"/>
              </w:rPr>
              <w:t>Heritage loyalty; price premium; competitive moat; European OEMs; brand equity erosion</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20F2661" w14:textId="77777777" w:rsidR="00FE204A" w:rsidRDefault="00FE204A" w:rsidP="006A0693">
            <w:pPr>
              <w:spacing w:before="40" w:after="40"/>
            </w:pPr>
            <w:r>
              <w:rPr>
                <w:color w:val="000000"/>
                <w:sz w:val="18"/>
                <w:szCs w:val="18"/>
              </w:rPr>
              <w:t>RQ1, RQ2</w:t>
            </w:r>
          </w:p>
        </w:tc>
      </w:tr>
      <w:tr w:rsidR="00FE204A" w14:paraId="72F46BC4"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E1D21C4" w14:textId="77777777" w:rsidR="00FE204A" w:rsidRDefault="00FE204A" w:rsidP="006A0693">
            <w:pPr>
              <w:spacing w:before="40" w:after="40"/>
            </w:pPr>
            <w:r>
              <w:rPr>
                <w:color w:val="000000"/>
                <w:sz w:val="18"/>
                <w:szCs w:val="18"/>
              </w:rPr>
              <w:t>11</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EA52F5F" w14:textId="77777777" w:rsidR="00FE204A" w:rsidRDefault="00FE204A" w:rsidP="006A0693">
            <w:pPr>
              <w:spacing w:before="40" w:after="40"/>
            </w:pPr>
            <w:proofErr w:type="spellStart"/>
            <w:r>
              <w:rPr>
                <w:color w:val="000000"/>
                <w:sz w:val="18"/>
                <w:szCs w:val="18"/>
              </w:rPr>
              <w:t>Górska-Warsewicz</w:t>
            </w:r>
            <w:proofErr w:type="spellEnd"/>
            <w:r>
              <w:rPr>
                <w:color w:val="000000"/>
                <w:sz w:val="18"/>
                <w:szCs w:val="18"/>
              </w:rPr>
              <w:t>, H.</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217412F"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12C4A3E" w14:textId="77777777" w:rsidR="00FE204A" w:rsidRDefault="00FE204A" w:rsidP="006A0693">
            <w:pPr>
              <w:spacing w:before="40" w:after="40"/>
            </w:pPr>
            <w:r>
              <w:rPr>
                <w:color w:val="000000"/>
                <w:sz w:val="18"/>
                <w:szCs w:val="18"/>
              </w:rPr>
              <w:t>Customer retention and brand loyalty in the post-pandemic automotive sector: Evidence from Central and Eastern Europe</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B28FFC6" w14:textId="77777777" w:rsidR="00FE204A" w:rsidRDefault="00FE204A" w:rsidP="006A0693">
            <w:pPr>
              <w:spacing w:before="40" w:after="40"/>
            </w:pPr>
            <w:r>
              <w:rPr>
                <w:color w:val="000000"/>
                <w:sz w:val="18"/>
                <w:szCs w:val="18"/>
              </w:rPr>
              <w:t>European Journal of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EE911D7" w14:textId="77777777" w:rsidR="00FE204A" w:rsidRDefault="00FE204A" w:rsidP="006A0693">
            <w:pPr>
              <w:spacing w:before="40" w:after="40"/>
            </w:pPr>
            <w:r>
              <w:rPr>
                <w:color w:val="000000"/>
                <w:sz w:val="18"/>
                <w:szCs w:val="18"/>
              </w:rPr>
              <w:t>Analyse retention economics and loyalty dynamics in European automotive markets post-pandemic.</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E5E46D0" w14:textId="77777777" w:rsidR="00FE204A" w:rsidRDefault="00FE204A" w:rsidP="006A0693">
            <w:pPr>
              <w:spacing w:before="40" w:after="40"/>
            </w:pPr>
            <w:r>
              <w:rPr>
                <w:color w:val="000000"/>
                <w:sz w:val="18"/>
                <w:szCs w:val="18"/>
              </w:rPr>
              <w:t>Empirical (survey)</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1CF6E01" w14:textId="77777777" w:rsidR="00FE204A" w:rsidRDefault="00FE204A" w:rsidP="006A0693">
            <w:pPr>
              <w:spacing w:before="40" w:after="40"/>
            </w:pPr>
            <w:r>
              <w:rPr>
                <w:color w:val="000000"/>
                <w:sz w:val="18"/>
                <w:szCs w:val="18"/>
              </w:rPr>
              <w:t>Customer retention; cost-effectiveness; loyalty; European automotive; brand attachment</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DBC1167" w14:textId="77777777" w:rsidR="00FE204A" w:rsidRDefault="00FE204A" w:rsidP="006A0693">
            <w:pPr>
              <w:spacing w:before="40" w:after="40"/>
            </w:pPr>
            <w:r>
              <w:rPr>
                <w:color w:val="000000"/>
                <w:sz w:val="18"/>
                <w:szCs w:val="18"/>
              </w:rPr>
              <w:t>RQ1, RQ2</w:t>
            </w:r>
          </w:p>
        </w:tc>
      </w:tr>
      <w:tr w:rsidR="00FE204A" w14:paraId="35007084"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5D725C2" w14:textId="77777777" w:rsidR="00FE204A" w:rsidRDefault="00FE204A" w:rsidP="006A0693">
            <w:pPr>
              <w:spacing w:before="40" w:after="40"/>
            </w:pPr>
            <w:r>
              <w:rPr>
                <w:color w:val="000000"/>
                <w:sz w:val="18"/>
                <w:szCs w:val="18"/>
              </w:rPr>
              <w:t>12</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9D03827" w14:textId="77777777" w:rsidR="00FE204A" w:rsidRDefault="00FE204A" w:rsidP="006A0693">
            <w:pPr>
              <w:spacing w:before="40" w:after="40"/>
            </w:pPr>
            <w:proofErr w:type="spellStart"/>
            <w:r>
              <w:rPr>
                <w:color w:val="000000"/>
                <w:sz w:val="18"/>
                <w:szCs w:val="18"/>
              </w:rPr>
              <w:t>Gajanova</w:t>
            </w:r>
            <w:proofErr w:type="spellEnd"/>
            <w:r>
              <w:rPr>
                <w:color w:val="000000"/>
                <w:sz w:val="18"/>
                <w:szCs w:val="18"/>
              </w:rPr>
              <w:t xml:space="preserve">, L., </w:t>
            </w:r>
            <w:proofErr w:type="spellStart"/>
            <w:r>
              <w:rPr>
                <w:color w:val="000000"/>
                <w:sz w:val="18"/>
                <w:szCs w:val="18"/>
              </w:rPr>
              <w:t>Majerova</w:t>
            </w:r>
            <w:proofErr w:type="spellEnd"/>
            <w:r>
              <w:rPr>
                <w:color w:val="000000"/>
                <w:sz w:val="18"/>
                <w:szCs w:val="18"/>
              </w:rPr>
              <w:t xml:space="preserve">, J. and </w:t>
            </w:r>
            <w:proofErr w:type="spellStart"/>
            <w:r>
              <w:rPr>
                <w:color w:val="000000"/>
                <w:sz w:val="18"/>
                <w:szCs w:val="18"/>
              </w:rPr>
              <w:t>Nadanyiova</w:t>
            </w:r>
            <w:proofErr w:type="spellEnd"/>
            <w:r>
              <w:rPr>
                <w:color w:val="000000"/>
                <w:sz w:val="18"/>
                <w:szCs w:val="18"/>
              </w:rPr>
              <w:t>, M.</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406FE3E" w14:textId="77777777" w:rsidR="00FE204A" w:rsidRDefault="00FE204A" w:rsidP="006A0693">
            <w:pPr>
              <w:spacing w:before="40" w:after="40"/>
            </w:pPr>
            <w:r>
              <w:rPr>
                <w:color w:val="000000"/>
                <w:sz w:val="18"/>
                <w:szCs w:val="18"/>
              </w:rPr>
              <w:t>2024</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B5474B4" w14:textId="77777777" w:rsidR="00FE204A" w:rsidRDefault="00FE204A" w:rsidP="006A0693">
            <w:pPr>
              <w:spacing w:before="40" w:after="40"/>
            </w:pPr>
            <w:r>
              <w:rPr>
                <w:color w:val="000000"/>
                <w:sz w:val="18"/>
                <w:szCs w:val="18"/>
              </w:rPr>
              <w:t>The intergroup heterogeneity of brand value attributes: Case study of car brands</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20DF19C" w14:textId="77777777" w:rsidR="00FE204A" w:rsidRDefault="00FE204A" w:rsidP="006A0693">
            <w:pPr>
              <w:spacing w:before="40" w:after="40"/>
            </w:pPr>
            <w:r>
              <w:rPr>
                <w:color w:val="000000"/>
                <w:sz w:val="18"/>
                <w:szCs w:val="18"/>
              </w:rPr>
              <w:t>Polish Journal of Management Studies</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BFACDCE" w14:textId="77777777" w:rsidR="00FE204A" w:rsidRDefault="00FE204A" w:rsidP="006A0693">
            <w:pPr>
              <w:spacing w:before="40" w:after="40"/>
            </w:pPr>
            <w:r>
              <w:rPr>
                <w:color w:val="000000"/>
                <w:sz w:val="18"/>
                <w:szCs w:val="18"/>
              </w:rPr>
              <w:t>Identify how brand value attributes vary across consumer segments in the automotive sector.</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FB63365" w14:textId="77777777" w:rsidR="00FE204A" w:rsidRDefault="00FE204A" w:rsidP="006A0693">
            <w:pPr>
              <w:spacing w:before="40" w:after="40"/>
            </w:pPr>
            <w:r>
              <w:rPr>
                <w:color w:val="000000"/>
                <w:sz w:val="18"/>
                <w:szCs w:val="18"/>
              </w:rPr>
              <w:t>Quantitative (survey)</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BDEA88C" w14:textId="77777777" w:rsidR="00FE204A" w:rsidRDefault="00FE204A" w:rsidP="006A0693">
            <w:pPr>
              <w:spacing w:before="40" w:after="40"/>
            </w:pPr>
            <w:r>
              <w:rPr>
                <w:color w:val="000000"/>
                <w:sz w:val="18"/>
                <w:szCs w:val="18"/>
              </w:rPr>
              <w:t>Brand equity; brand value; perceived quality; country-of-origin; automotive</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7F4CA44" w14:textId="77777777" w:rsidR="00FE204A" w:rsidRDefault="00FE204A" w:rsidP="006A0693">
            <w:pPr>
              <w:spacing w:before="40" w:after="40"/>
            </w:pPr>
            <w:r>
              <w:rPr>
                <w:color w:val="000000"/>
                <w:sz w:val="18"/>
                <w:szCs w:val="18"/>
              </w:rPr>
              <w:t>RQ1, RQ2</w:t>
            </w:r>
          </w:p>
        </w:tc>
      </w:tr>
      <w:tr w:rsidR="00FE204A" w14:paraId="042647C4"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CE93B50" w14:textId="77777777" w:rsidR="00FE204A" w:rsidRDefault="00FE204A" w:rsidP="006A0693">
            <w:pPr>
              <w:spacing w:before="40" w:after="40"/>
            </w:pPr>
            <w:r>
              <w:rPr>
                <w:color w:val="000000"/>
                <w:sz w:val="18"/>
                <w:szCs w:val="18"/>
              </w:rPr>
              <w:lastRenderedPageBreak/>
              <w:t>13</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A955137" w14:textId="77777777" w:rsidR="00FE204A" w:rsidRDefault="00FE204A" w:rsidP="006A0693">
            <w:pPr>
              <w:spacing w:before="40" w:after="40"/>
            </w:pPr>
            <w:proofErr w:type="spellStart"/>
            <w:r>
              <w:rPr>
                <w:color w:val="000000"/>
                <w:sz w:val="18"/>
                <w:szCs w:val="18"/>
              </w:rPr>
              <w:t>Hartoyo</w:t>
            </w:r>
            <w:proofErr w:type="spellEnd"/>
            <w:r>
              <w:rPr>
                <w:color w:val="000000"/>
                <w:sz w:val="18"/>
                <w:szCs w:val="18"/>
              </w:rPr>
              <w:t>, H. et al.</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D598D36" w14:textId="77777777" w:rsidR="00FE204A" w:rsidRDefault="00FE204A" w:rsidP="006A0693">
            <w:pPr>
              <w:spacing w:before="40" w:after="40"/>
            </w:pPr>
            <w:r>
              <w:rPr>
                <w:color w:val="000000"/>
                <w:sz w:val="18"/>
                <w:szCs w:val="18"/>
              </w:rPr>
              <w:t>2023</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F8B2F7A" w14:textId="77777777" w:rsidR="00FE204A" w:rsidRDefault="00FE204A" w:rsidP="006A0693">
            <w:pPr>
              <w:spacing w:before="40" w:after="40"/>
            </w:pPr>
            <w:r>
              <w:rPr>
                <w:color w:val="000000"/>
                <w:sz w:val="18"/>
                <w:szCs w:val="18"/>
              </w:rPr>
              <w:t>Driving success: A segmentation of customer admiration in automotive industry</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9A93383" w14:textId="77777777" w:rsidR="00FE204A" w:rsidRDefault="00FE204A" w:rsidP="006A0693">
            <w:pPr>
              <w:spacing w:before="40" w:after="40"/>
            </w:pPr>
            <w:r>
              <w:rPr>
                <w:color w:val="000000"/>
                <w:sz w:val="18"/>
                <w:szCs w:val="18"/>
              </w:rPr>
              <w:t>Journal of Open Innovation Technology Market and Complexity</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B29FA69" w14:textId="77777777" w:rsidR="00FE204A" w:rsidRDefault="00FE204A" w:rsidP="006A0693">
            <w:pPr>
              <w:spacing w:before="40" w:after="40"/>
            </w:pPr>
            <w:r>
              <w:rPr>
                <w:color w:val="000000"/>
                <w:sz w:val="18"/>
                <w:szCs w:val="18"/>
              </w:rPr>
              <w:t>Segment automotive consumers by admiration levels to understand loyalty antecedents.</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4787578" w14:textId="77777777" w:rsidR="00FE204A" w:rsidRDefault="00FE204A" w:rsidP="006A0693">
            <w:pPr>
              <w:spacing w:before="40" w:after="40"/>
            </w:pPr>
            <w:r>
              <w:rPr>
                <w:color w:val="000000"/>
                <w:sz w:val="18"/>
                <w:szCs w:val="18"/>
              </w:rPr>
              <w:t>Quantitative (survey/cluster analysis)</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C3F68F1" w14:textId="77777777" w:rsidR="00FE204A" w:rsidRDefault="00FE204A" w:rsidP="006A0693">
            <w:pPr>
              <w:spacing w:before="40" w:after="40"/>
            </w:pPr>
            <w:r>
              <w:rPr>
                <w:color w:val="000000"/>
                <w:sz w:val="18"/>
                <w:szCs w:val="18"/>
              </w:rPr>
              <w:t>Customer admiration; brand loyalty; segmentation; automotive; engagement</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7A9B234" w14:textId="77777777" w:rsidR="00FE204A" w:rsidRDefault="00FE204A" w:rsidP="006A0693">
            <w:pPr>
              <w:spacing w:before="40" w:after="40"/>
            </w:pPr>
            <w:r>
              <w:rPr>
                <w:color w:val="000000"/>
                <w:sz w:val="18"/>
                <w:szCs w:val="18"/>
              </w:rPr>
              <w:t>RQ1</w:t>
            </w:r>
          </w:p>
        </w:tc>
      </w:tr>
      <w:tr w:rsidR="00FE204A" w14:paraId="1B75C0F8"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B9BD9A2" w14:textId="77777777" w:rsidR="00FE204A" w:rsidRDefault="00FE204A" w:rsidP="006A0693">
            <w:pPr>
              <w:spacing w:before="40" w:after="40"/>
            </w:pPr>
            <w:r>
              <w:rPr>
                <w:color w:val="000000"/>
                <w:sz w:val="18"/>
                <w:szCs w:val="18"/>
              </w:rPr>
              <w:t>14</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4F8F4DE" w14:textId="77777777" w:rsidR="00FE204A" w:rsidRDefault="00FE204A" w:rsidP="006A0693">
            <w:pPr>
              <w:spacing w:before="40" w:after="40"/>
            </w:pPr>
            <w:r>
              <w:rPr>
                <w:color w:val="000000"/>
                <w:sz w:val="18"/>
                <w:szCs w:val="18"/>
              </w:rPr>
              <w:t>Gracia, M., Paz, M.J. and Rísquez, M.</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DD6BA65" w14:textId="77777777" w:rsidR="00FE204A" w:rsidRDefault="00FE204A" w:rsidP="006A0693">
            <w:pPr>
              <w:spacing w:before="40" w:after="40"/>
            </w:pPr>
            <w:r>
              <w:rPr>
                <w:color w:val="000000"/>
                <w:sz w:val="18"/>
                <w:szCs w:val="18"/>
              </w:rPr>
              <w:t>2024</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1B9950D" w14:textId="77777777" w:rsidR="00FE204A" w:rsidRDefault="00FE204A" w:rsidP="006A0693">
            <w:pPr>
              <w:spacing w:before="40" w:after="40"/>
            </w:pPr>
            <w:r>
              <w:rPr>
                <w:color w:val="000000"/>
                <w:sz w:val="18"/>
                <w:szCs w:val="18"/>
              </w:rPr>
              <w:t>Analysis of the transition to electric vehicles in Europe from a core-periphery approach</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797DDD5" w14:textId="77777777" w:rsidR="00FE204A" w:rsidRDefault="00FE204A" w:rsidP="006A0693">
            <w:pPr>
              <w:spacing w:before="40" w:after="40"/>
            </w:pPr>
            <w:r>
              <w:rPr>
                <w:color w:val="000000"/>
                <w:sz w:val="18"/>
                <w:szCs w:val="18"/>
              </w:rPr>
              <w:t>Structural Change and Economic Dynamics</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825DA24" w14:textId="77777777" w:rsidR="00FE204A" w:rsidRDefault="00FE204A" w:rsidP="006A0693">
            <w:pPr>
              <w:spacing w:before="40" w:after="40"/>
            </w:pPr>
            <w:r>
              <w:rPr>
                <w:color w:val="000000"/>
                <w:sz w:val="18"/>
                <w:szCs w:val="18"/>
              </w:rPr>
              <w:t>Examine the structural dynamics of EV adoption across European core and peripheral economies.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F2E85E6" w14:textId="77777777" w:rsidR="00FE204A" w:rsidRDefault="00FE204A" w:rsidP="006A0693">
            <w:pPr>
              <w:spacing w:before="40" w:after="40"/>
            </w:pPr>
            <w:r>
              <w:rPr>
                <w:color w:val="000000"/>
                <w:sz w:val="18"/>
                <w:szCs w:val="18"/>
              </w:rPr>
              <w:t>Quantitative (econometric)</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6D394D6" w14:textId="77777777" w:rsidR="00FE204A" w:rsidRDefault="00FE204A" w:rsidP="006A0693">
            <w:pPr>
              <w:spacing w:before="40" w:after="40"/>
            </w:pPr>
            <w:r>
              <w:rPr>
                <w:color w:val="000000"/>
                <w:sz w:val="18"/>
                <w:szCs w:val="18"/>
              </w:rPr>
              <w:t>EV transition; core-periphery; European automotive; structural change; market dynamics</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E0185C5" w14:textId="77777777" w:rsidR="00FE204A" w:rsidRDefault="00FE204A" w:rsidP="006A0693">
            <w:pPr>
              <w:spacing w:before="40" w:after="40"/>
            </w:pPr>
            <w:r>
              <w:rPr>
                <w:color w:val="000000"/>
                <w:sz w:val="18"/>
                <w:szCs w:val="18"/>
              </w:rPr>
              <w:t>RQ1, RQ2</w:t>
            </w:r>
          </w:p>
        </w:tc>
      </w:tr>
      <w:tr w:rsidR="00FE204A" w14:paraId="436F33ED"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F789AE0" w14:textId="77777777" w:rsidR="00FE204A" w:rsidRDefault="00FE204A" w:rsidP="006A0693">
            <w:pPr>
              <w:spacing w:before="40" w:after="40"/>
            </w:pPr>
            <w:r>
              <w:rPr>
                <w:color w:val="000000"/>
                <w:sz w:val="18"/>
                <w:szCs w:val="18"/>
              </w:rPr>
              <w:t>15</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0DA405E" w14:textId="77777777" w:rsidR="00FE204A" w:rsidRDefault="00FE204A" w:rsidP="006A0693">
            <w:pPr>
              <w:spacing w:before="40" w:after="40"/>
            </w:pPr>
            <w:r>
              <w:rPr>
                <w:color w:val="000000"/>
                <w:sz w:val="18"/>
                <w:szCs w:val="18"/>
              </w:rPr>
              <w:t>Cornet, A. et al.</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FE42A71" w14:textId="77777777" w:rsidR="00FE204A" w:rsidRDefault="00FE204A" w:rsidP="006A0693">
            <w:pPr>
              <w:spacing w:before="40" w:after="40"/>
            </w:pPr>
            <w:r>
              <w:rPr>
                <w:color w:val="000000"/>
                <w:sz w:val="18"/>
                <w:szCs w:val="18"/>
              </w:rPr>
              <w:t>2023</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F3D1828" w14:textId="77777777" w:rsidR="00FE204A" w:rsidRDefault="00FE204A" w:rsidP="006A0693">
            <w:pPr>
              <w:spacing w:before="40" w:after="40"/>
            </w:pPr>
            <w:r>
              <w:rPr>
                <w:color w:val="000000"/>
                <w:sz w:val="18"/>
                <w:szCs w:val="18"/>
              </w:rPr>
              <w:t>The Future of Mobility: How Automakers Can Navigate the Transition (A road map for Europe's automotive industry)</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5D4679D" w14:textId="77777777" w:rsidR="00FE204A" w:rsidRDefault="00FE204A" w:rsidP="006A0693">
            <w:pPr>
              <w:spacing w:before="40" w:after="40"/>
            </w:pPr>
            <w:r>
              <w:rPr>
                <w:color w:val="000000"/>
                <w:sz w:val="18"/>
                <w:szCs w:val="18"/>
              </w:rPr>
              <w:t xml:space="preserve">McKinsey </w:t>
            </w:r>
            <w:proofErr w:type="spellStart"/>
            <w:r>
              <w:rPr>
                <w:color w:val="000000"/>
                <w:sz w:val="18"/>
                <w:szCs w:val="18"/>
              </w:rPr>
              <w:t>Center</w:t>
            </w:r>
            <w:proofErr w:type="spellEnd"/>
            <w:r>
              <w:rPr>
                <w:color w:val="000000"/>
                <w:sz w:val="18"/>
                <w:szCs w:val="18"/>
              </w:rPr>
              <w:t xml:space="preserve"> for Future Mobility (Industry Report)</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097A48A" w14:textId="77777777" w:rsidR="00FE204A" w:rsidRDefault="00FE204A" w:rsidP="006A0693">
            <w:pPr>
              <w:spacing w:before="40" w:after="40"/>
            </w:pPr>
            <w:r>
              <w:rPr>
                <w:color w:val="000000"/>
                <w:sz w:val="18"/>
                <w:szCs w:val="18"/>
              </w:rPr>
              <w:t>Map the competitive landscape for European OEMs in the transition to EVs and digital mobility.</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49005F2" w14:textId="77777777" w:rsidR="00FE204A" w:rsidRDefault="00FE204A" w:rsidP="006A0693">
            <w:pPr>
              <w:spacing w:before="40" w:after="40"/>
            </w:pPr>
            <w:r>
              <w:rPr>
                <w:color w:val="000000"/>
                <w:sz w:val="18"/>
                <w:szCs w:val="18"/>
              </w:rPr>
              <w:t>Industry analysis / Mixed methods</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440D726" w14:textId="77777777" w:rsidR="00FE204A" w:rsidRDefault="00FE204A" w:rsidP="006A0693">
            <w:pPr>
              <w:spacing w:before="40" w:after="40"/>
            </w:pPr>
            <w:r>
              <w:rPr>
                <w:color w:val="000000"/>
                <w:sz w:val="18"/>
                <w:szCs w:val="18"/>
              </w:rPr>
              <w:t>Market share; EV transition; Chinese entrants; European OEMs; competitive strategy</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68ABC85" w14:textId="77777777" w:rsidR="00FE204A" w:rsidRDefault="00FE204A" w:rsidP="006A0693">
            <w:pPr>
              <w:spacing w:before="40" w:after="40"/>
            </w:pPr>
            <w:r>
              <w:rPr>
                <w:color w:val="000000"/>
                <w:sz w:val="18"/>
                <w:szCs w:val="18"/>
              </w:rPr>
              <w:t>RQ1, RQ2, RQ3</w:t>
            </w:r>
          </w:p>
        </w:tc>
      </w:tr>
      <w:tr w:rsidR="00FE204A" w14:paraId="04450816"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C27DD72" w14:textId="77777777" w:rsidR="00FE204A" w:rsidRDefault="00FE204A" w:rsidP="006A0693">
            <w:pPr>
              <w:spacing w:before="40" w:after="40"/>
            </w:pPr>
            <w:r>
              <w:rPr>
                <w:color w:val="000000"/>
                <w:sz w:val="18"/>
                <w:szCs w:val="18"/>
              </w:rPr>
              <w:t>16</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06729CB" w14:textId="77777777" w:rsidR="00FE204A" w:rsidRDefault="00FE204A" w:rsidP="006A0693">
            <w:pPr>
              <w:spacing w:before="40" w:after="40"/>
            </w:pPr>
            <w:r>
              <w:rPr>
                <w:color w:val="000000"/>
                <w:sz w:val="18"/>
                <w:szCs w:val="18"/>
              </w:rPr>
              <w:t>European ACEA</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0BB203F" w14:textId="77777777" w:rsidR="00FE204A" w:rsidRDefault="00FE204A" w:rsidP="006A0693">
            <w:pPr>
              <w:spacing w:before="40" w:after="40"/>
            </w:pPr>
            <w:r>
              <w:rPr>
                <w:color w:val="000000"/>
                <w:sz w:val="18"/>
                <w:szCs w:val="18"/>
              </w:rPr>
              <w:t>2023</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5D0E003" w14:textId="77777777" w:rsidR="00FE204A" w:rsidRDefault="00FE204A" w:rsidP="006A0693">
            <w:pPr>
              <w:spacing w:before="40" w:after="40"/>
            </w:pPr>
            <w:r>
              <w:rPr>
                <w:color w:val="000000"/>
                <w:sz w:val="18"/>
                <w:szCs w:val="18"/>
              </w:rPr>
              <w:t>Automobile Industry Pocket Guide 2023/2024</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92EA5BD" w14:textId="77777777" w:rsidR="00FE204A" w:rsidRDefault="00FE204A" w:rsidP="006A0693">
            <w:pPr>
              <w:spacing w:before="40" w:after="40"/>
            </w:pPr>
            <w:r>
              <w:rPr>
                <w:color w:val="000000"/>
                <w:sz w:val="18"/>
                <w:szCs w:val="18"/>
              </w:rPr>
              <w:t>European Automobile Manufacturers' Association</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D99048B" w14:textId="77777777" w:rsidR="00FE204A" w:rsidRDefault="00FE204A" w:rsidP="006A0693">
            <w:pPr>
              <w:spacing w:before="40" w:after="40"/>
            </w:pPr>
            <w:r>
              <w:rPr>
                <w:color w:val="000000"/>
                <w:sz w:val="18"/>
                <w:szCs w:val="18"/>
              </w:rPr>
              <w:t>Provide statistical overview of the European automotive industry, employment, and production.</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250543C" w14:textId="77777777" w:rsidR="00FE204A" w:rsidRDefault="00FE204A" w:rsidP="006A0693">
            <w:pPr>
              <w:spacing w:before="40" w:after="40"/>
            </w:pPr>
            <w:r>
              <w:rPr>
                <w:color w:val="000000"/>
                <w:sz w:val="18"/>
                <w:szCs w:val="18"/>
              </w:rPr>
              <w:t>Industry statistics / Secondary data</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EBC78DC" w14:textId="77777777" w:rsidR="00FE204A" w:rsidRDefault="00FE204A" w:rsidP="006A0693">
            <w:pPr>
              <w:spacing w:before="40" w:after="40"/>
            </w:pPr>
            <w:r>
              <w:rPr>
                <w:color w:val="000000"/>
                <w:sz w:val="18"/>
                <w:szCs w:val="18"/>
              </w:rPr>
              <w:t>European automotive; employment; production; market size; industry overview</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F755B86" w14:textId="77777777" w:rsidR="00FE204A" w:rsidRDefault="00FE204A" w:rsidP="006A0693">
            <w:pPr>
              <w:spacing w:before="40" w:after="40"/>
            </w:pPr>
            <w:r>
              <w:rPr>
                <w:color w:val="000000"/>
                <w:sz w:val="18"/>
                <w:szCs w:val="18"/>
              </w:rPr>
              <w:t>RQ1, RQ2</w:t>
            </w:r>
          </w:p>
        </w:tc>
      </w:tr>
      <w:tr w:rsidR="00FE204A" w14:paraId="54C1B2E6"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753F6C0" w14:textId="77777777" w:rsidR="00FE204A" w:rsidRDefault="00FE204A" w:rsidP="006A0693">
            <w:pPr>
              <w:spacing w:before="40" w:after="40"/>
            </w:pPr>
            <w:r>
              <w:rPr>
                <w:color w:val="000000"/>
                <w:sz w:val="18"/>
                <w:szCs w:val="18"/>
              </w:rPr>
              <w:lastRenderedPageBreak/>
              <w:t>17</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B2E1DE3" w14:textId="77777777" w:rsidR="00FE204A" w:rsidRDefault="00FE204A" w:rsidP="006A0693">
            <w:pPr>
              <w:spacing w:before="40" w:after="40"/>
            </w:pPr>
            <w:r>
              <w:rPr>
                <w:color w:val="000000"/>
                <w:sz w:val="18"/>
                <w:szCs w:val="18"/>
              </w:rPr>
              <w:t>International Energy Agency (IEA)</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33D43C9" w14:textId="77777777" w:rsidR="00FE204A" w:rsidRDefault="00FE204A" w:rsidP="006A0693">
            <w:pPr>
              <w:spacing w:before="40" w:after="40"/>
            </w:pPr>
            <w:r>
              <w:rPr>
                <w:color w:val="000000"/>
                <w:sz w:val="18"/>
                <w:szCs w:val="18"/>
              </w:rPr>
              <w:t>2023</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05E6A4E" w14:textId="77777777" w:rsidR="00FE204A" w:rsidRDefault="00FE204A" w:rsidP="006A0693">
            <w:pPr>
              <w:spacing w:before="40" w:after="40"/>
            </w:pPr>
            <w:r>
              <w:rPr>
                <w:color w:val="000000"/>
                <w:sz w:val="18"/>
                <w:szCs w:val="18"/>
              </w:rPr>
              <w:t>Global EV Outlook 2023</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1212EF0" w14:textId="77777777" w:rsidR="00FE204A" w:rsidRDefault="00FE204A" w:rsidP="006A0693">
            <w:pPr>
              <w:spacing w:before="40" w:after="40"/>
            </w:pPr>
            <w:r>
              <w:rPr>
                <w:color w:val="000000"/>
                <w:sz w:val="18"/>
                <w:szCs w:val="18"/>
              </w:rPr>
              <w:t>International Energy Agency</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112B017" w14:textId="77777777" w:rsidR="00FE204A" w:rsidRDefault="00FE204A" w:rsidP="006A0693">
            <w:pPr>
              <w:spacing w:before="40" w:after="40"/>
            </w:pPr>
            <w:r>
              <w:rPr>
                <w:color w:val="000000"/>
                <w:sz w:val="18"/>
                <w:szCs w:val="18"/>
              </w:rPr>
              <w:t>Track global EV adoption trends, battery cost trajectories, and policy environment.</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4FA226B" w14:textId="77777777" w:rsidR="00FE204A" w:rsidRDefault="00FE204A" w:rsidP="006A0693">
            <w:pPr>
              <w:spacing w:before="40" w:after="40"/>
            </w:pPr>
            <w:r>
              <w:rPr>
                <w:color w:val="000000"/>
                <w:sz w:val="18"/>
                <w:szCs w:val="18"/>
              </w:rPr>
              <w:t>Secondary data analysis</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B074852" w14:textId="77777777" w:rsidR="00FE204A" w:rsidRDefault="00FE204A" w:rsidP="006A0693">
            <w:pPr>
              <w:spacing w:before="40" w:after="40"/>
            </w:pPr>
            <w:r>
              <w:rPr>
                <w:color w:val="000000"/>
                <w:sz w:val="18"/>
                <w:szCs w:val="18"/>
              </w:rPr>
              <w:t>EV adoption; battery costs; policy; global trends; sustainability</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16E6FBF" w14:textId="77777777" w:rsidR="00FE204A" w:rsidRDefault="00FE204A" w:rsidP="006A0693">
            <w:pPr>
              <w:spacing w:before="40" w:after="40"/>
            </w:pPr>
            <w:r>
              <w:rPr>
                <w:color w:val="000000"/>
                <w:sz w:val="18"/>
                <w:szCs w:val="18"/>
              </w:rPr>
              <w:t>RQ1, RQ2</w:t>
            </w:r>
          </w:p>
        </w:tc>
      </w:tr>
      <w:tr w:rsidR="00FE204A" w14:paraId="0B9F988E"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5F90A75" w14:textId="77777777" w:rsidR="00FE204A" w:rsidRDefault="00FE204A" w:rsidP="006A0693">
            <w:pPr>
              <w:spacing w:before="40" w:after="40"/>
            </w:pPr>
            <w:r>
              <w:rPr>
                <w:color w:val="000000"/>
                <w:sz w:val="18"/>
                <w:szCs w:val="18"/>
              </w:rPr>
              <w:t>18</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E12E95E" w14:textId="77777777" w:rsidR="00FE204A" w:rsidRDefault="00FE204A" w:rsidP="006A0693">
            <w:pPr>
              <w:spacing w:before="40" w:after="40"/>
            </w:pPr>
            <w:r>
              <w:rPr>
                <w:color w:val="000000"/>
                <w:sz w:val="18"/>
                <w:szCs w:val="18"/>
              </w:rPr>
              <w:t>Agustí-Pérez, L., García-Martínez, A. and Sánchez-Rodrigo, B.</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68FA433" w14:textId="77777777" w:rsidR="00FE204A" w:rsidRDefault="00FE204A" w:rsidP="006A0693">
            <w:pPr>
              <w:spacing w:before="40" w:after="40"/>
            </w:pPr>
            <w:r>
              <w:rPr>
                <w:color w:val="000000"/>
                <w:sz w:val="18"/>
                <w:szCs w:val="18"/>
              </w:rPr>
              <w:t>2026</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F9B0555" w14:textId="77777777" w:rsidR="00FE204A" w:rsidRDefault="00FE204A" w:rsidP="006A0693">
            <w:pPr>
              <w:spacing w:before="40" w:after="40"/>
            </w:pPr>
            <w:r>
              <w:rPr>
                <w:color w:val="000000"/>
                <w:sz w:val="18"/>
                <w:szCs w:val="18"/>
              </w:rPr>
              <w:t>Software-defined vehicles and brand trust: Navigating the EV transition in European automotive markets</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9284853" w14:textId="77777777" w:rsidR="00FE204A" w:rsidRDefault="00FE204A" w:rsidP="006A0693">
            <w:pPr>
              <w:spacing w:before="40" w:after="40"/>
            </w:pPr>
            <w:r>
              <w:rPr>
                <w:color w:val="000000"/>
                <w:sz w:val="18"/>
                <w:szCs w:val="18"/>
              </w:rPr>
              <w:t>Journal of Marketing Management</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96B65B4" w14:textId="77777777" w:rsidR="00FE204A" w:rsidRDefault="00FE204A" w:rsidP="006A0693">
            <w:pPr>
              <w:spacing w:before="40" w:after="40"/>
            </w:pPr>
            <w:r>
              <w:rPr>
                <w:color w:val="000000"/>
                <w:sz w:val="18"/>
                <w:szCs w:val="18"/>
              </w:rPr>
              <w:t>Examine how software-defined vehicle capabilities affect consumer trust and loyalty during the EV transition.</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8298427" w14:textId="77777777" w:rsidR="00FE204A" w:rsidRDefault="00FE204A" w:rsidP="006A0693">
            <w:pPr>
              <w:spacing w:before="40" w:after="40"/>
            </w:pPr>
            <w:r>
              <w:rPr>
                <w:color w:val="000000"/>
                <w:sz w:val="18"/>
                <w:szCs w:val="18"/>
              </w:rPr>
              <w:t>Empirical (qualitative)</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BBFBD3D" w14:textId="77777777" w:rsidR="00FE204A" w:rsidRDefault="00FE204A" w:rsidP="006A0693">
            <w:pPr>
              <w:spacing w:before="40" w:after="40"/>
            </w:pPr>
            <w:r>
              <w:rPr>
                <w:color w:val="000000"/>
                <w:sz w:val="18"/>
                <w:szCs w:val="18"/>
              </w:rPr>
              <w:t>Software-defined vehicle; brand trust; over-the-air updates; digital identity; loyalty</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5CB844F" w14:textId="77777777" w:rsidR="00FE204A" w:rsidRDefault="00FE204A" w:rsidP="006A0693">
            <w:pPr>
              <w:spacing w:before="40" w:after="40"/>
            </w:pPr>
            <w:r>
              <w:rPr>
                <w:color w:val="000000"/>
                <w:sz w:val="18"/>
                <w:szCs w:val="18"/>
              </w:rPr>
              <w:t>RQ1, RQ2, RQ3, RQ4</w:t>
            </w:r>
          </w:p>
        </w:tc>
      </w:tr>
      <w:tr w:rsidR="00FE204A" w14:paraId="12B32379"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4AC2880" w14:textId="77777777" w:rsidR="00FE204A" w:rsidRDefault="00FE204A" w:rsidP="006A0693">
            <w:pPr>
              <w:spacing w:before="40" w:after="40"/>
            </w:pPr>
            <w:r>
              <w:rPr>
                <w:color w:val="000000"/>
                <w:sz w:val="18"/>
                <w:szCs w:val="18"/>
              </w:rPr>
              <w:t>19</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B9A70B8" w14:textId="77777777" w:rsidR="00FE204A" w:rsidRDefault="00FE204A" w:rsidP="006A0693">
            <w:pPr>
              <w:spacing w:before="40" w:after="40"/>
            </w:pPr>
            <w:proofErr w:type="spellStart"/>
            <w:r>
              <w:rPr>
                <w:color w:val="000000"/>
                <w:sz w:val="18"/>
                <w:szCs w:val="18"/>
              </w:rPr>
              <w:t>Mosaferchi</w:t>
            </w:r>
            <w:proofErr w:type="spellEnd"/>
            <w:r>
              <w:rPr>
                <w:color w:val="000000"/>
                <w:sz w:val="18"/>
                <w:szCs w:val="18"/>
              </w:rPr>
              <w:t>, G., Rezaei, M. and Bagheri, A.</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EE321DA" w14:textId="77777777" w:rsidR="00FE204A" w:rsidRDefault="00FE204A" w:rsidP="006A0693">
            <w:pPr>
              <w:spacing w:before="40" w:after="40"/>
            </w:pPr>
            <w:r>
              <w:rPr>
                <w:color w:val="000000"/>
                <w:sz w:val="18"/>
                <w:szCs w:val="18"/>
              </w:rPr>
              <w:t>2026</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A968E52" w14:textId="77777777" w:rsidR="00FE204A" w:rsidRDefault="00FE204A" w:rsidP="006A0693">
            <w:pPr>
              <w:spacing w:before="40" w:after="40"/>
            </w:pPr>
            <w:r>
              <w:rPr>
                <w:color w:val="000000"/>
                <w:sz w:val="18"/>
                <w:szCs w:val="18"/>
              </w:rPr>
              <w:t>Software reliability, brand trust and customer loyalty in the connected vehicle era</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CDECFBB" w14:textId="77777777" w:rsidR="00FE204A" w:rsidRDefault="00FE204A" w:rsidP="006A0693">
            <w:pPr>
              <w:spacing w:before="40" w:after="40"/>
            </w:pPr>
            <w:r>
              <w:rPr>
                <w:color w:val="000000"/>
                <w:sz w:val="18"/>
                <w:szCs w:val="18"/>
              </w:rPr>
              <w:t>Journal of Consumer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AD4212A" w14:textId="77777777" w:rsidR="00FE204A" w:rsidRDefault="00FE204A" w:rsidP="006A0693">
            <w:pPr>
              <w:spacing w:before="40" w:after="40"/>
            </w:pPr>
            <w:r>
              <w:rPr>
                <w:color w:val="000000"/>
                <w:sz w:val="18"/>
                <w:szCs w:val="18"/>
              </w:rPr>
              <w:t>Investigate the relationship between in-vehicle software reliability, brand trust, and customer loyalty.</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708EEDA" w14:textId="77777777" w:rsidR="00FE204A" w:rsidRDefault="00FE204A" w:rsidP="006A0693">
            <w:pPr>
              <w:spacing w:before="40" w:after="40"/>
            </w:pPr>
            <w:r>
              <w:rPr>
                <w:color w:val="000000"/>
                <w:sz w:val="18"/>
                <w:szCs w:val="18"/>
              </w:rPr>
              <w:t>Empirical (survey)</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CBFC336" w14:textId="77777777" w:rsidR="00FE204A" w:rsidRDefault="00FE204A" w:rsidP="006A0693">
            <w:pPr>
              <w:spacing w:before="40" w:after="40"/>
            </w:pPr>
            <w:r>
              <w:rPr>
                <w:color w:val="000000"/>
                <w:sz w:val="18"/>
                <w:szCs w:val="18"/>
              </w:rPr>
              <w:t>Software reliability; brand trust; connected vehicle; loyalty; digital competence</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3B0DA4A" w14:textId="77777777" w:rsidR="00FE204A" w:rsidRDefault="00FE204A" w:rsidP="006A0693">
            <w:pPr>
              <w:spacing w:before="40" w:after="40"/>
            </w:pPr>
            <w:r>
              <w:rPr>
                <w:color w:val="000000"/>
                <w:sz w:val="18"/>
                <w:szCs w:val="18"/>
              </w:rPr>
              <w:t>RQ1, RQ2, RQ3</w:t>
            </w:r>
          </w:p>
        </w:tc>
      </w:tr>
      <w:tr w:rsidR="00FE204A" w14:paraId="41FB4AB3"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D64A395" w14:textId="77777777" w:rsidR="00FE204A" w:rsidRDefault="00FE204A" w:rsidP="006A0693">
            <w:pPr>
              <w:spacing w:before="40" w:after="40"/>
            </w:pPr>
            <w:r>
              <w:rPr>
                <w:color w:val="000000"/>
                <w:sz w:val="18"/>
                <w:szCs w:val="18"/>
              </w:rPr>
              <w:t>20</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8E48809" w14:textId="77777777" w:rsidR="00FE204A" w:rsidRDefault="00FE204A" w:rsidP="006A0693">
            <w:pPr>
              <w:spacing w:before="40" w:after="40"/>
            </w:pPr>
            <w:proofErr w:type="spellStart"/>
            <w:r>
              <w:rPr>
                <w:color w:val="000000"/>
                <w:sz w:val="18"/>
                <w:szCs w:val="18"/>
              </w:rPr>
              <w:t>Zaware</w:t>
            </w:r>
            <w:proofErr w:type="spellEnd"/>
            <w:r>
              <w:rPr>
                <w:color w:val="000000"/>
                <w:sz w:val="18"/>
                <w:szCs w:val="18"/>
              </w:rPr>
              <w:t xml:space="preserve">, N. and </w:t>
            </w:r>
            <w:proofErr w:type="spellStart"/>
            <w:r>
              <w:rPr>
                <w:color w:val="000000"/>
                <w:sz w:val="18"/>
                <w:szCs w:val="18"/>
              </w:rPr>
              <w:t>Deokate</w:t>
            </w:r>
            <w:proofErr w:type="spellEnd"/>
            <w:r>
              <w:rPr>
                <w:color w:val="000000"/>
                <w:sz w:val="18"/>
                <w:szCs w:val="18"/>
              </w:rPr>
              <w:t>, M.</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2439352"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577604B" w14:textId="77777777" w:rsidR="00FE204A" w:rsidRDefault="00FE204A" w:rsidP="006A0693">
            <w:pPr>
              <w:spacing w:before="40" w:after="40"/>
            </w:pPr>
            <w:r>
              <w:rPr>
                <w:color w:val="000000"/>
                <w:sz w:val="18"/>
                <w:szCs w:val="18"/>
              </w:rPr>
              <w:t>From transactional to relational: Connected car data as a loyalty-building asset for European automotive brands</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FB5FD3C" w14:textId="77777777" w:rsidR="00FE204A" w:rsidRDefault="00FE204A" w:rsidP="006A0693">
            <w:pPr>
              <w:spacing w:before="40" w:after="40"/>
            </w:pPr>
            <w:r>
              <w:rPr>
                <w:color w:val="000000"/>
                <w:sz w:val="18"/>
                <w:szCs w:val="18"/>
              </w:rPr>
              <w:t>Journal of Marketing Analytics</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3C08E0F" w14:textId="77777777" w:rsidR="00FE204A" w:rsidRDefault="00FE204A" w:rsidP="006A0693">
            <w:pPr>
              <w:spacing w:before="40" w:after="40"/>
            </w:pPr>
            <w:r>
              <w:rPr>
                <w:color w:val="000000"/>
                <w:sz w:val="18"/>
                <w:szCs w:val="18"/>
              </w:rPr>
              <w:t>Analyse how connected car data can be leveraged to shift automotive relationships from transactional to relational.</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D16B62F" w14:textId="77777777" w:rsidR="00FE204A" w:rsidRDefault="00FE204A" w:rsidP="006A0693">
            <w:pPr>
              <w:spacing w:before="40" w:after="40"/>
            </w:pPr>
            <w:r>
              <w:rPr>
                <w:color w:val="000000"/>
                <w:sz w:val="18"/>
                <w:szCs w:val="18"/>
              </w:rPr>
              <w:t>Conceptual / Case analysis</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B57EFA9" w14:textId="77777777" w:rsidR="00FE204A" w:rsidRDefault="00FE204A" w:rsidP="006A0693">
            <w:pPr>
              <w:spacing w:before="40" w:after="40"/>
            </w:pPr>
            <w:r>
              <w:rPr>
                <w:color w:val="000000"/>
                <w:sz w:val="18"/>
                <w:szCs w:val="18"/>
              </w:rPr>
              <w:t>Connected car data; relational marketing; subscription; digital engagement; loyalty</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791DDEB" w14:textId="77777777" w:rsidR="00FE204A" w:rsidRDefault="00FE204A" w:rsidP="006A0693">
            <w:pPr>
              <w:spacing w:before="40" w:after="40"/>
            </w:pPr>
            <w:r>
              <w:rPr>
                <w:color w:val="000000"/>
                <w:sz w:val="18"/>
                <w:szCs w:val="18"/>
              </w:rPr>
              <w:t>RQ1, RQ3, RQ4</w:t>
            </w:r>
          </w:p>
        </w:tc>
      </w:tr>
      <w:tr w:rsidR="00FE204A" w14:paraId="7AE794B6"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06D960F" w14:textId="77777777" w:rsidR="00FE204A" w:rsidRDefault="00FE204A" w:rsidP="006A0693">
            <w:pPr>
              <w:spacing w:before="40" w:after="40"/>
            </w:pPr>
            <w:r>
              <w:rPr>
                <w:color w:val="000000"/>
                <w:sz w:val="18"/>
                <w:szCs w:val="18"/>
              </w:rPr>
              <w:t>21</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7229FE7" w14:textId="77777777" w:rsidR="00FE204A" w:rsidRDefault="00FE204A" w:rsidP="006A0693">
            <w:pPr>
              <w:spacing w:before="40" w:after="40"/>
            </w:pPr>
            <w:r>
              <w:rPr>
                <w:color w:val="000000"/>
                <w:sz w:val="18"/>
                <w:szCs w:val="18"/>
              </w:rPr>
              <w:t>Hamid, U.Z.A.</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65D54AF"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5868967" w14:textId="77777777" w:rsidR="00FE204A" w:rsidRDefault="00FE204A" w:rsidP="006A0693">
            <w:pPr>
              <w:spacing w:before="40" w:after="40"/>
            </w:pPr>
            <w:r>
              <w:rPr>
                <w:color w:val="000000"/>
                <w:sz w:val="18"/>
                <w:szCs w:val="18"/>
              </w:rPr>
              <w:t xml:space="preserve">User experience for digitalized and smart </w:t>
            </w:r>
            <w:r>
              <w:rPr>
                <w:color w:val="000000"/>
                <w:sz w:val="18"/>
                <w:szCs w:val="18"/>
              </w:rPr>
              <w:lastRenderedPageBreak/>
              <w:t>cockpits and cabins of next-gen mobility</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552075E" w14:textId="77777777" w:rsidR="00FE204A" w:rsidRDefault="00FE204A" w:rsidP="006A0693">
            <w:pPr>
              <w:spacing w:before="40" w:after="40"/>
            </w:pPr>
            <w:r>
              <w:rPr>
                <w:color w:val="000000"/>
                <w:sz w:val="18"/>
                <w:szCs w:val="18"/>
              </w:rPr>
              <w:lastRenderedPageBreak/>
              <w:t>SAE International (Technical Report)</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6F1578C" w14:textId="77777777" w:rsidR="00FE204A" w:rsidRDefault="00FE204A" w:rsidP="006A0693">
            <w:pPr>
              <w:spacing w:before="40" w:after="40"/>
            </w:pPr>
            <w:r>
              <w:rPr>
                <w:color w:val="000000"/>
                <w:sz w:val="18"/>
                <w:szCs w:val="18"/>
              </w:rPr>
              <w:t xml:space="preserve">Examine the user experience implications of digitalised vehicle cockpits </w:t>
            </w:r>
            <w:r>
              <w:rPr>
                <w:color w:val="000000"/>
                <w:sz w:val="18"/>
                <w:szCs w:val="18"/>
              </w:rPr>
              <w:lastRenderedPageBreak/>
              <w:t>for next-generation mobility.</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3B86AC0" w14:textId="77777777" w:rsidR="00FE204A" w:rsidRDefault="00FE204A" w:rsidP="006A0693">
            <w:pPr>
              <w:spacing w:before="40" w:after="40"/>
            </w:pPr>
            <w:r>
              <w:rPr>
                <w:color w:val="000000"/>
                <w:sz w:val="18"/>
                <w:szCs w:val="18"/>
              </w:rPr>
              <w:lastRenderedPageBreak/>
              <w:t>Technical / Design research</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4E4403C" w14:textId="77777777" w:rsidR="00FE204A" w:rsidRDefault="00FE204A" w:rsidP="006A0693">
            <w:pPr>
              <w:spacing w:before="40" w:after="40"/>
            </w:pPr>
            <w:r>
              <w:rPr>
                <w:color w:val="000000"/>
                <w:sz w:val="18"/>
                <w:szCs w:val="18"/>
              </w:rPr>
              <w:t xml:space="preserve">Digital cockpit; user experience; smart mobility; in-vehicle </w:t>
            </w:r>
            <w:r>
              <w:rPr>
                <w:color w:val="000000"/>
                <w:sz w:val="18"/>
                <w:szCs w:val="18"/>
              </w:rPr>
              <w:lastRenderedPageBreak/>
              <w:t>technology; connectivity</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3811AA2" w14:textId="77777777" w:rsidR="00FE204A" w:rsidRDefault="00FE204A" w:rsidP="006A0693">
            <w:pPr>
              <w:spacing w:before="40" w:after="40"/>
            </w:pPr>
            <w:r>
              <w:rPr>
                <w:color w:val="000000"/>
                <w:sz w:val="18"/>
                <w:szCs w:val="18"/>
              </w:rPr>
              <w:lastRenderedPageBreak/>
              <w:t>RQ1, RQ2</w:t>
            </w:r>
          </w:p>
        </w:tc>
      </w:tr>
      <w:tr w:rsidR="00FE204A" w14:paraId="0FF5AF8E"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140FE7C" w14:textId="77777777" w:rsidR="00FE204A" w:rsidRDefault="00FE204A" w:rsidP="006A0693">
            <w:pPr>
              <w:spacing w:before="40" w:after="40"/>
            </w:pPr>
            <w:r>
              <w:rPr>
                <w:color w:val="000000"/>
                <w:sz w:val="18"/>
                <w:szCs w:val="18"/>
              </w:rPr>
              <w:t>22</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56F91F8" w14:textId="77777777" w:rsidR="00FE204A" w:rsidRDefault="00FE204A" w:rsidP="006A0693">
            <w:pPr>
              <w:spacing w:before="40" w:after="40"/>
            </w:pPr>
            <w:r>
              <w:rPr>
                <w:color w:val="000000"/>
                <w:sz w:val="18"/>
                <w:szCs w:val="18"/>
              </w:rPr>
              <w:t>Andrea, T.O.K.</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43FB667" w14:textId="77777777" w:rsidR="00FE204A" w:rsidRDefault="00FE204A" w:rsidP="006A0693">
            <w:pPr>
              <w:spacing w:before="40" w:after="40"/>
            </w:pPr>
            <w:r>
              <w:rPr>
                <w:color w:val="000000"/>
                <w:sz w:val="18"/>
                <w:szCs w:val="18"/>
              </w:rPr>
              <w:t>2023</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B45690F" w14:textId="77777777" w:rsidR="00FE204A" w:rsidRDefault="00FE204A" w:rsidP="006A0693">
            <w:pPr>
              <w:spacing w:before="40" w:after="40"/>
            </w:pPr>
            <w:r>
              <w:rPr>
                <w:color w:val="000000"/>
                <w:sz w:val="18"/>
                <w:szCs w:val="18"/>
              </w:rPr>
              <w:t>An explorative impact analysis of digitalization in automotive customer journey and retail experience</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0DC1D8C" w14:textId="77777777" w:rsidR="00FE204A" w:rsidRDefault="00FE204A" w:rsidP="006A0693">
            <w:pPr>
              <w:spacing w:before="40" w:after="40"/>
            </w:pPr>
            <w:proofErr w:type="spellStart"/>
            <w:r>
              <w:rPr>
                <w:color w:val="000000"/>
                <w:sz w:val="18"/>
                <w:szCs w:val="18"/>
              </w:rPr>
              <w:t>reposiTUm</w:t>
            </w:r>
            <w:proofErr w:type="spellEnd"/>
            <w:r>
              <w:rPr>
                <w:color w:val="000000"/>
                <w:sz w:val="18"/>
                <w:szCs w:val="18"/>
              </w:rPr>
              <w:t>, TU Wien (Preprint)</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7664713" w14:textId="77777777" w:rsidR="00FE204A" w:rsidRDefault="00FE204A" w:rsidP="006A0693">
            <w:pPr>
              <w:spacing w:before="40" w:after="40"/>
            </w:pPr>
            <w:r>
              <w:rPr>
                <w:color w:val="000000"/>
                <w:sz w:val="18"/>
                <w:szCs w:val="18"/>
              </w:rPr>
              <w:t>Explore how digitalization is transforming the automotive customer journey and the retail experience.</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9C154C2" w14:textId="77777777" w:rsidR="00FE204A" w:rsidRDefault="00FE204A" w:rsidP="006A0693">
            <w:pPr>
              <w:spacing w:before="40" w:after="40"/>
            </w:pPr>
            <w:r>
              <w:rPr>
                <w:color w:val="000000"/>
                <w:sz w:val="18"/>
                <w:szCs w:val="18"/>
              </w:rPr>
              <w:t>Exploratory / Qualitative</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8DD65F1" w14:textId="77777777" w:rsidR="00FE204A" w:rsidRDefault="00FE204A" w:rsidP="006A0693">
            <w:pPr>
              <w:spacing w:before="40" w:after="40"/>
            </w:pPr>
            <w:r>
              <w:rPr>
                <w:color w:val="000000"/>
                <w:sz w:val="18"/>
                <w:szCs w:val="18"/>
              </w:rPr>
              <w:t>Digital customer journey; retail experience; omnichannel; automotive; digitalization</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09C870D" w14:textId="77777777" w:rsidR="00FE204A" w:rsidRDefault="00FE204A" w:rsidP="006A0693">
            <w:pPr>
              <w:spacing w:before="40" w:after="40"/>
            </w:pPr>
            <w:r>
              <w:rPr>
                <w:color w:val="000000"/>
                <w:sz w:val="18"/>
                <w:szCs w:val="18"/>
              </w:rPr>
              <w:t>RQ2</w:t>
            </w:r>
          </w:p>
        </w:tc>
      </w:tr>
      <w:tr w:rsidR="00FE204A" w14:paraId="63DFDC81"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F5C860B" w14:textId="77777777" w:rsidR="00FE204A" w:rsidRDefault="00FE204A" w:rsidP="006A0693">
            <w:pPr>
              <w:spacing w:before="40" w:after="40"/>
            </w:pPr>
            <w:r>
              <w:rPr>
                <w:color w:val="000000"/>
                <w:sz w:val="18"/>
                <w:szCs w:val="18"/>
              </w:rPr>
              <w:t>23</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B8F46D2" w14:textId="77777777" w:rsidR="00FE204A" w:rsidRDefault="00FE204A" w:rsidP="006A0693">
            <w:pPr>
              <w:spacing w:before="40" w:after="40"/>
            </w:pPr>
            <w:proofErr w:type="spellStart"/>
            <w:r>
              <w:rPr>
                <w:color w:val="000000"/>
                <w:sz w:val="18"/>
                <w:szCs w:val="18"/>
              </w:rPr>
              <w:t>Huré</w:t>
            </w:r>
            <w:proofErr w:type="spellEnd"/>
            <w:r>
              <w:rPr>
                <w:color w:val="000000"/>
                <w:sz w:val="18"/>
                <w:szCs w:val="18"/>
              </w:rPr>
              <w:t>, E., Picot-</w:t>
            </w:r>
            <w:proofErr w:type="spellStart"/>
            <w:r>
              <w:rPr>
                <w:color w:val="000000"/>
                <w:sz w:val="18"/>
                <w:szCs w:val="18"/>
              </w:rPr>
              <w:t>Coupey</w:t>
            </w:r>
            <w:proofErr w:type="spellEnd"/>
            <w:r>
              <w:rPr>
                <w:color w:val="000000"/>
                <w:sz w:val="18"/>
                <w:szCs w:val="18"/>
              </w:rPr>
              <w:t>, K. and Ackermann, C.L.</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29CE152" w14:textId="77777777" w:rsidR="00FE204A" w:rsidRDefault="00FE204A" w:rsidP="006A0693">
            <w:pPr>
              <w:spacing w:before="40" w:after="40"/>
            </w:pPr>
            <w:r>
              <w:rPr>
                <w:color w:val="000000"/>
                <w:sz w:val="18"/>
                <w:szCs w:val="18"/>
              </w:rPr>
              <w:t>2017</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77CEA85" w14:textId="77777777" w:rsidR="00FE204A" w:rsidRDefault="00FE204A" w:rsidP="006A0693">
            <w:pPr>
              <w:spacing w:before="40" w:after="40"/>
            </w:pPr>
            <w:r>
              <w:rPr>
                <w:color w:val="000000"/>
                <w:sz w:val="18"/>
                <w:szCs w:val="18"/>
              </w:rPr>
              <w:t>Understanding omni-channel shopping value: A mixed-method study</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E3DC117" w14:textId="77777777" w:rsidR="00FE204A" w:rsidRDefault="00FE204A" w:rsidP="006A0693">
            <w:pPr>
              <w:spacing w:before="40" w:after="40"/>
            </w:pPr>
            <w:r>
              <w:rPr>
                <w:color w:val="000000"/>
                <w:sz w:val="18"/>
                <w:szCs w:val="18"/>
              </w:rPr>
              <w:t>Journal of Retailing and Consumer Services</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22561DB" w14:textId="77777777" w:rsidR="00FE204A" w:rsidRDefault="00FE204A" w:rsidP="006A0693">
            <w:pPr>
              <w:spacing w:before="40" w:after="40"/>
            </w:pPr>
            <w:r>
              <w:rPr>
                <w:color w:val="000000"/>
                <w:sz w:val="18"/>
                <w:szCs w:val="18"/>
              </w:rPr>
              <w:t>Examine how cross-channel inconsistency affects consumer satisfaction and loyalty in omnichannel retail.</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F27C183" w14:textId="77777777" w:rsidR="00FE204A" w:rsidRDefault="00FE204A" w:rsidP="006A0693">
            <w:pPr>
              <w:spacing w:before="40" w:after="40"/>
            </w:pPr>
            <w:r>
              <w:rPr>
                <w:color w:val="000000"/>
                <w:sz w:val="18"/>
                <w:szCs w:val="18"/>
              </w:rPr>
              <w:t>Mixed methods</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33785D8" w14:textId="77777777" w:rsidR="00FE204A" w:rsidRDefault="00FE204A" w:rsidP="006A0693">
            <w:pPr>
              <w:spacing w:before="40" w:after="40"/>
            </w:pPr>
            <w:r>
              <w:rPr>
                <w:color w:val="000000"/>
                <w:sz w:val="18"/>
                <w:szCs w:val="18"/>
              </w:rPr>
              <w:t>Omnichannel; cross-channel consistency; satisfaction; loyalty; retail</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416A5B5" w14:textId="77777777" w:rsidR="00FE204A" w:rsidRDefault="00FE204A" w:rsidP="006A0693">
            <w:pPr>
              <w:spacing w:before="40" w:after="40"/>
            </w:pPr>
            <w:r>
              <w:rPr>
                <w:color w:val="000000"/>
                <w:sz w:val="18"/>
                <w:szCs w:val="18"/>
              </w:rPr>
              <w:t>RQ2</w:t>
            </w:r>
          </w:p>
        </w:tc>
      </w:tr>
      <w:tr w:rsidR="00FE204A" w14:paraId="07B36E08"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E1B3335" w14:textId="77777777" w:rsidR="00FE204A" w:rsidRDefault="00FE204A" w:rsidP="006A0693">
            <w:pPr>
              <w:spacing w:before="40" w:after="40"/>
            </w:pPr>
            <w:r>
              <w:rPr>
                <w:color w:val="000000"/>
                <w:sz w:val="18"/>
                <w:szCs w:val="18"/>
              </w:rPr>
              <w:t>24</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48832C7" w14:textId="77777777" w:rsidR="00FE204A" w:rsidRDefault="00FE204A" w:rsidP="006A0693">
            <w:pPr>
              <w:spacing w:before="40" w:after="40"/>
            </w:pPr>
            <w:proofErr w:type="spellStart"/>
            <w:r>
              <w:rPr>
                <w:color w:val="000000"/>
                <w:sz w:val="18"/>
                <w:szCs w:val="18"/>
              </w:rPr>
              <w:t>Nofrizal</w:t>
            </w:r>
            <w:proofErr w:type="spellEnd"/>
            <w:r>
              <w:rPr>
                <w:color w:val="000000"/>
                <w:sz w:val="18"/>
                <w:szCs w:val="18"/>
              </w:rPr>
              <w:t xml:space="preserve">, N. and </w:t>
            </w:r>
            <w:proofErr w:type="spellStart"/>
            <w:r>
              <w:rPr>
                <w:color w:val="000000"/>
                <w:sz w:val="18"/>
                <w:szCs w:val="18"/>
              </w:rPr>
              <w:t>Martias</w:t>
            </w:r>
            <w:proofErr w:type="spellEnd"/>
            <w:r>
              <w:rPr>
                <w:color w:val="000000"/>
                <w:sz w:val="18"/>
                <w:szCs w:val="18"/>
              </w:rPr>
              <w:t>, D.</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810AA73" w14:textId="77777777" w:rsidR="00FE204A" w:rsidRDefault="00FE204A" w:rsidP="006A0693">
            <w:pPr>
              <w:spacing w:before="40" w:after="40"/>
            </w:pPr>
            <w:r>
              <w:rPr>
                <w:color w:val="000000"/>
                <w:sz w:val="18"/>
                <w:szCs w:val="18"/>
              </w:rPr>
              <w:t>2026</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267D36C" w14:textId="77777777" w:rsidR="00FE204A" w:rsidRDefault="00FE204A" w:rsidP="006A0693">
            <w:pPr>
              <w:spacing w:before="40" w:after="40"/>
            </w:pPr>
            <w:r>
              <w:rPr>
                <w:color w:val="000000"/>
                <w:sz w:val="18"/>
                <w:szCs w:val="18"/>
              </w:rPr>
              <w:t>Price sensitivity and brand switching in the electric vehicle market: Empirical evidence from European consumers</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426A151" w14:textId="77777777" w:rsidR="00FE204A" w:rsidRDefault="00FE204A" w:rsidP="006A0693">
            <w:pPr>
              <w:spacing w:before="40" w:after="40"/>
            </w:pPr>
            <w:r>
              <w:rPr>
                <w:color w:val="000000"/>
                <w:sz w:val="18"/>
                <w:szCs w:val="18"/>
              </w:rPr>
              <w:t>Sustainability</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907540C" w14:textId="77777777" w:rsidR="00FE204A" w:rsidRDefault="00FE204A" w:rsidP="006A0693">
            <w:pPr>
              <w:spacing w:before="40" w:after="40"/>
            </w:pPr>
            <w:r>
              <w:rPr>
                <w:color w:val="000000"/>
                <w:sz w:val="18"/>
                <w:szCs w:val="18"/>
              </w:rPr>
              <w:t>Test how price sensitivity drives brand switching among European EV consumers.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9305655" w14:textId="77777777" w:rsidR="00FE204A" w:rsidRDefault="00FE204A" w:rsidP="006A0693">
            <w:pPr>
              <w:spacing w:before="40" w:after="40"/>
            </w:pPr>
            <w:r>
              <w:rPr>
                <w:color w:val="000000"/>
                <w:sz w:val="18"/>
                <w:szCs w:val="18"/>
              </w:rPr>
              <w:t>Quantitative (survey)</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E6CCC07" w14:textId="77777777" w:rsidR="00FE204A" w:rsidRDefault="00FE204A" w:rsidP="006A0693">
            <w:pPr>
              <w:spacing w:before="40" w:after="40"/>
            </w:pPr>
            <w:r>
              <w:rPr>
                <w:color w:val="000000"/>
                <w:sz w:val="18"/>
                <w:szCs w:val="18"/>
              </w:rPr>
              <w:t>Price sensitivity; brand switching; EV market; European consumers; value gap</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EDBF784" w14:textId="77777777" w:rsidR="00FE204A" w:rsidRDefault="00FE204A" w:rsidP="006A0693">
            <w:pPr>
              <w:spacing w:before="40" w:after="40"/>
            </w:pPr>
            <w:r>
              <w:rPr>
                <w:color w:val="000000"/>
                <w:sz w:val="18"/>
                <w:szCs w:val="18"/>
              </w:rPr>
              <w:t>RQ2</w:t>
            </w:r>
          </w:p>
        </w:tc>
      </w:tr>
      <w:tr w:rsidR="00FE204A" w14:paraId="6C269DCE"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990CBC0" w14:textId="77777777" w:rsidR="00FE204A" w:rsidRDefault="00FE204A" w:rsidP="006A0693">
            <w:pPr>
              <w:spacing w:before="40" w:after="40"/>
            </w:pPr>
            <w:r>
              <w:rPr>
                <w:color w:val="000000"/>
                <w:sz w:val="18"/>
                <w:szCs w:val="18"/>
              </w:rPr>
              <w:t>25</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2E549FD" w14:textId="77777777" w:rsidR="00FE204A" w:rsidRDefault="00FE204A" w:rsidP="006A0693">
            <w:pPr>
              <w:spacing w:before="40" w:after="40"/>
            </w:pPr>
            <w:r>
              <w:rPr>
                <w:color w:val="000000"/>
                <w:sz w:val="18"/>
                <w:szCs w:val="18"/>
              </w:rPr>
              <w:t>Jin, C.</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1541C19"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2C68C81" w14:textId="77777777" w:rsidR="00FE204A" w:rsidRDefault="00FE204A" w:rsidP="006A0693">
            <w:pPr>
              <w:spacing w:before="40" w:after="40"/>
            </w:pPr>
            <w:r>
              <w:rPr>
                <w:color w:val="000000"/>
                <w:sz w:val="18"/>
                <w:szCs w:val="18"/>
              </w:rPr>
              <w:t xml:space="preserve">Growth and competitiveness of Chinese electric vehicle </w:t>
            </w:r>
            <w:r>
              <w:rPr>
                <w:color w:val="000000"/>
                <w:sz w:val="18"/>
                <w:szCs w:val="18"/>
              </w:rPr>
              <w:lastRenderedPageBreak/>
              <w:t>and battery companies: Observation and analysis from an ecosystem perspective</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608E4CA" w14:textId="77777777" w:rsidR="00FE204A" w:rsidRDefault="00FE204A" w:rsidP="006A0693">
            <w:pPr>
              <w:spacing w:before="40" w:after="40"/>
            </w:pPr>
            <w:r>
              <w:rPr>
                <w:color w:val="000000"/>
                <w:sz w:val="18"/>
                <w:szCs w:val="18"/>
              </w:rPr>
              <w:lastRenderedPageBreak/>
              <w:t>International Relations and Diplomacy</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E3DFA00" w14:textId="77777777" w:rsidR="00FE204A" w:rsidRDefault="00FE204A" w:rsidP="006A0693">
            <w:pPr>
              <w:spacing w:before="40" w:after="40"/>
            </w:pPr>
            <w:r>
              <w:rPr>
                <w:color w:val="000000"/>
                <w:sz w:val="18"/>
                <w:szCs w:val="18"/>
              </w:rPr>
              <w:t xml:space="preserve">Analyse the competitive rise of Chinese EV </w:t>
            </w:r>
            <w:r>
              <w:rPr>
                <w:color w:val="000000"/>
                <w:sz w:val="18"/>
                <w:szCs w:val="18"/>
              </w:rPr>
              <w:lastRenderedPageBreak/>
              <w:t>manufacturers in global and European markets.</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AACC7A4" w14:textId="77777777" w:rsidR="00FE204A" w:rsidRDefault="00FE204A" w:rsidP="006A0693">
            <w:pPr>
              <w:spacing w:before="40" w:after="40"/>
            </w:pPr>
            <w:r>
              <w:rPr>
                <w:color w:val="000000"/>
                <w:sz w:val="18"/>
                <w:szCs w:val="18"/>
              </w:rPr>
              <w:lastRenderedPageBreak/>
              <w:t>Qualitative / Ecosystem analysis</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17398F3" w14:textId="77777777" w:rsidR="00FE204A" w:rsidRDefault="00FE204A" w:rsidP="006A0693">
            <w:pPr>
              <w:spacing w:before="40" w:after="40"/>
            </w:pPr>
            <w:r>
              <w:rPr>
                <w:color w:val="000000"/>
                <w:sz w:val="18"/>
                <w:szCs w:val="18"/>
              </w:rPr>
              <w:t xml:space="preserve">Chinese EV; competitiveness; </w:t>
            </w:r>
            <w:r>
              <w:rPr>
                <w:color w:val="000000"/>
                <w:sz w:val="18"/>
                <w:szCs w:val="18"/>
              </w:rPr>
              <w:lastRenderedPageBreak/>
              <w:t>ecosystem; market entry; innovation</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ABF68DD" w14:textId="77777777" w:rsidR="00FE204A" w:rsidRDefault="00FE204A" w:rsidP="006A0693">
            <w:pPr>
              <w:spacing w:before="40" w:after="40"/>
            </w:pPr>
            <w:r>
              <w:rPr>
                <w:color w:val="000000"/>
                <w:sz w:val="18"/>
                <w:szCs w:val="18"/>
              </w:rPr>
              <w:lastRenderedPageBreak/>
              <w:t>RQ2</w:t>
            </w:r>
          </w:p>
        </w:tc>
      </w:tr>
      <w:tr w:rsidR="00FE204A" w14:paraId="52093B26"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080D888" w14:textId="77777777" w:rsidR="00FE204A" w:rsidRDefault="00FE204A" w:rsidP="006A0693">
            <w:pPr>
              <w:spacing w:before="40" w:after="40"/>
            </w:pPr>
            <w:r>
              <w:rPr>
                <w:color w:val="000000"/>
                <w:sz w:val="18"/>
                <w:szCs w:val="18"/>
              </w:rPr>
              <w:t>26</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9FF9414" w14:textId="77777777" w:rsidR="00FE204A" w:rsidRDefault="00FE204A" w:rsidP="006A0693">
            <w:pPr>
              <w:spacing w:before="40" w:after="40"/>
            </w:pPr>
            <w:r>
              <w:rPr>
                <w:color w:val="000000"/>
                <w:sz w:val="18"/>
                <w:szCs w:val="18"/>
              </w:rPr>
              <w:t>Park, Y., Kim, H. and Choi, J.Y.</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CE07F5C" w14:textId="77777777" w:rsidR="00FE204A" w:rsidRDefault="00FE204A" w:rsidP="006A0693">
            <w:pPr>
              <w:spacing w:before="40" w:after="40"/>
            </w:pPr>
            <w:r>
              <w:rPr>
                <w:color w:val="000000"/>
                <w:sz w:val="18"/>
                <w:szCs w:val="18"/>
              </w:rPr>
              <w:t>2022</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B82B9D3" w14:textId="77777777" w:rsidR="00FE204A" w:rsidRDefault="00FE204A" w:rsidP="006A0693">
            <w:pPr>
              <w:spacing w:before="40" w:after="40"/>
            </w:pPr>
            <w:r>
              <w:rPr>
                <w:color w:val="000000"/>
                <w:sz w:val="18"/>
                <w:szCs w:val="18"/>
              </w:rPr>
              <w:t>Disruptive innovation and incumbent response strategies in the automotive industry: A capability-based perspective</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11F9F7B" w14:textId="77777777" w:rsidR="00FE204A" w:rsidRDefault="00FE204A" w:rsidP="006A0693">
            <w:pPr>
              <w:spacing w:before="40" w:after="40"/>
            </w:pPr>
            <w:proofErr w:type="spellStart"/>
            <w:r>
              <w:rPr>
                <w:color w:val="000000"/>
                <w:sz w:val="18"/>
                <w:szCs w:val="18"/>
              </w:rPr>
              <w:t>Technovation</w:t>
            </w:r>
            <w:proofErr w:type="spellEnd"/>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53604A1" w14:textId="77777777" w:rsidR="00FE204A" w:rsidRDefault="00FE204A" w:rsidP="006A0693">
            <w:pPr>
              <w:spacing w:before="40" w:after="40"/>
            </w:pPr>
            <w:r>
              <w:rPr>
                <w:color w:val="000000"/>
                <w:sz w:val="18"/>
                <w:szCs w:val="18"/>
              </w:rPr>
              <w:t>Examine how incumbent automotive firms respond to disruptive innovation using a capability-based lens.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45C7141" w14:textId="77777777" w:rsidR="00FE204A" w:rsidRDefault="00FE204A" w:rsidP="006A0693">
            <w:pPr>
              <w:spacing w:before="40" w:after="40"/>
            </w:pPr>
            <w:r>
              <w:rPr>
                <w:color w:val="000000"/>
                <w:sz w:val="18"/>
                <w:szCs w:val="18"/>
              </w:rPr>
              <w:t>Empirical (mixed methods)</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9717925" w14:textId="77777777" w:rsidR="00FE204A" w:rsidRDefault="00FE204A" w:rsidP="006A0693">
            <w:pPr>
              <w:spacing w:before="40" w:after="40"/>
            </w:pPr>
            <w:r>
              <w:rPr>
                <w:color w:val="000000"/>
                <w:sz w:val="18"/>
                <w:szCs w:val="18"/>
              </w:rPr>
              <w:t>Disruptive innovation; incumbent response; capability; automotive; competitive strategy</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1415290" w14:textId="77777777" w:rsidR="00FE204A" w:rsidRDefault="00FE204A" w:rsidP="006A0693">
            <w:pPr>
              <w:spacing w:before="40" w:after="40"/>
            </w:pPr>
            <w:r>
              <w:rPr>
                <w:color w:val="000000"/>
                <w:sz w:val="18"/>
                <w:szCs w:val="18"/>
              </w:rPr>
              <w:t>RQ2, RQ3</w:t>
            </w:r>
          </w:p>
        </w:tc>
      </w:tr>
      <w:tr w:rsidR="00FE204A" w14:paraId="1E329049"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72EFCAB" w14:textId="77777777" w:rsidR="00FE204A" w:rsidRDefault="00FE204A" w:rsidP="006A0693">
            <w:pPr>
              <w:spacing w:before="40" w:after="40"/>
            </w:pPr>
            <w:r>
              <w:rPr>
                <w:color w:val="000000"/>
                <w:sz w:val="18"/>
                <w:szCs w:val="18"/>
              </w:rPr>
              <w:t>27</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09FFA1E" w14:textId="77777777" w:rsidR="00FE204A" w:rsidRDefault="00FE204A" w:rsidP="006A0693">
            <w:pPr>
              <w:spacing w:before="40" w:after="40"/>
            </w:pPr>
            <w:proofErr w:type="spellStart"/>
            <w:r>
              <w:rPr>
                <w:color w:val="000000"/>
                <w:sz w:val="18"/>
                <w:szCs w:val="18"/>
              </w:rPr>
              <w:t>Škudienė</w:t>
            </w:r>
            <w:proofErr w:type="spellEnd"/>
            <w:r>
              <w:rPr>
                <w:color w:val="000000"/>
                <w:sz w:val="18"/>
                <w:szCs w:val="18"/>
              </w:rPr>
              <w:t xml:space="preserve">, V., Auruskeviciene, V. and </w:t>
            </w:r>
            <w:proofErr w:type="spellStart"/>
            <w:r>
              <w:rPr>
                <w:color w:val="000000"/>
                <w:sz w:val="18"/>
                <w:szCs w:val="18"/>
              </w:rPr>
              <w:t>Šalčiuvienė</w:t>
            </w:r>
            <w:proofErr w:type="spellEnd"/>
            <w:r>
              <w:rPr>
                <w:color w:val="000000"/>
                <w:sz w:val="18"/>
                <w:szCs w:val="18"/>
              </w:rPr>
              <w:t>, L.</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44B5479" w14:textId="77777777" w:rsidR="00FE204A" w:rsidRDefault="00FE204A" w:rsidP="006A0693">
            <w:pPr>
              <w:spacing w:before="40" w:after="40"/>
            </w:pPr>
            <w:r>
              <w:rPr>
                <w:color w:val="000000"/>
                <w:sz w:val="18"/>
                <w:szCs w:val="18"/>
              </w:rPr>
              <w:t>2026</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8F47E4D" w14:textId="77777777" w:rsidR="00FE204A" w:rsidRDefault="00FE204A" w:rsidP="006A0693">
            <w:pPr>
              <w:spacing w:before="40" w:after="40"/>
            </w:pPr>
            <w:r>
              <w:rPr>
                <w:color w:val="000000"/>
                <w:sz w:val="18"/>
                <w:szCs w:val="18"/>
              </w:rPr>
              <w:t>Sustainable supply chain transparency and brand loyalty in the European automotive sector</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69E095D" w14:textId="77777777" w:rsidR="00FE204A" w:rsidRDefault="00FE204A" w:rsidP="006A0693">
            <w:pPr>
              <w:spacing w:before="40" w:after="40"/>
            </w:pPr>
            <w:r>
              <w:rPr>
                <w:color w:val="000000"/>
                <w:sz w:val="18"/>
                <w:szCs w:val="18"/>
              </w:rPr>
              <w:t>Journal of Cleaner Production</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7DA3A3C" w14:textId="77777777" w:rsidR="00FE204A" w:rsidRDefault="00FE204A" w:rsidP="006A0693">
            <w:pPr>
              <w:spacing w:before="40" w:after="40"/>
            </w:pPr>
            <w:r>
              <w:rPr>
                <w:color w:val="000000"/>
                <w:sz w:val="18"/>
                <w:szCs w:val="18"/>
              </w:rPr>
              <w:t>Test how supply chain transparency and eco-conscious identity mediate sustainability-driven brand loyalty.</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9F8D69A" w14:textId="77777777" w:rsidR="00FE204A" w:rsidRDefault="00FE204A" w:rsidP="006A0693">
            <w:pPr>
              <w:spacing w:before="40" w:after="40"/>
            </w:pPr>
            <w:r>
              <w:rPr>
                <w:color w:val="000000"/>
                <w:sz w:val="18"/>
                <w:szCs w:val="18"/>
              </w:rPr>
              <w:t>Empirical (quantitative)</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A4DC4BC" w14:textId="77777777" w:rsidR="00FE204A" w:rsidRDefault="00FE204A" w:rsidP="006A0693">
            <w:pPr>
              <w:spacing w:before="40" w:after="40"/>
            </w:pPr>
            <w:r>
              <w:rPr>
                <w:color w:val="000000"/>
                <w:sz w:val="18"/>
                <w:szCs w:val="18"/>
              </w:rPr>
              <w:t>Sustainability; supply chain transparency; eco-conscious; brand loyalty; European automotive</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481449F" w14:textId="77777777" w:rsidR="00FE204A" w:rsidRDefault="00FE204A" w:rsidP="006A0693">
            <w:pPr>
              <w:spacing w:before="40" w:after="40"/>
            </w:pPr>
            <w:r>
              <w:rPr>
                <w:color w:val="000000"/>
                <w:sz w:val="18"/>
                <w:szCs w:val="18"/>
              </w:rPr>
              <w:t>RQ2, RQ3, RQ4</w:t>
            </w:r>
          </w:p>
        </w:tc>
      </w:tr>
      <w:tr w:rsidR="00FE204A" w14:paraId="5FEBEAC9"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4D5F233" w14:textId="77777777" w:rsidR="00FE204A" w:rsidRDefault="00FE204A" w:rsidP="006A0693">
            <w:pPr>
              <w:spacing w:before="40" w:after="40"/>
            </w:pPr>
            <w:r>
              <w:rPr>
                <w:color w:val="000000"/>
                <w:sz w:val="18"/>
                <w:szCs w:val="18"/>
              </w:rPr>
              <w:t>28</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EB95269" w14:textId="77777777" w:rsidR="00FE204A" w:rsidRDefault="00FE204A" w:rsidP="006A0693">
            <w:pPr>
              <w:spacing w:before="40" w:after="40"/>
            </w:pPr>
            <w:r>
              <w:rPr>
                <w:color w:val="000000"/>
                <w:sz w:val="18"/>
                <w:szCs w:val="18"/>
              </w:rPr>
              <w:t>Van Der Lee, J.C.T. and Veeneman, W.W.</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69B75B6"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4FFB2CB" w14:textId="77777777" w:rsidR="00FE204A" w:rsidRDefault="00FE204A" w:rsidP="006A0693">
            <w:pPr>
              <w:spacing w:before="40" w:after="40"/>
            </w:pPr>
            <w:r>
              <w:rPr>
                <w:color w:val="000000"/>
                <w:sz w:val="18"/>
                <w:szCs w:val="18"/>
              </w:rPr>
              <w:t>A framework of success factors and barriers for urban car reduction in European cities</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07AC9E7" w14:textId="77777777" w:rsidR="00FE204A" w:rsidRDefault="00FE204A" w:rsidP="006A0693">
            <w:pPr>
              <w:spacing w:before="40" w:after="40"/>
            </w:pPr>
            <w:r>
              <w:rPr>
                <w:color w:val="000000"/>
                <w:sz w:val="18"/>
                <w:szCs w:val="18"/>
              </w:rPr>
              <w:t>Transport Policy</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1A04038" w14:textId="77777777" w:rsidR="00FE204A" w:rsidRDefault="00FE204A" w:rsidP="006A0693">
            <w:pPr>
              <w:spacing w:before="40" w:after="40"/>
            </w:pPr>
            <w:r>
              <w:rPr>
                <w:color w:val="000000"/>
                <w:sz w:val="18"/>
                <w:szCs w:val="18"/>
              </w:rPr>
              <w:t>Identify success factors and barriers driving car ownership reduction among urban Europeans.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BCC58A4" w14:textId="77777777" w:rsidR="00FE204A" w:rsidRDefault="00FE204A" w:rsidP="006A0693">
            <w:pPr>
              <w:spacing w:before="40" w:after="40"/>
            </w:pPr>
            <w:r>
              <w:rPr>
                <w:color w:val="000000"/>
                <w:sz w:val="18"/>
                <w:szCs w:val="18"/>
              </w:rPr>
              <w:t>Qualitative / Framework development</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9718F09" w14:textId="77777777" w:rsidR="00FE204A" w:rsidRDefault="00FE204A" w:rsidP="006A0693">
            <w:pPr>
              <w:spacing w:before="40" w:after="40"/>
            </w:pPr>
            <w:r>
              <w:rPr>
                <w:color w:val="000000"/>
                <w:sz w:val="18"/>
                <w:szCs w:val="18"/>
              </w:rPr>
              <w:t xml:space="preserve">Urban mobility; car reduction; </w:t>
            </w:r>
            <w:proofErr w:type="spellStart"/>
            <w:r>
              <w:rPr>
                <w:color w:val="000000"/>
                <w:sz w:val="18"/>
                <w:szCs w:val="18"/>
              </w:rPr>
              <w:t>MaaS</w:t>
            </w:r>
            <w:proofErr w:type="spellEnd"/>
            <w:r>
              <w:rPr>
                <w:color w:val="000000"/>
                <w:sz w:val="18"/>
                <w:szCs w:val="18"/>
              </w:rPr>
              <w:t>; generational shift; car ownership</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4893CBD" w14:textId="77777777" w:rsidR="00FE204A" w:rsidRDefault="00FE204A" w:rsidP="006A0693">
            <w:pPr>
              <w:spacing w:before="40" w:after="40"/>
            </w:pPr>
            <w:r>
              <w:rPr>
                <w:color w:val="000000"/>
                <w:sz w:val="18"/>
                <w:szCs w:val="18"/>
              </w:rPr>
              <w:t>RQ2</w:t>
            </w:r>
          </w:p>
        </w:tc>
      </w:tr>
      <w:tr w:rsidR="00FE204A" w14:paraId="595B3027"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89B0FD6" w14:textId="77777777" w:rsidR="00FE204A" w:rsidRDefault="00FE204A" w:rsidP="006A0693">
            <w:pPr>
              <w:spacing w:before="40" w:after="40"/>
            </w:pPr>
            <w:r>
              <w:rPr>
                <w:color w:val="000000"/>
                <w:sz w:val="18"/>
                <w:szCs w:val="18"/>
              </w:rPr>
              <w:lastRenderedPageBreak/>
              <w:t>29</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FBB7761" w14:textId="77777777" w:rsidR="00FE204A" w:rsidRDefault="00FE204A" w:rsidP="006A0693">
            <w:pPr>
              <w:spacing w:before="40" w:after="40"/>
            </w:pPr>
            <w:r>
              <w:rPr>
                <w:color w:val="000000"/>
                <w:sz w:val="18"/>
                <w:szCs w:val="18"/>
              </w:rPr>
              <w:t>Mills, A.J. and John, J.</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5DFC126" w14:textId="77777777" w:rsidR="00FE204A" w:rsidRDefault="00FE204A" w:rsidP="006A0693">
            <w:pPr>
              <w:spacing w:before="40" w:after="40"/>
            </w:pPr>
            <w:r>
              <w:rPr>
                <w:color w:val="000000"/>
                <w:sz w:val="18"/>
                <w:szCs w:val="18"/>
              </w:rPr>
              <w:t>2021</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4017A7C" w14:textId="77777777" w:rsidR="00FE204A" w:rsidRDefault="00FE204A" w:rsidP="006A0693">
            <w:pPr>
              <w:spacing w:before="40" w:after="40"/>
            </w:pPr>
            <w:r>
              <w:rPr>
                <w:color w:val="000000"/>
                <w:sz w:val="18"/>
                <w:szCs w:val="18"/>
              </w:rPr>
              <w:t>Brand stories: bringing narrative theory to brand management</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7C4E346" w14:textId="77777777" w:rsidR="00FE204A" w:rsidRDefault="00FE204A" w:rsidP="006A0693">
            <w:pPr>
              <w:spacing w:before="40" w:after="40"/>
            </w:pPr>
            <w:r>
              <w:rPr>
                <w:color w:val="000000"/>
                <w:sz w:val="18"/>
                <w:szCs w:val="18"/>
              </w:rPr>
              <w:t>Journal of Strategic Marketing</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74FFAED" w14:textId="77777777" w:rsidR="00FE204A" w:rsidRDefault="00FE204A" w:rsidP="006A0693">
            <w:pPr>
              <w:spacing w:before="40" w:after="40"/>
            </w:pPr>
            <w:r>
              <w:rPr>
                <w:color w:val="000000"/>
                <w:sz w:val="18"/>
                <w:szCs w:val="18"/>
              </w:rPr>
              <w:t>Apply narrative theory to show how brand storytelling creates emotional consumer-brand connections.</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25A31BC"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932D8C1" w14:textId="77777777" w:rsidR="00FE204A" w:rsidRDefault="00FE204A" w:rsidP="006A0693">
            <w:pPr>
              <w:spacing w:before="40" w:after="40"/>
            </w:pPr>
            <w:r>
              <w:rPr>
                <w:color w:val="000000"/>
                <w:sz w:val="18"/>
                <w:szCs w:val="18"/>
              </w:rPr>
              <w:t>Brand narrative; emotional bonding; self-expression; brand identity; loyalty</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EB24DB0" w14:textId="77777777" w:rsidR="00FE204A" w:rsidRDefault="00FE204A" w:rsidP="006A0693">
            <w:pPr>
              <w:spacing w:before="40" w:after="40"/>
            </w:pPr>
            <w:r>
              <w:rPr>
                <w:color w:val="000000"/>
                <w:sz w:val="18"/>
                <w:szCs w:val="18"/>
              </w:rPr>
              <w:t>RQ1</w:t>
            </w:r>
          </w:p>
        </w:tc>
      </w:tr>
      <w:tr w:rsidR="00FE204A" w14:paraId="1F60D852"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A53327E" w14:textId="77777777" w:rsidR="00FE204A" w:rsidRDefault="00FE204A" w:rsidP="006A0693">
            <w:pPr>
              <w:spacing w:before="40" w:after="40"/>
            </w:pPr>
            <w:r>
              <w:rPr>
                <w:color w:val="000000"/>
                <w:sz w:val="18"/>
                <w:szCs w:val="18"/>
              </w:rPr>
              <w:t>30</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4C4DBF3" w14:textId="77777777" w:rsidR="00FE204A" w:rsidRDefault="00FE204A" w:rsidP="006A0693">
            <w:pPr>
              <w:spacing w:before="40" w:after="40"/>
            </w:pPr>
            <w:r>
              <w:rPr>
                <w:color w:val="000000"/>
                <w:sz w:val="18"/>
                <w:szCs w:val="18"/>
              </w:rPr>
              <w:t>Behnke, M.</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F36BA65"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199623F" w14:textId="77777777" w:rsidR="00FE204A" w:rsidRDefault="00FE204A" w:rsidP="006A0693">
            <w:pPr>
              <w:spacing w:before="40" w:after="40"/>
            </w:pPr>
            <w:r>
              <w:rPr>
                <w:color w:val="000000"/>
                <w:sz w:val="18"/>
                <w:szCs w:val="18"/>
              </w:rPr>
              <w:t>How Self-Expressive Human Values Boost Brand Appeal</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45AF583" w14:textId="77777777" w:rsidR="00FE204A" w:rsidRDefault="00FE204A" w:rsidP="006A0693">
            <w:pPr>
              <w:spacing w:before="40" w:after="40"/>
            </w:pPr>
            <w:r>
              <w:rPr>
                <w:color w:val="000000"/>
                <w:sz w:val="18"/>
                <w:szCs w:val="18"/>
              </w:rPr>
              <w:t>In One Word: The Power of Razor-Sharp Brand Positioning (Book Chapter)</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0896847" w14:textId="77777777" w:rsidR="00FE204A" w:rsidRDefault="00FE204A" w:rsidP="006A0693">
            <w:pPr>
              <w:spacing w:before="40" w:after="40"/>
            </w:pPr>
            <w:r>
              <w:rPr>
                <w:color w:val="000000"/>
                <w:sz w:val="18"/>
                <w:szCs w:val="18"/>
              </w:rPr>
              <w:t>Demonstrate how alignment between brand personality and consumer self-concept strengthens brand appeal.</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2721C6C"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EB930A6" w14:textId="77777777" w:rsidR="00FE204A" w:rsidRDefault="00FE204A" w:rsidP="006A0693">
            <w:pPr>
              <w:spacing w:before="40" w:after="40"/>
            </w:pPr>
            <w:r>
              <w:rPr>
                <w:color w:val="000000"/>
                <w:sz w:val="18"/>
                <w:szCs w:val="18"/>
              </w:rPr>
              <w:t>Self-expression; brand personality; consumer identity; brand appeal; positioning</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18C5335" w14:textId="77777777" w:rsidR="00FE204A" w:rsidRDefault="00FE204A" w:rsidP="006A0693">
            <w:pPr>
              <w:spacing w:before="40" w:after="40"/>
            </w:pPr>
            <w:r>
              <w:rPr>
                <w:color w:val="000000"/>
                <w:sz w:val="18"/>
                <w:szCs w:val="18"/>
              </w:rPr>
              <w:t>RQ1</w:t>
            </w:r>
          </w:p>
        </w:tc>
      </w:tr>
      <w:tr w:rsidR="00FE204A" w14:paraId="4972A7E1"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15780E1" w14:textId="77777777" w:rsidR="00FE204A" w:rsidRDefault="00FE204A" w:rsidP="006A0693">
            <w:pPr>
              <w:spacing w:before="40" w:after="40"/>
            </w:pPr>
            <w:r>
              <w:rPr>
                <w:color w:val="000000"/>
                <w:sz w:val="18"/>
                <w:szCs w:val="18"/>
              </w:rPr>
              <w:t>31</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4F80F54" w14:textId="77777777" w:rsidR="00FE204A" w:rsidRDefault="00FE204A" w:rsidP="006A0693">
            <w:pPr>
              <w:spacing w:before="40" w:after="40"/>
            </w:pPr>
            <w:r>
              <w:rPr>
                <w:color w:val="000000"/>
                <w:sz w:val="18"/>
                <w:szCs w:val="18"/>
              </w:rPr>
              <w:t>Milheiro, E., Brito, C. and Sousa, C.M.R.</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B70F051" w14:textId="77777777" w:rsidR="00FE204A" w:rsidRDefault="00FE204A" w:rsidP="006A0693">
            <w:pPr>
              <w:spacing w:before="40" w:after="40"/>
            </w:pPr>
            <w:r>
              <w:rPr>
                <w:color w:val="000000"/>
                <w:sz w:val="18"/>
                <w:szCs w:val="18"/>
              </w:rPr>
              <w:t>2026</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6C0355B" w14:textId="77777777" w:rsidR="00FE204A" w:rsidRDefault="00FE204A" w:rsidP="006A0693">
            <w:pPr>
              <w:spacing w:before="40" w:after="40"/>
            </w:pPr>
            <w:r>
              <w:rPr>
                <w:color w:val="000000"/>
                <w:sz w:val="18"/>
                <w:szCs w:val="18"/>
              </w:rPr>
              <w:t>Agency models and customer relationship control in automotive retailing: Implications for brand loyalty</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6CBCD7B" w14:textId="77777777" w:rsidR="00FE204A" w:rsidRDefault="00FE204A" w:rsidP="006A0693">
            <w:pPr>
              <w:spacing w:before="40" w:after="40"/>
            </w:pPr>
            <w:r>
              <w:rPr>
                <w:color w:val="000000"/>
                <w:sz w:val="18"/>
                <w:szCs w:val="18"/>
              </w:rPr>
              <w:t>Journal of Business Research</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396D755" w14:textId="77777777" w:rsidR="00FE204A" w:rsidRDefault="00FE204A" w:rsidP="006A0693">
            <w:pPr>
              <w:spacing w:before="40" w:after="40"/>
            </w:pPr>
            <w:r>
              <w:rPr>
                <w:color w:val="000000"/>
                <w:sz w:val="18"/>
                <w:szCs w:val="18"/>
              </w:rPr>
              <w:t>Examine how the shift to agency retail models affects data ownership and customer relationship management.</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CCF7DDE" w14:textId="77777777" w:rsidR="00FE204A" w:rsidRDefault="00FE204A" w:rsidP="006A0693">
            <w:pPr>
              <w:spacing w:before="40" w:after="40"/>
            </w:pPr>
            <w:r>
              <w:rPr>
                <w:color w:val="000000"/>
                <w:sz w:val="18"/>
                <w:szCs w:val="18"/>
              </w:rPr>
              <w:t>Empirical (qualitative)</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F1C8B02" w14:textId="77777777" w:rsidR="00FE204A" w:rsidRDefault="00FE204A" w:rsidP="006A0693">
            <w:pPr>
              <w:spacing w:before="40" w:after="40"/>
            </w:pPr>
            <w:r>
              <w:rPr>
                <w:color w:val="000000"/>
                <w:sz w:val="18"/>
                <w:szCs w:val="18"/>
              </w:rPr>
              <w:t>Agency model; D2C; data ownership; customer relationship; brand loyalty</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50DB202" w14:textId="77777777" w:rsidR="00FE204A" w:rsidRDefault="00FE204A" w:rsidP="006A0693">
            <w:pPr>
              <w:spacing w:before="40" w:after="40"/>
            </w:pPr>
            <w:r>
              <w:rPr>
                <w:color w:val="000000"/>
                <w:sz w:val="18"/>
                <w:szCs w:val="18"/>
              </w:rPr>
              <w:t>RQ3, RQ4</w:t>
            </w:r>
          </w:p>
        </w:tc>
      </w:tr>
      <w:tr w:rsidR="00FE204A" w14:paraId="3E2918DE"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E9F4292" w14:textId="77777777" w:rsidR="00FE204A" w:rsidRDefault="00FE204A" w:rsidP="006A0693">
            <w:pPr>
              <w:spacing w:before="40" w:after="40"/>
            </w:pPr>
            <w:r>
              <w:rPr>
                <w:color w:val="000000"/>
                <w:sz w:val="18"/>
                <w:szCs w:val="18"/>
              </w:rPr>
              <w:t>32</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EC9C117" w14:textId="77777777" w:rsidR="00FE204A" w:rsidRDefault="00FE204A" w:rsidP="006A0693">
            <w:pPr>
              <w:spacing w:before="40" w:after="40"/>
            </w:pPr>
            <w:r>
              <w:rPr>
                <w:color w:val="000000"/>
                <w:sz w:val="18"/>
                <w:szCs w:val="18"/>
              </w:rPr>
              <w:t>Becker, L. and Jaakkola, E.</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D017855" w14:textId="77777777" w:rsidR="00FE204A" w:rsidRDefault="00FE204A" w:rsidP="006A0693">
            <w:pPr>
              <w:spacing w:before="40" w:after="40"/>
            </w:pPr>
            <w:r>
              <w:rPr>
                <w:color w:val="000000"/>
                <w:sz w:val="18"/>
                <w:szCs w:val="18"/>
              </w:rPr>
              <w:t>2020</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C721AB7" w14:textId="77777777" w:rsidR="00FE204A" w:rsidRDefault="00FE204A" w:rsidP="006A0693">
            <w:pPr>
              <w:spacing w:before="40" w:after="40"/>
            </w:pPr>
            <w:r>
              <w:rPr>
                <w:color w:val="000000"/>
                <w:sz w:val="18"/>
                <w:szCs w:val="18"/>
              </w:rPr>
              <w:t>Customer experience: Fundamental premises and implications for research</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0779D0C" w14:textId="77777777" w:rsidR="00FE204A" w:rsidRDefault="00FE204A" w:rsidP="006A0693">
            <w:pPr>
              <w:spacing w:before="40" w:after="40"/>
            </w:pPr>
            <w:r>
              <w:rPr>
                <w:color w:val="000000"/>
                <w:sz w:val="18"/>
                <w:szCs w:val="18"/>
              </w:rPr>
              <w:t>Journal of the Academy of Marketing Science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7D0A288" w14:textId="77777777" w:rsidR="00FE204A" w:rsidRDefault="00FE204A" w:rsidP="006A0693">
            <w:pPr>
              <w:spacing w:before="40" w:after="40"/>
            </w:pPr>
            <w:r>
              <w:rPr>
                <w:color w:val="000000"/>
                <w:sz w:val="18"/>
                <w:szCs w:val="18"/>
              </w:rPr>
              <w:t>Establish foundational premises of customer experience research and link continuous value improvement to loyalty.</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9F83F0F" w14:textId="77777777" w:rsidR="00FE204A" w:rsidRDefault="00FE204A" w:rsidP="006A0693">
            <w:pPr>
              <w:spacing w:before="40" w:after="40"/>
            </w:pPr>
            <w:r>
              <w:rPr>
                <w:color w:val="000000"/>
                <w:sz w:val="18"/>
                <w:szCs w:val="18"/>
              </w:rPr>
              <w:t>Conceptual / Theoretical</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397DB78" w14:textId="77777777" w:rsidR="00FE204A" w:rsidRDefault="00FE204A" w:rsidP="006A0693">
            <w:pPr>
              <w:spacing w:before="40" w:after="40"/>
            </w:pPr>
            <w:r>
              <w:rPr>
                <w:color w:val="000000"/>
                <w:sz w:val="18"/>
                <w:szCs w:val="18"/>
              </w:rPr>
              <w:t>Customer experience; value improvement; service loyalty; switching cost; engagement</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3CB6D33" w14:textId="77777777" w:rsidR="00FE204A" w:rsidRDefault="00FE204A" w:rsidP="006A0693">
            <w:pPr>
              <w:spacing w:before="40" w:after="40"/>
            </w:pPr>
            <w:r>
              <w:rPr>
                <w:color w:val="000000"/>
                <w:sz w:val="18"/>
                <w:szCs w:val="18"/>
              </w:rPr>
              <w:t>RQ3</w:t>
            </w:r>
          </w:p>
        </w:tc>
      </w:tr>
      <w:tr w:rsidR="00FE204A" w14:paraId="01CB5EB9"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9ABC03C" w14:textId="77777777" w:rsidR="00FE204A" w:rsidRDefault="00FE204A" w:rsidP="006A0693">
            <w:pPr>
              <w:spacing w:before="40" w:after="40"/>
            </w:pPr>
            <w:r>
              <w:rPr>
                <w:color w:val="000000"/>
                <w:sz w:val="18"/>
                <w:szCs w:val="18"/>
              </w:rPr>
              <w:lastRenderedPageBreak/>
              <w:t>33</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CFA917E" w14:textId="77777777" w:rsidR="00FE204A" w:rsidRDefault="00FE204A" w:rsidP="006A0693">
            <w:pPr>
              <w:spacing w:before="40" w:after="40"/>
            </w:pPr>
            <w:r>
              <w:rPr>
                <w:color w:val="000000"/>
                <w:sz w:val="18"/>
                <w:szCs w:val="18"/>
              </w:rPr>
              <w:t>Schmuck, D., Matthes, J. and Naderer, B.</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3AC647F" w14:textId="77777777" w:rsidR="00FE204A" w:rsidRDefault="00FE204A" w:rsidP="006A0693">
            <w:pPr>
              <w:spacing w:before="40" w:after="40"/>
            </w:pPr>
            <w:r>
              <w:rPr>
                <w:color w:val="000000"/>
                <w:sz w:val="18"/>
                <w:szCs w:val="18"/>
              </w:rPr>
              <w:t>2018</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79807D2" w14:textId="77777777" w:rsidR="00FE204A" w:rsidRDefault="00FE204A" w:rsidP="006A0693">
            <w:pPr>
              <w:spacing w:before="40" w:after="40"/>
            </w:pPr>
            <w:r>
              <w:rPr>
                <w:color w:val="000000"/>
                <w:sz w:val="18"/>
                <w:szCs w:val="18"/>
              </w:rPr>
              <w:t>Misleading consumers with green advertising? An affect-reason-involvement account of greenwashing effects</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E70D927" w14:textId="77777777" w:rsidR="00FE204A" w:rsidRDefault="00FE204A" w:rsidP="006A0693">
            <w:pPr>
              <w:spacing w:before="40" w:after="40"/>
            </w:pPr>
            <w:r>
              <w:rPr>
                <w:color w:val="000000"/>
                <w:sz w:val="18"/>
                <w:szCs w:val="18"/>
              </w:rPr>
              <w:t>Journal of Advertising</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A47B384" w14:textId="77777777" w:rsidR="00FE204A" w:rsidRDefault="00FE204A" w:rsidP="006A0693">
            <w:pPr>
              <w:spacing w:before="40" w:after="40"/>
            </w:pPr>
            <w:r>
              <w:rPr>
                <w:color w:val="000000"/>
                <w:sz w:val="18"/>
                <w:szCs w:val="18"/>
              </w:rPr>
              <w:t>Examine how greenwashing in environmental advertising damages consumer trust and brand perception.</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BBE9CA8" w14:textId="77777777" w:rsidR="00FE204A" w:rsidRDefault="00FE204A" w:rsidP="006A0693">
            <w:pPr>
              <w:spacing w:before="40" w:after="40"/>
            </w:pPr>
            <w:r>
              <w:rPr>
                <w:color w:val="000000"/>
                <w:sz w:val="18"/>
                <w:szCs w:val="18"/>
              </w:rPr>
              <w:t>Experimental (quantitative)</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A8C9A5F" w14:textId="77777777" w:rsidR="00FE204A" w:rsidRDefault="00FE204A" w:rsidP="006A0693">
            <w:pPr>
              <w:spacing w:before="40" w:after="40"/>
            </w:pPr>
            <w:r>
              <w:rPr>
                <w:color w:val="000000"/>
                <w:sz w:val="18"/>
                <w:szCs w:val="18"/>
              </w:rPr>
              <w:t>Greenwashing; brand trust; environmental advertising; sustainability; consumer scepticism</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F0AF0FA" w14:textId="77777777" w:rsidR="00FE204A" w:rsidRDefault="00FE204A" w:rsidP="006A0693">
            <w:pPr>
              <w:spacing w:before="40" w:after="40"/>
            </w:pPr>
            <w:r>
              <w:rPr>
                <w:color w:val="000000"/>
                <w:sz w:val="18"/>
                <w:szCs w:val="18"/>
              </w:rPr>
              <w:t>RQ3, RQ4</w:t>
            </w:r>
          </w:p>
        </w:tc>
      </w:tr>
      <w:tr w:rsidR="00FE204A" w14:paraId="6DE3BBE5"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1FD7FA6" w14:textId="77777777" w:rsidR="00FE204A" w:rsidRDefault="00FE204A" w:rsidP="006A0693">
            <w:pPr>
              <w:spacing w:before="40" w:after="40"/>
            </w:pPr>
            <w:r>
              <w:rPr>
                <w:color w:val="000000"/>
                <w:sz w:val="18"/>
                <w:szCs w:val="18"/>
              </w:rPr>
              <w:t>34</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516F619" w14:textId="77777777" w:rsidR="00FE204A" w:rsidRDefault="00FE204A" w:rsidP="006A0693">
            <w:pPr>
              <w:spacing w:before="40" w:after="40"/>
            </w:pPr>
            <w:r>
              <w:rPr>
                <w:color w:val="000000"/>
                <w:sz w:val="18"/>
                <w:szCs w:val="18"/>
              </w:rPr>
              <w:t>Martínez, P. and del Bosque, I.R.</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CEBF21F" w14:textId="77777777" w:rsidR="00FE204A" w:rsidRDefault="00FE204A" w:rsidP="006A0693">
            <w:pPr>
              <w:spacing w:before="40" w:after="40"/>
            </w:pPr>
            <w:r>
              <w:rPr>
                <w:color w:val="000000"/>
                <w:sz w:val="18"/>
                <w:szCs w:val="18"/>
              </w:rPr>
              <w:t>2013</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2B495B0" w14:textId="77777777" w:rsidR="00FE204A" w:rsidRDefault="00FE204A" w:rsidP="006A0693">
            <w:pPr>
              <w:spacing w:before="40" w:after="40"/>
            </w:pPr>
            <w:r>
              <w:rPr>
                <w:color w:val="000000"/>
                <w:sz w:val="18"/>
                <w:szCs w:val="18"/>
              </w:rPr>
              <w:t>CSR and customer loyalty: The roles of trust, customer identification with the company and satisfaction</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4DF2F51" w14:textId="77777777" w:rsidR="00FE204A" w:rsidRDefault="00FE204A" w:rsidP="006A0693">
            <w:pPr>
              <w:spacing w:before="40" w:after="40"/>
            </w:pPr>
            <w:r>
              <w:rPr>
                <w:color w:val="000000"/>
                <w:sz w:val="18"/>
                <w:szCs w:val="18"/>
              </w:rPr>
              <w:t>International Journal of Hospitality Management</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12720F9" w14:textId="77777777" w:rsidR="00FE204A" w:rsidRDefault="00FE204A" w:rsidP="006A0693">
            <w:pPr>
              <w:spacing w:before="40" w:after="40"/>
            </w:pPr>
            <w:r>
              <w:rPr>
                <w:color w:val="000000"/>
                <w:sz w:val="18"/>
                <w:szCs w:val="18"/>
              </w:rPr>
              <w:t>Test how CSR performance positively influences brand trust, identification, and ultimately customer loyalty.</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528EC8A" w14:textId="77777777" w:rsidR="00FE204A" w:rsidRDefault="00FE204A" w:rsidP="006A0693">
            <w:pPr>
              <w:spacing w:before="40" w:after="40"/>
            </w:pPr>
            <w:r>
              <w:rPr>
                <w:color w:val="000000"/>
                <w:sz w:val="18"/>
                <w:szCs w:val="18"/>
              </w:rPr>
              <w:t>Quantitative (survey/SEM)</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E073C2D" w14:textId="77777777" w:rsidR="00FE204A" w:rsidRDefault="00FE204A" w:rsidP="006A0693">
            <w:pPr>
              <w:spacing w:before="40" w:after="40"/>
            </w:pPr>
            <w:r>
              <w:rPr>
                <w:color w:val="000000"/>
                <w:sz w:val="18"/>
                <w:szCs w:val="18"/>
              </w:rPr>
              <w:t>CSR; brand trust; brand identification; satisfaction; customer loyalty</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69C8693" w14:textId="77777777" w:rsidR="00FE204A" w:rsidRDefault="00FE204A" w:rsidP="006A0693">
            <w:pPr>
              <w:spacing w:before="40" w:after="40"/>
            </w:pPr>
            <w:r>
              <w:rPr>
                <w:color w:val="000000"/>
                <w:sz w:val="18"/>
                <w:szCs w:val="18"/>
              </w:rPr>
              <w:t>RQ3, RQ4</w:t>
            </w:r>
          </w:p>
        </w:tc>
      </w:tr>
      <w:tr w:rsidR="00FE204A" w14:paraId="44AE4F82"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4AC4231" w14:textId="77777777" w:rsidR="00FE204A" w:rsidRDefault="00FE204A" w:rsidP="006A0693">
            <w:pPr>
              <w:spacing w:before="40" w:after="40"/>
            </w:pPr>
            <w:r>
              <w:rPr>
                <w:color w:val="000000"/>
                <w:sz w:val="18"/>
                <w:szCs w:val="18"/>
              </w:rPr>
              <w:t>35</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F743155" w14:textId="77777777" w:rsidR="00FE204A" w:rsidRDefault="00FE204A" w:rsidP="006A0693">
            <w:pPr>
              <w:spacing w:before="40" w:after="40"/>
            </w:pPr>
            <w:r>
              <w:rPr>
                <w:color w:val="000000"/>
                <w:sz w:val="18"/>
                <w:szCs w:val="18"/>
              </w:rPr>
              <w:t>Tzuo, T. and Weisert, G.</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7957A6C" w14:textId="77777777" w:rsidR="00FE204A" w:rsidRDefault="00FE204A" w:rsidP="006A0693">
            <w:pPr>
              <w:spacing w:before="40" w:after="40"/>
            </w:pPr>
            <w:r>
              <w:rPr>
                <w:color w:val="000000"/>
                <w:sz w:val="18"/>
                <w:szCs w:val="18"/>
              </w:rPr>
              <w:t>2018</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C86547B" w14:textId="77777777" w:rsidR="00FE204A" w:rsidRDefault="00FE204A" w:rsidP="006A0693">
            <w:pPr>
              <w:spacing w:before="40" w:after="40"/>
            </w:pPr>
            <w:r>
              <w:rPr>
                <w:color w:val="000000"/>
                <w:sz w:val="18"/>
                <w:szCs w:val="18"/>
              </w:rPr>
              <w:t>Subscribed: Why the Subscription Model Will Be Your Company's Future and What to Do About It</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863C4F4" w14:textId="77777777" w:rsidR="00FE204A" w:rsidRDefault="00FE204A" w:rsidP="006A0693">
            <w:pPr>
              <w:spacing w:before="40" w:after="40"/>
            </w:pPr>
            <w:r>
              <w:rPr>
                <w:color w:val="000000"/>
                <w:sz w:val="18"/>
                <w:szCs w:val="18"/>
              </w:rPr>
              <w:t>Portfolio/Penguin (Book)</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687AF6A" w14:textId="77777777" w:rsidR="00FE204A" w:rsidRDefault="00FE204A" w:rsidP="006A0693">
            <w:pPr>
              <w:spacing w:before="40" w:after="40"/>
            </w:pPr>
            <w:r>
              <w:rPr>
                <w:color w:val="000000"/>
                <w:sz w:val="18"/>
                <w:szCs w:val="18"/>
              </w:rPr>
              <w:t>Argue that subscription business models generate stronger and more durable customer relationships than transactional models.</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E614921" w14:textId="77777777" w:rsidR="00FE204A" w:rsidRDefault="00FE204A" w:rsidP="006A0693">
            <w:pPr>
              <w:spacing w:before="40" w:after="40"/>
            </w:pPr>
            <w:r>
              <w:rPr>
                <w:color w:val="000000"/>
                <w:sz w:val="18"/>
                <w:szCs w:val="18"/>
              </w:rPr>
              <w:t>Conceptual / Business analysis</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53F45BC" w14:textId="77777777" w:rsidR="00FE204A" w:rsidRDefault="00FE204A" w:rsidP="006A0693">
            <w:pPr>
              <w:spacing w:before="40" w:after="40"/>
            </w:pPr>
            <w:r>
              <w:rPr>
                <w:color w:val="000000"/>
                <w:sz w:val="18"/>
                <w:szCs w:val="18"/>
              </w:rPr>
              <w:t>Subscription model; customer retention; continuous engagement; advocacy; switching cost</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76339D4" w14:textId="77777777" w:rsidR="00FE204A" w:rsidRDefault="00FE204A" w:rsidP="006A0693">
            <w:pPr>
              <w:spacing w:before="40" w:after="40"/>
            </w:pPr>
            <w:r>
              <w:rPr>
                <w:color w:val="000000"/>
                <w:sz w:val="18"/>
                <w:szCs w:val="18"/>
              </w:rPr>
              <w:t>RQ3, RQ4</w:t>
            </w:r>
          </w:p>
        </w:tc>
      </w:tr>
      <w:tr w:rsidR="00FE204A" w14:paraId="3852CAAF"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E2D11BB" w14:textId="77777777" w:rsidR="00FE204A" w:rsidRDefault="00FE204A" w:rsidP="006A0693">
            <w:pPr>
              <w:spacing w:before="40" w:after="40"/>
            </w:pPr>
            <w:r>
              <w:rPr>
                <w:color w:val="000000"/>
                <w:sz w:val="18"/>
                <w:szCs w:val="18"/>
              </w:rPr>
              <w:t>36</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20E152A" w14:textId="77777777" w:rsidR="00FE204A" w:rsidRDefault="00FE204A" w:rsidP="006A0693">
            <w:pPr>
              <w:spacing w:before="40" w:after="40"/>
            </w:pPr>
            <w:r>
              <w:rPr>
                <w:color w:val="000000"/>
                <w:sz w:val="18"/>
                <w:szCs w:val="18"/>
              </w:rPr>
              <w:t>Dastane, O., Masrur, H. and Imaad, S.N.</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14ECB32" w14:textId="77777777" w:rsidR="00FE204A" w:rsidRDefault="00FE204A" w:rsidP="006A0693">
            <w:pPr>
              <w:spacing w:before="40" w:after="40"/>
            </w:pPr>
            <w:r>
              <w:rPr>
                <w:color w:val="000000"/>
                <w:sz w:val="18"/>
                <w:szCs w:val="18"/>
              </w:rPr>
              <w:t>2026</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6D5F5F6" w14:textId="77777777" w:rsidR="00FE204A" w:rsidRDefault="00FE204A" w:rsidP="006A0693">
            <w:pPr>
              <w:spacing w:before="40" w:after="40"/>
            </w:pPr>
            <w:r>
              <w:rPr>
                <w:color w:val="000000"/>
                <w:sz w:val="18"/>
                <w:szCs w:val="18"/>
              </w:rPr>
              <w:t>Relationship marketing and brand loyalty in the electric vehicle segment: A systematic review</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949AC12" w14:textId="77777777" w:rsidR="00FE204A" w:rsidRDefault="00FE204A" w:rsidP="006A0693">
            <w:pPr>
              <w:spacing w:before="40" w:after="40"/>
            </w:pPr>
            <w:r>
              <w:rPr>
                <w:color w:val="000000"/>
                <w:sz w:val="18"/>
                <w:szCs w:val="18"/>
              </w:rPr>
              <w:t>International Journal of Automotive Technology and Management</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A5AFB57" w14:textId="77777777" w:rsidR="00FE204A" w:rsidRDefault="00FE204A" w:rsidP="006A0693">
            <w:pPr>
              <w:spacing w:before="40" w:after="40"/>
            </w:pPr>
            <w:r>
              <w:rPr>
                <w:color w:val="000000"/>
                <w:sz w:val="18"/>
                <w:szCs w:val="18"/>
              </w:rPr>
              <w:t>Systematically review relationship marketing applications in the EV market and their loyalty implications.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F69196A" w14:textId="77777777" w:rsidR="00FE204A" w:rsidRDefault="00FE204A" w:rsidP="006A0693">
            <w:pPr>
              <w:spacing w:before="40" w:after="40"/>
            </w:pPr>
            <w:r>
              <w:rPr>
                <w:color w:val="000000"/>
                <w:sz w:val="18"/>
                <w:szCs w:val="18"/>
              </w:rPr>
              <w:t>Systematic literature review</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E00C510" w14:textId="77777777" w:rsidR="00FE204A" w:rsidRDefault="00FE204A" w:rsidP="006A0693">
            <w:pPr>
              <w:spacing w:before="40" w:after="40"/>
            </w:pPr>
            <w:r>
              <w:rPr>
                <w:color w:val="000000"/>
                <w:sz w:val="18"/>
                <w:szCs w:val="18"/>
              </w:rPr>
              <w:t>Relationship marketing; EV segment; brand loyalty; trust; commitment</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E94AA36" w14:textId="77777777" w:rsidR="00FE204A" w:rsidRDefault="00FE204A" w:rsidP="006A0693">
            <w:pPr>
              <w:spacing w:before="40" w:after="40"/>
            </w:pPr>
            <w:r>
              <w:rPr>
                <w:color w:val="000000"/>
                <w:sz w:val="18"/>
                <w:szCs w:val="18"/>
              </w:rPr>
              <w:t>RQ3, RQ4</w:t>
            </w:r>
          </w:p>
        </w:tc>
      </w:tr>
      <w:tr w:rsidR="00FE204A" w14:paraId="67F2FFA2"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B367915" w14:textId="77777777" w:rsidR="00FE204A" w:rsidRDefault="00FE204A" w:rsidP="006A0693">
            <w:pPr>
              <w:spacing w:before="40" w:after="40"/>
            </w:pPr>
            <w:r>
              <w:rPr>
                <w:color w:val="000000"/>
                <w:sz w:val="18"/>
                <w:szCs w:val="18"/>
              </w:rPr>
              <w:lastRenderedPageBreak/>
              <w:t>37</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53D00ED8" w14:textId="77777777" w:rsidR="00FE204A" w:rsidRDefault="00FE204A" w:rsidP="006A0693">
            <w:pPr>
              <w:spacing w:before="40" w:after="40"/>
            </w:pPr>
            <w:r>
              <w:rPr>
                <w:color w:val="000000"/>
                <w:sz w:val="18"/>
                <w:szCs w:val="18"/>
              </w:rPr>
              <w:t>Gamage, P.</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FD643BE"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9F1B09C" w14:textId="77777777" w:rsidR="00FE204A" w:rsidRDefault="00FE204A" w:rsidP="006A0693">
            <w:pPr>
              <w:spacing w:before="40" w:after="40"/>
            </w:pPr>
            <w:r>
              <w:rPr>
                <w:color w:val="000000"/>
                <w:sz w:val="18"/>
                <w:szCs w:val="18"/>
              </w:rPr>
              <w:t>Research onion as a conceptual tool: A critical appraisal for business management studies</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8110965" w14:textId="77777777" w:rsidR="00FE204A" w:rsidRDefault="00FE204A" w:rsidP="006A0693">
            <w:pPr>
              <w:spacing w:before="40" w:after="40"/>
            </w:pPr>
            <w:r>
              <w:rPr>
                <w:color w:val="000000"/>
                <w:sz w:val="18"/>
                <w:szCs w:val="18"/>
              </w:rPr>
              <w:t>Methodological Innovations</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0A22E6C" w14:textId="77777777" w:rsidR="00FE204A" w:rsidRDefault="00FE204A" w:rsidP="006A0693">
            <w:pPr>
              <w:spacing w:before="40" w:after="40"/>
            </w:pPr>
            <w:r>
              <w:rPr>
                <w:color w:val="000000"/>
                <w:sz w:val="18"/>
                <w:szCs w:val="18"/>
              </w:rPr>
              <w:t>Critically evaluate the Research Onion as a framework for structuring methodological decisions in business research.</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8DBD10E" w14:textId="77777777" w:rsidR="00FE204A" w:rsidRDefault="00FE204A" w:rsidP="006A0693">
            <w:pPr>
              <w:spacing w:before="40" w:after="40"/>
            </w:pPr>
            <w:r>
              <w:rPr>
                <w:color w:val="000000"/>
                <w:sz w:val="18"/>
                <w:szCs w:val="18"/>
              </w:rPr>
              <w:t>Conceptual / Methodological</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3EFEE89" w14:textId="77777777" w:rsidR="00FE204A" w:rsidRDefault="00FE204A" w:rsidP="006A0693">
            <w:pPr>
              <w:spacing w:before="40" w:after="40"/>
            </w:pPr>
            <w:r>
              <w:rPr>
                <w:color w:val="000000"/>
                <w:sz w:val="18"/>
                <w:szCs w:val="18"/>
              </w:rPr>
              <w:t>Research onion; methodology; interpretivism; research design; business research</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69EDF8E" w14:textId="77777777" w:rsidR="00FE204A" w:rsidRDefault="00FE204A" w:rsidP="006A0693">
            <w:pPr>
              <w:spacing w:before="40" w:after="40"/>
            </w:pPr>
            <w:r>
              <w:rPr>
                <w:color w:val="000000"/>
                <w:sz w:val="18"/>
                <w:szCs w:val="18"/>
              </w:rPr>
              <w:t>Methodology</w:t>
            </w:r>
          </w:p>
        </w:tc>
      </w:tr>
      <w:tr w:rsidR="00FE204A" w14:paraId="3D4C5660"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045DAC4" w14:textId="77777777" w:rsidR="00FE204A" w:rsidRDefault="00FE204A" w:rsidP="006A0693">
            <w:pPr>
              <w:spacing w:before="40" w:after="40"/>
            </w:pPr>
            <w:r>
              <w:rPr>
                <w:color w:val="000000"/>
                <w:sz w:val="18"/>
                <w:szCs w:val="18"/>
              </w:rPr>
              <w:t>38</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2E68724" w14:textId="77777777" w:rsidR="00FE204A" w:rsidRDefault="00FE204A" w:rsidP="006A0693">
            <w:pPr>
              <w:spacing w:before="40" w:after="40"/>
            </w:pPr>
            <w:r>
              <w:rPr>
                <w:color w:val="000000"/>
                <w:sz w:val="18"/>
                <w:szCs w:val="18"/>
              </w:rPr>
              <w:t xml:space="preserve">Hecker, A. and </w:t>
            </w:r>
            <w:proofErr w:type="spellStart"/>
            <w:r>
              <w:rPr>
                <w:color w:val="000000"/>
                <w:sz w:val="18"/>
                <w:szCs w:val="18"/>
              </w:rPr>
              <w:t>Kalpokas</w:t>
            </w:r>
            <w:proofErr w:type="spellEnd"/>
            <w:r>
              <w:rPr>
                <w:color w:val="000000"/>
                <w:sz w:val="18"/>
                <w:szCs w:val="18"/>
              </w:rPr>
              <w:t>, I.</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0DB4653"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7259441" w14:textId="77777777" w:rsidR="00FE204A" w:rsidRDefault="00FE204A" w:rsidP="006A0693">
            <w:pPr>
              <w:spacing w:before="40" w:after="40"/>
            </w:pPr>
            <w:r>
              <w:rPr>
                <w:color w:val="000000"/>
                <w:sz w:val="18"/>
                <w:szCs w:val="18"/>
              </w:rPr>
              <w:t>Inductive theory building in disruptive markets: Methodological reflections for innovation research</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7B53AA3" w14:textId="77777777" w:rsidR="00FE204A" w:rsidRDefault="00FE204A" w:rsidP="006A0693">
            <w:pPr>
              <w:spacing w:before="40" w:after="40"/>
            </w:pPr>
            <w:r>
              <w:rPr>
                <w:color w:val="000000"/>
                <w:sz w:val="18"/>
                <w:szCs w:val="18"/>
              </w:rPr>
              <w:t>Research Policy</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E973B76" w14:textId="77777777" w:rsidR="00FE204A" w:rsidRDefault="00FE204A" w:rsidP="006A0693">
            <w:pPr>
              <w:spacing w:before="40" w:after="40"/>
            </w:pPr>
            <w:r>
              <w:rPr>
                <w:color w:val="000000"/>
                <w:sz w:val="18"/>
                <w:szCs w:val="18"/>
              </w:rPr>
              <w:t>Argue for inductive reasoning as an epistemologically appropriate strategy in rapidly changing market contexts.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AD0D2D8" w14:textId="77777777" w:rsidR="00FE204A" w:rsidRDefault="00FE204A" w:rsidP="006A0693">
            <w:pPr>
              <w:spacing w:before="40" w:after="40"/>
            </w:pPr>
            <w:r>
              <w:rPr>
                <w:color w:val="000000"/>
                <w:sz w:val="18"/>
                <w:szCs w:val="18"/>
              </w:rPr>
              <w:t>Conceptual / Methodological</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8356C0E" w14:textId="77777777" w:rsidR="00FE204A" w:rsidRDefault="00FE204A" w:rsidP="006A0693">
            <w:pPr>
              <w:spacing w:before="40" w:after="40"/>
            </w:pPr>
            <w:r>
              <w:rPr>
                <w:color w:val="000000"/>
                <w:sz w:val="18"/>
                <w:szCs w:val="18"/>
              </w:rPr>
              <w:t>Inductive reasoning; theory building; disruption; innovation research; qualitative</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47F28C8" w14:textId="77777777" w:rsidR="00FE204A" w:rsidRDefault="00FE204A" w:rsidP="006A0693">
            <w:pPr>
              <w:spacing w:before="40" w:after="40"/>
            </w:pPr>
            <w:r>
              <w:rPr>
                <w:color w:val="000000"/>
                <w:sz w:val="18"/>
                <w:szCs w:val="18"/>
              </w:rPr>
              <w:t>Methodology</w:t>
            </w:r>
          </w:p>
        </w:tc>
      </w:tr>
      <w:tr w:rsidR="00FE204A" w14:paraId="766881E3"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349A72EC" w14:textId="77777777" w:rsidR="00FE204A" w:rsidRDefault="00FE204A" w:rsidP="006A0693">
            <w:pPr>
              <w:spacing w:before="40" w:after="40"/>
            </w:pPr>
            <w:r>
              <w:rPr>
                <w:color w:val="000000"/>
                <w:sz w:val="18"/>
                <w:szCs w:val="18"/>
              </w:rPr>
              <w:t>39</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24379D9B" w14:textId="77777777" w:rsidR="00FE204A" w:rsidRDefault="00FE204A" w:rsidP="006A0693">
            <w:pPr>
              <w:spacing w:before="40" w:after="40"/>
            </w:pPr>
            <w:r>
              <w:rPr>
                <w:color w:val="000000"/>
                <w:sz w:val="18"/>
                <w:szCs w:val="18"/>
              </w:rPr>
              <w:t>Humble, N. and Mozelius, P.</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4A5FCEF" w14:textId="77777777" w:rsidR="00FE204A" w:rsidRDefault="00FE204A" w:rsidP="006A0693">
            <w:pPr>
              <w:spacing w:before="40" w:after="40"/>
            </w:pPr>
            <w:r>
              <w:rPr>
                <w:color w:val="000000"/>
                <w:sz w:val="18"/>
                <w:szCs w:val="18"/>
              </w:rPr>
              <w:t>2022</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EE50416" w14:textId="77777777" w:rsidR="00FE204A" w:rsidRDefault="00FE204A" w:rsidP="006A0693">
            <w:pPr>
              <w:spacing w:before="40" w:after="40"/>
            </w:pPr>
            <w:r>
              <w:rPr>
                <w:color w:val="000000"/>
                <w:sz w:val="18"/>
                <w:szCs w:val="18"/>
              </w:rPr>
              <w:t>Thematic analysis in educational technology research: Approaches and applications</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2DAA0B9" w14:textId="77777777" w:rsidR="00FE204A" w:rsidRDefault="00FE204A" w:rsidP="006A0693">
            <w:pPr>
              <w:spacing w:before="40" w:after="40"/>
            </w:pPr>
            <w:r>
              <w:rPr>
                <w:color w:val="000000"/>
                <w:sz w:val="18"/>
                <w:szCs w:val="18"/>
              </w:rPr>
              <w:t>Electronic Journal of e-Learning</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854C639" w14:textId="77777777" w:rsidR="00FE204A" w:rsidRDefault="00FE204A" w:rsidP="006A0693">
            <w:pPr>
              <w:spacing w:before="40" w:after="40"/>
            </w:pPr>
            <w:r>
              <w:rPr>
                <w:color w:val="000000"/>
                <w:sz w:val="18"/>
                <w:szCs w:val="18"/>
              </w:rPr>
              <w:t>Compare thematic analysis approaches and demonstrate their application in qualitative research.</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74583EC" w14:textId="77777777" w:rsidR="00FE204A" w:rsidRDefault="00FE204A" w:rsidP="006A0693">
            <w:pPr>
              <w:spacing w:before="40" w:after="40"/>
            </w:pPr>
            <w:r>
              <w:rPr>
                <w:color w:val="000000"/>
                <w:sz w:val="18"/>
                <w:szCs w:val="18"/>
              </w:rPr>
              <w:t>Conceptual / Methodological</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0E2E174" w14:textId="77777777" w:rsidR="00FE204A" w:rsidRDefault="00FE204A" w:rsidP="006A0693">
            <w:pPr>
              <w:spacing w:before="40" w:after="40"/>
            </w:pPr>
            <w:r>
              <w:rPr>
                <w:color w:val="000000"/>
                <w:sz w:val="18"/>
                <w:szCs w:val="18"/>
              </w:rPr>
              <w:t>Thematic analysis; qualitative research; coding; patterns; secondary data</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4AF00E7C" w14:textId="77777777" w:rsidR="00FE204A" w:rsidRDefault="00FE204A" w:rsidP="006A0693">
            <w:pPr>
              <w:spacing w:before="40" w:after="40"/>
            </w:pPr>
            <w:r>
              <w:rPr>
                <w:color w:val="000000"/>
                <w:sz w:val="18"/>
                <w:szCs w:val="18"/>
              </w:rPr>
              <w:t>Methodology</w:t>
            </w:r>
          </w:p>
        </w:tc>
      </w:tr>
      <w:tr w:rsidR="00FE204A" w14:paraId="1D0B9973"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24BCF50" w14:textId="77777777" w:rsidR="00FE204A" w:rsidRDefault="00FE204A" w:rsidP="006A0693">
            <w:pPr>
              <w:spacing w:before="40" w:after="40"/>
            </w:pPr>
            <w:r>
              <w:rPr>
                <w:color w:val="000000"/>
                <w:sz w:val="18"/>
                <w:szCs w:val="18"/>
              </w:rPr>
              <w:t>40</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15CEEA0" w14:textId="77777777" w:rsidR="00FE204A" w:rsidRDefault="00FE204A" w:rsidP="006A0693">
            <w:pPr>
              <w:spacing w:before="40" w:after="40"/>
            </w:pPr>
            <w:r>
              <w:rPr>
                <w:color w:val="000000"/>
                <w:sz w:val="18"/>
                <w:szCs w:val="18"/>
              </w:rPr>
              <w:t>Braun, V. and Clarke, V.</w:t>
            </w:r>
          </w:p>
        </w:tc>
        <w:tc>
          <w:tcPr>
            <w:tcW w:w="48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53B63A9" w14:textId="77777777" w:rsidR="00FE204A" w:rsidRDefault="00FE204A" w:rsidP="006A0693">
            <w:pPr>
              <w:spacing w:before="40" w:after="40"/>
            </w:pPr>
            <w:r>
              <w:rPr>
                <w:color w:val="000000"/>
                <w:sz w:val="18"/>
                <w:szCs w:val="18"/>
              </w:rPr>
              <w:t>2019</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26B4E0C" w14:textId="77777777" w:rsidR="00FE204A" w:rsidRDefault="00FE204A" w:rsidP="006A0693">
            <w:pPr>
              <w:spacing w:before="40" w:after="40"/>
            </w:pPr>
            <w:r>
              <w:rPr>
                <w:color w:val="000000"/>
                <w:sz w:val="18"/>
                <w:szCs w:val="18"/>
              </w:rPr>
              <w:t>Reflecting on reflexive thematic analysis</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99DDB61" w14:textId="77777777" w:rsidR="00FE204A" w:rsidRDefault="00FE204A" w:rsidP="006A0693">
            <w:pPr>
              <w:spacing w:before="40" w:after="40"/>
            </w:pPr>
            <w:r>
              <w:rPr>
                <w:color w:val="000000"/>
                <w:sz w:val="18"/>
                <w:szCs w:val="18"/>
              </w:rPr>
              <w:t>Qualitative Research in Sport, Exercise and Health</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7F5FAD8" w14:textId="77777777" w:rsidR="00FE204A" w:rsidRDefault="00FE204A" w:rsidP="006A0693">
            <w:pPr>
              <w:spacing w:before="40" w:after="40"/>
            </w:pPr>
            <w:r>
              <w:rPr>
                <w:color w:val="000000"/>
                <w:sz w:val="18"/>
                <w:szCs w:val="18"/>
              </w:rPr>
              <w:t>Clarify and refine the principles of reflexive thematic analysis as a rigorous qualitative method.</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2A522CF" w14:textId="77777777" w:rsidR="00FE204A" w:rsidRDefault="00FE204A" w:rsidP="006A0693">
            <w:pPr>
              <w:spacing w:before="40" w:after="40"/>
            </w:pPr>
            <w:r>
              <w:rPr>
                <w:color w:val="000000"/>
                <w:sz w:val="18"/>
                <w:szCs w:val="18"/>
              </w:rPr>
              <w:t>Methodological</w:t>
            </w:r>
          </w:p>
        </w:tc>
        <w:tc>
          <w:tcPr>
            <w:tcW w:w="2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4354014" w14:textId="77777777" w:rsidR="00FE204A" w:rsidRDefault="00FE204A" w:rsidP="006A0693">
            <w:pPr>
              <w:spacing w:before="40" w:after="40"/>
            </w:pPr>
            <w:r>
              <w:rPr>
                <w:color w:val="000000"/>
                <w:sz w:val="18"/>
                <w:szCs w:val="18"/>
              </w:rPr>
              <w:t>Reflexive thematic analysis; qualitative methodology; coding; themes; rigour</w:t>
            </w:r>
          </w:p>
        </w:tc>
        <w:tc>
          <w:tcPr>
            <w:tcW w:w="154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9E83A26" w14:textId="77777777" w:rsidR="00FE204A" w:rsidRDefault="00FE204A" w:rsidP="006A0693">
            <w:pPr>
              <w:spacing w:before="40" w:after="40"/>
            </w:pPr>
            <w:r>
              <w:rPr>
                <w:color w:val="000000"/>
                <w:sz w:val="18"/>
                <w:szCs w:val="18"/>
              </w:rPr>
              <w:t>Methodology</w:t>
            </w:r>
          </w:p>
        </w:tc>
      </w:tr>
      <w:tr w:rsidR="00FE204A" w14:paraId="15C5FD8F" w14:textId="77777777" w:rsidTr="006A0693">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10A9BDB" w14:textId="77777777" w:rsidR="00FE204A" w:rsidRDefault="00FE204A" w:rsidP="006A0693">
            <w:pPr>
              <w:spacing w:before="40" w:after="40"/>
            </w:pPr>
            <w:r>
              <w:rPr>
                <w:color w:val="000000"/>
                <w:sz w:val="18"/>
                <w:szCs w:val="18"/>
              </w:rPr>
              <w:lastRenderedPageBreak/>
              <w:t>41</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F09FA8C" w14:textId="77777777" w:rsidR="00FE204A" w:rsidRDefault="00FE204A" w:rsidP="006A0693">
            <w:pPr>
              <w:spacing w:before="40" w:after="40"/>
            </w:pPr>
            <w:r>
              <w:rPr>
                <w:color w:val="000000"/>
                <w:sz w:val="18"/>
                <w:szCs w:val="18"/>
              </w:rPr>
              <w:t>Kaleta, A. and Ignacy, J.</w:t>
            </w:r>
          </w:p>
        </w:tc>
        <w:tc>
          <w:tcPr>
            <w:tcW w:w="48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CDDAC77" w14:textId="77777777" w:rsidR="00FE204A" w:rsidRDefault="00FE204A" w:rsidP="006A0693">
            <w:pPr>
              <w:spacing w:before="40" w:after="40"/>
            </w:pPr>
            <w:r>
              <w:rPr>
                <w:color w:val="000000"/>
                <w:sz w:val="18"/>
                <w:szCs w:val="18"/>
              </w:rPr>
              <w:t>2025</w:t>
            </w:r>
          </w:p>
        </w:tc>
        <w:tc>
          <w:tcPr>
            <w:tcW w:w="24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F2E48BF" w14:textId="77777777" w:rsidR="00FE204A" w:rsidRDefault="00FE204A" w:rsidP="006A0693">
            <w:pPr>
              <w:spacing w:before="40" w:after="40"/>
            </w:pPr>
            <w:r>
              <w:rPr>
                <w:color w:val="000000"/>
                <w:sz w:val="18"/>
                <w:szCs w:val="18"/>
              </w:rPr>
              <w:t>Cross-sectional research designs in management science: A methodological review</w:t>
            </w:r>
          </w:p>
        </w:tc>
        <w:tc>
          <w:tcPr>
            <w:tcW w:w="17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DA97012" w14:textId="77777777" w:rsidR="00FE204A" w:rsidRDefault="00FE204A" w:rsidP="006A0693">
            <w:pPr>
              <w:spacing w:before="40" w:after="40"/>
            </w:pPr>
            <w:r>
              <w:rPr>
                <w:color w:val="000000"/>
                <w:sz w:val="18"/>
                <w:szCs w:val="18"/>
              </w:rPr>
              <w:t>Management and Business Administration</w:t>
            </w:r>
          </w:p>
        </w:tc>
        <w:tc>
          <w:tcPr>
            <w:tcW w:w="2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683D5494" w14:textId="77777777" w:rsidR="00FE204A" w:rsidRDefault="00FE204A" w:rsidP="006A0693">
            <w:pPr>
              <w:spacing w:before="40" w:after="40"/>
            </w:pPr>
            <w:r>
              <w:rPr>
                <w:color w:val="000000"/>
                <w:sz w:val="18"/>
                <w:szCs w:val="18"/>
              </w:rPr>
              <w:t>Review the application and limitations of cross-sectional designs in management research.</w:t>
            </w:r>
          </w:p>
        </w:tc>
        <w:tc>
          <w:tcPr>
            <w:tcW w:w="15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13E29D4A" w14:textId="77777777" w:rsidR="00FE204A" w:rsidRDefault="00FE204A" w:rsidP="006A0693">
            <w:pPr>
              <w:spacing w:before="40" w:after="40"/>
            </w:pPr>
            <w:r>
              <w:rPr>
                <w:color w:val="000000"/>
                <w:sz w:val="18"/>
                <w:szCs w:val="18"/>
              </w:rPr>
              <w:t>Methodological review</w:t>
            </w:r>
          </w:p>
        </w:tc>
        <w:tc>
          <w:tcPr>
            <w:tcW w:w="210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77B8EC75" w14:textId="77777777" w:rsidR="00FE204A" w:rsidRDefault="00FE204A" w:rsidP="006A0693">
            <w:pPr>
              <w:spacing w:before="40" w:after="40"/>
            </w:pPr>
            <w:r>
              <w:rPr>
                <w:color w:val="000000"/>
                <w:sz w:val="18"/>
                <w:szCs w:val="18"/>
              </w:rPr>
              <w:t>Cross-sectional design; time horizon; management research; validity; methodology</w:t>
            </w:r>
          </w:p>
        </w:tc>
        <w:tc>
          <w:tcPr>
            <w:tcW w:w="1540" w:type="dxa"/>
            <w:tcBorders>
              <w:top w:val="single" w:sz="4" w:space="0" w:color="AAAAAA"/>
              <w:left w:val="single" w:sz="4" w:space="0" w:color="AAAAAA"/>
              <w:bottom w:val="single" w:sz="4" w:space="0" w:color="AAAAAA"/>
              <w:right w:val="single" w:sz="4" w:space="0" w:color="AAAAAA"/>
            </w:tcBorders>
            <w:shd w:val="clear" w:color="auto" w:fill="F2F8FF"/>
            <w:tcMar>
              <w:top w:w="60" w:type="dxa"/>
              <w:left w:w="100" w:type="dxa"/>
              <w:bottom w:w="60" w:type="dxa"/>
              <w:right w:w="100" w:type="dxa"/>
            </w:tcMar>
          </w:tcPr>
          <w:p w14:paraId="0C5436C6" w14:textId="77777777" w:rsidR="00FE204A" w:rsidRDefault="00FE204A" w:rsidP="006A0693">
            <w:pPr>
              <w:spacing w:before="40" w:after="40"/>
            </w:pPr>
            <w:r>
              <w:rPr>
                <w:color w:val="000000"/>
                <w:sz w:val="18"/>
                <w:szCs w:val="18"/>
              </w:rPr>
              <w:t>Methodology</w:t>
            </w:r>
          </w:p>
        </w:tc>
      </w:tr>
    </w:tbl>
    <w:p w14:paraId="679D1031" w14:textId="77777777" w:rsidR="00FE204A" w:rsidRPr="00BD14D2" w:rsidRDefault="00FE204A" w:rsidP="00FE204A">
      <w:pPr>
        <w:spacing w:before="120" w:after="120"/>
        <w:jc w:val="both"/>
      </w:pPr>
    </w:p>
    <w:p w14:paraId="0F831F51" w14:textId="3FA71611" w:rsidR="00FE204A" w:rsidRPr="00BD14D2" w:rsidRDefault="00FE204A" w:rsidP="00FE204A">
      <w:pPr>
        <w:spacing w:before="120" w:after="120"/>
        <w:jc w:val="both"/>
        <w:rPr>
          <w:b/>
          <w:bCs/>
        </w:rPr>
      </w:pPr>
    </w:p>
    <w:p w14:paraId="2FE2B578" w14:textId="0C66BE1C" w:rsidR="00326E4A" w:rsidRPr="00BD14D2" w:rsidRDefault="00FE204A" w:rsidP="00953B10">
      <w:pPr>
        <w:spacing w:before="120" w:after="120"/>
        <w:jc w:val="both"/>
      </w:pPr>
      <w:r w:rsidRPr="00BD14D2">
        <w:t>Appendix C is a structured summary table of the 41 key sources included in the systematic literature review underpinning this dissertation. Each row represents a single source and is organised across six columns namely, a sequential reference number, the author(s), the year of publication, the full title of the work, the publication outlet, the study's primary objective, its methodological approach, and the core concepts and keywords it contributes.</w:t>
      </w:r>
      <w:r w:rsidRPr="003C4DBA">
        <w:t xml:space="preserve"> </w:t>
      </w:r>
      <w:r w:rsidRPr="00BD14D2">
        <w:t>A final column maps each source to the specific research questions (RQ1–RQ4) it informs or flags it as a methodological reference. Sources span peer-reviewed empirical studies, conceptual works, systematic reviews, industry reports, and methodological texts, collectively covering topics including brand loyalty, EV transition, relationship marketing, competitive strategy, and qualitative research design in the European automotive context.</w:t>
      </w:r>
    </w:p>
    <w:sectPr w:rsidR="00326E4A" w:rsidRPr="00BD14D2" w:rsidSect="00FE204A">
      <w:pgSz w:w="16838" w:h="11906" w:orient="landscape"/>
      <w:pgMar w:top="180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DFB50" w14:textId="77777777" w:rsidR="008238B2" w:rsidRDefault="008238B2">
      <w:pPr>
        <w:spacing w:line="240" w:lineRule="auto"/>
      </w:pPr>
      <w:r>
        <w:separator/>
      </w:r>
    </w:p>
  </w:endnote>
  <w:endnote w:type="continuationSeparator" w:id="0">
    <w:p w14:paraId="07C2574C" w14:textId="77777777" w:rsidR="008238B2" w:rsidRDefault="008238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F8C0" w14:textId="77777777" w:rsidR="002225F4" w:rsidRDefault="002225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8128849"/>
      <w:docPartObj>
        <w:docPartGallery w:val="Page Numbers (Bottom of Page)"/>
        <w:docPartUnique/>
      </w:docPartObj>
    </w:sdtPr>
    <w:sdtEndPr>
      <w:rPr>
        <w:noProof/>
      </w:rPr>
    </w:sdtEndPr>
    <w:sdtContent>
      <w:p w14:paraId="36AD05DB" w14:textId="1D80364E" w:rsidR="002225F4" w:rsidRDefault="002225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0C78DD" w14:textId="77777777" w:rsidR="00C9048D" w:rsidRPr="002E51AD" w:rsidRDefault="00C9048D">
    <w:pPr>
      <w:pStyle w:val="Footer"/>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539F4" w14:textId="77777777" w:rsidR="002225F4" w:rsidRDefault="002225F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05518"/>
      <w:docPartObj>
        <w:docPartGallery w:val="Page Numbers (Bottom of Page)"/>
        <w:docPartUnique/>
      </w:docPartObj>
    </w:sdtPr>
    <w:sdtEndPr>
      <w:rPr>
        <w:b/>
        <w:bCs/>
        <w:noProof/>
      </w:rPr>
    </w:sdtEndPr>
    <w:sdtContent>
      <w:p w14:paraId="6309E1B1" w14:textId="3C4AEA25" w:rsidR="00E10438" w:rsidRPr="002552A3" w:rsidRDefault="00E10438">
        <w:pPr>
          <w:pStyle w:val="Footer"/>
          <w:jc w:val="center"/>
          <w:rPr>
            <w:b/>
            <w:bCs/>
          </w:rPr>
        </w:pPr>
        <w:r w:rsidRPr="002552A3">
          <w:rPr>
            <w:b/>
            <w:bCs/>
          </w:rPr>
          <w:fldChar w:fldCharType="begin"/>
        </w:r>
        <w:r w:rsidRPr="002552A3">
          <w:rPr>
            <w:b/>
            <w:bCs/>
          </w:rPr>
          <w:instrText xml:space="preserve"> PAGE   \* MERGEFORMAT </w:instrText>
        </w:r>
        <w:r w:rsidRPr="002552A3">
          <w:rPr>
            <w:b/>
            <w:bCs/>
          </w:rPr>
          <w:fldChar w:fldCharType="separate"/>
        </w:r>
        <w:r w:rsidRPr="002552A3">
          <w:rPr>
            <w:b/>
            <w:bCs/>
            <w:noProof/>
          </w:rPr>
          <w:t>2</w:t>
        </w:r>
        <w:r w:rsidRPr="002552A3">
          <w:rPr>
            <w:b/>
            <w:bCs/>
            <w:noProof/>
          </w:rPr>
          <w:fldChar w:fldCharType="end"/>
        </w:r>
      </w:p>
    </w:sdtContent>
  </w:sdt>
  <w:p w14:paraId="5B634F98" w14:textId="77777777" w:rsidR="002225F4" w:rsidRPr="00C848CD" w:rsidRDefault="002225F4">
    <w:pPr>
      <w:pStyle w:val="Footer"/>
      <w:jc w:val="center"/>
      <w:rPr>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4053881"/>
      <w:docPartObj>
        <w:docPartGallery w:val="Page Numbers (Bottom of Page)"/>
        <w:docPartUnique/>
      </w:docPartObj>
    </w:sdtPr>
    <w:sdtEndPr>
      <w:rPr>
        <w:b/>
        <w:bCs/>
        <w:noProof/>
      </w:rPr>
    </w:sdtEndPr>
    <w:sdtContent>
      <w:p w14:paraId="0F3FACFF" w14:textId="4B985022" w:rsidR="00B01B57" w:rsidRPr="00EB6CD2" w:rsidRDefault="00B01B57">
        <w:pPr>
          <w:pStyle w:val="Footer"/>
          <w:jc w:val="center"/>
          <w:rPr>
            <w:b/>
            <w:bCs/>
          </w:rPr>
        </w:pPr>
        <w:r w:rsidRPr="00EB6CD2">
          <w:rPr>
            <w:b/>
            <w:bCs/>
          </w:rPr>
          <w:fldChar w:fldCharType="begin"/>
        </w:r>
        <w:r w:rsidRPr="00EB6CD2">
          <w:rPr>
            <w:b/>
            <w:bCs/>
          </w:rPr>
          <w:instrText xml:space="preserve"> PAGE   \* MERGEFORMAT </w:instrText>
        </w:r>
        <w:r w:rsidRPr="00EB6CD2">
          <w:rPr>
            <w:b/>
            <w:bCs/>
          </w:rPr>
          <w:fldChar w:fldCharType="separate"/>
        </w:r>
        <w:r w:rsidRPr="00EB6CD2">
          <w:rPr>
            <w:b/>
            <w:bCs/>
            <w:noProof/>
          </w:rPr>
          <w:t>2</w:t>
        </w:r>
        <w:r w:rsidRPr="00EB6CD2">
          <w:rPr>
            <w:b/>
            <w:bCs/>
            <w:noProof/>
          </w:rPr>
          <w:fldChar w:fldCharType="end"/>
        </w:r>
      </w:p>
    </w:sdtContent>
  </w:sdt>
  <w:p w14:paraId="45C44A7E" w14:textId="77777777" w:rsidR="00C9048D" w:rsidRPr="001850B1" w:rsidRDefault="00C9048D">
    <w:pPr>
      <w:jc w:val="cen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62C4F" w14:textId="77777777" w:rsidR="008238B2" w:rsidRDefault="008238B2">
      <w:pPr>
        <w:spacing w:line="240" w:lineRule="auto"/>
      </w:pPr>
      <w:r>
        <w:separator/>
      </w:r>
    </w:p>
  </w:footnote>
  <w:footnote w:type="continuationSeparator" w:id="0">
    <w:p w14:paraId="095C5B29" w14:textId="77777777" w:rsidR="008238B2" w:rsidRDefault="008238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A4B2A" w14:textId="77777777" w:rsidR="002225F4" w:rsidRDefault="002225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B5FA" w14:textId="77777777" w:rsidR="002225F4" w:rsidRDefault="002225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FE916" w14:textId="77777777" w:rsidR="002225F4" w:rsidRDefault="002225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670EC" w14:textId="77777777" w:rsidR="004E2408" w:rsidRDefault="004E24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26898"/>
    <w:multiLevelType w:val="hybridMultilevel"/>
    <w:tmpl w:val="D9AE60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F06444"/>
    <w:multiLevelType w:val="hybridMultilevel"/>
    <w:tmpl w:val="A43056EE"/>
    <w:lvl w:ilvl="0" w:tplc="7730F328">
      <w:start w:val="1"/>
      <w:numFmt w:val="bullet"/>
      <w:lvlText w:val="●"/>
      <w:lvlJc w:val="left"/>
      <w:pPr>
        <w:ind w:left="720" w:hanging="360"/>
      </w:pPr>
    </w:lvl>
    <w:lvl w:ilvl="1" w:tplc="E3D63970">
      <w:start w:val="1"/>
      <w:numFmt w:val="bullet"/>
      <w:lvlText w:val="○"/>
      <w:lvlJc w:val="left"/>
      <w:pPr>
        <w:ind w:left="1440" w:hanging="360"/>
      </w:pPr>
    </w:lvl>
    <w:lvl w:ilvl="2" w:tplc="DC6EE198">
      <w:start w:val="1"/>
      <w:numFmt w:val="bullet"/>
      <w:lvlText w:val="■"/>
      <w:lvlJc w:val="left"/>
      <w:pPr>
        <w:ind w:left="2160" w:hanging="360"/>
      </w:pPr>
    </w:lvl>
    <w:lvl w:ilvl="3" w:tplc="2ACACD32">
      <w:start w:val="1"/>
      <w:numFmt w:val="bullet"/>
      <w:lvlText w:val="●"/>
      <w:lvlJc w:val="left"/>
      <w:pPr>
        <w:ind w:left="2880" w:hanging="360"/>
      </w:pPr>
    </w:lvl>
    <w:lvl w:ilvl="4" w:tplc="936066B6">
      <w:start w:val="1"/>
      <w:numFmt w:val="bullet"/>
      <w:lvlText w:val="○"/>
      <w:lvlJc w:val="left"/>
      <w:pPr>
        <w:ind w:left="3600" w:hanging="360"/>
      </w:pPr>
    </w:lvl>
    <w:lvl w:ilvl="5" w:tplc="E3D04C6C">
      <w:start w:val="1"/>
      <w:numFmt w:val="bullet"/>
      <w:lvlText w:val="■"/>
      <w:lvlJc w:val="left"/>
      <w:pPr>
        <w:ind w:left="4320" w:hanging="360"/>
      </w:pPr>
    </w:lvl>
    <w:lvl w:ilvl="6" w:tplc="34B20AAC">
      <w:start w:val="1"/>
      <w:numFmt w:val="bullet"/>
      <w:lvlText w:val="●"/>
      <w:lvlJc w:val="left"/>
      <w:pPr>
        <w:ind w:left="5040" w:hanging="360"/>
      </w:pPr>
    </w:lvl>
    <w:lvl w:ilvl="7" w:tplc="BCA80BF6">
      <w:start w:val="1"/>
      <w:numFmt w:val="bullet"/>
      <w:lvlText w:val="●"/>
      <w:lvlJc w:val="left"/>
      <w:pPr>
        <w:ind w:left="5760" w:hanging="360"/>
      </w:pPr>
    </w:lvl>
    <w:lvl w:ilvl="8" w:tplc="58F07BB0">
      <w:start w:val="1"/>
      <w:numFmt w:val="bullet"/>
      <w:lvlText w:val="●"/>
      <w:lvlJc w:val="left"/>
      <w:pPr>
        <w:ind w:left="6480" w:hanging="360"/>
      </w:pPr>
    </w:lvl>
  </w:abstractNum>
  <w:num w:numId="1" w16cid:durableId="444859131">
    <w:abstractNumId w:val="1"/>
    <w:lvlOverride w:ilvl="0">
      <w:startOverride w:val="1"/>
    </w:lvlOverride>
  </w:num>
  <w:num w:numId="2" w16cid:durableId="1233348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749"/>
    <w:rsid w:val="00000240"/>
    <w:rsid w:val="0000144F"/>
    <w:rsid w:val="00006605"/>
    <w:rsid w:val="00006FB5"/>
    <w:rsid w:val="0002723D"/>
    <w:rsid w:val="000326DC"/>
    <w:rsid w:val="00032A89"/>
    <w:rsid w:val="00043604"/>
    <w:rsid w:val="00044D05"/>
    <w:rsid w:val="000465CE"/>
    <w:rsid w:val="000662AC"/>
    <w:rsid w:val="000908A0"/>
    <w:rsid w:val="0009310B"/>
    <w:rsid w:val="000B0749"/>
    <w:rsid w:val="000B3F1E"/>
    <w:rsid w:val="000B598C"/>
    <w:rsid w:val="000C04C6"/>
    <w:rsid w:val="000C52FA"/>
    <w:rsid w:val="000D16CA"/>
    <w:rsid w:val="000D5052"/>
    <w:rsid w:val="000E77D4"/>
    <w:rsid w:val="000F5A7C"/>
    <w:rsid w:val="00117345"/>
    <w:rsid w:val="00131876"/>
    <w:rsid w:val="00142DFA"/>
    <w:rsid w:val="001443BE"/>
    <w:rsid w:val="00155AD6"/>
    <w:rsid w:val="00160B6D"/>
    <w:rsid w:val="001832CF"/>
    <w:rsid w:val="00183E41"/>
    <w:rsid w:val="001850B1"/>
    <w:rsid w:val="001931A2"/>
    <w:rsid w:val="001A6414"/>
    <w:rsid w:val="001A6A15"/>
    <w:rsid w:val="001A749A"/>
    <w:rsid w:val="001B3E1E"/>
    <w:rsid w:val="001C3D31"/>
    <w:rsid w:val="001D0C48"/>
    <w:rsid w:val="001E3234"/>
    <w:rsid w:val="001F5391"/>
    <w:rsid w:val="001F554F"/>
    <w:rsid w:val="001F5BEF"/>
    <w:rsid w:val="00201F6C"/>
    <w:rsid w:val="00217E00"/>
    <w:rsid w:val="00220E39"/>
    <w:rsid w:val="002225F4"/>
    <w:rsid w:val="002346CE"/>
    <w:rsid w:val="002552A3"/>
    <w:rsid w:val="00264A40"/>
    <w:rsid w:val="00267448"/>
    <w:rsid w:val="00273024"/>
    <w:rsid w:val="00281595"/>
    <w:rsid w:val="00290BFE"/>
    <w:rsid w:val="00292476"/>
    <w:rsid w:val="0029420B"/>
    <w:rsid w:val="002B39F0"/>
    <w:rsid w:val="002B4EE7"/>
    <w:rsid w:val="002C0C5B"/>
    <w:rsid w:val="002E141A"/>
    <w:rsid w:val="002E51AD"/>
    <w:rsid w:val="002F17EE"/>
    <w:rsid w:val="002F21FD"/>
    <w:rsid w:val="00322783"/>
    <w:rsid w:val="00322FBA"/>
    <w:rsid w:val="00326E4A"/>
    <w:rsid w:val="0034467D"/>
    <w:rsid w:val="003665A7"/>
    <w:rsid w:val="003665E6"/>
    <w:rsid w:val="003752C3"/>
    <w:rsid w:val="00377A27"/>
    <w:rsid w:val="00382DAA"/>
    <w:rsid w:val="003A1F1D"/>
    <w:rsid w:val="003A65C6"/>
    <w:rsid w:val="003B6C03"/>
    <w:rsid w:val="003C2F59"/>
    <w:rsid w:val="003C53F4"/>
    <w:rsid w:val="003E3F79"/>
    <w:rsid w:val="003F74AF"/>
    <w:rsid w:val="00414911"/>
    <w:rsid w:val="00416A3D"/>
    <w:rsid w:val="004355E7"/>
    <w:rsid w:val="0044529E"/>
    <w:rsid w:val="00447C60"/>
    <w:rsid w:val="00456D05"/>
    <w:rsid w:val="00475B1B"/>
    <w:rsid w:val="004A24C7"/>
    <w:rsid w:val="004A3D84"/>
    <w:rsid w:val="004C7D5D"/>
    <w:rsid w:val="004D5C41"/>
    <w:rsid w:val="004E2408"/>
    <w:rsid w:val="004E2BE0"/>
    <w:rsid w:val="004E34E2"/>
    <w:rsid w:val="004F52DA"/>
    <w:rsid w:val="004F5BBD"/>
    <w:rsid w:val="00506B1E"/>
    <w:rsid w:val="005210BD"/>
    <w:rsid w:val="005553B1"/>
    <w:rsid w:val="005564F4"/>
    <w:rsid w:val="00565807"/>
    <w:rsid w:val="00581ADD"/>
    <w:rsid w:val="00583A21"/>
    <w:rsid w:val="00584A95"/>
    <w:rsid w:val="00592C0B"/>
    <w:rsid w:val="00595D5C"/>
    <w:rsid w:val="005A6448"/>
    <w:rsid w:val="005A6C83"/>
    <w:rsid w:val="005C1079"/>
    <w:rsid w:val="005E5FE2"/>
    <w:rsid w:val="00610083"/>
    <w:rsid w:val="0061155E"/>
    <w:rsid w:val="006200F9"/>
    <w:rsid w:val="00626810"/>
    <w:rsid w:val="006324C5"/>
    <w:rsid w:val="006566D3"/>
    <w:rsid w:val="0067114A"/>
    <w:rsid w:val="00671493"/>
    <w:rsid w:val="006B453E"/>
    <w:rsid w:val="006B7767"/>
    <w:rsid w:val="006D3D29"/>
    <w:rsid w:val="00703BEE"/>
    <w:rsid w:val="007109FE"/>
    <w:rsid w:val="00714874"/>
    <w:rsid w:val="00737999"/>
    <w:rsid w:val="00753E02"/>
    <w:rsid w:val="0075719A"/>
    <w:rsid w:val="00773F5A"/>
    <w:rsid w:val="00780F02"/>
    <w:rsid w:val="007A22CE"/>
    <w:rsid w:val="007B07EA"/>
    <w:rsid w:val="007B15F1"/>
    <w:rsid w:val="007B26DD"/>
    <w:rsid w:val="007B70CD"/>
    <w:rsid w:val="007C13CB"/>
    <w:rsid w:val="007C7810"/>
    <w:rsid w:val="007E1B47"/>
    <w:rsid w:val="007F092C"/>
    <w:rsid w:val="007F7B6E"/>
    <w:rsid w:val="008006A8"/>
    <w:rsid w:val="0080368D"/>
    <w:rsid w:val="0081057F"/>
    <w:rsid w:val="0081414E"/>
    <w:rsid w:val="008238B2"/>
    <w:rsid w:val="00824C5A"/>
    <w:rsid w:val="00825C6D"/>
    <w:rsid w:val="008311C3"/>
    <w:rsid w:val="008333A9"/>
    <w:rsid w:val="008602DF"/>
    <w:rsid w:val="00860D71"/>
    <w:rsid w:val="00860F83"/>
    <w:rsid w:val="00893246"/>
    <w:rsid w:val="008A030C"/>
    <w:rsid w:val="008B1642"/>
    <w:rsid w:val="008B24C6"/>
    <w:rsid w:val="008B4C59"/>
    <w:rsid w:val="008B556B"/>
    <w:rsid w:val="008B68E3"/>
    <w:rsid w:val="008D344C"/>
    <w:rsid w:val="008F2ABD"/>
    <w:rsid w:val="008F7312"/>
    <w:rsid w:val="008F7EBB"/>
    <w:rsid w:val="009027A7"/>
    <w:rsid w:val="0092447D"/>
    <w:rsid w:val="00925395"/>
    <w:rsid w:val="0092609F"/>
    <w:rsid w:val="0093244B"/>
    <w:rsid w:val="00934A54"/>
    <w:rsid w:val="00953762"/>
    <w:rsid w:val="00953B10"/>
    <w:rsid w:val="00960F86"/>
    <w:rsid w:val="00964788"/>
    <w:rsid w:val="00967242"/>
    <w:rsid w:val="0097353E"/>
    <w:rsid w:val="009B5834"/>
    <w:rsid w:val="009B5991"/>
    <w:rsid w:val="009B6301"/>
    <w:rsid w:val="009E14AD"/>
    <w:rsid w:val="00A04799"/>
    <w:rsid w:val="00A16BEA"/>
    <w:rsid w:val="00A31245"/>
    <w:rsid w:val="00A3299A"/>
    <w:rsid w:val="00A349DC"/>
    <w:rsid w:val="00A35ADC"/>
    <w:rsid w:val="00A55CFE"/>
    <w:rsid w:val="00A6470F"/>
    <w:rsid w:val="00A6784C"/>
    <w:rsid w:val="00A70757"/>
    <w:rsid w:val="00A71971"/>
    <w:rsid w:val="00A77573"/>
    <w:rsid w:val="00A94164"/>
    <w:rsid w:val="00A96076"/>
    <w:rsid w:val="00AC156F"/>
    <w:rsid w:val="00AC25D1"/>
    <w:rsid w:val="00AD447D"/>
    <w:rsid w:val="00AD5D3D"/>
    <w:rsid w:val="00AE646E"/>
    <w:rsid w:val="00AF27A2"/>
    <w:rsid w:val="00AF6CE3"/>
    <w:rsid w:val="00B0084F"/>
    <w:rsid w:val="00B01B57"/>
    <w:rsid w:val="00B36CAA"/>
    <w:rsid w:val="00B46159"/>
    <w:rsid w:val="00B463B5"/>
    <w:rsid w:val="00B51D87"/>
    <w:rsid w:val="00B560B4"/>
    <w:rsid w:val="00B56C78"/>
    <w:rsid w:val="00B578AB"/>
    <w:rsid w:val="00B61406"/>
    <w:rsid w:val="00B70476"/>
    <w:rsid w:val="00B74074"/>
    <w:rsid w:val="00B965B4"/>
    <w:rsid w:val="00BA5F60"/>
    <w:rsid w:val="00BB1136"/>
    <w:rsid w:val="00BC72EF"/>
    <w:rsid w:val="00BD14D2"/>
    <w:rsid w:val="00BD2438"/>
    <w:rsid w:val="00BD30E2"/>
    <w:rsid w:val="00BD3695"/>
    <w:rsid w:val="00BE106C"/>
    <w:rsid w:val="00C05C6D"/>
    <w:rsid w:val="00C116E4"/>
    <w:rsid w:val="00C6417F"/>
    <w:rsid w:val="00C848CD"/>
    <w:rsid w:val="00C9048D"/>
    <w:rsid w:val="00C94286"/>
    <w:rsid w:val="00C9430B"/>
    <w:rsid w:val="00C95588"/>
    <w:rsid w:val="00CA58F8"/>
    <w:rsid w:val="00CC69AD"/>
    <w:rsid w:val="00CC7992"/>
    <w:rsid w:val="00CD3D84"/>
    <w:rsid w:val="00CD45B3"/>
    <w:rsid w:val="00CE2130"/>
    <w:rsid w:val="00CF003B"/>
    <w:rsid w:val="00CF2DF3"/>
    <w:rsid w:val="00CF6D85"/>
    <w:rsid w:val="00D03C3D"/>
    <w:rsid w:val="00D046E9"/>
    <w:rsid w:val="00D11376"/>
    <w:rsid w:val="00D122FD"/>
    <w:rsid w:val="00D16A72"/>
    <w:rsid w:val="00D24C2A"/>
    <w:rsid w:val="00D259C6"/>
    <w:rsid w:val="00D576EB"/>
    <w:rsid w:val="00D62BA7"/>
    <w:rsid w:val="00D66414"/>
    <w:rsid w:val="00D85B8B"/>
    <w:rsid w:val="00D9332A"/>
    <w:rsid w:val="00D97F81"/>
    <w:rsid w:val="00DB1F9E"/>
    <w:rsid w:val="00DB6782"/>
    <w:rsid w:val="00DB6DF9"/>
    <w:rsid w:val="00E070AB"/>
    <w:rsid w:val="00E10438"/>
    <w:rsid w:val="00E17A6B"/>
    <w:rsid w:val="00E218AD"/>
    <w:rsid w:val="00E25318"/>
    <w:rsid w:val="00E56527"/>
    <w:rsid w:val="00E5692B"/>
    <w:rsid w:val="00E6015F"/>
    <w:rsid w:val="00E77D08"/>
    <w:rsid w:val="00E80904"/>
    <w:rsid w:val="00E909A2"/>
    <w:rsid w:val="00E940FF"/>
    <w:rsid w:val="00EA5C4E"/>
    <w:rsid w:val="00EB4D24"/>
    <w:rsid w:val="00EB5E77"/>
    <w:rsid w:val="00EB6CD2"/>
    <w:rsid w:val="00ED768B"/>
    <w:rsid w:val="00EE0F66"/>
    <w:rsid w:val="00EE6B9C"/>
    <w:rsid w:val="00F124C5"/>
    <w:rsid w:val="00F22249"/>
    <w:rsid w:val="00F25C57"/>
    <w:rsid w:val="00F3120D"/>
    <w:rsid w:val="00F53E46"/>
    <w:rsid w:val="00F60B37"/>
    <w:rsid w:val="00F704CC"/>
    <w:rsid w:val="00F70D36"/>
    <w:rsid w:val="00F85FE3"/>
    <w:rsid w:val="00F92B6E"/>
    <w:rsid w:val="00FE183A"/>
    <w:rsid w:val="00FE204A"/>
    <w:rsid w:val="00FE5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C4636"/>
  <w15:docId w15:val="{49F6A346-9E3F-443E-A2B3-C303A633A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qFormat/>
    <w:pPr>
      <w:spacing w:before="400" w:after="200"/>
      <w:outlineLvl w:val="0"/>
    </w:pPr>
    <w:rPr>
      <w:b/>
      <w:bCs/>
      <w:color w:val="000000"/>
      <w:sz w:val="32"/>
      <w:szCs w:val="32"/>
    </w:rPr>
  </w:style>
  <w:style w:type="paragraph" w:styleId="Heading2">
    <w:name w:val="heading 2"/>
    <w:link w:val="Heading2Char"/>
    <w:qFormat/>
    <w:pPr>
      <w:spacing w:before="300" w:after="160"/>
      <w:outlineLvl w:val="1"/>
    </w:pPr>
    <w:rPr>
      <w:b/>
      <w:bCs/>
      <w:color w:val="000000"/>
      <w:sz w:val="28"/>
      <w:szCs w:val="28"/>
    </w:rPr>
  </w:style>
  <w:style w:type="paragraph" w:styleId="Heading3">
    <w:name w:val="heading 3"/>
    <w:link w:val="Heading3Char"/>
    <w:qFormat/>
    <w:pPr>
      <w:spacing w:before="240" w:after="120"/>
      <w:outlineLvl w:val="2"/>
    </w:pPr>
    <w:rPr>
      <w:b/>
      <w:bCs/>
      <w:color w:val="000000"/>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rsid w:val="009B5991"/>
    <w:rPr>
      <w:b/>
      <w:bCs/>
      <w:color w:val="000000"/>
      <w:sz w:val="32"/>
      <w:szCs w:val="32"/>
    </w:rPr>
  </w:style>
  <w:style w:type="character" w:customStyle="1" w:styleId="Heading2Char">
    <w:name w:val="Heading 2 Char"/>
    <w:basedOn w:val="DefaultParagraphFont"/>
    <w:link w:val="Heading2"/>
    <w:rsid w:val="009B5991"/>
    <w:rPr>
      <w:b/>
      <w:bCs/>
      <w:color w:val="000000"/>
      <w:sz w:val="28"/>
      <w:szCs w:val="28"/>
    </w:rPr>
  </w:style>
  <w:style w:type="character" w:customStyle="1" w:styleId="Heading3Char">
    <w:name w:val="Heading 3 Char"/>
    <w:basedOn w:val="DefaultParagraphFont"/>
    <w:link w:val="Heading3"/>
    <w:rsid w:val="009B5991"/>
    <w:rPr>
      <w:b/>
      <w:bCs/>
      <w:color w:val="000000"/>
    </w:rPr>
  </w:style>
  <w:style w:type="paragraph" w:styleId="Caption">
    <w:name w:val="caption"/>
    <w:basedOn w:val="Normal"/>
    <w:next w:val="Normal"/>
    <w:uiPriority w:val="35"/>
    <w:unhideWhenUsed/>
    <w:qFormat/>
    <w:rsid w:val="0056580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9332A"/>
    <w:pPr>
      <w:keepNext/>
      <w:keepLines/>
      <w:spacing w:before="240" w:after="0" w:line="259" w:lineRule="auto"/>
      <w:outlineLvl w:val="9"/>
    </w:pPr>
    <w:rPr>
      <w:rFonts w:asciiTheme="majorHAnsi" w:eastAsiaTheme="majorEastAsia" w:hAnsiTheme="majorHAnsi" w:cstheme="majorBidi"/>
      <w:b w:val="0"/>
      <w:bCs w:val="0"/>
      <w:color w:val="2E74B5" w:themeColor="accent1" w:themeShade="BF"/>
      <w:lang w:val="en-US" w:eastAsia="en-US"/>
    </w:rPr>
  </w:style>
  <w:style w:type="paragraph" w:styleId="TOC1">
    <w:name w:val="toc 1"/>
    <w:basedOn w:val="Normal"/>
    <w:next w:val="Normal"/>
    <w:autoRedefine/>
    <w:uiPriority w:val="39"/>
    <w:unhideWhenUsed/>
    <w:rsid w:val="00D9332A"/>
    <w:pPr>
      <w:spacing w:after="100"/>
    </w:pPr>
  </w:style>
  <w:style w:type="paragraph" w:styleId="TOC2">
    <w:name w:val="toc 2"/>
    <w:basedOn w:val="Normal"/>
    <w:next w:val="Normal"/>
    <w:autoRedefine/>
    <w:uiPriority w:val="39"/>
    <w:unhideWhenUsed/>
    <w:rsid w:val="003C53F4"/>
    <w:pPr>
      <w:tabs>
        <w:tab w:val="right" w:leader="dot" w:pos="8656"/>
      </w:tabs>
      <w:spacing w:after="100"/>
      <w:ind w:left="240"/>
      <w:jc w:val="both"/>
    </w:pPr>
  </w:style>
  <w:style w:type="paragraph" w:styleId="TOC3">
    <w:name w:val="toc 3"/>
    <w:basedOn w:val="Normal"/>
    <w:next w:val="Normal"/>
    <w:autoRedefine/>
    <w:uiPriority w:val="39"/>
    <w:unhideWhenUsed/>
    <w:rsid w:val="00D9332A"/>
    <w:pPr>
      <w:spacing w:after="100"/>
      <w:ind w:left="480"/>
    </w:pPr>
  </w:style>
  <w:style w:type="paragraph" w:styleId="TableofFigures">
    <w:name w:val="table of figures"/>
    <w:basedOn w:val="Normal"/>
    <w:next w:val="Normal"/>
    <w:uiPriority w:val="99"/>
    <w:unhideWhenUsed/>
    <w:rsid w:val="00D9332A"/>
  </w:style>
  <w:style w:type="paragraph" w:styleId="Header">
    <w:name w:val="header"/>
    <w:basedOn w:val="Normal"/>
    <w:link w:val="HeaderChar"/>
    <w:uiPriority w:val="99"/>
    <w:unhideWhenUsed/>
    <w:rsid w:val="00D9332A"/>
    <w:pPr>
      <w:tabs>
        <w:tab w:val="center" w:pos="4513"/>
        <w:tab w:val="right" w:pos="9026"/>
      </w:tabs>
      <w:spacing w:line="240" w:lineRule="auto"/>
    </w:pPr>
  </w:style>
  <w:style w:type="character" w:customStyle="1" w:styleId="HeaderChar">
    <w:name w:val="Header Char"/>
    <w:basedOn w:val="DefaultParagraphFont"/>
    <w:link w:val="Header"/>
    <w:uiPriority w:val="99"/>
    <w:rsid w:val="00D9332A"/>
  </w:style>
  <w:style w:type="paragraph" w:styleId="Footer">
    <w:name w:val="footer"/>
    <w:basedOn w:val="Normal"/>
    <w:link w:val="FooterChar"/>
    <w:uiPriority w:val="99"/>
    <w:unhideWhenUsed/>
    <w:rsid w:val="00D9332A"/>
    <w:pPr>
      <w:tabs>
        <w:tab w:val="center" w:pos="4513"/>
        <w:tab w:val="right" w:pos="9026"/>
      </w:tabs>
      <w:spacing w:line="240" w:lineRule="auto"/>
    </w:pPr>
  </w:style>
  <w:style w:type="character" w:customStyle="1" w:styleId="FooterChar">
    <w:name w:val="Footer Char"/>
    <w:basedOn w:val="DefaultParagraphFont"/>
    <w:link w:val="Footer"/>
    <w:uiPriority w:val="99"/>
    <w:rsid w:val="00D9332A"/>
  </w:style>
  <w:style w:type="paragraph" w:styleId="NoSpacing">
    <w:name w:val="No Spacing"/>
    <w:uiPriority w:val="1"/>
    <w:qFormat/>
    <w:rsid w:val="0000144F"/>
    <w:pPr>
      <w:spacing w:line="240" w:lineRule="auto"/>
    </w:pPr>
  </w:style>
  <w:style w:type="table" w:styleId="TableGrid">
    <w:name w:val="Table Grid"/>
    <w:basedOn w:val="TableNormal"/>
    <w:uiPriority w:val="39"/>
    <w:rsid w:val="0097353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06FB5"/>
    <w:rPr>
      <w:sz w:val="16"/>
      <w:szCs w:val="16"/>
    </w:rPr>
  </w:style>
  <w:style w:type="paragraph" w:styleId="CommentText">
    <w:name w:val="annotation text"/>
    <w:basedOn w:val="Normal"/>
    <w:link w:val="CommentTextChar"/>
    <w:uiPriority w:val="99"/>
    <w:unhideWhenUsed/>
    <w:rsid w:val="00006FB5"/>
    <w:pPr>
      <w:spacing w:line="240" w:lineRule="auto"/>
    </w:pPr>
    <w:rPr>
      <w:sz w:val="20"/>
      <w:szCs w:val="20"/>
    </w:rPr>
  </w:style>
  <w:style w:type="character" w:customStyle="1" w:styleId="CommentTextChar">
    <w:name w:val="Comment Text Char"/>
    <w:basedOn w:val="DefaultParagraphFont"/>
    <w:link w:val="CommentText"/>
    <w:uiPriority w:val="99"/>
    <w:rsid w:val="00006FB5"/>
    <w:rPr>
      <w:sz w:val="20"/>
      <w:szCs w:val="20"/>
    </w:rPr>
  </w:style>
  <w:style w:type="paragraph" w:styleId="CommentSubject">
    <w:name w:val="annotation subject"/>
    <w:basedOn w:val="CommentText"/>
    <w:next w:val="CommentText"/>
    <w:link w:val="CommentSubjectChar"/>
    <w:uiPriority w:val="99"/>
    <w:semiHidden/>
    <w:unhideWhenUsed/>
    <w:rsid w:val="00006FB5"/>
    <w:rPr>
      <w:b/>
      <w:bCs/>
    </w:rPr>
  </w:style>
  <w:style w:type="character" w:customStyle="1" w:styleId="CommentSubjectChar">
    <w:name w:val="Comment Subject Char"/>
    <w:basedOn w:val="CommentTextChar"/>
    <w:link w:val="CommentSubject"/>
    <w:uiPriority w:val="99"/>
    <w:semiHidden/>
    <w:rsid w:val="00006FB5"/>
    <w:rPr>
      <w:b/>
      <w:bCs/>
      <w:sz w:val="20"/>
      <w:szCs w:val="20"/>
    </w:rPr>
  </w:style>
  <w:style w:type="paragraph" w:styleId="BalloonText">
    <w:name w:val="Balloon Text"/>
    <w:basedOn w:val="Normal"/>
    <w:link w:val="BalloonTextChar"/>
    <w:uiPriority w:val="99"/>
    <w:semiHidden/>
    <w:unhideWhenUsed/>
    <w:rsid w:val="000F5A7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A7C"/>
    <w:rPr>
      <w:rFonts w:ascii="Segoe UI" w:hAnsi="Segoe UI" w:cs="Segoe UI"/>
      <w:sz w:val="18"/>
      <w:szCs w:val="18"/>
    </w:rPr>
  </w:style>
  <w:style w:type="paragraph" w:styleId="NormalWeb">
    <w:name w:val="Normal (Web)"/>
    <w:basedOn w:val="Normal"/>
    <w:uiPriority w:val="99"/>
    <w:semiHidden/>
    <w:unhideWhenUsed/>
    <w:rsid w:val="00F53E46"/>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219129">
      <w:bodyDiv w:val="1"/>
      <w:marLeft w:val="0"/>
      <w:marRight w:val="0"/>
      <w:marTop w:val="0"/>
      <w:marBottom w:val="0"/>
      <w:divBdr>
        <w:top w:val="none" w:sz="0" w:space="0" w:color="auto"/>
        <w:left w:val="none" w:sz="0" w:space="0" w:color="auto"/>
        <w:bottom w:val="none" w:sz="0" w:space="0" w:color="auto"/>
        <w:right w:val="none" w:sz="0" w:space="0" w:color="auto"/>
      </w:divBdr>
      <w:divsChild>
        <w:div w:id="1672217147">
          <w:marLeft w:val="0"/>
          <w:marRight w:val="0"/>
          <w:marTop w:val="0"/>
          <w:marBottom w:val="0"/>
          <w:divBdr>
            <w:top w:val="none" w:sz="0" w:space="0" w:color="auto"/>
            <w:left w:val="none" w:sz="0" w:space="0" w:color="auto"/>
            <w:bottom w:val="none" w:sz="0" w:space="0" w:color="auto"/>
            <w:right w:val="none" w:sz="0" w:space="0" w:color="auto"/>
          </w:divBdr>
          <w:divsChild>
            <w:div w:id="1422412704">
              <w:marLeft w:val="0"/>
              <w:marRight w:val="0"/>
              <w:marTop w:val="0"/>
              <w:marBottom w:val="0"/>
              <w:divBdr>
                <w:top w:val="none" w:sz="0" w:space="0" w:color="auto"/>
                <w:left w:val="none" w:sz="0" w:space="0" w:color="auto"/>
                <w:bottom w:val="none" w:sz="0" w:space="0" w:color="auto"/>
                <w:right w:val="none" w:sz="0" w:space="0" w:color="auto"/>
              </w:divBdr>
              <w:divsChild>
                <w:div w:id="1323699930">
                  <w:marLeft w:val="0"/>
                  <w:marRight w:val="0"/>
                  <w:marTop w:val="0"/>
                  <w:marBottom w:val="0"/>
                  <w:divBdr>
                    <w:top w:val="none" w:sz="0" w:space="0" w:color="auto"/>
                    <w:left w:val="none" w:sz="0" w:space="0" w:color="auto"/>
                    <w:bottom w:val="none" w:sz="0" w:space="0" w:color="auto"/>
                    <w:right w:val="none" w:sz="0" w:space="0" w:color="auto"/>
                  </w:divBdr>
                  <w:divsChild>
                    <w:div w:id="136144415">
                      <w:marLeft w:val="0"/>
                      <w:marRight w:val="0"/>
                      <w:marTop w:val="0"/>
                      <w:marBottom w:val="0"/>
                      <w:divBdr>
                        <w:top w:val="none" w:sz="0" w:space="0" w:color="auto"/>
                        <w:left w:val="none" w:sz="0" w:space="0" w:color="auto"/>
                        <w:bottom w:val="none" w:sz="0" w:space="0" w:color="auto"/>
                        <w:right w:val="none" w:sz="0" w:space="0" w:color="auto"/>
                      </w:divBdr>
                      <w:divsChild>
                        <w:div w:id="1607467398">
                          <w:marLeft w:val="0"/>
                          <w:marRight w:val="0"/>
                          <w:marTop w:val="0"/>
                          <w:marBottom w:val="0"/>
                          <w:divBdr>
                            <w:top w:val="none" w:sz="0" w:space="0" w:color="auto"/>
                            <w:left w:val="none" w:sz="0" w:space="0" w:color="auto"/>
                            <w:bottom w:val="none" w:sz="0" w:space="0" w:color="auto"/>
                            <w:right w:val="none" w:sz="0" w:space="0" w:color="auto"/>
                          </w:divBdr>
                          <w:divsChild>
                            <w:div w:id="1766613768">
                              <w:marLeft w:val="0"/>
                              <w:marRight w:val="0"/>
                              <w:marTop w:val="0"/>
                              <w:marBottom w:val="0"/>
                              <w:divBdr>
                                <w:top w:val="none" w:sz="0" w:space="0" w:color="auto"/>
                                <w:left w:val="none" w:sz="0" w:space="0" w:color="auto"/>
                                <w:bottom w:val="none" w:sz="0" w:space="0" w:color="auto"/>
                                <w:right w:val="none" w:sz="0" w:space="0" w:color="auto"/>
                              </w:divBdr>
                              <w:divsChild>
                                <w:div w:id="70741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914685">
      <w:bodyDiv w:val="1"/>
      <w:marLeft w:val="0"/>
      <w:marRight w:val="0"/>
      <w:marTop w:val="0"/>
      <w:marBottom w:val="0"/>
      <w:divBdr>
        <w:top w:val="none" w:sz="0" w:space="0" w:color="auto"/>
        <w:left w:val="none" w:sz="0" w:space="0" w:color="auto"/>
        <w:bottom w:val="none" w:sz="0" w:space="0" w:color="auto"/>
        <w:right w:val="none" w:sz="0" w:space="0" w:color="auto"/>
      </w:divBdr>
    </w:div>
    <w:div w:id="536354039">
      <w:bodyDiv w:val="1"/>
      <w:marLeft w:val="0"/>
      <w:marRight w:val="0"/>
      <w:marTop w:val="0"/>
      <w:marBottom w:val="0"/>
      <w:divBdr>
        <w:top w:val="none" w:sz="0" w:space="0" w:color="auto"/>
        <w:left w:val="none" w:sz="0" w:space="0" w:color="auto"/>
        <w:bottom w:val="none" w:sz="0" w:space="0" w:color="auto"/>
        <w:right w:val="none" w:sz="0" w:space="0" w:color="auto"/>
      </w:divBdr>
    </w:div>
    <w:div w:id="842816290">
      <w:bodyDiv w:val="1"/>
      <w:marLeft w:val="0"/>
      <w:marRight w:val="0"/>
      <w:marTop w:val="0"/>
      <w:marBottom w:val="0"/>
      <w:divBdr>
        <w:top w:val="none" w:sz="0" w:space="0" w:color="auto"/>
        <w:left w:val="none" w:sz="0" w:space="0" w:color="auto"/>
        <w:bottom w:val="none" w:sz="0" w:space="0" w:color="auto"/>
        <w:right w:val="none" w:sz="0" w:space="0" w:color="auto"/>
      </w:divBdr>
    </w:div>
    <w:div w:id="1161310691">
      <w:bodyDiv w:val="1"/>
      <w:marLeft w:val="0"/>
      <w:marRight w:val="0"/>
      <w:marTop w:val="0"/>
      <w:marBottom w:val="0"/>
      <w:divBdr>
        <w:top w:val="none" w:sz="0" w:space="0" w:color="auto"/>
        <w:left w:val="none" w:sz="0" w:space="0" w:color="auto"/>
        <w:bottom w:val="none" w:sz="0" w:space="0" w:color="auto"/>
        <w:right w:val="none" w:sz="0" w:space="0" w:color="auto"/>
      </w:divBdr>
      <w:divsChild>
        <w:div w:id="180896271">
          <w:marLeft w:val="-720"/>
          <w:marRight w:val="0"/>
          <w:marTop w:val="0"/>
          <w:marBottom w:val="0"/>
          <w:divBdr>
            <w:top w:val="none" w:sz="0" w:space="0" w:color="auto"/>
            <w:left w:val="none" w:sz="0" w:space="0" w:color="auto"/>
            <w:bottom w:val="none" w:sz="0" w:space="0" w:color="auto"/>
            <w:right w:val="none" w:sz="0" w:space="0" w:color="auto"/>
          </w:divBdr>
        </w:div>
      </w:divsChild>
    </w:div>
    <w:div w:id="1209099869">
      <w:bodyDiv w:val="1"/>
      <w:marLeft w:val="0"/>
      <w:marRight w:val="0"/>
      <w:marTop w:val="0"/>
      <w:marBottom w:val="0"/>
      <w:divBdr>
        <w:top w:val="none" w:sz="0" w:space="0" w:color="auto"/>
        <w:left w:val="none" w:sz="0" w:space="0" w:color="auto"/>
        <w:bottom w:val="none" w:sz="0" w:space="0" w:color="auto"/>
        <w:right w:val="none" w:sz="0" w:space="0" w:color="auto"/>
      </w:divBdr>
      <w:divsChild>
        <w:div w:id="1074275222">
          <w:marLeft w:val="0"/>
          <w:marRight w:val="0"/>
          <w:marTop w:val="0"/>
          <w:marBottom w:val="0"/>
          <w:divBdr>
            <w:top w:val="none" w:sz="0" w:space="0" w:color="auto"/>
            <w:left w:val="none" w:sz="0" w:space="0" w:color="auto"/>
            <w:bottom w:val="none" w:sz="0" w:space="0" w:color="auto"/>
            <w:right w:val="none" w:sz="0" w:space="0" w:color="auto"/>
          </w:divBdr>
          <w:divsChild>
            <w:div w:id="1731463180">
              <w:marLeft w:val="0"/>
              <w:marRight w:val="0"/>
              <w:marTop w:val="0"/>
              <w:marBottom w:val="0"/>
              <w:divBdr>
                <w:top w:val="none" w:sz="0" w:space="0" w:color="auto"/>
                <w:left w:val="none" w:sz="0" w:space="0" w:color="auto"/>
                <w:bottom w:val="none" w:sz="0" w:space="0" w:color="auto"/>
                <w:right w:val="none" w:sz="0" w:space="0" w:color="auto"/>
              </w:divBdr>
              <w:divsChild>
                <w:div w:id="258564639">
                  <w:marLeft w:val="0"/>
                  <w:marRight w:val="0"/>
                  <w:marTop w:val="0"/>
                  <w:marBottom w:val="0"/>
                  <w:divBdr>
                    <w:top w:val="none" w:sz="0" w:space="0" w:color="auto"/>
                    <w:left w:val="none" w:sz="0" w:space="0" w:color="auto"/>
                    <w:bottom w:val="none" w:sz="0" w:space="0" w:color="auto"/>
                    <w:right w:val="none" w:sz="0" w:space="0" w:color="auto"/>
                  </w:divBdr>
                  <w:divsChild>
                    <w:div w:id="150145956">
                      <w:marLeft w:val="0"/>
                      <w:marRight w:val="0"/>
                      <w:marTop w:val="0"/>
                      <w:marBottom w:val="0"/>
                      <w:divBdr>
                        <w:top w:val="none" w:sz="0" w:space="0" w:color="auto"/>
                        <w:left w:val="none" w:sz="0" w:space="0" w:color="auto"/>
                        <w:bottom w:val="none" w:sz="0" w:space="0" w:color="auto"/>
                        <w:right w:val="none" w:sz="0" w:space="0" w:color="auto"/>
                      </w:divBdr>
                      <w:divsChild>
                        <w:div w:id="1369529287">
                          <w:marLeft w:val="0"/>
                          <w:marRight w:val="0"/>
                          <w:marTop w:val="0"/>
                          <w:marBottom w:val="0"/>
                          <w:divBdr>
                            <w:top w:val="none" w:sz="0" w:space="0" w:color="auto"/>
                            <w:left w:val="none" w:sz="0" w:space="0" w:color="auto"/>
                            <w:bottom w:val="none" w:sz="0" w:space="0" w:color="auto"/>
                            <w:right w:val="none" w:sz="0" w:space="0" w:color="auto"/>
                          </w:divBdr>
                          <w:divsChild>
                            <w:div w:id="2051101374">
                              <w:marLeft w:val="0"/>
                              <w:marRight w:val="0"/>
                              <w:marTop w:val="0"/>
                              <w:marBottom w:val="0"/>
                              <w:divBdr>
                                <w:top w:val="none" w:sz="0" w:space="0" w:color="auto"/>
                                <w:left w:val="none" w:sz="0" w:space="0" w:color="auto"/>
                                <w:bottom w:val="none" w:sz="0" w:space="0" w:color="auto"/>
                                <w:right w:val="none" w:sz="0" w:space="0" w:color="auto"/>
                              </w:divBdr>
                              <w:divsChild>
                                <w:div w:id="125535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9753184">
      <w:bodyDiv w:val="1"/>
      <w:marLeft w:val="0"/>
      <w:marRight w:val="0"/>
      <w:marTop w:val="0"/>
      <w:marBottom w:val="0"/>
      <w:divBdr>
        <w:top w:val="none" w:sz="0" w:space="0" w:color="auto"/>
        <w:left w:val="none" w:sz="0" w:space="0" w:color="auto"/>
        <w:bottom w:val="none" w:sz="0" w:space="0" w:color="auto"/>
        <w:right w:val="none" w:sz="0" w:space="0" w:color="auto"/>
      </w:divBdr>
    </w:div>
    <w:div w:id="1536386685">
      <w:bodyDiv w:val="1"/>
      <w:marLeft w:val="0"/>
      <w:marRight w:val="0"/>
      <w:marTop w:val="0"/>
      <w:marBottom w:val="0"/>
      <w:divBdr>
        <w:top w:val="none" w:sz="0" w:space="0" w:color="auto"/>
        <w:left w:val="none" w:sz="0" w:space="0" w:color="auto"/>
        <w:bottom w:val="none" w:sz="0" w:space="0" w:color="auto"/>
        <w:right w:val="none" w:sz="0" w:space="0" w:color="auto"/>
      </w:divBdr>
      <w:divsChild>
        <w:div w:id="349599771">
          <w:marLeft w:val="-720"/>
          <w:marRight w:val="0"/>
          <w:marTop w:val="0"/>
          <w:marBottom w:val="0"/>
          <w:divBdr>
            <w:top w:val="none" w:sz="0" w:space="0" w:color="auto"/>
            <w:left w:val="none" w:sz="0" w:space="0" w:color="auto"/>
            <w:bottom w:val="none" w:sz="0" w:space="0" w:color="auto"/>
            <w:right w:val="none" w:sz="0" w:space="0" w:color="auto"/>
          </w:divBdr>
        </w:div>
      </w:divsChild>
    </w:div>
    <w:div w:id="1638489168">
      <w:bodyDiv w:val="1"/>
      <w:marLeft w:val="0"/>
      <w:marRight w:val="0"/>
      <w:marTop w:val="0"/>
      <w:marBottom w:val="0"/>
      <w:divBdr>
        <w:top w:val="none" w:sz="0" w:space="0" w:color="auto"/>
        <w:left w:val="none" w:sz="0" w:space="0" w:color="auto"/>
        <w:bottom w:val="none" w:sz="0" w:space="0" w:color="auto"/>
        <w:right w:val="none" w:sz="0" w:space="0" w:color="auto"/>
      </w:divBdr>
      <w:divsChild>
        <w:div w:id="1049066931">
          <w:marLeft w:val="0"/>
          <w:marRight w:val="0"/>
          <w:marTop w:val="0"/>
          <w:marBottom w:val="0"/>
          <w:divBdr>
            <w:top w:val="none" w:sz="0" w:space="0" w:color="auto"/>
            <w:left w:val="none" w:sz="0" w:space="0" w:color="auto"/>
            <w:bottom w:val="none" w:sz="0" w:space="0" w:color="auto"/>
            <w:right w:val="none" w:sz="0" w:space="0" w:color="auto"/>
          </w:divBdr>
          <w:divsChild>
            <w:div w:id="600527736">
              <w:marLeft w:val="0"/>
              <w:marRight w:val="0"/>
              <w:marTop w:val="0"/>
              <w:marBottom w:val="0"/>
              <w:divBdr>
                <w:top w:val="none" w:sz="0" w:space="0" w:color="auto"/>
                <w:left w:val="none" w:sz="0" w:space="0" w:color="auto"/>
                <w:bottom w:val="none" w:sz="0" w:space="0" w:color="auto"/>
                <w:right w:val="none" w:sz="0" w:space="0" w:color="auto"/>
              </w:divBdr>
              <w:divsChild>
                <w:div w:id="2092316707">
                  <w:marLeft w:val="0"/>
                  <w:marRight w:val="0"/>
                  <w:marTop w:val="0"/>
                  <w:marBottom w:val="0"/>
                  <w:divBdr>
                    <w:top w:val="none" w:sz="0" w:space="0" w:color="auto"/>
                    <w:left w:val="none" w:sz="0" w:space="0" w:color="auto"/>
                    <w:bottom w:val="none" w:sz="0" w:space="0" w:color="auto"/>
                    <w:right w:val="none" w:sz="0" w:space="0" w:color="auto"/>
                  </w:divBdr>
                  <w:divsChild>
                    <w:div w:id="1828857728">
                      <w:marLeft w:val="0"/>
                      <w:marRight w:val="0"/>
                      <w:marTop w:val="0"/>
                      <w:marBottom w:val="0"/>
                      <w:divBdr>
                        <w:top w:val="none" w:sz="0" w:space="0" w:color="auto"/>
                        <w:left w:val="none" w:sz="0" w:space="0" w:color="auto"/>
                        <w:bottom w:val="none" w:sz="0" w:space="0" w:color="auto"/>
                        <w:right w:val="none" w:sz="0" w:space="0" w:color="auto"/>
                      </w:divBdr>
                      <w:divsChild>
                        <w:div w:id="1736470208">
                          <w:marLeft w:val="0"/>
                          <w:marRight w:val="0"/>
                          <w:marTop w:val="0"/>
                          <w:marBottom w:val="0"/>
                          <w:divBdr>
                            <w:top w:val="none" w:sz="0" w:space="0" w:color="auto"/>
                            <w:left w:val="none" w:sz="0" w:space="0" w:color="auto"/>
                            <w:bottom w:val="none" w:sz="0" w:space="0" w:color="auto"/>
                            <w:right w:val="none" w:sz="0" w:space="0" w:color="auto"/>
                          </w:divBdr>
                          <w:divsChild>
                            <w:div w:id="2131783564">
                              <w:marLeft w:val="0"/>
                              <w:marRight w:val="0"/>
                              <w:marTop w:val="0"/>
                              <w:marBottom w:val="0"/>
                              <w:divBdr>
                                <w:top w:val="none" w:sz="0" w:space="0" w:color="auto"/>
                                <w:left w:val="none" w:sz="0" w:space="0" w:color="auto"/>
                                <w:bottom w:val="none" w:sz="0" w:space="0" w:color="auto"/>
                                <w:right w:val="none" w:sz="0" w:space="0" w:color="auto"/>
                              </w:divBdr>
                              <w:divsChild>
                                <w:div w:id="34768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028762">
      <w:bodyDiv w:val="1"/>
      <w:marLeft w:val="0"/>
      <w:marRight w:val="0"/>
      <w:marTop w:val="0"/>
      <w:marBottom w:val="0"/>
      <w:divBdr>
        <w:top w:val="none" w:sz="0" w:space="0" w:color="auto"/>
        <w:left w:val="none" w:sz="0" w:space="0" w:color="auto"/>
        <w:bottom w:val="none" w:sz="0" w:space="0" w:color="auto"/>
        <w:right w:val="none" w:sz="0" w:space="0" w:color="auto"/>
      </w:divBdr>
      <w:divsChild>
        <w:div w:id="313611913">
          <w:marLeft w:val="-720"/>
          <w:marRight w:val="0"/>
          <w:marTop w:val="0"/>
          <w:marBottom w:val="0"/>
          <w:divBdr>
            <w:top w:val="none" w:sz="0" w:space="0" w:color="auto"/>
            <w:left w:val="none" w:sz="0" w:space="0" w:color="auto"/>
            <w:bottom w:val="none" w:sz="0" w:space="0" w:color="auto"/>
            <w:right w:val="none" w:sz="0" w:space="0" w:color="auto"/>
          </w:divBdr>
        </w:div>
      </w:divsChild>
    </w:div>
    <w:div w:id="2022079484">
      <w:bodyDiv w:val="1"/>
      <w:marLeft w:val="0"/>
      <w:marRight w:val="0"/>
      <w:marTop w:val="0"/>
      <w:marBottom w:val="0"/>
      <w:divBdr>
        <w:top w:val="none" w:sz="0" w:space="0" w:color="auto"/>
        <w:left w:val="none" w:sz="0" w:space="0" w:color="auto"/>
        <w:bottom w:val="none" w:sz="0" w:space="0" w:color="auto"/>
        <w:right w:val="none" w:sz="0" w:space="0" w:color="auto"/>
      </w:divBdr>
      <w:divsChild>
        <w:div w:id="1814365534">
          <w:marLeft w:val="0"/>
          <w:marRight w:val="0"/>
          <w:marTop w:val="0"/>
          <w:marBottom w:val="0"/>
          <w:divBdr>
            <w:top w:val="none" w:sz="0" w:space="0" w:color="auto"/>
            <w:left w:val="none" w:sz="0" w:space="0" w:color="auto"/>
            <w:bottom w:val="none" w:sz="0" w:space="0" w:color="auto"/>
            <w:right w:val="none" w:sz="0" w:space="0" w:color="auto"/>
          </w:divBdr>
          <w:divsChild>
            <w:div w:id="1163200008">
              <w:marLeft w:val="0"/>
              <w:marRight w:val="0"/>
              <w:marTop w:val="0"/>
              <w:marBottom w:val="0"/>
              <w:divBdr>
                <w:top w:val="none" w:sz="0" w:space="0" w:color="auto"/>
                <w:left w:val="none" w:sz="0" w:space="0" w:color="auto"/>
                <w:bottom w:val="none" w:sz="0" w:space="0" w:color="auto"/>
                <w:right w:val="none" w:sz="0" w:space="0" w:color="auto"/>
              </w:divBdr>
              <w:divsChild>
                <w:div w:id="420416031">
                  <w:marLeft w:val="0"/>
                  <w:marRight w:val="0"/>
                  <w:marTop w:val="0"/>
                  <w:marBottom w:val="0"/>
                  <w:divBdr>
                    <w:top w:val="none" w:sz="0" w:space="0" w:color="auto"/>
                    <w:left w:val="none" w:sz="0" w:space="0" w:color="auto"/>
                    <w:bottom w:val="none" w:sz="0" w:space="0" w:color="auto"/>
                    <w:right w:val="none" w:sz="0" w:space="0" w:color="auto"/>
                  </w:divBdr>
                  <w:divsChild>
                    <w:div w:id="366180114">
                      <w:marLeft w:val="0"/>
                      <w:marRight w:val="0"/>
                      <w:marTop w:val="0"/>
                      <w:marBottom w:val="0"/>
                      <w:divBdr>
                        <w:top w:val="none" w:sz="0" w:space="0" w:color="auto"/>
                        <w:left w:val="none" w:sz="0" w:space="0" w:color="auto"/>
                        <w:bottom w:val="none" w:sz="0" w:space="0" w:color="auto"/>
                        <w:right w:val="none" w:sz="0" w:space="0" w:color="auto"/>
                      </w:divBdr>
                      <w:divsChild>
                        <w:div w:id="1654021274">
                          <w:marLeft w:val="0"/>
                          <w:marRight w:val="0"/>
                          <w:marTop w:val="0"/>
                          <w:marBottom w:val="0"/>
                          <w:divBdr>
                            <w:top w:val="none" w:sz="0" w:space="0" w:color="auto"/>
                            <w:left w:val="none" w:sz="0" w:space="0" w:color="auto"/>
                            <w:bottom w:val="none" w:sz="0" w:space="0" w:color="auto"/>
                            <w:right w:val="none" w:sz="0" w:space="0" w:color="auto"/>
                          </w:divBdr>
                          <w:divsChild>
                            <w:div w:id="1755199101">
                              <w:marLeft w:val="0"/>
                              <w:marRight w:val="0"/>
                              <w:marTop w:val="0"/>
                              <w:marBottom w:val="0"/>
                              <w:divBdr>
                                <w:top w:val="none" w:sz="0" w:space="0" w:color="auto"/>
                                <w:left w:val="none" w:sz="0" w:space="0" w:color="auto"/>
                                <w:bottom w:val="none" w:sz="0" w:space="0" w:color="auto"/>
                                <w:right w:val="none" w:sz="0" w:space="0" w:color="auto"/>
                              </w:divBdr>
                              <w:divsChild>
                                <w:div w:id="2606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318835">
      <w:bodyDiv w:val="1"/>
      <w:marLeft w:val="0"/>
      <w:marRight w:val="0"/>
      <w:marTop w:val="0"/>
      <w:marBottom w:val="0"/>
      <w:divBdr>
        <w:top w:val="none" w:sz="0" w:space="0" w:color="auto"/>
        <w:left w:val="none" w:sz="0" w:space="0" w:color="auto"/>
        <w:bottom w:val="none" w:sz="0" w:space="0" w:color="auto"/>
        <w:right w:val="none" w:sz="0" w:space="0" w:color="auto"/>
      </w:divBdr>
      <w:divsChild>
        <w:div w:id="1187871115">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doi.org/10.1080/2159676X.2019.1628806"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doi.org/10.1007/978-3-031-88202-9_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57/s41262-022-00276-8"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eur-lex.europa.eu/legal-content/EN/TXT/?uri=CELEX%3A32016R0679"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getitdoneex.com/the-research-onion-explained-layers-methodology-and-applicatio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1108/mip-01-2024-000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6EEF9-1789-411A-BAA4-ED5BE0F53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85</Pages>
  <Words>24185</Words>
  <Characters>137857</Characters>
  <Application>Microsoft Office Word</Application>
  <DocSecurity>0</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Vilcu</dc:creator>
  <cp:keywords/>
  <dc:description/>
  <cp:lastModifiedBy>gabriel-ciprian vilcu</cp:lastModifiedBy>
  <cp:revision>61</cp:revision>
  <dcterms:created xsi:type="dcterms:W3CDTF">2026-05-01T08:08:00Z</dcterms:created>
  <dcterms:modified xsi:type="dcterms:W3CDTF">2026-05-04T11:55:00Z</dcterms:modified>
</cp:coreProperties>
</file>