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1090360" w:rsidP="01090360" w:rsidRDefault="01090360" w14:paraId="2DCD9546" w14:textId="40E239C7">
      <w:pPr>
        <w:jc w:val="center"/>
        <w:rPr>
          <w:rFonts w:ascii="Arial" w:hAnsi="Arial" w:eastAsia="Arial" w:cs="Arial"/>
          <w:sz w:val="56"/>
          <w:szCs w:val="56"/>
        </w:rPr>
      </w:pPr>
    </w:p>
    <w:p w:rsidR="01090360" w:rsidP="01090360" w:rsidRDefault="01090360" w14:paraId="2497880E" w14:textId="0D904F50">
      <w:pPr>
        <w:jc w:val="center"/>
        <w:rPr>
          <w:rFonts w:ascii="Arial" w:hAnsi="Arial" w:eastAsia="Arial" w:cs="Arial"/>
          <w:sz w:val="56"/>
          <w:szCs w:val="56"/>
        </w:rPr>
      </w:pPr>
    </w:p>
    <w:p w:rsidR="01090360" w:rsidP="01090360" w:rsidRDefault="01090360" w14:paraId="14CAAAAB" w14:textId="7C7DB701">
      <w:pPr>
        <w:jc w:val="center"/>
        <w:rPr>
          <w:rFonts w:ascii="Arial" w:hAnsi="Arial" w:eastAsia="Arial" w:cs="Arial"/>
          <w:sz w:val="56"/>
          <w:szCs w:val="56"/>
        </w:rPr>
      </w:pPr>
    </w:p>
    <w:p w:rsidR="01090360" w:rsidP="01090360" w:rsidRDefault="01090360" w14:paraId="37DBD9D1" w14:textId="16F7977F">
      <w:pPr>
        <w:jc w:val="center"/>
        <w:rPr>
          <w:rFonts w:ascii="Arial" w:hAnsi="Arial" w:eastAsia="Arial" w:cs="Arial"/>
          <w:sz w:val="56"/>
          <w:szCs w:val="56"/>
        </w:rPr>
      </w:pPr>
    </w:p>
    <w:p xmlns:wp14="http://schemas.microsoft.com/office/word/2010/wordml" w:rsidP="01090360" w14:paraId="2C078E63" wp14:textId="6FFC0E2B">
      <w:pPr>
        <w:jc w:val="center"/>
        <w:rPr>
          <w:rFonts w:ascii="Arial" w:hAnsi="Arial" w:eastAsia="Arial" w:cs="Arial"/>
          <w:sz w:val="56"/>
          <w:szCs w:val="56"/>
        </w:rPr>
      </w:pPr>
      <w:r w:rsidRPr="01090360" w:rsidR="1BF0EC17">
        <w:rPr>
          <w:rFonts w:ascii="Arial" w:hAnsi="Arial" w:eastAsia="Arial" w:cs="Arial"/>
          <w:sz w:val="56"/>
          <w:szCs w:val="56"/>
        </w:rPr>
        <w:t>A Vision of Change - Sustainability in the hotel industry</w:t>
      </w:r>
    </w:p>
    <w:p w:rsidR="01090360" w:rsidP="01090360" w:rsidRDefault="01090360" w14:paraId="4D7DA71B" w14:textId="4227A68D">
      <w:pPr>
        <w:pStyle w:val="Normal"/>
        <w:jc w:val="center"/>
        <w:rPr>
          <w:rFonts w:ascii="Arial" w:hAnsi="Arial" w:eastAsia="Arial" w:cs="Arial"/>
          <w:sz w:val="56"/>
          <w:szCs w:val="56"/>
        </w:rPr>
      </w:pPr>
    </w:p>
    <w:p w:rsidR="01090360" w:rsidP="01090360" w:rsidRDefault="01090360" w14:paraId="02EE32A5" w14:textId="753FDD7D">
      <w:pPr>
        <w:pStyle w:val="Normal"/>
        <w:jc w:val="center"/>
        <w:rPr>
          <w:rFonts w:ascii="Arial" w:hAnsi="Arial" w:eastAsia="Arial" w:cs="Arial"/>
          <w:sz w:val="56"/>
          <w:szCs w:val="56"/>
        </w:rPr>
      </w:pPr>
    </w:p>
    <w:p w:rsidR="01090360" w:rsidP="01090360" w:rsidRDefault="01090360" w14:paraId="00DA07F1" w14:textId="0AC3D573">
      <w:pPr>
        <w:pStyle w:val="Normal"/>
        <w:jc w:val="center"/>
        <w:rPr>
          <w:rFonts w:ascii="Arial" w:hAnsi="Arial" w:eastAsia="Arial" w:cs="Arial"/>
          <w:sz w:val="56"/>
          <w:szCs w:val="56"/>
        </w:rPr>
      </w:pPr>
    </w:p>
    <w:p w:rsidR="01090360" w:rsidP="01090360" w:rsidRDefault="01090360" w14:paraId="1C0905A7" w14:textId="36EE0A46">
      <w:pPr>
        <w:pStyle w:val="Normal"/>
        <w:jc w:val="center"/>
        <w:rPr>
          <w:rFonts w:ascii="Arial" w:hAnsi="Arial" w:eastAsia="Arial" w:cs="Arial"/>
          <w:sz w:val="56"/>
          <w:szCs w:val="56"/>
        </w:rPr>
      </w:pPr>
    </w:p>
    <w:p w:rsidR="3EEAAAC6" w:rsidP="01090360" w:rsidRDefault="3EEAAAC6" w14:paraId="2CD5891A" w14:textId="0FCD1887">
      <w:pPr>
        <w:pStyle w:val="Normal"/>
        <w:jc w:val="left"/>
        <w:rPr>
          <w:rFonts w:ascii="Arial" w:hAnsi="Arial" w:eastAsia="Arial" w:cs="Arial"/>
          <w:sz w:val="28"/>
          <w:szCs w:val="28"/>
        </w:rPr>
      </w:pPr>
      <w:r w:rsidRPr="01090360" w:rsidR="3EEAAAC6">
        <w:rPr>
          <w:rFonts w:ascii="Arial" w:hAnsi="Arial" w:eastAsia="Arial" w:cs="Arial"/>
          <w:sz w:val="28"/>
          <w:szCs w:val="28"/>
        </w:rPr>
        <w:t xml:space="preserve">Student: Cornel </w:t>
      </w:r>
      <w:r w:rsidRPr="01090360" w:rsidR="3EEAAAC6">
        <w:rPr>
          <w:rFonts w:ascii="Arial" w:hAnsi="Arial" w:eastAsia="Arial" w:cs="Arial"/>
          <w:sz w:val="28"/>
          <w:szCs w:val="28"/>
        </w:rPr>
        <w:t>I</w:t>
      </w:r>
      <w:r w:rsidRPr="01090360" w:rsidR="3EEAAAC6">
        <w:rPr>
          <w:rFonts w:ascii="Arial" w:hAnsi="Arial" w:eastAsia="Arial" w:cs="Arial"/>
          <w:sz w:val="28"/>
          <w:szCs w:val="28"/>
        </w:rPr>
        <w:t>urea</w:t>
      </w:r>
    </w:p>
    <w:p w:rsidR="3EEAAAC6" w:rsidP="01090360" w:rsidRDefault="3EEAAAC6" w14:paraId="37F4719F" w14:textId="18C96483">
      <w:pPr>
        <w:pStyle w:val="Normal"/>
        <w:jc w:val="left"/>
        <w:rPr>
          <w:rFonts w:ascii="Arial" w:hAnsi="Arial" w:eastAsia="Arial" w:cs="Arial"/>
          <w:sz w:val="28"/>
          <w:szCs w:val="28"/>
        </w:rPr>
      </w:pPr>
      <w:r w:rsidRPr="01090360" w:rsidR="3EEAAAC6">
        <w:rPr>
          <w:rFonts w:ascii="Arial" w:hAnsi="Arial" w:eastAsia="Arial" w:cs="Arial"/>
          <w:sz w:val="28"/>
          <w:szCs w:val="28"/>
        </w:rPr>
        <w:t>Student ID: 1817181</w:t>
      </w:r>
    </w:p>
    <w:p w:rsidR="3EEAAAC6" w:rsidP="01090360" w:rsidRDefault="3EEAAAC6" w14:paraId="0C58BDF9" w14:textId="1EE1A6B3">
      <w:pPr>
        <w:pStyle w:val="Normal"/>
        <w:jc w:val="left"/>
        <w:rPr>
          <w:rFonts w:ascii="Arial" w:hAnsi="Arial" w:eastAsia="Arial" w:cs="Arial"/>
          <w:sz w:val="28"/>
          <w:szCs w:val="28"/>
        </w:rPr>
      </w:pPr>
      <w:r w:rsidRPr="01090360" w:rsidR="3EEAAAC6">
        <w:rPr>
          <w:rFonts w:ascii="Arial" w:hAnsi="Arial" w:eastAsia="Arial" w:cs="Arial"/>
          <w:sz w:val="28"/>
          <w:szCs w:val="28"/>
        </w:rPr>
        <w:t>Module: Sustainable Hospitality &amp; Tourism Management (BMIH5006)</w:t>
      </w:r>
    </w:p>
    <w:p w:rsidR="3EEAAAC6" w:rsidP="01090360" w:rsidRDefault="3EEAAAC6" w14:paraId="7C1193AA" w14:textId="18CD9893">
      <w:pPr>
        <w:pStyle w:val="Normal"/>
        <w:jc w:val="left"/>
        <w:rPr>
          <w:rFonts w:ascii="Arial" w:hAnsi="Arial" w:eastAsia="Arial" w:cs="Arial"/>
          <w:sz w:val="28"/>
          <w:szCs w:val="28"/>
        </w:rPr>
      </w:pPr>
      <w:r w:rsidRPr="01090360" w:rsidR="3EEAAAC6">
        <w:rPr>
          <w:rFonts w:ascii="Arial" w:hAnsi="Arial" w:eastAsia="Arial" w:cs="Arial"/>
          <w:sz w:val="28"/>
          <w:szCs w:val="28"/>
        </w:rPr>
        <w:t xml:space="preserve">Lecturer: </w:t>
      </w:r>
      <w:r w:rsidRPr="01090360" w:rsidR="7AAE6CF0">
        <w:rPr>
          <w:rFonts w:ascii="Arial" w:hAnsi="Arial" w:eastAsia="Arial" w:cs="Arial"/>
          <w:sz w:val="28"/>
          <w:szCs w:val="28"/>
        </w:rPr>
        <w:t>Ruth Taylor-Davies</w:t>
      </w:r>
    </w:p>
    <w:p w:rsidR="01090360" w:rsidP="01090360" w:rsidRDefault="01090360" w14:paraId="65497D83" w14:textId="57806AE9">
      <w:pPr>
        <w:pStyle w:val="Normal"/>
        <w:jc w:val="left"/>
        <w:rPr>
          <w:rFonts w:ascii="Arial" w:hAnsi="Arial" w:eastAsia="Arial" w:cs="Arial"/>
          <w:sz w:val="28"/>
          <w:szCs w:val="28"/>
        </w:rPr>
      </w:pPr>
    </w:p>
    <w:p w:rsidR="01090360" w:rsidP="01090360" w:rsidRDefault="01090360" w14:paraId="57CF2B35" w14:textId="1CC957F0">
      <w:pPr>
        <w:pStyle w:val="Normal"/>
        <w:jc w:val="left"/>
        <w:rPr>
          <w:rFonts w:ascii="Arial" w:hAnsi="Arial" w:eastAsia="Arial" w:cs="Arial"/>
          <w:sz w:val="28"/>
          <w:szCs w:val="28"/>
        </w:rPr>
      </w:pPr>
    </w:p>
    <w:p w:rsidR="01090360" w:rsidP="01090360" w:rsidRDefault="01090360" w14:paraId="00D2A8CF" w14:textId="5C927242">
      <w:pPr>
        <w:pStyle w:val="Normal"/>
        <w:jc w:val="left"/>
        <w:rPr>
          <w:rFonts w:ascii="Arial" w:hAnsi="Arial" w:eastAsia="Arial" w:cs="Arial"/>
          <w:sz w:val="28"/>
          <w:szCs w:val="28"/>
        </w:rPr>
      </w:pPr>
    </w:p>
    <w:p w:rsidR="01090360" w:rsidP="01090360" w:rsidRDefault="01090360" w14:paraId="5A924D81" w14:textId="5FB3CD5F">
      <w:pPr>
        <w:pStyle w:val="Normal"/>
        <w:jc w:val="left"/>
        <w:rPr>
          <w:rFonts w:ascii="Arial" w:hAnsi="Arial" w:eastAsia="Arial" w:cs="Arial"/>
          <w:sz w:val="28"/>
          <w:szCs w:val="28"/>
        </w:rPr>
      </w:pPr>
    </w:p>
    <w:p w:rsidR="01090360" w:rsidP="01090360" w:rsidRDefault="01090360" w14:paraId="28FE1522" w14:textId="6435AEB1">
      <w:pPr>
        <w:pStyle w:val="Normal"/>
        <w:jc w:val="left"/>
        <w:rPr>
          <w:rFonts w:ascii="Arial" w:hAnsi="Arial" w:eastAsia="Arial" w:cs="Arial"/>
          <w:sz w:val="28"/>
          <w:szCs w:val="28"/>
        </w:rPr>
      </w:pPr>
    </w:p>
    <w:p w:rsidR="3F35B664" w:rsidP="01090360" w:rsidRDefault="3F35B664" w14:paraId="1D6AA824" w14:textId="5DBD100A">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The purpose of this paper is to analyse the relationship between hotel industry and sustainability by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what is the current view upon sustainability and how may the industry’s firms contribute to it. Further, the essay will address the pillar fields of sustainability and describe some of the factors that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determined</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businesses to give increased attention to this trend. Also, it will explore the meaning of the circular economy and what implications does it have in the context of the industry and its Corporate Social Responsibility.</w:t>
      </w:r>
    </w:p>
    <w:p w:rsidR="3F35B664" w:rsidP="01090360" w:rsidRDefault="3F35B664" w14:paraId="1A13E981" w14:textId="04E00FE8">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The hospitality industry has been counted as a great consumer of resources such as water, energy,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fuel</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consumable goods as these are indispensable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provide</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products and services. As the sector is extending into new geographic areas or increases its popularity around certain venues, the number of visitors grows, which may cause greater congestion and materials usage. Therefore, sustainability stands as key for a thoughtful balance between the successful running of the industry and the environment’s quality. </w:t>
      </w:r>
    </w:p>
    <w:p w:rsidR="3F35B664" w:rsidP="01090360" w:rsidRDefault="3F35B664" w14:paraId="703845CA" w14:textId="252284E1">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Ten and Bert (2020, p.153) defined sustainability as a set of values and strategies designed for natural resource preservation and protection, underpinned by three main pillars: economic,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social</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environmental. Also, Friedli et al., (2014, p.74) highlighted it as awareness of supplies' finiteness and the necessity of adjusting their operations to eco-friendly management and productivity. It has been agreed that this concern needs to be raised and shared among social groups, to educate them to show their support at personal level for a greater change and transformation (Wamsler, 2020, p.129). Moreover, sustainability embraces society development and economic flourishing to reduce the negative impacts around the globe. Thus, when people’s concerns are resolved and their potential is optimised, the way to a healthier environment is paved (Silvester and Fisker, 2023).</w:t>
      </w:r>
    </w:p>
    <w:p w:rsidR="3F35B664" w:rsidP="01090360" w:rsidRDefault="3F35B664" w14:paraId="6760007A" w14:textId="6C36E191">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The concept of sustainability has been </w:t>
      </w:r>
      <w:r w:rsidRPr="01090360" w:rsidR="6E78E48A">
        <w:rPr>
          <w:rFonts w:ascii="Arial" w:hAnsi="Arial" w:eastAsia="Arial" w:cs="Arial"/>
          <w:b w:val="0"/>
          <w:bCs w:val="0"/>
          <w:i w:val="0"/>
          <w:iCs w:val="0"/>
          <w:caps w:val="0"/>
          <w:smallCaps w:val="0"/>
          <w:noProof w:val="0"/>
          <w:color w:val="000000" w:themeColor="text1" w:themeTint="FF" w:themeShade="FF"/>
          <w:sz w:val="24"/>
          <w:szCs w:val="24"/>
          <w:lang w:val="en-GB"/>
        </w:rPr>
        <w:t xml:space="preserve">defined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by the Brundtland Commission (World Commission on Environment and Development, 1987) by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establishing</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its three pillars: economy, society, and environment. Although interdependent (every dimension influences the other one in different measures), each of them approaches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different ways</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of how human activity may affect the planet and its long-term consequences. Therefore, designing solutions and alternatives, according to the present requirements, will generate improvement for all people’s benefit.</w:t>
      </w:r>
    </w:p>
    <w:p w:rsidR="3F35B664" w:rsidP="01090360" w:rsidRDefault="3F35B664" w14:paraId="00A3AE09" w14:textId="558DF5CA">
      <w:pPr>
        <w:spacing w:before="0" w:beforeAutospacing="off" w:after="160" w:afterAutospacing="off"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Firstly, in the context of tourism, the economy stands as essential due to the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high level</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of finances that is exchanged between the visitors and the services providers.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Dolasinski</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Roberts, and Reynolds (2022, p.3303) mentioned employment opportunities, community growth, tourists' education, and local financial development among the positive effects of the economical pillar. However, simultaneously, this has created some negative effects such as increased prices, dependence on the local economy, and more competitiveness between companies. Therefore, the purpose of economic sustainability should address the fairness of benefits sharing, the long-term effectiveness of financial operations and the prosperity of different social layers. Due to recent events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e.g.</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inflation, war), it has been shown that the economic status of a certain country may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impact</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the consumer’s travel intention (Singh, 2022, p.40). People need to approach their budget according to their priorities, and leisure travel may be ranked after fulfilling other basic needs such as accommodation, food, and bills. </w:t>
      </w:r>
    </w:p>
    <w:p w:rsidR="3F35B664" w:rsidP="01090360" w:rsidRDefault="3F35B664" w14:paraId="5EE1FAFC" w14:textId="7DCFBBB7">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Thus, as the costs have risen at every level, hospitality venues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have to</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implement proper cost strategies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cover the expenditures while still attracting customers (Statista, 2023). </w:t>
      </w:r>
    </w:p>
    <w:p w:rsidR="3F35B664" w:rsidP="01090360" w:rsidRDefault="3F35B664" w14:paraId="53D8BF8D" w14:textId="6A49D6ED">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Secondly, according to Kim,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Min</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Yoon (2022, p.44), the social pillar covers the human factors of sustainability such as cultural elements (conserving people’s traditional values and heritage), human rights (reducing inequalities), health and well-being (safe workplace, clean water), community involvement (charitable actions, inclusiveness). While authenticity loss, commercialisation and heritage destruction can be counted as social negative effects of tourism, there are also social positive aspects to consider such as revitalisation of culture and art, social services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provision</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community fortifying. Missimer,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Robert</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Broman (2017, p.33) reported that social sustainability may be supported through education, intercultural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awareness</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rights equality promotion, especially when travelling is occurring at an international level. Therefore, a larger vision would improve the quality of li</w:t>
      </w:r>
      <w:r w:rsidRPr="01090360" w:rsidR="2DE62D35">
        <w:rPr>
          <w:rFonts w:ascii="Arial" w:hAnsi="Arial" w:eastAsia="Arial" w:cs="Arial"/>
          <w:b w:val="0"/>
          <w:bCs w:val="0"/>
          <w:i w:val="0"/>
          <w:iCs w:val="0"/>
          <w:caps w:val="0"/>
          <w:smallCaps w:val="0"/>
          <w:noProof w:val="0"/>
          <w:color w:val="000000" w:themeColor="text1" w:themeTint="FF" w:themeShade="FF"/>
          <w:sz w:val="24"/>
          <w:szCs w:val="24"/>
          <w:lang w:val="en-GB"/>
        </w:rPr>
        <w:t xml:space="preserve">ving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in more societies and encourage peaceful relationships.</w:t>
      </w:r>
    </w:p>
    <w:p w:rsidR="3F35B664" w:rsidP="01090360" w:rsidRDefault="3F35B664" w14:paraId="012CAD1E" w14:textId="1B29D645">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The Good Hotel, founded by Marten Dresen,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demonstrates</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 solid example of equilibrium between the economic and social pillars of tourism sustainability. He started the business in a small Guatemalan village and hired local people. Consequently, the Good Hotel offered employability, financial development, educational opportunities and further, he invested the profit in building and operating schools (The Good Hotel, 2023). </w:t>
      </w:r>
    </w:p>
    <w:p w:rsidR="3F35B664" w:rsidP="01090360" w:rsidRDefault="3F35B664" w14:paraId="63DD2295" w14:textId="56447D13">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Thirdly, the environmental pillar acknowledges the greater need for focus on nature’s conditions and resources as they are fundamental to sustain life and well-being. It has won an increasing attention from organisations and businesses since human activity and interest in tourism continues to grow. Ali </w:t>
      </w:r>
      <w:r w:rsidRPr="01090360" w:rsidR="3F35B664">
        <w:rPr>
          <w:rFonts w:ascii="Arial" w:hAnsi="Arial" w:eastAsia="Arial" w:cs="Arial"/>
          <w:b w:val="0"/>
          <w:bCs w:val="0"/>
          <w:i w:val="1"/>
          <w:iCs w:val="1"/>
          <w:caps w:val="0"/>
          <w:smallCaps w:val="0"/>
          <w:noProof w:val="0"/>
          <w:color w:val="000000" w:themeColor="text1" w:themeTint="FF" w:themeShade="FF"/>
          <w:sz w:val="24"/>
          <w:szCs w:val="24"/>
          <w:lang w:val="en-GB"/>
        </w:rPr>
        <w:t>et al.</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(2022, p.308) agreed that pursuing environmental sustainability equals supporting present and future generations by creating the most harmonious conditions between people and nature. Carbon footprint, air quality, pollution, and energy consumption represent a few of the issues that need to be constantly reviewed to increase the rate of sustainability (Agarwal </w:t>
      </w:r>
      <w:r w:rsidRPr="01090360" w:rsidR="3F35B664">
        <w:rPr>
          <w:rFonts w:ascii="Arial" w:hAnsi="Arial" w:eastAsia="Arial" w:cs="Arial"/>
          <w:b w:val="0"/>
          <w:bCs w:val="0"/>
          <w:i w:val="1"/>
          <w:iCs w:val="1"/>
          <w:caps w:val="0"/>
          <w:smallCaps w:val="0"/>
          <w:noProof w:val="0"/>
          <w:color w:val="000000" w:themeColor="text1" w:themeTint="FF" w:themeShade="FF"/>
          <w:sz w:val="24"/>
          <w:szCs w:val="24"/>
          <w:lang w:val="en-GB"/>
        </w:rPr>
        <w:t>et al.,</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2020; Gupta, 2018, p.345). </w:t>
      </w:r>
    </w:p>
    <w:p w:rsidR="3F35B664" w:rsidP="01090360" w:rsidRDefault="3F35B664" w14:paraId="01190694" w14:textId="4787D15C">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As the hospitality industry and tourism sector depend on various resources to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operate</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their activities,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viable</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alternatives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 win-win solution for both the businesses and the environment. Dodds and Walsh (2017, p.673) highlighted that sustainable practices also have a positive influence on the economy, including for a touristic venue. Usually, the costs are reduced, the environment is protected, meaning more profit, and even a positive reputation in the industry for that brand. For example, the Grand Hyatt Singapore is recycling the fourth rinse of water from laundry operations and is using chef aprons from 70% recycled plastic (Hyatt, 2020). The venue’s leadership believes that their model can inspire other individuals and corporations to help the environment. Also, Accor aims to rely on local suppliers for products used in food and beverage preparation (Accor, 2023). Thus, they encourage local economy and small businesses to succeed which is a strong factor in creating lasting partnerships. Further, it may create a positive impression for the hotel’s guest as using local products comes as a sig</w:t>
      </w:r>
      <w:r w:rsidRPr="01090360" w:rsidR="2AD123A3">
        <w:rPr>
          <w:rFonts w:ascii="Arial" w:hAnsi="Arial" w:eastAsia="Arial" w:cs="Arial"/>
          <w:b w:val="0"/>
          <w:bCs w:val="0"/>
          <w:i w:val="0"/>
          <w:iCs w:val="0"/>
          <w:caps w:val="0"/>
          <w:smallCaps w:val="0"/>
          <w:noProof w:val="0"/>
          <w:color w:val="000000" w:themeColor="text1" w:themeTint="FF" w:themeShade="FF"/>
          <w:sz w:val="24"/>
          <w:szCs w:val="24"/>
          <w:lang w:val="en-GB"/>
        </w:rPr>
        <w:t>n of authenticity.</w:t>
      </w:r>
    </w:p>
    <w:p w:rsidR="3F35B664" w:rsidP="01090360" w:rsidRDefault="3F35B664" w14:paraId="0A356650" w14:textId="07E9E785">
      <w:pPr>
        <w:spacing w:before="0" w:beforeAutospacing="off" w:after="160" w:afterAutospacing="off"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It has been reported by Fang </w:t>
      </w:r>
      <w:r w:rsidRPr="01090360" w:rsidR="3F35B664">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(2022) that institutions and governments played a crucial role in stimulating organisations to adopt green innovation through implementing certain regulations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e.g.</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pollution emission charges). As a result, the companies were motivated to innovate their products, and adopt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new technologies</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to internalise the governmental standards. The hotel industry shows an increasing commitment to adapt their operations to sustainability standards without compromising the service quality (Costa and Costa, 2022, p.142). The main purpose is to reduce the environmental damage and help societies to thrive. Since the popularity of touristic locations fluctuates, it may be challenging especially for hotel chains to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operate</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under different regulations imposed worldwide. Thus, the investments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required</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may vary according to local standards and opportunities.</w:t>
      </w:r>
    </w:p>
    <w:p w:rsidR="3F35B664" w:rsidP="01090360" w:rsidRDefault="3F35B664" w14:paraId="02328561" w14:textId="56AE3B4A">
      <w:pPr>
        <w:spacing w:before="0" w:beforeAutospacing="off" w:after="160" w:afterAutospacing="off"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the organisations decided to proactively create a green reputation since it empowers them to enjoy a better performance and win competitive advantages such as diminished costs and more receptiveness to market’s demands (Bianco, Bernard and Singal, 2023). Besides, the green practices have been correlated with customer’s green behaviour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intention, </w:t>
      </w:r>
      <w:r w:rsidRPr="01090360" w:rsidR="4E93BA9C">
        <w:rPr>
          <w:rFonts w:ascii="Arial" w:hAnsi="Arial" w:eastAsia="Arial" w:cs="Arial"/>
          <w:b w:val="0"/>
          <w:bCs w:val="0"/>
          <w:i w:val="0"/>
          <w:iCs w:val="0"/>
          <w:caps w:val="0"/>
          <w:smallCaps w:val="0"/>
          <w:noProof w:val="0"/>
          <w:color w:val="000000" w:themeColor="text1" w:themeTint="FF" w:themeShade="FF"/>
          <w:sz w:val="24"/>
          <w:szCs w:val="24"/>
          <w:lang w:val="en-GB"/>
        </w:rPr>
        <w:t>for</w:t>
      </w:r>
      <w:r w:rsidRPr="01090360" w:rsidR="4E93BA9C">
        <w:rPr>
          <w:rFonts w:ascii="Arial" w:hAnsi="Arial" w:eastAsia="Arial" w:cs="Arial"/>
          <w:b w:val="0"/>
          <w:bCs w:val="0"/>
          <w:i w:val="0"/>
          <w:iCs w:val="0"/>
          <w:caps w:val="0"/>
          <w:smallCaps w:val="0"/>
          <w:noProof w:val="0"/>
          <w:color w:val="000000" w:themeColor="text1" w:themeTint="FF" w:themeShade="FF"/>
          <w:sz w:val="24"/>
          <w:szCs w:val="24"/>
          <w:lang w:val="en-GB"/>
        </w:rPr>
        <w:t xml:space="preserve"> example, displaying</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willingness to pay more for an eco-friendly accommodation (Abdou</w:t>
      </w:r>
      <w:r w:rsidRPr="01090360" w:rsidR="3F35B664">
        <w:rPr>
          <w:rFonts w:ascii="Arial" w:hAnsi="Arial" w:eastAsia="Arial" w:cs="Arial"/>
          <w:b w:val="0"/>
          <w:bCs w:val="0"/>
          <w:i w:val="1"/>
          <w:iCs w:val="1"/>
          <w:caps w:val="0"/>
          <w:smallCaps w:val="0"/>
          <w:noProof w:val="0"/>
          <w:color w:val="000000" w:themeColor="text1" w:themeTint="FF" w:themeShade="FF"/>
          <w:sz w:val="24"/>
          <w:szCs w:val="24"/>
          <w:lang w:val="en-GB"/>
        </w:rPr>
        <w:t xml:space="preserve"> et al</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2022).</w:t>
      </w:r>
    </w:p>
    <w:p w:rsidR="3F35B664" w:rsidP="01090360" w:rsidRDefault="3F35B664" w14:paraId="03A88968" w14:textId="42FA73E7">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Han and Chen (2022, p.342) found that social media and influencer marketing have a significant impact on travel intention and its associated choices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e.g.</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hotels, local touristic points, activities), especially for Millennial consumers. This phenomenon also creates a tremendous and diverse source of knowledge and ideas that generates new demands in terms of experience, products, and services. Consequently, materials exploitation must extend to cover all requirements and satisfy the customers. Currently, the linear model of consumption still dominates through facile access to huge quantities of energy and facilities (Bux and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Amicarelli</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2022). However, the notion of “Circular Economy” captures an increasing amount of attention across industries as a sustainability catalyst.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Pamfilie</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1090360" w:rsidR="3F35B664">
        <w:rPr>
          <w:rFonts w:ascii="Arial" w:hAnsi="Arial" w:eastAsia="Arial" w:cs="Arial"/>
          <w:b w:val="0"/>
          <w:bCs w:val="0"/>
          <w:i w:val="1"/>
          <w:iCs w:val="1"/>
          <w:caps w:val="0"/>
          <w:smallCaps w:val="0"/>
          <w:noProof w:val="0"/>
          <w:color w:val="000000" w:themeColor="text1" w:themeTint="FF" w:themeShade="FF"/>
          <w:sz w:val="24"/>
          <w:szCs w:val="24"/>
          <w:lang w:val="en-GB"/>
        </w:rPr>
        <w:t>et al.</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(2018, p.389) characterised it as a model of regenerative system in resources usage by striving to keep them at highest point of value and efficacy. Contrary to the linear model that promotes only consumption, waste, and few efforts or nothing to stimulate replacement, the circular model empowers a progressive, dynamic development of resources management and preservation. It aims to reduce waste,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eliminate</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toxic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substances</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optimise renewable energy through advanced systems and business models. Thus, the hotel industry gains an innovative dimension which makes room for more sustainable practices and an enriched vision for a stronger Corporate Social Responsibility (CSR). </w:t>
      </w:r>
    </w:p>
    <w:p w:rsidR="3F35B664" w:rsidP="01090360" w:rsidRDefault="3F35B664" w14:paraId="7F667F70" w14:textId="0A7C9E0F">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Ko,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Chan</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Wong (2019, p.1860) defined Corporate Social Responsibility as an organisation’s adherence to oversee their operations’ impact upon certain groups or environment within a society’s framework. Also, Pilar </w:t>
      </w:r>
      <w:r w:rsidRPr="01090360" w:rsidR="3F35B664">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(2018, p.25) labelled it as a reputation booster since it may help to create a superior brand image due to their activity’s high regard and concern. Therefore, in terms of sustainability, a hotel’s CSR can display how the organisation conduct involves in environmental care through specific strategies and goals. In this context, the Circular Economy functions as a tool that enables the business to make the most of their available materials and performance outcomes. However, it may be challenging since it requires certain behaviour or mindset resets, a move from linear consumption to circular consumption.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achieve it, certain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incentives need to be revised and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while considering collaborations with suppliers that can meet the company’s new interests (Baah et al., 2023). Thus, adopting these concepts can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benefit</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 business by showing innovation and leadership, attracting new customers and consolidating cooperation with partners and employees.</w:t>
      </w:r>
    </w:p>
    <w:p w:rsidR="3F35B664" w:rsidP="01090360" w:rsidRDefault="3F35B664" w14:paraId="4CB1AF9A" w14:textId="74E07FEE">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As one of the leading organisations in the industry, Hilton Hotels dedicated to their CSR an entire programme called Travel with Purpose (Hilton, 2023b). Considering themselves responsible for implementing positive environmental and social change, they put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a great value</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on their products’ provenience,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packaging</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and transport. Eventually, they are looking for reusing, recycling, repurposing it, to avoid waste and reduce carbon footprint (Hilton, 2023a). Through this circular consumption, they rely on environmental and economic pillars of sustainability. As more costs will be covered, the gained profit may be invested in other operations or business aims. </w:t>
      </w:r>
    </w:p>
    <w:p w:rsidR="3F35B664" w:rsidP="01090360" w:rsidRDefault="3F35B664" w14:paraId="6EEF789D" w14:textId="638B0BEF">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Hotels, a notorious brand in the industry, is dedicated to serving its CSR through a wide range of goals. According to Marriott (2019), the company requires all its contracted suppliers to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provide</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information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the product’s sustainability and social impact. By the end of 2025, more than 80% of managed hotels employees will be involved in community service. Moreover, organisation will strengthen fresh partnerships for hospitality skills development among less favoured social groups. Also, all Marriott venues will own recognised sustainability certification. These examples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the organisation’s commitment to reach each pillar of sustainability through active involvement in society,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chances and opportunities for economic and personal growth (Landau, 2020, p.564). Also, they engage in responsibly circular sourcing which is beneficial for the environment and natural capital.</w:t>
      </w:r>
    </w:p>
    <w:p w:rsidR="3F35B664" w:rsidP="01090360" w:rsidRDefault="3F35B664" w14:paraId="1B66EED9" w14:textId="788088FB">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Both Hilton and Marriott emphasize the importance of acknowledging further information about the provenience of their acquisitions. This may lead to an increased awareness and transparency from stakeholders and suppliers and may reduce certain social injustices or unsustainable practices. However, although Hilton implemented certain green measures to adhere to sustainability, there is a risk of not being noticed by guests or employees. Thus, Marriott’s strategy of obtaining certification in the field would increase Hilton’s credibility and highlight its commitment to sustainability (Nelson </w:t>
      </w:r>
      <w:r w:rsidRPr="01090360" w:rsidR="3F35B664">
        <w:rPr>
          <w:rFonts w:ascii="Arial" w:hAnsi="Arial" w:eastAsia="Arial" w:cs="Arial"/>
          <w:b w:val="0"/>
          <w:bCs w:val="0"/>
          <w:i w:val="1"/>
          <w:iCs w:val="1"/>
          <w:caps w:val="0"/>
          <w:smallCaps w:val="0"/>
          <w:noProof w:val="0"/>
          <w:color w:val="000000" w:themeColor="text1" w:themeTint="FF" w:themeShade="FF"/>
          <w:sz w:val="24"/>
          <w:szCs w:val="24"/>
          <w:lang w:val="en-GB"/>
        </w:rPr>
        <w:t>et al.,</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2021). On another side, Marriott may need to consider circularity in internal operations as Hilton, not only externally. Therefore, through gradual implementation, Marriott would achieve more sustainability and a greater impact.</w:t>
      </w:r>
    </w:p>
    <w:p w:rsidR="3F35B664" w:rsidP="01090360" w:rsidRDefault="3F35B664" w14:paraId="1515BFE9" w14:textId="6720C388">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It may be concluded that the hotel industry invests considerable effort into adapting to contemporary trends of environmental concerns while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 focus on customer satisfaction. Sustainability encompasses three dimensions of economic, social, and environmental, and each of these need to be addressed to gain consistent outcomes. Caring for the planet, economic progress, improving societies, preserving the natural and cultural capital for the present and future generations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some of the core values of sustainability. As a host of a wide range of people throughout time (employees, guests, partners), the hotels own an incomparable potential to lead by example and bring its contribution to achieving eco-friendly lifestyles. Also, the sector promotes a healthier way of life which is associated with wellness. </w:t>
      </w:r>
      <w:r>
        <w:tab/>
      </w:r>
    </w:p>
    <w:p w:rsidR="3F35B664" w:rsidP="01090360" w:rsidRDefault="3F35B664" w14:paraId="7335DA3D" w14:textId="5A1BF388">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It has been found that the Circular Economy is one of the most recent strategies for supporting sustainability. This stands for circular lifecycle of materials and a responsible management of consumption, in contrast with the linear consumption. Although the organisations need to revise their operations, materials and services, the Circular Economy may be integrated into their Corporate Social Responsibility to enhance their impact upon all three pillars of sustainability. </w:t>
      </w:r>
    </w:p>
    <w:p w:rsidR="3F35B664" w:rsidP="01090360" w:rsidRDefault="3F35B664" w14:paraId="2CEE863A" w14:textId="2BE65074">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The hotel industry can </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01090360" w:rsidR="3F35B664">
        <w:rPr>
          <w:rFonts w:ascii="Arial" w:hAnsi="Arial" w:eastAsia="Arial" w:cs="Arial"/>
          <w:b w:val="0"/>
          <w:bCs w:val="0"/>
          <w:i w:val="0"/>
          <w:iCs w:val="0"/>
          <w:caps w:val="0"/>
          <w:smallCaps w:val="0"/>
          <w:noProof w:val="0"/>
          <w:color w:val="000000" w:themeColor="text1" w:themeTint="FF" w:themeShade="FF"/>
          <w:sz w:val="24"/>
          <w:szCs w:val="24"/>
          <w:lang w:val="en-GB"/>
        </w:rPr>
        <w:t xml:space="preserve"> a strong example of sustainability and bring improvements in the wellbeing of planet’s residents. </w:t>
      </w:r>
    </w:p>
    <w:p w:rsidR="01090360" w:rsidP="01090360" w:rsidRDefault="01090360" w14:paraId="1CEDC635" w14:textId="2D34736A">
      <w:pPr>
        <w:spacing w:before="0" w:beforeAutospacing="off" w:after="160" w:afterAutospacing="off" w:line="360" w:lineRule="auto"/>
        <w:ind w:left="0" w:right="0" w:firstLine="0"/>
        <w:jc w:val="both"/>
        <w:rPr>
          <w:rFonts w:ascii="Arial" w:hAnsi="Arial" w:eastAsia="Arial" w:cs="Arial"/>
          <w:b w:val="0"/>
          <w:bCs w:val="0"/>
          <w:i w:val="0"/>
          <w:iCs w:val="0"/>
          <w:caps w:val="0"/>
          <w:smallCaps w:val="0"/>
          <w:noProof w:val="0"/>
          <w:color w:val="000000" w:themeColor="text1" w:themeTint="FF" w:themeShade="FF"/>
          <w:sz w:val="28"/>
          <w:szCs w:val="28"/>
          <w:lang w:val="en-US"/>
        </w:rPr>
      </w:pPr>
    </w:p>
    <w:p w:rsidR="01090360" w:rsidP="01090360" w:rsidRDefault="01090360" w14:paraId="086FC2B3" w14:textId="12D1FB37">
      <w:pPr>
        <w:pStyle w:val="Normal"/>
        <w:jc w:val="left"/>
        <w:rPr>
          <w:rFonts w:ascii="Arial" w:hAnsi="Arial" w:eastAsia="Arial" w:cs="Arial"/>
          <w:sz w:val="28"/>
          <w:szCs w:val="28"/>
        </w:rPr>
      </w:pPr>
    </w:p>
    <w:p w:rsidR="01090360" w:rsidP="01090360" w:rsidRDefault="01090360" w14:paraId="224D79D9" w14:textId="584E4EBB">
      <w:pPr>
        <w:pStyle w:val="Normal"/>
        <w:jc w:val="left"/>
        <w:rPr>
          <w:rFonts w:ascii="Arial" w:hAnsi="Arial" w:eastAsia="Arial" w:cs="Arial"/>
          <w:sz w:val="28"/>
          <w:szCs w:val="28"/>
        </w:rPr>
      </w:pPr>
    </w:p>
    <w:p w:rsidR="01090360" w:rsidP="01090360" w:rsidRDefault="01090360" w14:paraId="0B8E33CC" w14:textId="511EA955">
      <w:pPr>
        <w:pStyle w:val="Normal"/>
        <w:jc w:val="left"/>
        <w:rPr>
          <w:rFonts w:ascii="Arial" w:hAnsi="Arial" w:eastAsia="Arial" w:cs="Arial"/>
          <w:sz w:val="28"/>
          <w:szCs w:val="28"/>
        </w:rPr>
      </w:pPr>
    </w:p>
    <w:p w:rsidR="01090360" w:rsidP="01090360" w:rsidRDefault="01090360" w14:paraId="3C5A3687" w14:textId="2EFD994A">
      <w:pPr>
        <w:pStyle w:val="Normal"/>
        <w:jc w:val="left"/>
        <w:rPr>
          <w:rFonts w:ascii="Arial" w:hAnsi="Arial" w:eastAsia="Arial" w:cs="Arial"/>
          <w:sz w:val="28"/>
          <w:szCs w:val="28"/>
        </w:rPr>
      </w:pPr>
    </w:p>
    <w:p w:rsidR="01090360" w:rsidP="01090360" w:rsidRDefault="01090360" w14:paraId="4891D653" w14:textId="4368B5C1">
      <w:pPr>
        <w:pStyle w:val="Normal"/>
        <w:jc w:val="left"/>
        <w:rPr>
          <w:rFonts w:ascii="Arial" w:hAnsi="Arial" w:eastAsia="Arial" w:cs="Arial"/>
          <w:sz w:val="28"/>
          <w:szCs w:val="28"/>
        </w:rPr>
      </w:pPr>
    </w:p>
    <w:p w:rsidR="01090360" w:rsidP="01090360" w:rsidRDefault="01090360" w14:paraId="7E346813" w14:textId="3A943228">
      <w:pPr>
        <w:pStyle w:val="Normal"/>
        <w:jc w:val="left"/>
        <w:rPr>
          <w:rFonts w:ascii="Arial" w:hAnsi="Arial" w:eastAsia="Arial" w:cs="Arial"/>
          <w:sz w:val="28"/>
          <w:szCs w:val="28"/>
        </w:rPr>
      </w:pPr>
    </w:p>
    <w:p w:rsidR="01090360" w:rsidP="01090360" w:rsidRDefault="01090360" w14:paraId="7D9CA90F" w14:textId="053FE237">
      <w:pPr>
        <w:pStyle w:val="Normal"/>
        <w:jc w:val="left"/>
        <w:rPr>
          <w:rFonts w:ascii="Arial" w:hAnsi="Arial" w:eastAsia="Arial" w:cs="Arial"/>
          <w:sz w:val="28"/>
          <w:szCs w:val="28"/>
        </w:rPr>
      </w:pPr>
    </w:p>
    <w:p w:rsidR="01090360" w:rsidP="01090360" w:rsidRDefault="01090360" w14:paraId="76E79C30" w14:textId="761F56C8">
      <w:pPr>
        <w:pStyle w:val="Normal"/>
        <w:jc w:val="left"/>
        <w:rPr>
          <w:rFonts w:ascii="Arial" w:hAnsi="Arial" w:eastAsia="Arial" w:cs="Arial"/>
          <w:sz w:val="28"/>
          <w:szCs w:val="28"/>
        </w:rPr>
      </w:pPr>
    </w:p>
    <w:p w:rsidR="01090360" w:rsidP="01090360" w:rsidRDefault="01090360" w14:paraId="4C5160FE" w14:textId="1E990389">
      <w:pPr>
        <w:pStyle w:val="Normal"/>
        <w:jc w:val="left"/>
        <w:rPr>
          <w:rFonts w:ascii="Arial" w:hAnsi="Arial" w:eastAsia="Arial" w:cs="Arial"/>
          <w:sz w:val="28"/>
          <w:szCs w:val="28"/>
        </w:rPr>
      </w:pPr>
    </w:p>
    <w:p w:rsidR="01090360" w:rsidP="01090360" w:rsidRDefault="01090360" w14:paraId="7358591E" w14:textId="2C99E8EF">
      <w:pPr>
        <w:pStyle w:val="Normal"/>
        <w:jc w:val="left"/>
        <w:rPr>
          <w:rFonts w:ascii="Arial" w:hAnsi="Arial" w:eastAsia="Arial" w:cs="Arial"/>
          <w:sz w:val="28"/>
          <w:szCs w:val="28"/>
        </w:rPr>
      </w:pPr>
    </w:p>
    <w:p w:rsidR="01090360" w:rsidP="01090360" w:rsidRDefault="01090360" w14:paraId="7FF5991A" w14:textId="662BB8B1">
      <w:pPr>
        <w:pStyle w:val="Normal"/>
        <w:jc w:val="left"/>
        <w:rPr>
          <w:rFonts w:ascii="Arial" w:hAnsi="Arial" w:eastAsia="Arial" w:cs="Arial"/>
          <w:sz w:val="28"/>
          <w:szCs w:val="28"/>
        </w:rPr>
      </w:pPr>
    </w:p>
    <w:p w:rsidR="01090360" w:rsidP="01090360" w:rsidRDefault="01090360" w14:paraId="4F3B6C56" w14:textId="189AFD5F">
      <w:pPr>
        <w:pStyle w:val="Normal"/>
        <w:jc w:val="left"/>
        <w:rPr>
          <w:rFonts w:ascii="Arial" w:hAnsi="Arial" w:eastAsia="Arial" w:cs="Arial"/>
          <w:sz w:val="28"/>
          <w:szCs w:val="28"/>
        </w:rPr>
      </w:pPr>
    </w:p>
    <w:p w:rsidR="01090360" w:rsidP="01090360" w:rsidRDefault="01090360" w14:paraId="18176659" w14:textId="29AD54FB">
      <w:pPr>
        <w:pStyle w:val="Normal"/>
        <w:jc w:val="left"/>
        <w:rPr>
          <w:rFonts w:ascii="Arial" w:hAnsi="Arial" w:eastAsia="Arial" w:cs="Arial"/>
          <w:sz w:val="28"/>
          <w:szCs w:val="28"/>
        </w:rPr>
      </w:pPr>
    </w:p>
    <w:p w:rsidR="01090360" w:rsidP="01090360" w:rsidRDefault="01090360" w14:paraId="7660CCDA" w14:textId="4B003382">
      <w:pPr>
        <w:pStyle w:val="Normal"/>
        <w:jc w:val="left"/>
        <w:rPr>
          <w:rFonts w:ascii="Arial" w:hAnsi="Arial" w:eastAsia="Arial" w:cs="Arial"/>
          <w:sz w:val="28"/>
          <w:szCs w:val="28"/>
        </w:rPr>
      </w:pPr>
    </w:p>
    <w:p w:rsidR="01090360" w:rsidP="01090360" w:rsidRDefault="01090360" w14:paraId="083405BE" w14:textId="6120EA42">
      <w:pPr>
        <w:pStyle w:val="Normal"/>
        <w:jc w:val="left"/>
        <w:rPr>
          <w:rFonts w:ascii="Arial" w:hAnsi="Arial" w:eastAsia="Arial" w:cs="Arial"/>
          <w:sz w:val="28"/>
          <w:szCs w:val="28"/>
        </w:rPr>
      </w:pPr>
    </w:p>
    <w:p w:rsidR="01090360" w:rsidP="01090360" w:rsidRDefault="01090360" w14:paraId="755B0096" w14:textId="45CEB4C8">
      <w:pPr>
        <w:pStyle w:val="Normal"/>
        <w:jc w:val="left"/>
        <w:rPr>
          <w:rFonts w:ascii="Arial" w:hAnsi="Arial" w:eastAsia="Arial" w:cs="Arial"/>
          <w:sz w:val="28"/>
          <w:szCs w:val="28"/>
        </w:rPr>
      </w:pPr>
    </w:p>
    <w:p w:rsidR="01090360" w:rsidP="01090360" w:rsidRDefault="01090360" w14:paraId="041EA502" w14:textId="5F046F10">
      <w:pPr>
        <w:pStyle w:val="Normal"/>
        <w:jc w:val="left"/>
        <w:rPr>
          <w:rFonts w:ascii="Arial" w:hAnsi="Arial" w:eastAsia="Arial" w:cs="Arial"/>
          <w:sz w:val="28"/>
          <w:szCs w:val="28"/>
        </w:rPr>
      </w:pPr>
    </w:p>
    <w:p w:rsidR="56C677CA" w:rsidP="01090360" w:rsidRDefault="56C677CA" w14:paraId="131F95AD" w14:textId="7B323B0C">
      <w:pPr>
        <w:pStyle w:val="Normal"/>
        <w:jc w:val="left"/>
        <w:rPr>
          <w:rFonts w:ascii="Arial" w:hAnsi="Arial" w:eastAsia="Arial" w:cs="Arial"/>
          <w:b w:val="1"/>
          <w:bCs w:val="1"/>
          <w:sz w:val="28"/>
          <w:szCs w:val="28"/>
        </w:rPr>
      </w:pPr>
      <w:r w:rsidRPr="01090360" w:rsidR="56C677CA">
        <w:rPr>
          <w:rFonts w:ascii="Arial" w:hAnsi="Arial" w:eastAsia="Arial" w:cs="Arial"/>
          <w:b w:val="1"/>
          <w:bCs w:val="1"/>
          <w:sz w:val="28"/>
          <w:szCs w:val="28"/>
        </w:rPr>
        <w:t>Reference List</w:t>
      </w:r>
    </w:p>
    <w:p w:rsidR="01090360" w:rsidP="01090360" w:rsidRDefault="01090360" w14:paraId="0750CC38" w14:textId="46B95CB0">
      <w:pPr>
        <w:pStyle w:val="Normal"/>
        <w:jc w:val="left"/>
        <w:rPr>
          <w:rFonts w:ascii="Arial" w:hAnsi="Arial" w:eastAsia="Arial" w:cs="Arial"/>
          <w:b w:val="1"/>
          <w:bCs w:val="1"/>
          <w:sz w:val="28"/>
          <w:szCs w:val="28"/>
        </w:rPr>
      </w:pPr>
    </w:p>
    <w:p w:rsidR="01090360" w:rsidP="01090360" w:rsidRDefault="01090360" w14:paraId="27A2979B" w14:textId="38EC7087">
      <w:pPr>
        <w:pStyle w:val="Normal"/>
        <w:jc w:val="left"/>
        <w:rPr>
          <w:rFonts w:ascii="Arial" w:hAnsi="Arial" w:eastAsia="Arial" w:cs="Arial"/>
          <w:b w:val="1"/>
          <w:bCs w:val="1"/>
          <w:sz w:val="24"/>
          <w:szCs w:val="24"/>
        </w:rPr>
      </w:pPr>
    </w:p>
    <w:p w:rsidR="044131FA" w:rsidP="01090360" w:rsidRDefault="044131FA" w14:paraId="590CB4AF" w14:textId="48543357">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Abdou, A.H. et al., (2022). The Nexus between Green Perceived Quality, Green Satisfaction, Green Trust, and Customers’ Green Behavioral Intentions in Eco-Friendly Hotels: A Structural Equation Modeling Approach. </w:t>
      </w:r>
      <w:r w:rsidRPr="01090360" w:rsidR="044131FA">
        <w:rPr>
          <w:rFonts w:ascii="Arial" w:hAnsi="Arial" w:eastAsia="Arial" w:cs="Arial"/>
          <w:b w:val="0"/>
          <w:bCs w:val="0"/>
          <w:i w:val="1"/>
          <w:iCs w:val="1"/>
          <w:caps w:val="0"/>
          <w:smallCaps w:val="0"/>
          <w:noProof w:val="0"/>
          <w:color w:val="222222"/>
          <w:sz w:val="24"/>
          <w:szCs w:val="24"/>
          <w:lang w:val="en-US"/>
        </w:rPr>
        <w:t>International Journal of Environmental Research and Public Health</w:t>
      </w:r>
      <w:r w:rsidRPr="01090360" w:rsidR="044131FA">
        <w:rPr>
          <w:rFonts w:ascii="Arial" w:hAnsi="Arial" w:eastAsia="Arial" w:cs="Arial"/>
          <w:b w:val="0"/>
          <w:bCs w:val="0"/>
          <w:i w:val="0"/>
          <w:iCs w:val="0"/>
          <w:caps w:val="0"/>
          <w:smallCaps w:val="0"/>
          <w:noProof w:val="0"/>
          <w:color w:val="222222"/>
          <w:sz w:val="24"/>
          <w:szCs w:val="24"/>
          <w:lang w:val="en-US"/>
        </w:rPr>
        <w:t>, Volume 19, No. 23, p.16195.</w:t>
      </w:r>
    </w:p>
    <w:p w:rsidR="044131FA" w:rsidP="01090360" w:rsidRDefault="044131FA" w14:paraId="58A69FDC" w14:textId="01F1A37F">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Accor (2023)</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Thinking Sustainably Local |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Itw</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 with Brune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Poirson</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YouTube. Available at: </w:t>
      </w:r>
      <w:r w:rsidRPr="01090360" w:rsidR="044131FA">
        <w:rPr>
          <w:rFonts w:ascii="Arial" w:hAnsi="Arial" w:eastAsia="Arial" w:cs="Arial"/>
          <w:b w:val="0"/>
          <w:bCs w:val="0"/>
          <w:i w:val="0"/>
          <w:iCs w:val="0"/>
          <w:caps w:val="0"/>
          <w:smallCaps w:val="0"/>
          <w:strike w:val="0"/>
          <w:dstrike w:val="0"/>
          <w:noProof w:val="0"/>
          <w:sz w:val="24"/>
          <w:szCs w:val="24"/>
          <w:lang w:val="en-US"/>
        </w:rPr>
        <w:t>https://www.youtube.com/watch?v=8lX-cOYUHk8</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May 2023).</w:t>
      </w:r>
    </w:p>
    <w:p w:rsidR="044131FA" w:rsidP="01090360" w:rsidRDefault="044131FA" w14:paraId="449D9934" w14:textId="0ABA2586">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Agarwal, R., et al., (2020). Redesigning a food supply chain for environmental sustainability–An analysis of resource use and recovery. </w:t>
      </w:r>
      <w:r w:rsidRPr="01090360" w:rsidR="044131FA">
        <w:rPr>
          <w:rFonts w:ascii="Arial" w:hAnsi="Arial" w:eastAsia="Arial" w:cs="Arial"/>
          <w:b w:val="0"/>
          <w:bCs w:val="0"/>
          <w:i w:val="1"/>
          <w:iCs w:val="1"/>
          <w:caps w:val="0"/>
          <w:smallCaps w:val="0"/>
          <w:noProof w:val="0"/>
          <w:color w:val="222222"/>
          <w:sz w:val="24"/>
          <w:szCs w:val="24"/>
          <w:lang w:val="en-US"/>
        </w:rPr>
        <w:t>Journal of cleaner production</w:t>
      </w:r>
      <w:r w:rsidRPr="01090360" w:rsidR="044131FA">
        <w:rPr>
          <w:rFonts w:ascii="Arial" w:hAnsi="Arial" w:eastAsia="Arial" w:cs="Arial"/>
          <w:b w:val="0"/>
          <w:bCs w:val="0"/>
          <w:i w:val="0"/>
          <w:iCs w:val="0"/>
          <w:caps w:val="0"/>
          <w:smallCaps w:val="0"/>
          <w:noProof w:val="0"/>
          <w:color w:val="222222"/>
          <w:sz w:val="24"/>
          <w:szCs w:val="24"/>
          <w:lang w:val="en-US"/>
        </w:rPr>
        <w:t>, Volume 242, p.118374.</w:t>
      </w:r>
    </w:p>
    <w:p w:rsidR="044131FA" w:rsidP="01090360" w:rsidRDefault="044131FA" w14:paraId="380F655F" w14:textId="6A9D0204">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Ali, A.J., et al., (2022). Environmental sustainability: to enhance organizational awareness towards green environmental concern. </w:t>
      </w:r>
      <w:r w:rsidRPr="01090360" w:rsidR="044131FA">
        <w:rPr>
          <w:rFonts w:ascii="Arial" w:hAnsi="Arial" w:eastAsia="Arial" w:cs="Arial"/>
          <w:b w:val="0"/>
          <w:bCs w:val="0"/>
          <w:i w:val="1"/>
          <w:iCs w:val="1"/>
          <w:caps w:val="0"/>
          <w:smallCaps w:val="0"/>
          <w:noProof w:val="0"/>
          <w:color w:val="222222"/>
          <w:sz w:val="24"/>
          <w:szCs w:val="24"/>
          <w:lang w:val="en-US"/>
        </w:rPr>
        <w:t>International Journal of Energy Economics and Policy</w:t>
      </w:r>
      <w:r w:rsidRPr="01090360" w:rsidR="044131FA">
        <w:rPr>
          <w:rFonts w:ascii="Arial" w:hAnsi="Arial" w:eastAsia="Arial" w:cs="Arial"/>
          <w:b w:val="0"/>
          <w:bCs w:val="0"/>
          <w:i w:val="0"/>
          <w:iCs w:val="0"/>
          <w:caps w:val="0"/>
          <w:smallCaps w:val="0"/>
          <w:noProof w:val="0"/>
          <w:color w:val="222222"/>
          <w:sz w:val="24"/>
          <w:szCs w:val="24"/>
          <w:lang w:val="en-US"/>
        </w:rPr>
        <w:t>, Volume 12, No. 4, pp.307-316.</w:t>
      </w:r>
    </w:p>
    <w:p w:rsidR="044131FA" w:rsidP="01090360" w:rsidRDefault="044131FA" w14:paraId="49675868" w14:textId="02950CDF">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Baah, C., et al., (2023). Do circular economy practices accelerate CSR participation of SMEs in a stakeholder-pressured era? A network theory perspective. </w:t>
      </w:r>
      <w:r w:rsidRPr="01090360" w:rsidR="044131FA">
        <w:rPr>
          <w:rFonts w:ascii="Arial" w:hAnsi="Arial" w:eastAsia="Arial" w:cs="Arial"/>
          <w:b w:val="0"/>
          <w:bCs w:val="0"/>
          <w:i w:val="1"/>
          <w:iCs w:val="1"/>
          <w:caps w:val="0"/>
          <w:smallCaps w:val="0"/>
          <w:noProof w:val="0"/>
          <w:color w:val="222222"/>
          <w:sz w:val="24"/>
          <w:szCs w:val="24"/>
          <w:lang w:val="en-US"/>
        </w:rPr>
        <w:t>Journal of Cleaner Production</w:t>
      </w:r>
      <w:r w:rsidRPr="01090360" w:rsidR="044131FA">
        <w:rPr>
          <w:rFonts w:ascii="Arial" w:hAnsi="Arial" w:eastAsia="Arial" w:cs="Arial"/>
          <w:b w:val="0"/>
          <w:bCs w:val="0"/>
          <w:i w:val="0"/>
          <w:iCs w:val="0"/>
          <w:caps w:val="0"/>
          <w:smallCaps w:val="0"/>
          <w:noProof w:val="0"/>
          <w:color w:val="222222"/>
          <w:sz w:val="24"/>
          <w:szCs w:val="24"/>
          <w:lang w:val="en-US"/>
        </w:rPr>
        <w:t xml:space="preserve">, </w:t>
      </w:r>
      <w:r w:rsidRPr="01090360" w:rsidR="044131FA">
        <w:rPr>
          <w:rFonts w:ascii="Arial" w:hAnsi="Arial" w:eastAsia="Arial" w:cs="Arial"/>
          <w:b w:val="0"/>
          <w:bCs w:val="0"/>
          <w:i w:val="1"/>
          <w:iCs w:val="1"/>
          <w:caps w:val="0"/>
          <w:smallCaps w:val="0"/>
          <w:noProof w:val="0"/>
          <w:color w:val="222222"/>
          <w:sz w:val="24"/>
          <w:szCs w:val="24"/>
          <w:lang w:val="en-US"/>
        </w:rPr>
        <w:t>394</w:t>
      </w:r>
      <w:r w:rsidRPr="01090360" w:rsidR="044131FA">
        <w:rPr>
          <w:rFonts w:ascii="Arial" w:hAnsi="Arial" w:eastAsia="Arial" w:cs="Arial"/>
          <w:b w:val="0"/>
          <w:bCs w:val="0"/>
          <w:i w:val="0"/>
          <w:iCs w:val="0"/>
          <w:caps w:val="0"/>
          <w:smallCaps w:val="0"/>
          <w:noProof w:val="0"/>
          <w:color w:val="222222"/>
          <w:sz w:val="24"/>
          <w:szCs w:val="24"/>
          <w:lang w:val="en-US"/>
        </w:rPr>
        <w:t>, p.136348.</w:t>
      </w:r>
    </w:p>
    <w:p w:rsidR="044131FA" w:rsidP="01090360" w:rsidRDefault="044131FA" w14:paraId="236481E2" w14:textId="0FAFE656">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Bianco, S., Bernard, S. and Singal, M., (2023). The impact of sustainability certifications on performance and competitive action in hotels. </w:t>
      </w:r>
      <w:r w:rsidRPr="01090360" w:rsidR="044131FA">
        <w:rPr>
          <w:rFonts w:ascii="Arial" w:hAnsi="Arial" w:eastAsia="Arial" w:cs="Arial"/>
          <w:b w:val="0"/>
          <w:bCs w:val="0"/>
          <w:i w:val="1"/>
          <w:iCs w:val="1"/>
          <w:caps w:val="0"/>
          <w:smallCaps w:val="0"/>
          <w:noProof w:val="0"/>
          <w:color w:val="222222"/>
          <w:sz w:val="24"/>
          <w:szCs w:val="24"/>
          <w:lang w:val="en-US"/>
        </w:rPr>
        <w:t>International Journal of Hospitality Management</w:t>
      </w:r>
      <w:r w:rsidRPr="01090360" w:rsidR="044131FA">
        <w:rPr>
          <w:rFonts w:ascii="Arial" w:hAnsi="Arial" w:eastAsia="Arial" w:cs="Arial"/>
          <w:b w:val="0"/>
          <w:bCs w:val="0"/>
          <w:i w:val="0"/>
          <w:iCs w:val="0"/>
          <w:caps w:val="0"/>
          <w:smallCaps w:val="0"/>
          <w:noProof w:val="0"/>
          <w:color w:val="222222"/>
          <w:sz w:val="24"/>
          <w:szCs w:val="24"/>
          <w:lang w:val="en-US"/>
        </w:rPr>
        <w:t>, Volume 108, p.103379.</w:t>
      </w:r>
    </w:p>
    <w:p w:rsidR="044131FA" w:rsidP="01090360" w:rsidRDefault="044131FA" w14:paraId="2366333C" w14:textId="75C2C522">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Bux, C. and </w:t>
      </w:r>
      <w:r w:rsidRPr="01090360" w:rsidR="044131FA">
        <w:rPr>
          <w:rFonts w:ascii="Arial" w:hAnsi="Arial" w:eastAsia="Arial" w:cs="Arial"/>
          <w:b w:val="0"/>
          <w:bCs w:val="0"/>
          <w:i w:val="0"/>
          <w:iCs w:val="0"/>
          <w:caps w:val="0"/>
          <w:smallCaps w:val="0"/>
          <w:noProof w:val="0"/>
          <w:color w:val="222222"/>
          <w:sz w:val="24"/>
          <w:szCs w:val="24"/>
          <w:lang w:val="en-US"/>
        </w:rPr>
        <w:t>Amicarelli</w:t>
      </w:r>
      <w:r w:rsidRPr="01090360" w:rsidR="044131FA">
        <w:rPr>
          <w:rFonts w:ascii="Arial" w:hAnsi="Arial" w:eastAsia="Arial" w:cs="Arial"/>
          <w:b w:val="0"/>
          <w:bCs w:val="0"/>
          <w:i w:val="0"/>
          <w:iCs w:val="0"/>
          <w:caps w:val="0"/>
          <w:smallCaps w:val="0"/>
          <w:noProof w:val="0"/>
          <w:color w:val="222222"/>
          <w:sz w:val="24"/>
          <w:szCs w:val="24"/>
          <w:lang w:val="en-US"/>
        </w:rPr>
        <w:t xml:space="preserve">, V., (2022). Circular economy and sustainable strategies in the hospitality industry: Current trends and empirical implications. </w:t>
      </w:r>
      <w:r w:rsidRPr="01090360" w:rsidR="044131FA">
        <w:rPr>
          <w:rFonts w:ascii="Arial" w:hAnsi="Arial" w:eastAsia="Arial" w:cs="Arial"/>
          <w:b w:val="0"/>
          <w:bCs w:val="0"/>
          <w:i w:val="1"/>
          <w:iCs w:val="1"/>
          <w:caps w:val="0"/>
          <w:smallCaps w:val="0"/>
          <w:noProof w:val="0"/>
          <w:color w:val="222222"/>
          <w:sz w:val="24"/>
          <w:szCs w:val="24"/>
          <w:lang w:val="en-US"/>
        </w:rPr>
        <w:t>Tourism and Hospitality Research</w:t>
      </w:r>
      <w:r w:rsidRPr="01090360" w:rsidR="044131FA">
        <w:rPr>
          <w:rFonts w:ascii="Arial" w:hAnsi="Arial" w:eastAsia="Arial" w:cs="Arial"/>
          <w:b w:val="0"/>
          <w:bCs w:val="0"/>
          <w:i w:val="0"/>
          <w:iCs w:val="0"/>
          <w:caps w:val="0"/>
          <w:smallCaps w:val="0"/>
          <w:noProof w:val="0"/>
          <w:color w:val="222222"/>
          <w:sz w:val="24"/>
          <w:szCs w:val="24"/>
          <w:lang w:val="en-US"/>
        </w:rPr>
        <w:t>, p.14673584221119581.</w:t>
      </w:r>
    </w:p>
    <w:p w:rsidR="044131FA" w:rsidP="01090360" w:rsidRDefault="044131FA" w14:paraId="3C7D9579" w14:textId="0A534B42">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Costa, V.G. and Costa, C. (2022) ‘Sustainability and Competitiveness of Transforming Tourist Accommodation’, in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Sustainability and competitiveness in the hospitality industry</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Hershey, PA: IGI Global, pp. 141–165.</w:t>
      </w:r>
    </w:p>
    <w:p w:rsidR="044131FA" w:rsidP="01090360" w:rsidRDefault="044131FA" w14:paraId="5C08DDFB" w14:textId="3F52A39D">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Dodds, R., and Walsh, P.R. (2017). Measuring the choice of environmental sustainability strategies in creating a competitive advantage. </w:t>
      </w:r>
      <w:r w:rsidRPr="01090360" w:rsidR="044131FA">
        <w:rPr>
          <w:rFonts w:ascii="Arial" w:hAnsi="Arial" w:eastAsia="Arial" w:cs="Arial"/>
          <w:b w:val="0"/>
          <w:bCs w:val="0"/>
          <w:i w:val="1"/>
          <w:iCs w:val="1"/>
          <w:caps w:val="0"/>
          <w:smallCaps w:val="0"/>
          <w:noProof w:val="0"/>
          <w:color w:val="222222"/>
          <w:sz w:val="24"/>
          <w:szCs w:val="24"/>
          <w:lang w:val="en-US"/>
        </w:rPr>
        <w:t>Business Strategy and the Environment</w:t>
      </w:r>
      <w:r w:rsidRPr="01090360" w:rsidR="044131FA">
        <w:rPr>
          <w:rFonts w:ascii="Arial" w:hAnsi="Arial" w:eastAsia="Arial" w:cs="Arial"/>
          <w:b w:val="0"/>
          <w:bCs w:val="0"/>
          <w:i w:val="0"/>
          <w:iCs w:val="0"/>
          <w:caps w:val="0"/>
          <w:smallCaps w:val="0"/>
          <w:noProof w:val="0"/>
          <w:color w:val="222222"/>
          <w:sz w:val="24"/>
          <w:szCs w:val="24"/>
          <w:lang w:val="en-US"/>
        </w:rPr>
        <w:t>, Volume 26, No. 5, pp.672-687.</w:t>
      </w:r>
    </w:p>
    <w:p w:rsidR="044131FA" w:rsidP="01090360" w:rsidRDefault="044131FA" w14:paraId="1523E8E2" w14:textId="6E3F9767">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Dolasinski</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M.J., Roberts, C., and Reynolds, J. (2022) “Meta-analysis of Tourism Sustainability Research: 2019–2021,”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Sustainability</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Volume 14, No. 6, p. 3303. </w:t>
      </w:r>
    </w:p>
    <w:p w:rsidR="044131FA" w:rsidP="01090360" w:rsidRDefault="044131FA" w14:paraId="5CB5F69B" w14:textId="396EE62D">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Fang, H., et al., (2022). Environmental regulations and innovation for sustainability? Moderating effect of political connections. </w:t>
      </w:r>
      <w:r w:rsidRPr="01090360" w:rsidR="044131FA">
        <w:rPr>
          <w:rFonts w:ascii="Arial" w:hAnsi="Arial" w:eastAsia="Arial" w:cs="Arial"/>
          <w:b w:val="0"/>
          <w:bCs w:val="0"/>
          <w:i w:val="1"/>
          <w:iCs w:val="1"/>
          <w:caps w:val="0"/>
          <w:smallCaps w:val="0"/>
          <w:noProof w:val="0"/>
          <w:color w:val="222222"/>
          <w:sz w:val="24"/>
          <w:szCs w:val="24"/>
          <w:lang w:val="en-US"/>
        </w:rPr>
        <w:t>Emerging Markets Review</w:t>
      </w:r>
      <w:r w:rsidRPr="01090360" w:rsidR="044131FA">
        <w:rPr>
          <w:rFonts w:ascii="Arial" w:hAnsi="Arial" w:eastAsia="Arial" w:cs="Arial"/>
          <w:b w:val="0"/>
          <w:bCs w:val="0"/>
          <w:i w:val="0"/>
          <w:iCs w:val="0"/>
          <w:caps w:val="0"/>
          <w:smallCaps w:val="0"/>
          <w:noProof w:val="0"/>
          <w:color w:val="222222"/>
          <w:sz w:val="24"/>
          <w:szCs w:val="24"/>
          <w:lang w:val="en-US"/>
        </w:rPr>
        <w:t>, Volume 50, p.100835.</w:t>
      </w:r>
    </w:p>
    <w:p w:rsidR="044131FA" w:rsidP="01090360" w:rsidRDefault="044131FA" w14:paraId="1C4DC1A6" w14:textId="7AC75615">
      <w:pPr>
        <w:spacing w:after="160" w:line="259" w:lineRule="auto"/>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Friedli, T., et al., (2014). Turning sustainability into action: Explaining firms' sustainability efforts and their impact on firm performance. </w:t>
      </w:r>
      <w:r w:rsidRPr="01090360" w:rsidR="044131FA">
        <w:rPr>
          <w:rFonts w:ascii="Arial" w:hAnsi="Arial" w:eastAsia="Arial" w:cs="Arial"/>
          <w:b w:val="0"/>
          <w:bCs w:val="0"/>
          <w:i w:val="1"/>
          <w:iCs w:val="1"/>
          <w:caps w:val="0"/>
          <w:smallCaps w:val="0"/>
          <w:noProof w:val="0"/>
          <w:color w:val="222222"/>
          <w:sz w:val="24"/>
          <w:szCs w:val="24"/>
          <w:lang w:val="en-US"/>
        </w:rPr>
        <w:t>International Journal of Production Economics</w:t>
      </w:r>
      <w:r w:rsidRPr="01090360" w:rsidR="044131FA">
        <w:rPr>
          <w:rFonts w:ascii="Arial" w:hAnsi="Arial" w:eastAsia="Arial" w:cs="Arial"/>
          <w:b w:val="0"/>
          <w:bCs w:val="0"/>
          <w:i w:val="0"/>
          <w:iCs w:val="0"/>
          <w:caps w:val="0"/>
          <w:smallCaps w:val="0"/>
          <w:noProof w:val="0"/>
          <w:color w:val="222222"/>
          <w:sz w:val="24"/>
          <w:szCs w:val="24"/>
          <w:lang w:val="en-US"/>
        </w:rPr>
        <w:t>, Volume 147, pp.73-84.</w:t>
      </w:r>
    </w:p>
    <w:p w:rsidR="044131FA" w:rsidP="01090360" w:rsidRDefault="044131FA" w14:paraId="52FC276A" w14:textId="1DFD8CE3">
      <w:pPr>
        <w:spacing w:after="160" w:line="259" w:lineRule="auto"/>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Gupta, K., (2018). Environmental sustainability and implied cost of equity: International evidence. </w:t>
      </w:r>
      <w:r w:rsidRPr="01090360" w:rsidR="044131FA">
        <w:rPr>
          <w:rFonts w:ascii="Arial" w:hAnsi="Arial" w:eastAsia="Arial" w:cs="Arial"/>
          <w:b w:val="0"/>
          <w:bCs w:val="0"/>
          <w:i w:val="1"/>
          <w:iCs w:val="1"/>
          <w:caps w:val="0"/>
          <w:smallCaps w:val="0"/>
          <w:noProof w:val="0"/>
          <w:color w:val="222222"/>
          <w:sz w:val="24"/>
          <w:szCs w:val="24"/>
          <w:lang w:val="en-US"/>
        </w:rPr>
        <w:t>Journal of Business Ethics</w:t>
      </w:r>
      <w:r w:rsidRPr="01090360" w:rsidR="044131FA">
        <w:rPr>
          <w:rFonts w:ascii="Arial" w:hAnsi="Arial" w:eastAsia="Arial" w:cs="Arial"/>
          <w:b w:val="0"/>
          <w:bCs w:val="0"/>
          <w:i w:val="0"/>
          <w:iCs w:val="0"/>
          <w:caps w:val="0"/>
          <w:smallCaps w:val="0"/>
          <w:noProof w:val="0"/>
          <w:color w:val="222222"/>
          <w:sz w:val="24"/>
          <w:szCs w:val="24"/>
          <w:lang w:val="en-US"/>
        </w:rPr>
        <w:t>, Volume 147, No. 2, pp.343-365.</w:t>
      </w:r>
    </w:p>
    <w:p w:rsidR="044131FA" w:rsidP="01090360" w:rsidRDefault="044131FA" w14:paraId="3486885A" w14:textId="53FD78CD">
      <w:pPr>
        <w:spacing w:after="160" w:line="259" w:lineRule="auto"/>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Han, J. and Chen, H., (2022). Millennial social media users' intention to travel: the moderating role of social media influencer following behavior. </w:t>
      </w:r>
      <w:r w:rsidRPr="01090360" w:rsidR="044131FA">
        <w:rPr>
          <w:rFonts w:ascii="Arial" w:hAnsi="Arial" w:eastAsia="Arial" w:cs="Arial"/>
          <w:b w:val="0"/>
          <w:bCs w:val="0"/>
          <w:i w:val="1"/>
          <w:iCs w:val="1"/>
          <w:caps w:val="0"/>
          <w:smallCaps w:val="0"/>
          <w:noProof w:val="0"/>
          <w:color w:val="222222"/>
          <w:sz w:val="24"/>
          <w:szCs w:val="24"/>
          <w:lang w:val="en-US"/>
        </w:rPr>
        <w:t>International Hospitality Review</w:t>
      </w:r>
      <w:r w:rsidRPr="01090360" w:rsidR="044131FA">
        <w:rPr>
          <w:rFonts w:ascii="Arial" w:hAnsi="Arial" w:eastAsia="Arial" w:cs="Arial"/>
          <w:b w:val="0"/>
          <w:bCs w:val="0"/>
          <w:i w:val="0"/>
          <w:iCs w:val="0"/>
          <w:caps w:val="0"/>
          <w:smallCaps w:val="0"/>
          <w:noProof w:val="0"/>
          <w:color w:val="222222"/>
          <w:sz w:val="24"/>
          <w:szCs w:val="24"/>
          <w:lang w:val="en-US"/>
        </w:rPr>
        <w:t>, Volume 36, No. 2, pp.340-357.</w:t>
      </w:r>
    </w:p>
    <w:p w:rsidR="044131FA" w:rsidP="01090360" w:rsidRDefault="044131FA" w14:paraId="473EA95E" w14:textId="2FA73162">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Hilton (2023a)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Hilton Supply Management: Sustainability &amp; Responsible Sourcing</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YouTube. Available at: </w:t>
      </w:r>
      <w:r w:rsidRPr="01090360" w:rsidR="044131FA">
        <w:rPr>
          <w:rFonts w:ascii="Arial" w:hAnsi="Arial" w:eastAsia="Arial" w:cs="Arial"/>
          <w:b w:val="0"/>
          <w:bCs w:val="0"/>
          <w:i w:val="0"/>
          <w:iCs w:val="0"/>
          <w:caps w:val="0"/>
          <w:smallCaps w:val="0"/>
          <w:strike w:val="0"/>
          <w:dstrike w:val="0"/>
          <w:noProof w:val="0"/>
          <w:sz w:val="24"/>
          <w:szCs w:val="24"/>
          <w:lang w:val="en-US"/>
        </w:rPr>
        <w:t>https://www.youtube.com/watch?v=qLSbqKn2w2E</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May 2023).</w:t>
      </w:r>
    </w:p>
    <w:p w:rsidR="044131FA" w:rsidP="01090360" w:rsidRDefault="044131FA" w14:paraId="62EE5A16" w14:textId="35A41B79">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Hilton (2023b)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Travel with purpose: Environmental, social and governance at Hilton</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Travel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With</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 Purpose | Hilton ESG</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01090360" w:rsidR="044131FA">
        <w:rPr>
          <w:rFonts w:ascii="Arial" w:hAnsi="Arial" w:eastAsia="Arial" w:cs="Arial"/>
          <w:b w:val="0"/>
          <w:bCs w:val="0"/>
          <w:i w:val="0"/>
          <w:iCs w:val="0"/>
          <w:caps w:val="0"/>
          <w:smallCaps w:val="0"/>
          <w:strike w:val="0"/>
          <w:dstrike w:val="0"/>
          <w:noProof w:val="0"/>
          <w:sz w:val="24"/>
          <w:szCs w:val="24"/>
          <w:lang w:val="en-US"/>
        </w:rPr>
        <w:t>https://esg.hilton.com/</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May 2023).</w:t>
      </w:r>
    </w:p>
    <w:p w:rsidR="044131FA" w:rsidP="01090360" w:rsidRDefault="044131FA" w14:paraId="3B8CD380" w14:textId="00EE303F">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Hyatt (2020) </w:t>
      </w:r>
      <w:r w:rsidRPr="01090360" w:rsidR="044131FA">
        <w:rPr>
          <w:rFonts w:ascii="Arial" w:hAnsi="Arial" w:eastAsia="Arial" w:cs="Arial"/>
          <w:b w:val="0"/>
          <w:bCs w:val="0"/>
          <w:i w:val="1"/>
          <w:iCs w:val="1"/>
          <w:caps w:val="0"/>
          <w:smallCaps w:val="0"/>
          <w:noProof w:val="0"/>
          <w:color w:val="0F0F0F"/>
          <w:sz w:val="24"/>
          <w:szCs w:val="24"/>
          <w:lang w:val="en-US"/>
        </w:rPr>
        <w:t>Grand Hyatt Singapore | Pioneers of Sustainability</w:t>
      </w:r>
      <w:r w:rsidRPr="01090360" w:rsidR="044131FA">
        <w:rPr>
          <w:rFonts w:ascii="Arial" w:hAnsi="Arial" w:eastAsia="Arial" w:cs="Arial"/>
          <w:b w:val="0"/>
          <w:bCs w:val="0"/>
          <w:i w:val="0"/>
          <w:iCs w:val="0"/>
          <w:caps w:val="0"/>
          <w:smallCaps w:val="0"/>
          <w:noProof w:val="0"/>
          <w:color w:val="0F0F0F"/>
          <w:sz w:val="24"/>
          <w:szCs w:val="24"/>
          <w:lang w:val="en-US"/>
        </w:rPr>
        <w:t xml:space="preserve">, </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YouTube. Available at: </w:t>
      </w:r>
      <w:r w:rsidRPr="01090360" w:rsidR="044131FA">
        <w:rPr>
          <w:rFonts w:ascii="Arial" w:hAnsi="Arial" w:eastAsia="Arial" w:cs="Arial"/>
          <w:b w:val="0"/>
          <w:bCs w:val="0"/>
          <w:i w:val="0"/>
          <w:iCs w:val="0"/>
          <w:caps w:val="0"/>
          <w:smallCaps w:val="0"/>
          <w:strike w:val="0"/>
          <w:dstrike w:val="0"/>
          <w:noProof w:val="0"/>
          <w:sz w:val="24"/>
          <w:szCs w:val="24"/>
          <w:lang w:val="en-US"/>
        </w:rPr>
        <w:t>https://www.youtube.com/watch?v=Jk0eAxktnd8</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May 2023).</w:t>
      </w:r>
    </w:p>
    <w:p w:rsidR="044131FA" w:rsidP="01090360" w:rsidRDefault="044131FA" w14:paraId="2669FAAA" w14:textId="361060B6">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Kim, C., Min, K. and Yoon, H., (2022) “Harmony of sustainability and Productivity: Korean </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Templestay</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as sustainable tourism,”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Sustainability</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Volume 14, No. 1, p. 44. </w:t>
      </w:r>
    </w:p>
    <w:p w:rsidR="044131FA" w:rsidP="01090360" w:rsidRDefault="044131FA" w14:paraId="5715C37C" w14:textId="69523A0D">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Ko, A., Chan, A. and Wong, S.C., (2019). A scale development study of CSR: hotel employees’ </w:t>
      </w:r>
      <w:r w:rsidRPr="01090360" w:rsidR="044131FA">
        <w:rPr>
          <w:rFonts w:ascii="Arial" w:hAnsi="Arial" w:eastAsia="Arial" w:cs="Arial"/>
          <w:b w:val="0"/>
          <w:bCs w:val="0"/>
          <w:i w:val="0"/>
          <w:iCs w:val="0"/>
          <w:caps w:val="0"/>
          <w:smallCaps w:val="0"/>
          <w:noProof w:val="0"/>
          <w:color w:val="222222"/>
          <w:sz w:val="24"/>
          <w:szCs w:val="24"/>
          <w:lang w:val="en-US"/>
        </w:rPr>
        <w:t>perceptions</w:t>
      </w:r>
      <w:r w:rsidRPr="01090360" w:rsidR="044131FA">
        <w:rPr>
          <w:rFonts w:ascii="Arial" w:hAnsi="Arial" w:eastAsia="Arial" w:cs="Arial"/>
          <w:b w:val="0"/>
          <w:bCs w:val="0"/>
          <w:i w:val="0"/>
          <w:iCs w:val="0"/>
          <w:caps w:val="0"/>
          <w:smallCaps w:val="0"/>
          <w:noProof w:val="0"/>
          <w:color w:val="222222"/>
          <w:sz w:val="24"/>
          <w:szCs w:val="24"/>
          <w:lang w:val="en-US"/>
        </w:rPr>
        <w:t xml:space="preserve">. </w:t>
      </w:r>
      <w:r w:rsidRPr="01090360" w:rsidR="044131FA">
        <w:rPr>
          <w:rFonts w:ascii="Arial" w:hAnsi="Arial" w:eastAsia="Arial" w:cs="Arial"/>
          <w:b w:val="0"/>
          <w:bCs w:val="0"/>
          <w:i w:val="1"/>
          <w:iCs w:val="1"/>
          <w:caps w:val="0"/>
          <w:smallCaps w:val="0"/>
          <w:noProof w:val="0"/>
          <w:color w:val="222222"/>
          <w:sz w:val="24"/>
          <w:szCs w:val="24"/>
          <w:lang w:val="en-US"/>
        </w:rPr>
        <w:t>International Journal of Contemporary Hospitality Management</w:t>
      </w:r>
      <w:r w:rsidRPr="01090360" w:rsidR="044131FA">
        <w:rPr>
          <w:rFonts w:ascii="Arial" w:hAnsi="Arial" w:eastAsia="Arial" w:cs="Arial"/>
          <w:b w:val="0"/>
          <w:bCs w:val="0"/>
          <w:i w:val="0"/>
          <w:iCs w:val="0"/>
          <w:caps w:val="0"/>
          <w:smallCaps w:val="0"/>
          <w:noProof w:val="0"/>
          <w:color w:val="222222"/>
          <w:sz w:val="24"/>
          <w:szCs w:val="24"/>
          <w:lang w:val="en-US"/>
        </w:rPr>
        <w:t>, Volume 31, No. 4, pp.1857-1884.</w:t>
      </w:r>
    </w:p>
    <w:p w:rsidR="044131FA" w:rsidP="01090360" w:rsidRDefault="044131FA" w14:paraId="3FA98369" w14:textId="10858E3B">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Landau, T., (2020). Action and progress on sustainability challenges: case examples from Marriott, Booking and </w:t>
      </w:r>
      <w:r w:rsidRPr="01090360" w:rsidR="044131FA">
        <w:rPr>
          <w:rFonts w:ascii="Arial" w:hAnsi="Arial" w:eastAsia="Arial" w:cs="Arial"/>
          <w:b w:val="0"/>
          <w:bCs w:val="0"/>
          <w:i w:val="0"/>
          <w:iCs w:val="0"/>
          <w:caps w:val="0"/>
          <w:smallCaps w:val="0"/>
          <w:noProof w:val="0"/>
          <w:color w:val="222222"/>
          <w:sz w:val="24"/>
          <w:szCs w:val="24"/>
          <w:lang w:val="en-US"/>
        </w:rPr>
        <w:t>Soneva</w:t>
      </w:r>
      <w:r w:rsidRPr="01090360" w:rsidR="044131FA">
        <w:rPr>
          <w:rFonts w:ascii="Arial" w:hAnsi="Arial" w:eastAsia="Arial" w:cs="Arial"/>
          <w:b w:val="0"/>
          <w:bCs w:val="0"/>
          <w:i w:val="0"/>
          <w:iCs w:val="0"/>
          <w:caps w:val="0"/>
          <w:smallCaps w:val="0"/>
          <w:noProof w:val="0"/>
          <w:color w:val="222222"/>
          <w:sz w:val="24"/>
          <w:szCs w:val="24"/>
          <w:lang w:val="en-US"/>
        </w:rPr>
        <w:t xml:space="preserve">. </w:t>
      </w:r>
      <w:r w:rsidRPr="01090360" w:rsidR="044131FA">
        <w:rPr>
          <w:rFonts w:ascii="Arial" w:hAnsi="Arial" w:eastAsia="Arial" w:cs="Arial"/>
          <w:b w:val="0"/>
          <w:bCs w:val="0"/>
          <w:i w:val="1"/>
          <w:iCs w:val="1"/>
          <w:caps w:val="0"/>
          <w:smallCaps w:val="0"/>
          <w:noProof w:val="0"/>
          <w:color w:val="222222"/>
          <w:sz w:val="24"/>
          <w:szCs w:val="24"/>
          <w:lang w:val="en-US"/>
        </w:rPr>
        <w:t>Worldwide Hospitality and Tourism Themes</w:t>
      </w:r>
      <w:r w:rsidRPr="01090360" w:rsidR="044131FA">
        <w:rPr>
          <w:rFonts w:ascii="Arial" w:hAnsi="Arial" w:eastAsia="Arial" w:cs="Arial"/>
          <w:b w:val="0"/>
          <w:bCs w:val="0"/>
          <w:i w:val="0"/>
          <w:iCs w:val="0"/>
          <w:caps w:val="0"/>
          <w:smallCaps w:val="0"/>
          <w:noProof w:val="0"/>
          <w:color w:val="222222"/>
          <w:sz w:val="24"/>
          <w:szCs w:val="24"/>
          <w:lang w:val="en-US"/>
        </w:rPr>
        <w:t>, Volume 12, No. 5, pp.563-573.</w:t>
      </w:r>
    </w:p>
    <w:p w:rsidR="044131FA" w:rsidP="01090360" w:rsidRDefault="044131FA" w14:paraId="4CAA45DF" w14:textId="1CE8ECA3">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Marriott (2019)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Serve 360 goals one page - CSR-</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marriott</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01090360" w:rsidR="044131FA">
        <w:rPr>
          <w:rFonts w:ascii="Arial" w:hAnsi="Arial" w:eastAsia="Arial" w:cs="Arial"/>
          <w:b w:val="0"/>
          <w:bCs w:val="0"/>
          <w:i w:val="0"/>
          <w:iCs w:val="0"/>
          <w:caps w:val="0"/>
          <w:smallCaps w:val="0"/>
          <w:strike w:val="0"/>
          <w:dstrike w:val="0"/>
          <w:noProof w:val="0"/>
          <w:sz w:val="24"/>
          <w:szCs w:val="24"/>
          <w:lang w:val="en-US"/>
        </w:rPr>
        <w:t>http://serve360.marriott.com/wp-content/uploads/2019/10/Serve-360-goals-page-tabloid_2-updated-20180916-English.pdf</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09 May 2023).</w:t>
      </w:r>
    </w:p>
    <w:p w:rsidR="044131FA" w:rsidP="01090360" w:rsidRDefault="044131FA" w14:paraId="7EC00353" w14:textId="145006B5">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Missimer, M., </w:t>
      </w:r>
      <w:r w:rsidRPr="01090360" w:rsidR="044131FA">
        <w:rPr>
          <w:rFonts w:ascii="Arial" w:hAnsi="Arial" w:eastAsia="Arial" w:cs="Arial"/>
          <w:b w:val="0"/>
          <w:bCs w:val="0"/>
          <w:i w:val="0"/>
          <w:iCs w:val="0"/>
          <w:caps w:val="0"/>
          <w:smallCaps w:val="0"/>
          <w:noProof w:val="0"/>
          <w:color w:val="222222"/>
          <w:sz w:val="24"/>
          <w:szCs w:val="24"/>
          <w:lang w:val="en-US"/>
        </w:rPr>
        <w:t>Robèrt</w:t>
      </w:r>
      <w:r w:rsidRPr="01090360" w:rsidR="044131FA">
        <w:rPr>
          <w:rFonts w:ascii="Arial" w:hAnsi="Arial" w:eastAsia="Arial" w:cs="Arial"/>
          <w:b w:val="0"/>
          <w:bCs w:val="0"/>
          <w:i w:val="0"/>
          <w:iCs w:val="0"/>
          <w:caps w:val="0"/>
          <w:smallCaps w:val="0"/>
          <w:noProof w:val="0"/>
          <w:color w:val="222222"/>
          <w:sz w:val="24"/>
          <w:szCs w:val="24"/>
          <w:lang w:val="en-US"/>
        </w:rPr>
        <w:t xml:space="preserve">, K.H. and Broman, G., (2017). A strategic approach to social sustainability–Part 1: exploring the social system. </w:t>
      </w:r>
      <w:r w:rsidRPr="01090360" w:rsidR="044131FA">
        <w:rPr>
          <w:rFonts w:ascii="Arial" w:hAnsi="Arial" w:eastAsia="Arial" w:cs="Arial"/>
          <w:b w:val="0"/>
          <w:bCs w:val="0"/>
          <w:i w:val="1"/>
          <w:iCs w:val="1"/>
          <w:caps w:val="0"/>
          <w:smallCaps w:val="0"/>
          <w:noProof w:val="0"/>
          <w:color w:val="222222"/>
          <w:sz w:val="24"/>
          <w:szCs w:val="24"/>
          <w:lang w:val="en-US"/>
        </w:rPr>
        <w:t>Journal of cleaner production</w:t>
      </w:r>
      <w:r w:rsidRPr="01090360" w:rsidR="044131FA">
        <w:rPr>
          <w:rFonts w:ascii="Arial" w:hAnsi="Arial" w:eastAsia="Arial" w:cs="Arial"/>
          <w:b w:val="0"/>
          <w:bCs w:val="0"/>
          <w:i w:val="0"/>
          <w:iCs w:val="0"/>
          <w:caps w:val="0"/>
          <w:smallCaps w:val="0"/>
          <w:noProof w:val="0"/>
          <w:color w:val="222222"/>
          <w:sz w:val="24"/>
          <w:szCs w:val="24"/>
          <w:lang w:val="en-US"/>
        </w:rPr>
        <w:t>, Volume 140, pp.32-41.</w:t>
      </w:r>
    </w:p>
    <w:p w:rsidR="044131FA" w:rsidP="01090360" w:rsidRDefault="044131FA" w14:paraId="1C9B9B8B" w14:textId="2E2351DB">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Nelson, K.M., et al., (2021). Tourist willingness to pay for local green hotel certification. </w:t>
      </w:r>
      <w:r w:rsidRPr="01090360" w:rsidR="044131FA">
        <w:rPr>
          <w:rFonts w:ascii="Arial" w:hAnsi="Arial" w:eastAsia="Arial" w:cs="Arial"/>
          <w:b w:val="0"/>
          <w:bCs w:val="0"/>
          <w:i w:val="1"/>
          <w:iCs w:val="1"/>
          <w:caps w:val="0"/>
          <w:smallCaps w:val="0"/>
          <w:noProof w:val="0"/>
          <w:color w:val="222222"/>
          <w:sz w:val="24"/>
          <w:szCs w:val="24"/>
          <w:lang w:val="en-US"/>
        </w:rPr>
        <w:t>Plos</w:t>
      </w:r>
      <w:r w:rsidRPr="01090360" w:rsidR="044131FA">
        <w:rPr>
          <w:rFonts w:ascii="Arial" w:hAnsi="Arial" w:eastAsia="Arial" w:cs="Arial"/>
          <w:b w:val="0"/>
          <w:bCs w:val="0"/>
          <w:i w:val="1"/>
          <w:iCs w:val="1"/>
          <w:caps w:val="0"/>
          <w:smallCaps w:val="0"/>
          <w:noProof w:val="0"/>
          <w:color w:val="222222"/>
          <w:sz w:val="24"/>
          <w:szCs w:val="24"/>
          <w:lang w:val="en-US"/>
        </w:rPr>
        <w:t xml:space="preserve"> </w:t>
      </w:r>
      <w:r w:rsidRPr="01090360" w:rsidR="044131FA">
        <w:rPr>
          <w:rFonts w:ascii="Arial" w:hAnsi="Arial" w:eastAsia="Arial" w:cs="Arial"/>
          <w:b w:val="0"/>
          <w:bCs w:val="0"/>
          <w:i w:val="1"/>
          <w:iCs w:val="1"/>
          <w:caps w:val="0"/>
          <w:smallCaps w:val="0"/>
          <w:noProof w:val="0"/>
          <w:color w:val="222222"/>
          <w:sz w:val="24"/>
          <w:szCs w:val="24"/>
          <w:lang w:val="en-US"/>
        </w:rPr>
        <w:t>one</w:t>
      </w:r>
      <w:r w:rsidRPr="01090360" w:rsidR="044131FA">
        <w:rPr>
          <w:rFonts w:ascii="Arial" w:hAnsi="Arial" w:eastAsia="Arial" w:cs="Arial"/>
          <w:b w:val="0"/>
          <w:bCs w:val="0"/>
          <w:i w:val="0"/>
          <w:iCs w:val="0"/>
          <w:caps w:val="0"/>
          <w:smallCaps w:val="0"/>
          <w:noProof w:val="0"/>
          <w:color w:val="222222"/>
          <w:sz w:val="24"/>
          <w:szCs w:val="24"/>
          <w:lang w:val="en-US"/>
        </w:rPr>
        <w:t>,  Volume</w:t>
      </w:r>
      <w:r w:rsidRPr="01090360" w:rsidR="044131FA">
        <w:rPr>
          <w:rFonts w:ascii="Arial" w:hAnsi="Arial" w:eastAsia="Arial" w:cs="Arial"/>
          <w:b w:val="0"/>
          <w:bCs w:val="0"/>
          <w:i w:val="0"/>
          <w:iCs w:val="0"/>
          <w:caps w:val="0"/>
          <w:smallCaps w:val="0"/>
          <w:noProof w:val="0"/>
          <w:color w:val="222222"/>
          <w:sz w:val="24"/>
          <w:szCs w:val="24"/>
          <w:lang w:val="en-US"/>
        </w:rPr>
        <w:t xml:space="preserve"> 16, No. 2, p.e0245953.</w:t>
      </w:r>
    </w:p>
    <w:p w:rsidR="044131FA" w:rsidP="01090360" w:rsidRDefault="044131FA" w14:paraId="44988DC0" w14:textId="3DCB0980">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Pamfilie</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R.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et al.</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(2018) ‘Circular economy – a new direction for the sustainability of the hotel industry in Romania’,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Amfiteatru</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 Economic</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Volume 20, No. 48, pp. 388–404. doi:10.24818/</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ea</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/2018/48/388.</w:t>
      </w:r>
    </w:p>
    <w:p w:rsidR="044131FA" w:rsidP="01090360" w:rsidRDefault="044131FA" w14:paraId="7AFBFD32" w14:textId="5B785681">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Pilar, M.D.M. del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et al.</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(2018) </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CSR</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and ICT: New Insights </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From</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the Shear Zones Perspective’, in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Corporate Social Responsibility for valorization of cultural organizations</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Hershey: IGI Global</w:t>
      </w:r>
    </w:p>
    <w:p w:rsidR="044131FA" w:rsidP="01090360" w:rsidRDefault="044131FA" w14:paraId="6EC13FD0" w14:textId="1FFC113D">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Silvester, B.R. and Fisker, J.K., (2023). A relational approach to the role of the state in societal transitions and transformations towards sustainability. </w:t>
      </w:r>
      <w:r w:rsidRPr="01090360" w:rsidR="044131FA">
        <w:rPr>
          <w:rFonts w:ascii="Arial" w:hAnsi="Arial" w:eastAsia="Arial" w:cs="Arial"/>
          <w:b w:val="0"/>
          <w:bCs w:val="0"/>
          <w:i w:val="1"/>
          <w:iCs w:val="1"/>
          <w:caps w:val="0"/>
          <w:smallCaps w:val="0"/>
          <w:noProof w:val="0"/>
          <w:color w:val="222222"/>
          <w:sz w:val="24"/>
          <w:szCs w:val="24"/>
          <w:lang w:val="en-US"/>
        </w:rPr>
        <w:t>Environmental Innovation and Societal Transitions</w:t>
      </w:r>
      <w:r w:rsidRPr="01090360" w:rsidR="044131FA">
        <w:rPr>
          <w:rFonts w:ascii="Arial" w:hAnsi="Arial" w:eastAsia="Arial" w:cs="Arial"/>
          <w:b w:val="0"/>
          <w:bCs w:val="0"/>
          <w:i w:val="0"/>
          <w:iCs w:val="0"/>
          <w:caps w:val="0"/>
          <w:smallCaps w:val="0"/>
          <w:noProof w:val="0"/>
          <w:color w:val="222222"/>
          <w:sz w:val="24"/>
          <w:szCs w:val="24"/>
          <w:lang w:val="en-US"/>
        </w:rPr>
        <w:t>, Volume 47, p.100717.</w:t>
      </w:r>
    </w:p>
    <w:p w:rsidR="044131FA" w:rsidP="01090360" w:rsidRDefault="044131FA" w14:paraId="3941EE85" w14:textId="51D8684A">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noProof w:val="0"/>
          <w:color w:val="222222"/>
          <w:sz w:val="24"/>
          <w:szCs w:val="24"/>
          <w:lang w:val="en-US"/>
        </w:rPr>
        <w:t xml:space="preserve">Singh, S., (2022). Tourism, money supply, and progressive inflation. </w:t>
      </w:r>
      <w:r w:rsidRPr="01090360" w:rsidR="044131FA">
        <w:rPr>
          <w:rFonts w:ascii="Arial" w:hAnsi="Arial" w:eastAsia="Arial" w:cs="Arial"/>
          <w:b w:val="0"/>
          <w:bCs w:val="0"/>
          <w:i w:val="1"/>
          <w:iCs w:val="1"/>
          <w:caps w:val="0"/>
          <w:smallCaps w:val="0"/>
          <w:noProof w:val="0"/>
          <w:color w:val="222222"/>
          <w:sz w:val="24"/>
          <w:szCs w:val="24"/>
          <w:lang w:val="en-US"/>
        </w:rPr>
        <w:t>Journal of Ekonomi</w:t>
      </w:r>
      <w:r w:rsidRPr="01090360" w:rsidR="044131FA">
        <w:rPr>
          <w:rFonts w:ascii="Arial" w:hAnsi="Arial" w:eastAsia="Arial" w:cs="Arial"/>
          <w:b w:val="0"/>
          <w:bCs w:val="0"/>
          <w:i w:val="0"/>
          <w:iCs w:val="0"/>
          <w:caps w:val="0"/>
          <w:smallCaps w:val="0"/>
          <w:noProof w:val="0"/>
          <w:color w:val="222222"/>
          <w:sz w:val="24"/>
          <w:szCs w:val="24"/>
          <w:lang w:val="en-US"/>
        </w:rPr>
        <w:t>, Volume 4, No. 1, pp.38-45.</w:t>
      </w:r>
    </w:p>
    <w:p w:rsidR="044131FA" w:rsidP="01090360" w:rsidRDefault="044131FA" w14:paraId="7EC050BA" w14:textId="5FD0FD6E">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Statista (2023)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Inflation rate of tourism services in the UK 2023</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Statista</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01090360" w:rsidR="044131FA">
        <w:rPr>
          <w:rFonts w:ascii="Arial" w:hAnsi="Arial" w:eastAsia="Arial" w:cs="Arial"/>
          <w:b w:val="0"/>
          <w:bCs w:val="0"/>
          <w:i w:val="0"/>
          <w:iCs w:val="0"/>
          <w:caps w:val="0"/>
          <w:smallCaps w:val="0"/>
          <w:strike w:val="0"/>
          <w:dstrike w:val="0"/>
          <w:noProof w:val="0"/>
          <w:sz w:val="24"/>
          <w:szCs w:val="24"/>
          <w:lang w:val="en-US"/>
        </w:rPr>
        <w:t>https://www.statista.com/statistics/1319309/cpi-inflation-rate-travel-tourism-services-united-kingdom/</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May 4, 2023).</w:t>
      </w:r>
    </w:p>
    <w:p w:rsidR="044131FA" w:rsidP="01090360" w:rsidRDefault="044131FA" w14:paraId="1CA2D26A" w14:textId="54A6222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Ten, H.H. and Bert, G., (2020). Sustainability.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Medicine, health care, and philosophy, </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Volume 23, No.</w:t>
      </w:r>
      <w:r w:rsidRPr="01090360" w:rsidR="044131FA">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2, pp. 153-154.</w:t>
      </w:r>
    </w:p>
    <w:p w:rsidR="044131FA" w:rsidP="01090360" w:rsidRDefault="044131FA" w14:paraId="751208BB" w14:textId="54099B4A">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The Good Hotel (2023)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Our story: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Good</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 xml:space="preserve"> hotel - the socially responsible hotel</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Good Hotel</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01090360" w:rsidR="044131FA">
        <w:rPr>
          <w:rFonts w:ascii="Arial" w:hAnsi="Arial" w:eastAsia="Arial" w:cs="Arial"/>
          <w:b w:val="0"/>
          <w:bCs w:val="0"/>
          <w:i w:val="0"/>
          <w:iCs w:val="0"/>
          <w:caps w:val="0"/>
          <w:smallCaps w:val="0"/>
          <w:strike w:val="0"/>
          <w:dstrike w:val="0"/>
          <w:noProof w:val="0"/>
          <w:sz w:val="24"/>
          <w:szCs w:val="24"/>
          <w:lang w:val="en-US"/>
        </w:rPr>
        <w:t>https://goodhotel.co/our-story</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May 4, 2023).</w:t>
      </w:r>
    </w:p>
    <w:p w:rsidR="044131FA" w:rsidP="01090360" w:rsidRDefault="044131FA" w14:paraId="7E96B8FD" w14:textId="6981FE6D">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xml:space="preserve">Wamsler, C. (2020) ‘Education for Sustainability’, </w:t>
      </w:r>
      <w:r w:rsidRPr="01090360" w:rsidR="044131FA">
        <w:rPr>
          <w:rFonts w:ascii="Arial" w:hAnsi="Arial" w:eastAsia="Arial" w:cs="Arial"/>
          <w:b w:val="0"/>
          <w:bCs w:val="0"/>
          <w:i w:val="1"/>
          <w:iCs w:val="1"/>
          <w:caps w:val="0"/>
          <w:smallCaps w:val="0"/>
          <w:noProof w:val="0"/>
          <w:color w:val="000000" w:themeColor="text1" w:themeTint="FF" w:themeShade="FF"/>
          <w:sz w:val="24"/>
          <w:szCs w:val="24"/>
          <w:lang w:val="en-US"/>
        </w:rPr>
        <w:t>International Journal of Sustainability in Higher Education</w:t>
      </w:r>
      <w:r w:rsidRPr="01090360" w:rsidR="044131FA">
        <w:rPr>
          <w:rFonts w:ascii="Arial" w:hAnsi="Arial" w:eastAsia="Arial" w:cs="Arial"/>
          <w:b w:val="0"/>
          <w:bCs w:val="0"/>
          <w:i w:val="0"/>
          <w:iCs w:val="0"/>
          <w:caps w:val="0"/>
          <w:smallCaps w:val="0"/>
          <w:noProof w:val="0"/>
          <w:color w:val="000000" w:themeColor="text1" w:themeTint="FF" w:themeShade="FF"/>
          <w:sz w:val="24"/>
          <w:szCs w:val="24"/>
          <w:lang w:val="en-US"/>
        </w:rPr>
        <w:t>, Volume 21, No. 1, pp. 112–130. doi:10.1108/ijshe-04-2019-0152.</w:t>
      </w:r>
    </w:p>
    <w:p w:rsidR="044131FA" w:rsidP="01090360" w:rsidRDefault="044131FA" w14:paraId="69E44E56" w14:textId="15B9A4C9">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01090360" w:rsidR="044131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World Commission on Environment and Development</w:t>
      </w:r>
      <w:r w:rsidRPr="01090360" w:rsidR="044131FA">
        <w:rPr>
          <w:rFonts w:ascii="Arial" w:hAnsi="Arial" w:eastAsia="Arial" w:cs="Arial"/>
          <w:b w:val="0"/>
          <w:bCs w:val="0"/>
          <w:i w:val="0"/>
          <w:iCs w:val="0"/>
          <w:caps w:val="0"/>
          <w:smallCaps w:val="0"/>
          <w:noProof w:val="0"/>
          <w:color w:val="222222"/>
          <w:sz w:val="24"/>
          <w:szCs w:val="24"/>
          <w:lang w:val="en-US"/>
        </w:rPr>
        <w:t xml:space="preserve">, S.W.S., (1987). World commission on environment and development. </w:t>
      </w:r>
      <w:r w:rsidRPr="01090360" w:rsidR="044131FA">
        <w:rPr>
          <w:rFonts w:ascii="Arial" w:hAnsi="Arial" w:eastAsia="Arial" w:cs="Arial"/>
          <w:b w:val="0"/>
          <w:bCs w:val="0"/>
          <w:i w:val="1"/>
          <w:iCs w:val="1"/>
          <w:caps w:val="0"/>
          <w:smallCaps w:val="0"/>
          <w:noProof w:val="0"/>
          <w:color w:val="222222"/>
          <w:sz w:val="24"/>
          <w:szCs w:val="24"/>
          <w:lang w:val="en-US"/>
        </w:rPr>
        <w:t>Our common future</w:t>
      </w:r>
      <w:r w:rsidRPr="01090360" w:rsidR="044131FA">
        <w:rPr>
          <w:rFonts w:ascii="Arial" w:hAnsi="Arial" w:eastAsia="Arial" w:cs="Arial"/>
          <w:b w:val="0"/>
          <w:bCs w:val="0"/>
          <w:i w:val="0"/>
          <w:iCs w:val="0"/>
          <w:caps w:val="0"/>
          <w:smallCaps w:val="0"/>
          <w:noProof w:val="0"/>
          <w:color w:val="222222"/>
          <w:sz w:val="24"/>
          <w:szCs w:val="24"/>
          <w:lang w:val="en-US"/>
        </w:rPr>
        <w:t>, Volume 17, No. 1, pp.1-91.</w:t>
      </w:r>
    </w:p>
    <w:p w:rsidR="01090360" w:rsidP="01090360" w:rsidRDefault="01090360" w14:paraId="215C1CE3" w14:textId="537614A9">
      <w:pPr>
        <w:spacing w:after="160" w:line="259" w:lineRule="auto"/>
        <w:rPr>
          <w:rFonts w:ascii="Arial" w:hAnsi="Arial" w:eastAsia="Arial" w:cs="Arial"/>
          <w:b w:val="0"/>
          <w:bCs w:val="0"/>
          <w:i w:val="0"/>
          <w:iCs w:val="0"/>
          <w:caps w:val="0"/>
          <w:smallCaps w:val="0"/>
          <w:noProof w:val="0"/>
          <w:color w:val="000000" w:themeColor="text1" w:themeTint="FF" w:themeShade="FF"/>
          <w:sz w:val="20"/>
          <w:szCs w:val="20"/>
          <w:lang w:val="en-US"/>
        </w:rPr>
      </w:pPr>
    </w:p>
    <w:p w:rsidR="01090360" w:rsidP="01090360" w:rsidRDefault="01090360" w14:paraId="1ECB8195" w14:textId="0A5CA93D">
      <w:pPr>
        <w:spacing w:after="160" w:line="259" w:lineRule="auto"/>
        <w:rPr>
          <w:rFonts w:ascii="Verdana" w:hAnsi="Verdana" w:eastAsia="Verdana" w:cs="Verdana"/>
          <w:b w:val="0"/>
          <w:bCs w:val="0"/>
          <w:i w:val="0"/>
          <w:iCs w:val="0"/>
          <w:caps w:val="0"/>
          <w:smallCaps w:val="0"/>
          <w:noProof w:val="0"/>
          <w:color w:val="555555"/>
          <w:sz w:val="18"/>
          <w:szCs w:val="18"/>
          <w:lang w:val="en-US"/>
        </w:rPr>
      </w:pPr>
    </w:p>
    <w:p w:rsidR="01090360" w:rsidP="01090360" w:rsidRDefault="01090360" w14:paraId="10C96666" w14:textId="663DABF6">
      <w:pPr>
        <w:pStyle w:val="Normal"/>
        <w:jc w:val="left"/>
        <w:rPr>
          <w:rFonts w:ascii="Arial" w:hAnsi="Arial" w:eastAsia="Arial" w:cs="Arial"/>
          <w:b w:val="1"/>
          <w:bCs w:val="1"/>
          <w:sz w:val="28"/>
          <w:szCs w:val="28"/>
        </w:rPr>
      </w:pPr>
    </w:p>
    <w:p w:rsidR="01090360" w:rsidP="01090360" w:rsidRDefault="01090360" w14:paraId="00F84D44" w14:textId="234E7BBF">
      <w:pPr>
        <w:pStyle w:val="Normal"/>
        <w:jc w:val="left"/>
        <w:rPr>
          <w:rFonts w:ascii="Arial" w:hAnsi="Arial" w:eastAsia="Arial" w:cs="Arial"/>
          <w:sz w:val="28"/>
          <w:szCs w:val="28"/>
        </w:rPr>
      </w:pPr>
    </w:p>
    <w:p w:rsidR="01090360" w:rsidP="01090360" w:rsidRDefault="01090360" w14:paraId="64CFE78C" w14:textId="482CC520">
      <w:pPr>
        <w:pStyle w:val="Normal"/>
        <w:jc w:val="left"/>
        <w:rPr>
          <w:rFonts w:ascii="Arial" w:hAnsi="Arial" w:eastAsia="Arial" w:cs="Arial"/>
          <w:sz w:val="28"/>
          <w:szCs w:val="28"/>
        </w:rPr>
      </w:pPr>
    </w:p>
    <w:p w:rsidR="01090360" w:rsidP="01090360" w:rsidRDefault="01090360" w14:paraId="04D82F99" w14:textId="6D597478">
      <w:pPr>
        <w:pStyle w:val="Normal"/>
        <w:jc w:val="left"/>
        <w:rPr>
          <w:rFonts w:ascii="Arial" w:hAnsi="Arial" w:eastAsia="Arial" w:cs="Arial"/>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CE2989"/>
    <w:rsid w:val="01090360"/>
    <w:rsid w:val="044131FA"/>
    <w:rsid w:val="0634DBF0"/>
    <w:rsid w:val="1BF0EC17"/>
    <w:rsid w:val="1D33BD93"/>
    <w:rsid w:val="1D8CBC78"/>
    <w:rsid w:val="1ECF8DF4"/>
    <w:rsid w:val="20CC7C96"/>
    <w:rsid w:val="259FEDB9"/>
    <w:rsid w:val="2AD123A3"/>
    <w:rsid w:val="2DE62D35"/>
    <w:rsid w:val="35B5DFAD"/>
    <w:rsid w:val="3759CF6A"/>
    <w:rsid w:val="3DAFE891"/>
    <w:rsid w:val="3EEAAAC6"/>
    <w:rsid w:val="3F35B664"/>
    <w:rsid w:val="4E6E0D2B"/>
    <w:rsid w:val="4E93BA9C"/>
    <w:rsid w:val="4ECE2989"/>
    <w:rsid w:val="56C677CA"/>
    <w:rsid w:val="5D1AFA5A"/>
    <w:rsid w:val="6E78E48A"/>
    <w:rsid w:val="7AAE6CF0"/>
    <w:rsid w:val="7B0332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E2989"/>
  <w15:chartTrackingRefBased/>
  <w15:docId w15:val="{16313EC1-B7DB-4FD5-90A8-1CC5583ADD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2023-05-17T03:25:36.0839528Z</dcterms:created>
  <dcterms:modified xsi:type="dcterms:W3CDTF">2023-05-17T03:41:48.6981562Z</dcterms:modified>
  <dc:creator>Cornel Iurea (1817181)</dc:creator>
  <lastModifiedBy>Cornel Iurea (1817181)</lastModifiedBy>
</coreProperties>
</file>