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65C36D" w14:textId="2A9BC502" w:rsidR="00726BF2" w:rsidRPr="00BA623B" w:rsidRDefault="0056125F">
      <w:pPr>
        <w:rPr>
          <w:b/>
          <w:bCs/>
          <w:u w:val="single"/>
        </w:rPr>
      </w:pPr>
      <w:r>
        <w:rPr>
          <w:b/>
          <w:bCs/>
          <w:u w:val="single"/>
        </w:rPr>
        <w:t xml:space="preserve">Chapter 4 - </w:t>
      </w:r>
      <w:r w:rsidR="00726BF2" w:rsidRPr="00BA623B">
        <w:rPr>
          <w:b/>
          <w:bCs/>
          <w:u w:val="single"/>
        </w:rPr>
        <w:t xml:space="preserve">Findings </w:t>
      </w:r>
      <w:r>
        <w:rPr>
          <w:b/>
          <w:bCs/>
          <w:u w:val="single"/>
        </w:rPr>
        <w:t xml:space="preserve">and data analysis </w:t>
      </w:r>
    </w:p>
    <w:p w14:paraId="2F63DAD2" w14:textId="25063C37" w:rsidR="00726BF2" w:rsidRDefault="00BA623B">
      <w:r>
        <w:t xml:space="preserve">This research chapter will analyse and present the primary data, which consists of 102 responses to 15 questions analysed to determine </w:t>
      </w:r>
      <w:proofErr w:type="gramStart"/>
      <w:r>
        <w:t>whether or not</w:t>
      </w:r>
      <w:proofErr w:type="gramEnd"/>
      <w:r>
        <w:t xml:space="preserve"> adverse childhood experiences lead to criminal behaviour in adulthood. By comparing the data supplied by the participants, this chapter will also assist in identifying any gaps in the literature review and collecting public </w:t>
      </w:r>
      <w:r w:rsidR="004F4143">
        <w:t xml:space="preserve">opinion </w:t>
      </w:r>
      <w:sdt>
        <w:sdtPr>
          <w:id w:val="-1156989124"/>
          <w:citation/>
        </w:sdtPr>
        <w:sdtContent>
          <w:r w:rsidR="004F4143">
            <w:fldChar w:fldCharType="begin"/>
          </w:r>
          <w:r w:rsidR="004F4143">
            <w:instrText xml:space="preserve"> CITATION Ros03 \l 2057 </w:instrText>
          </w:r>
          <w:r w:rsidR="004F4143">
            <w:fldChar w:fldCharType="separate"/>
          </w:r>
          <w:r w:rsidR="004F4143" w:rsidRPr="004F4143">
            <w:rPr>
              <w:noProof/>
            </w:rPr>
            <w:t>(Rossman &amp; Rallis, 2003)</w:t>
          </w:r>
          <w:r w:rsidR="004F4143">
            <w:fldChar w:fldCharType="end"/>
          </w:r>
        </w:sdtContent>
      </w:sdt>
      <w:r w:rsidR="004F4143">
        <w:t xml:space="preserve">. </w:t>
      </w:r>
    </w:p>
    <w:p w14:paraId="38099651" w14:textId="040A5E78" w:rsidR="00BA623B" w:rsidRDefault="00BA623B">
      <w:pPr>
        <w:rPr>
          <w:b/>
          <w:bCs/>
          <w:u w:val="single"/>
        </w:rPr>
      </w:pPr>
      <w:r w:rsidRPr="00BA623B">
        <w:rPr>
          <w:b/>
          <w:bCs/>
          <w:u w:val="single"/>
        </w:rPr>
        <w:t xml:space="preserve">Data Analysis </w:t>
      </w:r>
    </w:p>
    <w:p w14:paraId="77DE6F09" w14:textId="63E242E6" w:rsidR="00BA623B" w:rsidRDefault="00DE0D69">
      <w:r>
        <w:t>The goal of the data analysis is to obtain meaningful information from the findings, which enables us to use the information from the questionnaire to finish the analysis and reach a comprehensive conclusion about the outcomes that can be talked about at a later time</w:t>
      </w:r>
      <w:r w:rsidR="00285A96">
        <w:t xml:space="preserve"> </w:t>
      </w:r>
      <w:sdt>
        <w:sdtPr>
          <w:id w:val="1041942089"/>
          <w:citation/>
        </w:sdtPr>
        <w:sdtContent>
          <w:r w:rsidR="00285A96">
            <w:fldChar w:fldCharType="begin"/>
          </w:r>
          <w:r w:rsidR="00285A96">
            <w:instrText xml:space="preserve"> CITATION Nan04 \l 2057 </w:instrText>
          </w:r>
          <w:r w:rsidR="00285A96">
            <w:fldChar w:fldCharType="separate"/>
          </w:r>
          <w:r w:rsidR="00285A96" w:rsidRPr="00285A96">
            <w:rPr>
              <w:noProof/>
            </w:rPr>
            <w:t>(Pelle, 2004)</w:t>
          </w:r>
          <w:r w:rsidR="00285A96">
            <w:fldChar w:fldCharType="end"/>
          </w:r>
        </w:sdtContent>
      </w:sdt>
      <w:r w:rsidR="00285A96">
        <w:t xml:space="preserve">. </w:t>
      </w:r>
    </w:p>
    <w:p w14:paraId="664E91A1" w14:textId="63982550" w:rsidR="00DE0D69" w:rsidRDefault="000E161F">
      <w:r>
        <w:t xml:space="preserve">Microsoft </w:t>
      </w:r>
      <w:r w:rsidR="008B5EF8">
        <w:t>Forms</w:t>
      </w:r>
      <w:r>
        <w:t xml:space="preserve"> will be used to </w:t>
      </w:r>
      <w:r w:rsidR="007A6D77">
        <w:t>analyse</w:t>
      </w:r>
      <w:r>
        <w:t xml:space="preserve"> the data gathered from the questionnaire, as this is the most effective method for doing so as it will provide a clear picture of each question and </w:t>
      </w:r>
      <w:r w:rsidR="007A6D77">
        <w:t>participant's</w:t>
      </w:r>
      <w:r>
        <w:t xml:space="preserve"> responses. The use of Microsoft </w:t>
      </w:r>
      <w:r w:rsidR="008B5EF8">
        <w:t>Forms</w:t>
      </w:r>
      <w:r>
        <w:t xml:space="preserve"> will display the percentage </w:t>
      </w:r>
      <w:r w:rsidR="007A6D77">
        <w:t>of each person's opinion</w:t>
      </w:r>
      <w:r w:rsidR="00285A96">
        <w:t xml:space="preserve"> </w:t>
      </w:r>
      <w:sdt>
        <w:sdtPr>
          <w:id w:val="1318922350"/>
          <w:citation/>
        </w:sdtPr>
        <w:sdtContent>
          <w:r w:rsidR="00285A96">
            <w:fldChar w:fldCharType="begin"/>
          </w:r>
          <w:r w:rsidR="00285A96">
            <w:instrText xml:space="preserve"> CITATION Rad23 \l 2057 </w:instrText>
          </w:r>
          <w:r w:rsidR="00285A96">
            <w:fldChar w:fldCharType="separate"/>
          </w:r>
          <w:r w:rsidR="00285A96" w:rsidRPr="00285A96">
            <w:rPr>
              <w:noProof/>
            </w:rPr>
            <w:t>(Tripurani, 2023)</w:t>
          </w:r>
          <w:r w:rsidR="00285A96">
            <w:fldChar w:fldCharType="end"/>
          </w:r>
        </w:sdtContent>
      </w:sdt>
      <w:r w:rsidR="00285A96">
        <w:t xml:space="preserve">. </w:t>
      </w:r>
    </w:p>
    <w:p w14:paraId="7A5FD3F7" w14:textId="1F09A850" w:rsidR="007A6D77" w:rsidRDefault="00FA2E0C">
      <w:r>
        <w:t xml:space="preserve">The method used was to construct a questionnaire because it was determined that this would be the most effective way to obtain a satisfactory result and </w:t>
      </w:r>
      <w:r w:rsidR="003409B3">
        <w:t>would</w:t>
      </w:r>
      <w:r>
        <w:t xml:space="preserve"> support the completion </w:t>
      </w:r>
      <w:r w:rsidR="003409B3">
        <w:t xml:space="preserve">of </w:t>
      </w:r>
      <w:r>
        <w:t xml:space="preserve">all the research thoroughly. The use of Microsoft </w:t>
      </w:r>
      <w:r w:rsidR="003409B3">
        <w:t>Forms</w:t>
      </w:r>
      <w:r>
        <w:t xml:space="preserve"> made it the simplest to distribute the questionnaire to as many people as possible via social media channels, which was the best way to ensure </w:t>
      </w:r>
      <w:proofErr w:type="gramStart"/>
      <w:r>
        <w:t>a large number of</w:t>
      </w:r>
      <w:proofErr w:type="gramEnd"/>
      <w:r>
        <w:t xml:space="preserve"> responses</w:t>
      </w:r>
      <w:r w:rsidR="00285A96">
        <w:t xml:space="preserve"> </w:t>
      </w:r>
      <w:sdt>
        <w:sdtPr>
          <w:id w:val="-1978057428"/>
          <w:citation/>
        </w:sdtPr>
        <w:sdtContent>
          <w:r w:rsidR="00285A96">
            <w:fldChar w:fldCharType="begin"/>
          </w:r>
          <w:r w:rsidR="00285A96">
            <w:instrText xml:space="preserve"> CITATION Ali10 \l 2057 </w:instrText>
          </w:r>
          <w:r w:rsidR="00285A96">
            <w:fldChar w:fldCharType="separate"/>
          </w:r>
          <w:r w:rsidR="00285A96" w:rsidRPr="00285A96">
            <w:rPr>
              <w:noProof/>
            </w:rPr>
            <w:t>(Brown, 2010)</w:t>
          </w:r>
          <w:r w:rsidR="00285A96">
            <w:fldChar w:fldCharType="end"/>
          </w:r>
        </w:sdtContent>
      </w:sdt>
      <w:r w:rsidR="00285A96">
        <w:t xml:space="preserve">. </w:t>
      </w:r>
    </w:p>
    <w:p w14:paraId="23FB1A8E" w14:textId="4B0A1566" w:rsidR="003409B3" w:rsidRDefault="003409B3">
      <w:r>
        <w:t xml:space="preserve">The questionnaire’s participants were divided into three categories: Female, male, and </w:t>
      </w:r>
      <w:r w:rsidR="007D154E">
        <w:t>non-binary</w:t>
      </w:r>
      <w:r>
        <w:t xml:space="preserve">. The age range for this group was 18-64+, and by including such a wide range of age groups and genders, the research was able to be understood and </w:t>
      </w:r>
      <w:r w:rsidR="007D154E">
        <w:t>analysed</w:t>
      </w:r>
      <w:r>
        <w:t xml:space="preserve"> from the perspective of how the various age groups and genders feel and think about the topic. Due to the questionnaire having both numerical and opinion-based questions, it </w:t>
      </w:r>
      <w:r w:rsidR="007D154E">
        <w:t>allows the researcher</w:t>
      </w:r>
      <w:r>
        <w:t xml:space="preserve"> to investigate and uncover various viewpoints. Both qualitative and quantitative data</w:t>
      </w:r>
      <w:r w:rsidR="007D154E">
        <w:t xml:space="preserve"> were used in the analysis of the data</w:t>
      </w:r>
      <w:r w:rsidR="00285A96">
        <w:t xml:space="preserve"> </w:t>
      </w:r>
      <w:sdt>
        <w:sdtPr>
          <w:id w:val="227198341"/>
          <w:citation/>
        </w:sdtPr>
        <w:sdtContent>
          <w:r w:rsidR="00285A96">
            <w:fldChar w:fldCharType="begin"/>
          </w:r>
          <w:r w:rsidR="00285A96">
            <w:instrText xml:space="preserve"> CITATION Chy17 \l 2057 </w:instrText>
          </w:r>
          <w:r w:rsidR="00285A96">
            <w:fldChar w:fldCharType="separate"/>
          </w:r>
          <w:r w:rsidR="00285A96" w:rsidRPr="00285A96">
            <w:rPr>
              <w:noProof/>
            </w:rPr>
            <w:t>(Chyung, 2017)</w:t>
          </w:r>
          <w:r w:rsidR="00285A96">
            <w:fldChar w:fldCharType="end"/>
          </w:r>
        </w:sdtContent>
      </w:sdt>
      <w:r w:rsidR="00285A96">
        <w:t xml:space="preserve">. </w:t>
      </w:r>
    </w:p>
    <w:p w14:paraId="01403A2F" w14:textId="510503DF" w:rsidR="004F4143" w:rsidRDefault="00990768">
      <w:r>
        <w:t xml:space="preserve">A total of 102 adults over the age of 18 were needed for this study, 92% of the participants were women, 7% were men, and one participant identified as non-binary. Every participant’s response was voluntary and anonymous, and it was made obvious that they could leave the study at any time.  </w:t>
      </w:r>
      <w:r w:rsidR="0056125F">
        <w:t xml:space="preserve">All participants were older than 18. </w:t>
      </w:r>
      <w:proofErr w:type="gramStart"/>
      <w:r w:rsidR="0056125F">
        <w:t>The majority of</w:t>
      </w:r>
      <w:proofErr w:type="gramEnd"/>
      <w:r w:rsidR="0056125F">
        <w:t xml:space="preserve"> the respondents to the questionnaire 27% were from the 45-55 age group, 22% came from the 18-24 age group, 19% came from the 35-44 age group, 17% came from the 55-64 age group, 14% came from the 25-34 age group and the remaining 3% came from the 64+ age group. This indicated that there were not many participants who </w:t>
      </w:r>
      <w:r w:rsidR="0056125F">
        <w:lastRenderedPageBreak/>
        <w:t xml:space="preserve">were older than 64 years of age which is why the results were derived from a younger and middle-aged population. </w:t>
      </w:r>
    </w:p>
    <w:p w14:paraId="3FA416E4" w14:textId="0EFB0236" w:rsidR="0056125F" w:rsidRPr="0056125F" w:rsidRDefault="0056125F">
      <w:pPr>
        <w:rPr>
          <w:b/>
          <w:bCs/>
          <w:u w:val="single"/>
        </w:rPr>
      </w:pPr>
      <w:r w:rsidRPr="0056125F">
        <w:rPr>
          <w:b/>
          <w:bCs/>
          <w:u w:val="single"/>
        </w:rPr>
        <w:t xml:space="preserve">Analysis </w:t>
      </w:r>
    </w:p>
    <w:p w14:paraId="06C06BBA" w14:textId="7E1D5F75" w:rsidR="0056125F" w:rsidRDefault="00FE113A">
      <w:r>
        <w:t>The pie chart below shows whether participants knew what adverse childhood experiences were or not, 54% of participants said they knew what adverse childhood experiences were and 47% said they didn’t know what they were. Participants who answered yes to question five were asked to give their perspective on what they thought adverse childhood experiences were, 36% of respon</w:t>
      </w:r>
      <w:r w:rsidR="00DD34EA">
        <w:t xml:space="preserve">dents </w:t>
      </w:r>
      <w:r>
        <w:t xml:space="preserve">said that adverse childhood experiences were due to childhood trauma and traumatic experiences, 24% of respondents said that </w:t>
      </w:r>
      <w:r w:rsidR="00DD34EA">
        <w:t>it</w:t>
      </w:r>
      <w:r>
        <w:t xml:space="preserve"> was due to childhood abuse</w:t>
      </w:r>
      <w:r w:rsidR="00DD34EA">
        <w:t xml:space="preserve">. </w:t>
      </w:r>
    </w:p>
    <w:p w14:paraId="0F6BD57E" w14:textId="35012DE5" w:rsidR="00DD34EA" w:rsidRDefault="005F5BEC">
      <w:proofErr w:type="gramStart"/>
      <w:r>
        <w:t>The majority of</w:t>
      </w:r>
      <w:proofErr w:type="gramEnd"/>
      <w:r>
        <w:t xml:space="preserve"> participants, as indicated by question 2, were between the ages of 18 and 24 and 45-55. This suggests that participants believe that traumatic or abusive childhood experiences are the cause of adverse childhood experiences, which may lead to criminal tendencies in later life. Given that the majority of participants 27% were 45-55 and 22% were 18-24, some young adults may have experienced adverse childhood experiences that have shaped their belief that criminals are a result of these adverse childhood experiences and that some middle-aged adults may know someone who has experienced abuse or had a traumatic experience which affected how they behaved as a child, so they have formed the opinion that adverse childhood experiences are due to traumatic events or abuse in younger life. </w:t>
      </w:r>
    </w:p>
    <w:p w14:paraId="072BA173" w14:textId="1EA7A858" w:rsidR="005F5BEC" w:rsidRDefault="005F5BEC">
      <w:r>
        <w:t xml:space="preserve">According to Scott (2021), adverse childhood experiences </w:t>
      </w:r>
      <w:r w:rsidR="000419AB">
        <w:t>are</w:t>
      </w:r>
      <w:r>
        <w:t xml:space="preserve"> defined as events during childhood that are stressful and may impact mental and physical health having effects on childhood and future adulthood</w:t>
      </w:r>
      <w:r w:rsidR="000419AB">
        <w:t>. The evidence collected through the questionnaire can back this up as most of the participants (36%) said that traumatic events and or abusive childhoods can alter a child's behaviour and make them commit crimes later in life. However, some participants</w:t>
      </w:r>
      <w:r w:rsidR="004321E3">
        <w:t xml:space="preserve"> (14%)</w:t>
      </w:r>
      <w:r w:rsidR="000419AB">
        <w:t xml:space="preserve"> believe that Adverse childhood experiences and future criminal behaviour can be due to the network around a child, for example, poverty and or drug and alcohol abuse within the household, this indicated that participants believe that if a child grows up in a poverty-stricken or drug and alcohol abusive household can harm their decisions and </w:t>
      </w:r>
      <w:r w:rsidR="004321E3">
        <w:t>lifestyle</w:t>
      </w:r>
      <w:r w:rsidR="000419AB">
        <w:t xml:space="preserve"> choices in adulthood </w:t>
      </w:r>
      <w:sdt>
        <w:sdtPr>
          <w:id w:val="1155880646"/>
          <w:citation/>
        </w:sdtPr>
        <w:sdtContent>
          <w:r w:rsidR="000419AB">
            <w:fldChar w:fldCharType="begin"/>
          </w:r>
          <w:r w:rsidR="000419AB">
            <w:instrText xml:space="preserve"> CITATION Hos19 \l 2057 </w:instrText>
          </w:r>
          <w:r w:rsidR="000419AB">
            <w:fldChar w:fldCharType="separate"/>
          </w:r>
          <w:r w:rsidR="000419AB" w:rsidRPr="000419AB">
            <w:rPr>
              <w:noProof/>
            </w:rPr>
            <w:t>(Hosken, et al., 2019)</w:t>
          </w:r>
          <w:r w:rsidR="000419AB">
            <w:fldChar w:fldCharType="end"/>
          </w:r>
        </w:sdtContent>
      </w:sdt>
      <w:r w:rsidR="000419AB">
        <w:t xml:space="preserve">. </w:t>
      </w:r>
    </w:p>
    <w:p w14:paraId="7D85F333" w14:textId="7B9B6FF9" w:rsidR="004321E3" w:rsidRDefault="004321E3">
      <w:r>
        <w:rPr>
          <w:noProof/>
        </w:rPr>
        <w:lastRenderedPageBreak/>
        <w:drawing>
          <wp:inline distT="0" distB="0" distL="0" distR="0" wp14:anchorId="202D38CF" wp14:editId="0E96D855">
            <wp:extent cx="3569335" cy="1784350"/>
            <wp:effectExtent l="0" t="0" r="0" b="6350"/>
            <wp:docPr id="1805183537"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5183537" name="Picture 1" descr="A blue and orange pie char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69335" cy="1784350"/>
                    </a:xfrm>
                    <a:prstGeom prst="rect">
                      <a:avLst/>
                    </a:prstGeom>
                    <a:noFill/>
                    <a:ln>
                      <a:noFill/>
                    </a:ln>
                  </pic:spPr>
                </pic:pic>
              </a:graphicData>
            </a:graphic>
          </wp:inline>
        </w:drawing>
      </w:r>
      <w:r>
        <w:t>Q5</w:t>
      </w:r>
    </w:p>
    <w:p w14:paraId="07600101" w14:textId="77777777" w:rsidR="004321E3" w:rsidRDefault="004321E3"/>
    <w:p w14:paraId="43818CE1" w14:textId="66FAD036" w:rsidR="004321E3" w:rsidRDefault="00F241EB">
      <w:r>
        <w:t>Question 7 demonstrates that 32% of participants believe that 40-50% of children experience ACEs in the UK, 25% of participants believe that 30-40% of children experience ACEs and 18% of participants believe that 20-30% of children experience ACEs in the UK</w:t>
      </w:r>
      <w:r w:rsidR="0011234F">
        <w:t>, 15% believe that 50-60% experience ACEs, 10% believe that 60%+ experience ACEs and only 1% believe that 10-20% experience ACEs</w:t>
      </w:r>
      <w:r>
        <w:t xml:space="preserve">. As previously mentioned, participants were majority middle-aged or young adults, therefore they believe that more children in </w:t>
      </w:r>
      <w:r w:rsidR="0011234F">
        <w:t xml:space="preserve">the </w:t>
      </w:r>
      <w:r>
        <w:t xml:space="preserve">UK are experiencing ACEs every day. Linking back to the literature review </w:t>
      </w:r>
      <w:r w:rsidR="0011234F">
        <w:t xml:space="preserve">adverse childhood experiences have been linked to 30% of youths involved in the justice system because of childhood trauma and 90% of the offenders have experienced some kind of traumatic event in their childhood. Therefore, if a young child is put in a vulnerable situation and experiences ACEs and some point in their childhood, they are more than likely going to follow the adult criminal pathway. The graph below shows clear evidence that participants believe there are 40-50% of the UK child population experience ACEs. </w:t>
      </w:r>
    </w:p>
    <w:p w14:paraId="7D239263" w14:textId="2370DF11" w:rsidR="0011234F" w:rsidRDefault="0011234F">
      <w:r>
        <w:rPr>
          <w:noProof/>
        </w:rPr>
        <w:drawing>
          <wp:inline distT="0" distB="0" distL="0" distR="0" wp14:anchorId="3C74E53A" wp14:editId="76D68298">
            <wp:extent cx="4159250" cy="2971800"/>
            <wp:effectExtent l="0" t="0" r="0" b="0"/>
            <wp:docPr id="1962579657" name="Picture 3" descr="A graph with different colored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579657" name="Picture 3" descr="A graph with different colored bars&#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59250" cy="2971800"/>
                    </a:xfrm>
                    <a:prstGeom prst="rect">
                      <a:avLst/>
                    </a:prstGeom>
                    <a:noFill/>
                    <a:ln>
                      <a:noFill/>
                    </a:ln>
                  </pic:spPr>
                </pic:pic>
              </a:graphicData>
            </a:graphic>
          </wp:inline>
        </w:drawing>
      </w:r>
      <w:r>
        <w:t xml:space="preserve"> Q7</w:t>
      </w:r>
    </w:p>
    <w:p w14:paraId="3EB8B668" w14:textId="19E83CA0" w:rsidR="0011234F" w:rsidRDefault="0011234F"/>
    <w:p w14:paraId="7A0F8BDF" w14:textId="14DFD758" w:rsidR="006C5C77" w:rsidRDefault="006C5C77">
      <w:r>
        <w:lastRenderedPageBreak/>
        <w:t xml:space="preserve">Question 8 clearly shows that </w:t>
      </w:r>
      <w:proofErr w:type="gramStart"/>
      <w:r>
        <w:t>the majority of</w:t>
      </w:r>
      <w:proofErr w:type="gramEnd"/>
      <w:r>
        <w:t xml:space="preserve"> participants agree that there is a definite link between childhood trauma and criminality. 81% of the participants said yes to there being a link, whereas 20% of respondents said no. Looking back at the first two questions, there is a connection as </w:t>
      </w:r>
      <w:proofErr w:type="gramStart"/>
      <w:r>
        <w:t>the majority of</w:t>
      </w:r>
      <w:proofErr w:type="gramEnd"/>
      <w:r>
        <w:t xml:space="preserve"> </w:t>
      </w:r>
      <w:r w:rsidR="00B71206">
        <w:t>participants</w:t>
      </w:r>
      <w:r>
        <w:t xml:space="preserve"> were aged 45-55 and 18-24, and they believe that there is a strong connection between childhood trauma and criminality</w:t>
      </w:r>
      <w:r w:rsidR="00B71206">
        <w:t xml:space="preserve">. </w:t>
      </w:r>
    </w:p>
    <w:p w14:paraId="58BAF835" w14:textId="225F9A59" w:rsidR="00B71206" w:rsidRDefault="00B71206">
      <w:r>
        <w:t xml:space="preserve">Young people and middle-aged people may hold strong beliefs about the connection between childhood trauma and criminality because they may have seen it firsthand when they were growing up or because they may have a family member or friend go through it and have seen it from their perspective. There is more support available in this society today for those children who have experienced a traumatic upbringing. According to the research, ACEs have a significant impact on a child's life and the choices they make as adults. Though not all kids will lead bad lives, there are resources available to help shield kids from making poor decisions </w:t>
      </w:r>
      <w:sdt>
        <w:sdtPr>
          <w:id w:val="239066525"/>
          <w:citation/>
        </w:sdtPr>
        <w:sdtContent>
          <w:r w:rsidR="008C7BDF">
            <w:fldChar w:fldCharType="begin"/>
          </w:r>
          <w:r w:rsidR="008C7BDF">
            <w:instrText xml:space="preserve"> CITATION Lar20 \l 2057 </w:instrText>
          </w:r>
          <w:r w:rsidR="008C7BDF">
            <w:fldChar w:fldCharType="separate"/>
          </w:r>
          <w:r w:rsidR="008C7BDF" w:rsidRPr="008C7BDF">
            <w:rPr>
              <w:noProof/>
            </w:rPr>
            <w:t>(Larkin &amp; Cairns, 2020)</w:t>
          </w:r>
          <w:r w:rsidR="008C7BDF">
            <w:fldChar w:fldCharType="end"/>
          </w:r>
        </w:sdtContent>
      </w:sdt>
      <w:r w:rsidR="008C7BDF">
        <w:t xml:space="preserve">. </w:t>
      </w:r>
    </w:p>
    <w:p w14:paraId="4A7971B2" w14:textId="295E3886" w:rsidR="008C7BDF" w:rsidRDefault="008C7BDF">
      <w:r>
        <w:rPr>
          <w:noProof/>
        </w:rPr>
        <w:drawing>
          <wp:inline distT="0" distB="0" distL="0" distR="0" wp14:anchorId="0AA6DC34" wp14:editId="32F355A8">
            <wp:extent cx="3569335" cy="1784350"/>
            <wp:effectExtent l="0" t="0" r="0" b="6350"/>
            <wp:docPr id="1954154869"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154869" name="Picture 1" descr="A blue and orange pi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69335" cy="1784350"/>
                    </a:xfrm>
                    <a:prstGeom prst="rect">
                      <a:avLst/>
                    </a:prstGeom>
                    <a:noFill/>
                    <a:ln>
                      <a:noFill/>
                    </a:ln>
                  </pic:spPr>
                </pic:pic>
              </a:graphicData>
            </a:graphic>
          </wp:inline>
        </w:drawing>
      </w:r>
      <w:r>
        <w:t xml:space="preserve">Q8 </w:t>
      </w:r>
    </w:p>
    <w:p w14:paraId="2A363F94" w14:textId="77777777" w:rsidR="008C7BDF" w:rsidRDefault="008C7BDF"/>
    <w:p w14:paraId="59B1E89F" w14:textId="639B200E" w:rsidR="008C7BDF" w:rsidRDefault="00EB6924">
      <w:r>
        <w:t xml:space="preserve">When participants were asked if they agree with the statement ‘Do you agree or disagree that offenders who have experienced adverse childhood experiences are likely to commit violent crimes? results show that 64% agree with the above statement with the remaining 37% disagreeing with the statement. </w:t>
      </w:r>
    </w:p>
    <w:p w14:paraId="373F2AEF" w14:textId="582737B8" w:rsidR="00EB6924" w:rsidRDefault="00EB6924">
      <w:r>
        <w:t xml:space="preserve">Most of the participants agree with the statement as they believe there is a strong link between violent crimes and adverse childhood experiences, as many of the participants agree with the statement </w:t>
      </w:r>
      <w:proofErr w:type="gramStart"/>
      <w:r>
        <w:t>it is clear that the</w:t>
      </w:r>
      <w:proofErr w:type="gramEnd"/>
      <w:r>
        <w:t xml:space="preserve"> public has a perspective that most adverse childhood experiences lead to the person committing violent crimes in their adult life, like knife crime and or abuse whether physical, mental or sexual.</w:t>
      </w:r>
      <w:r w:rsidR="00BA7300">
        <w:t xml:space="preserve"> Strong connections between early childhood trauma and experiences are demonstrated by the research, which was conducted through both the questionnaire and the literature review. ACEs can raise an individual’s risk of being exposed to violence, either as a victim or a perpetrator, or it can cause them to engage in behaviours linked to violence </w:t>
      </w:r>
      <w:sdt>
        <w:sdtPr>
          <w:id w:val="-979921745"/>
          <w:citation/>
        </w:sdtPr>
        <w:sdtContent>
          <w:r w:rsidR="00BA7300">
            <w:fldChar w:fldCharType="begin"/>
          </w:r>
          <w:r w:rsidR="00BA7300">
            <w:instrText xml:space="preserve"> CITATION Vio24 \l 2057 </w:instrText>
          </w:r>
          <w:r w:rsidR="00BA7300">
            <w:fldChar w:fldCharType="separate"/>
          </w:r>
          <w:r w:rsidR="00BA7300" w:rsidRPr="00BA7300">
            <w:rPr>
              <w:noProof/>
            </w:rPr>
            <w:t>(Violence Prevention Unit , 2024)</w:t>
          </w:r>
          <w:r w:rsidR="00BA7300">
            <w:fldChar w:fldCharType="end"/>
          </w:r>
        </w:sdtContent>
      </w:sdt>
      <w:r w:rsidR="00BA7300">
        <w:t xml:space="preserve">. </w:t>
      </w:r>
    </w:p>
    <w:p w14:paraId="2C1E17EE" w14:textId="2B6177AA" w:rsidR="00BA7300" w:rsidRDefault="00BA7300">
      <w:r>
        <w:rPr>
          <w:noProof/>
        </w:rPr>
        <w:lastRenderedPageBreak/>
        <w:drawing>
          <wp:inline distT="0" distB="0" distL="0" distR="0" wp14:anchorId="472CB644" wp14:editId="54A6C2DB">
            <wp:extent cx="3573780" cy="1783080"/>
            <wp:effectExtent l="0" t="0" r="0" b="7620"/>
            <wp:docPr id="186731528"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31528" name="Picture 1" descr="A blue and orange pi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73780" cy="1783080"/>
                    </a:xfrm>
                    <a:prstGeom prst="rect">
                      <a:avLst/>
                    </a:prstGeom>
                    <a:noFill/>
                    <a:ln>
                      <a:noFill/>
                    </a:ln>
                  </pic:spPr>
                </pic:pic>
              </a:graphicData>
            </a:graphic>
          </wp:inline>
        </w:drawing>
      </w:r>
      <w:r>
        <w:t>Q10</w:t>
      </w:r>
    </w:p>
    <w:p w14:paraId="726ABBCA" w14:textId="77777777" w:rsidR="00BA7300" w:rsidRDefault="00BA7300"/>
    <w:p w14:paraId="3CD3085A" w14:textId="409F85A1" w:rsidR="00D868FC" w:rsidRDefault="00D868FC">
      <w:r>
        <w:t xml:space="preserve">Analysing the public’s perception of the proportion of children who would become criminals </w:t>
      </w:r>
      <w:proofErr w:type="gramStart"/>
      <w:r>
        <w:t>as a result of</w:t>
      </w:r>
      <w:proofErr w:type="gramEnd"/>
      <w:r>
        <w:t xml:space="preserve"> adverse childhood experiences, it is evident that 33% of participants believe that 20-30% of children would become criminals while 27% believed that 30-40% of children would become criminals as a result of ACEs. Given that most participants estimated that children between 20 and 40 per cent of children would grow up to be criminals, ACEs can have a significant impact on a child’s path as an adult. Ensuring a positive upbringing for all children is crucial, as experiencing a traumatic event as a child can significantly impact their adult trajectory</w:t>
      </w:r>
      <w:r w:rsidR="00131BDA">
        <w:t xml:space="preserve"> </w:t>
      </w:r>
      <w:sdt>
        <w:sdtPr>
          <w:id w:val="1485439607"/>
          <w:citation/>
        </w:sdtPr>
        <w:sdtContent>
          <w:r w:rsidR="00131BDA">
            <w:fldChar w:fldCharType="begin"/>
          </w:r>
          <w:r w:rsidR="00131BDA">
            <w:instrText xml:space="preserve"> CITATION Fla15 \l 2057 </w:instrText>
          </w:r>
          <w:r w:rsidR="00131BDA">
            <w:fldChar w:fldCharType="separate"/>
          </w:r>
          <w:r w:rsidR="00131BDA" w:rsidRPr="00131BDA">
            <w:rPr>
              <w:noProof/>
            </w:rPr>
            <w:t>(Flaherty, et al., 2015)</w:t>
          </w:r>
          <w:r w:rsidR="00131BDA">
            <w:fldChar w:fldCharType="end"/>
          </w:r>
        </w:sdtContent>
      </w:sdt>
      <w:r w:rsidR="00131BDA">
        <w:t xml:space="preserve">. </w:t>
      </w:r>
    </w:p>
    <w:p w14:paraId="0CF5303E" w14:textId="4F170B10" w:rsidR="00BA7300" w:rsidRDefault="00C33D4D">
      <w:proofErr w:type="gramStart"/>
      <w:r>
        <w:t>Referring back</w:t>
      </w:r>
      <w:proofErr w:type="gramEnd"/>
      <w:r>
        <w:t xml:space="preserve"> to earlier studies, it is evident that ACEs can impact a child’s development both immediately and over time. The events that children go through can influence not only their mental developmental pathway but also their future developmental trajectory and their behaviour as teenagers and adults. The questionnaire’s results indicate a strong correlation between the public’s perception and the consensus that most kids who experience ACEs at a young age will end up criminality. According to research, 98.1% of kids have reportedly encountered an ACE at some point in their lives and the pathway has been altered as a result </w:t>
      </w:r>
      <w:r w:rsidR="00D868FC">
        <w:t xml:space="preserve">  </w:t>
      </w:r>
      <w:sdt>
        <w:sdtPr>
          <w:id w:val="-1634703851"/>
          <w:citation/>
        </w:sdtPr>
        <w:sdtContent>
          <w:r>
            <w:fldChar w:fldCharType="begin"/>
          </w:r>
          <w:r>
            <w:instrText xml:space="preserve"> CITATION Ker15 \l 2057 </w:instrText>
          </w:r>
          <w:r>
            <w:fldChar w:fldCharType="separate"/>
          </w:r>
          <w:r w:rsidRPr="00C33D4D">
            <w:rPr>
              <w:noProof/>
            </w:rPr>
            <w:t>(Kerker, et al., 2015)</w:t>
          </w:r>
          <w:r>
            <w:fldChar w:fldCharType="end"/>
          </w:r>
        </w:sdtContent>
      </w:sdt>
      <w:r>
        <w:t xml:space="preserve">. </w:t>
      </w:r>
    </w:p>
    <w:p w14:paraId="0830C90E" w14:textId="6CBB52DD" w:rsidR="00EB6924" w:rsidRDefault="00C33D4D">
      <w:r>
        <w:rPr>
          <w:noProof/>
        </w:rPr>
        <w:lastRenderedPageBreak/>
        <w:drawing>
          <wp:inline distT="0" distB="0" distL="0" distR="0" wp14:anchorId="7A4FD19D" wp14:editId="2D7EB68A">
            <wp:extent cx="4160520" cy="2971800"/>
            <wp:effectExtent l="0" t="0" r="0" b="0"/>
            <wp:docPr id="1895663580" name="Picture 1" descr="A graph of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663580" name="Picture 1" descr="A graph of different colored squares&#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60520" cy="2971800"/>
                    </a:xfrm>
                    <a:prstGeom prst="rect">
                      <a:avLst/>
                    </a:prstGeom>
                    <a:noFill/>
                    <a:ln>
                      <a:noFill/>
                    </a:ln>
                  </pic:spPr>
                </pic:pic>
              </a:graphicData>
            </a:graphic>
          </wp:inline>
        </w:drawing>
      </w:r>
      <w:r>
        <w:t>Q10</w:t>
      </w:r>
    </w:p>
    <w:p w14:paraId="2A48684C" w14:textId="77777777" w:rsidR="00C33D4D" w:rsidRDefault="00C33D4D"/>
    <w:p w14:paraId="6123B3F1" w14:textId="3E8D1D45" w:rsidR="00C33D4D" w:rsidRDefault="00F9598D">
      <w:r>
        <w:t xml:space="preserve">In question 11, participants are asked if they think there are enough preventive measures or support systems for vulnerable children both inside and outside of the legal system. </w:t>
      </w:r>
      <w:proofErr w:type="gramStart"/>
      <w:r>
        <w:t>The majority of</w:t>
      </w:r>
      <w:proofErr w:type="gramEnd"/>
      <w:r>
        <w:t xml:space="preserve"> respondents </w:t>
      </w:r>
      <w:r w:rsidR="00CB4DBA">
        <w:t>69</w:t>
      </w:r>
      <w:r>
        <w:t xml:space="preserve">% say there are not enough, and the results make it obvious that there should be more resources available to support vulnerable children and early adults. Since there is a connection between childhood trauma and criminality as we established in question 8, it is critical that the appropriate people have access to the right kind of support and prevention when they need it </w:t>
      </w:r>
      <w:proofErr w:type="gramStart"/>
      <w:r>
        <w:t>in order to</w:t>
      </w:r>
      <w:proofErr w:type="gramEnd"/>
      <w:r>
        <w:t xml:space="preserve"> ensure that </w:t>
      </w:r>
      <w:r w:rsidR="005E719F">
        <w:t xml:space="preserve">they </w:t>
      </w:r>
      <w:r>
        <w:t xml:space="preserve">lead a happy and healthy life. </w:t>
      </w:r>
    </w:p>
    <w:p w14:paraId="0CFD5C81" w14:textId="727A59BA" w:rsidR="00F9598D" w:rsidRDefault="005E719F">
      <w:r>
        <w:t xml:space="preserve">Every age group that responded to the questionnaire indicated that there was insufficient support or preventative measures in place to assist and support young vulnerable adults and children. This indicates that the </w:t>
      </w:r>
      <w:proofErr w:type="gramStart"/>
      <w:r>
        <w:t>community as a whole, regardless</w:t>
      </w:r>
      <w:proofErr w:type="gramEnd"/>
      <w:r>
        <w:t xml:space="preserve"> of age, is highly aware that there should be more resources available to assist adults and children in leading positive lives. </w:t>
      </w:r>
      <w:proofErr w:type="gramStart"/>
      <w:r>
        <w:t>The majority of</w:t>
      </w:r>
      <w:proofErr w:type="gramEnd"/>
      <w:r>
        <w:t xml:space="preserve"> participants, who are primarily between the ages of 45 and 55 indicate that these individuals have either personally experienced ACEs or have witnessed the impact of ACEs on young people, whether that be in the form of a close family member or close friend</w:t>
      </w:r>
      <w:r w:rsidR="00770D88">
        <w:t xml:space="preserve">. As a result, they want more support than they would have if they had ever experienced an ACE, as well as support to help those who are close to them and to help encourage them to lead a positive and healthy lifestyle. </w:t>
      </w:r>
    </w:p>
    <w:p w14:paraId="26558817" w14:textId="0F5FFB69" w:rsidR="00770D88" w:rsidRDefault="00770D88">
      <w:r>
        <w:t xml:space="preserve">Linking back to the literature review, prior to </w:t>
      </w:r>
      <w:r w:rsidR="00CB4DBA">
        <w:t xml:space="preserve">the </w:t>
      </w:r>
      <w:r>
        <w:t>analysis of these results it shows clear evidence that, with the right support network for vulnerable children can encourage them into a healthy lifestyle and steer them away from reoffending, for example</w:t>
      </w:r>
      <w:r w:rsidR="00CB4DBA">
        <w:t>,</w:t>
      </w:r>
      <w:r>
        <w:t xml:space="preserve"> the evidence found by the use of Youth Inclusion Programmes has seen a 60% reduce </w:t>
      </w:r>
      <w:r w:rsidR="00CB4DBA">
        <w:t xml:space="preserve">in </w:t>
      </w:r>
      <w:r w:rsidR="00CB4DBA">
        <w:lastRenderedPageBreak/>
        <w:t xml:space="preserve">young people being arrested, showing the reduction in those involved in criminal activity </w:t>
      </w:r>
      <w:sdt>
        <w:sdtPr>
          <w:id w:val="797582341"/>
          <w:citation/>
        </w:sdtPr>
        <w:sdtContent>
          <w:r w:rsidR="00CB4DBA">
            <w:fldChar w:fldCharType="begin"/>
          </w:r>
          <w:r w:rsidR="00CB4DBA">
            <w:instrText xml:space="preserve"> CITATION Bur03 \l 2057 </w:instrText>
          </w:r>
          <w:r w:rsidR="00CB4DBA">
            <w:fldChar w:fldCharType="separate"/>
          </w:r>
          <w:r w:rsidR="00CB4DBA" w:rsidRPr="00CB4DBA">
            <w:rPr>
              <w:noProof/>
            </w:rPr>
            <w:t>(Burrows, 2003)</w:t>
          </w:r>
          <w:r w:rsidR="00CB4DBA">
            <w:fldChar w:fldCharType="end"/>
          </w:r>
        </w:sdtContent>
      </w:sdt>
      <w:r w:rsidR="00CB4DBA">
        <w:t xml:space="preserve">. </w:t>
      </w:r>
    </w:p>
    <w:p w14:paraId="29FD2AD1" w14:textId="08EA4220" w:rsidR="00770D88" w:rsidRDefault="00770D88">
      <w:r>
        <w:t xml:space="preserve">Even though the questionnaire results show that there should be more preventative measures and support for vulnerable children, having the correct support system around them can lead to a decrease in reoffending as well as the potential to stop vulnerable children from offending at all. Obviously from the collection of this evidence, there can always be room for change and improvement about how to support young vulnerable children and how to make it known to others that there is support out there and they do not need to turn to a negative life experience. </w:t>
      </w:r>
    </w:p>
    <w:p w14:paraId="5EE91F17" w14:textId="00ACD6C0" w:rsidR="00CB4DBA" w:rsidRDefault="00CB4DBA">
      <w:r>
        <w:rPr>
          <w:noProof/>
        </w:rPr>
        <w:drawing>
          <wp:inline distT="0" distB="0" distL="0" distR="0" wp14:anchorId="0F48D48A" wp14:editId="10431CB0">
            <wp:extent cx="3573780" cy="1783080"/>
            <wp:effectExtent l="0" t="0" r="0" b="7620"/>
            <wp:docPr id="1320924463" name="Picture 2"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924463" name="Picture 2" descr="A blue and orange pie char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73780" cy="1783080"/>
                    </a:xfrm>
                    <a:prstGeom prst="rect">
                      <a:avLst/>
                    </a:prstGeom>
                    <a:noFill/>
                    <a:ln>
                      <a:noFill/>
                    </a:ln>
                  </pic:spPr>
                </pic:pic>
              </a:graphicData>
            </a:graphic>
          </wp:inline>
        </w:drawing>
      </w:r>
      <w:r>
        <w:t>Q11</w:t>
      </w:r>
    </w:p>
    <w:p w14:paraId="37E005C9" w14:textId="77777777" w:rsidR="00285A96" w:rsidRDefault="00285A96"/>
    <w:p w14:paraId="568561BC" w14:textId="77777777" w:rsidR="00285A96" w:rsidRDefault="00285A96"/>
    <w:p w14:paraId="558CAEE3" w14:textId="77777777" w:rsidR="00285A96" w:rsidRDefault="00285A96"/>
    <w:p w14:paraId="4B3FB786" w14:textId="77777777" w:rsidR="00285A96" w:rsidRDefault="00285A96"/>
    <w:p w14:paraId="014DA7D6" w14:textId="77777777" w:rsidR="00285A96" w:rsidRDefault="00285A96"/>
    <w:p w14:paraId="14DF4EBE" w14:textId="77777777" w:rsidR="00285A96" w:rsidRDefault="00285A96"/>
    <w:p w14:paraId="0740CD58" w14:textId="77777777" w:rsidR="00285A96" w:rsidRDefault="00285A96"/>
    <w:p w14:paraId="4820AB32" w14:textId="77777777" w:rsidR="00285A96" w:rsidRDefault="00285A96"/>
    <w:p w14:paraId="4DE73632" w14:textId="77777777" w:rsidR="00285A96" w:rsidRDefault="00285A96"/>
    <w:p w14:paraId="1E1933D7" w14:textId="77777777" w:rsidR="00285A96" w:rsidRDefault="00285A96"/>
    <w:p w14:paraId="6FB52510" w14:textId="77777777" w:rsidR="00285A96" w:rsidRDefault="00285A96"/>
    <w:p w14:paraId="45BEE157" w14:textId="77777777" w:rsidR="00285A96" w:rsidRDefault="00285A96"/>
    <w:p w14:paraId="5947262E" w14:textId="77777777" w:rsidR="00285A96" w:rsidRDefault="00285A96"/>
    <w:p w14:paraId="5AC89F3F" w14:textId="77777777" w:rsidR="00285A96" w:rsidRDefault="00285A96"/>
    <w:p w14:paraId="47170AE4" w14:textId="77777777" w:rsidR="00285A96" w:rsidRDefault="00285A96"/>
    <w:sdt>
      <w:sdtPr>
        <w:id w:val="-1865749608"/>
        <w:docPartObj>
          <w:docPartGallery w:val="Bibliographies"/>
          <w:docPartUnique/>
        </w:docPartObj>
      </w:sdtPr>
      <w:sdtEndPr>
        <w:rPr>
          <w:rFonts w:asciiTheme="minorHAnsi" w:eastAsiaTheme="minorHAnsi" w:hAnsiTheme="minorHAnsi" w:cstheme="minorBidi"/>
          <w:color w:val="auto"/>
          <w:sz w:val="24"/>
          <w:szCs w:val="24"/>
        </w:rPr>
      </w:sdtEndPr>
      <w:sdtContent>
        <w:p w14:paraId="49275623" w14:textId="4BE918B3" w:rsidR="00285A96" w:rsidRDefault="00285A96">
          <w:pPr>
            <w:pStyle w:val="Heading1"/>
          </w:pPr>
          <w:r>
            <w:t>References</w:t>
          </w:r>
        </w:p>
        <w:sdt>
          <w:sdtPr>
            <w:id w:val="-573587230"/>
            <w:bibliography/>
          </w:sdtPr>
          <w:sdtContent>
            <w:p w14:paraId="3D720423" w14:textId="77777777" w:rsidR="00285A96" w:rsidRDefault="00285A96" w:rsidP="00285A96">
              <w:pPr>
                <w:pStyle w:val="Bibliography"/>
                <w:rPr>
                  <w:noProof/>
                  <w:kern w:val="0"/>
                  <w14:ligatures w14:val="none"/>
                </w:rPr>
              </w:pPr>
              <w:r>
                <w:fldChar w:fldCharType="begin"/>
              </w:r>
              <w:r>
                <w:instrText xml:space="preserve"> BIBLIOGRAPHY </w:instrText>
              </w:r>
              <w:r>
                <w:fldChar w:fldCharType="separate"/>
              </w:r>
              <w:r>
                <w:rPr>
                  <w:noProof/>
                </w:rPr>
                <w:t xml:space="preserve">Brown, A., 2010. Qualitative method and compromise in applied social research. </w:t>
              </w:r>
              <w:r>
                <w:rPr>
                  <w:i/>
                  <w:iCs/>
                  <w:noProof/>
                </w:rPr>
                <w:t xml:space="preserve">Sage Journals , </w:t>
              </w:r>
              <w:r>
                <w:rPr>
                  <w:noProof/>
                </w:rPr>
                <w:t>10(2).</w:t>
              </w:r>
            </w:p>
            <w:p w14:paraId="5A15751A" w14:textId="77777777" w:rsidR="00285A96" w:rsidRDefault="00285A96" w:rsidP="00285A96">
              <w:pPr>
                <w:pStyle w:val="Bibliography"/>
                <w:rPr>
                  <w:noProof/>
                </w:rPr>
              </w:pPr>
              <w:r>
                <w:rPr>
                  <w:noProof/>
                </w:rPr>
                <w:t xml:space="preserve">Burrows, M., 2003. </w:t>
              </w:r>
              <w:r>
                <w:rPr>
                  <w:i/>
                  <w:iCs/>
                  <w:noProof/>
                </w:rPr>
                <w:t xml:space="preserve">Evaulation of the Youth Inclusion Programme, </w:t>
              </w:r>
              <w:r>
                <w:rPr>
                  <w:noProof/>
                </w:rPr>
                <w:t>London: Youth Justice.</w:t>
              </w:r>
            </w:p>
            <w:p w14:paraId="043A3DBE" w14:textId="77777777" w:rsidR="00285A96" w:rsidRDefault="00285A96" w:rsidP="00285A96">
              <w:pPr>
                <w:pStyle w:val="Bibliography"/>
                <w:rPr>
                  <w:noProof/>
                </w:rPr>
              </w:pPr>
              <w:r>
                <w:rPr>
                  <w:noProof/>
                </w:rPr>
                <w:t xml:space="preserve">Chyung, S., 2017. </w:t>
              </w:r>
              <w:r>
                <w:rPr>
                  <w:i/>
                  <w:iCs/>
                  <w:noProof/>
                </w:rPr>
                <w:t xml:space="preserve">Evidence-Based Survey Design: The Use of a, </w:t>
              </w:r>
              <w:r>
                <w:rPr>
                  <w:noProof/>
                </w:rPr>
                <w:t>s.l.: Bosie State University .</w:t>
              </w:r>
            </w:p>
            <w:p w14:paraId="495F4697" w14:textId="77777777" w:rsidR="00285A96" w:rsidRDefault="00285A96" w:rsidP="00285A96">
              <w:pPr>
                <w:pStyle w:val="Bibliography"/>
                <w:rPr>
                  <w:noProof/>
                </w:rPr>
              </w:pPr>
              <w:r>
                <w:rPr>
                  <w:noProof/>
                </w:rPr>
                <w:t>Flaherty, E., Litrownik, A. &amp; Dubowitz, H., 2015. Trajectories of Adverse childhood experiences and self-reported health at age 18. 15(5), pp. 503-509.</w:t>
              </w:r>
            </w:p>
            <w:p w14:paraId="6723DAE8" w14:textId="77777777" w:rsidR="00285A96" w:rsidRDefault="00285A96" w:rsidP="00285A96">
              <w:pPr>
                <w:pStyle w:val="Bibliography"/>
                <w:rPr>
                  <w:noProof/>
                </w:rPr>
              </w:pPr>
              <w:r>
                <w:rPr>
                  <w:noProof/>
                </w:rPr>
                <w:t xml:space="preserve">Hosken, D., Hunt, J. &amp; Wedell, N., 2019. </w:t>
              </w:r>
              <w:r>
                <w:rPr>
                  <w:i/>
                  <w:iCs/>
                  <w:noProof/>
                </w:rPr>
                <w:t xml:space="preserve">Genes and behaviour:Beyound nature-nuture. </w:t>
              </w:r>
              <w:r>
                <w:rPr>
                  <w:noProof/>
                </w:rPr>
                <w:t>West Sussex: Wiley Publishers .</w:t>
              </w:r>
            </w:p>
            <w:p w14:paraId="6591DE21" w14:textId="77777777" w:rsidR="00285A96" w:rsidRDefault="00285A96" w:rsidP="00285A96">
              <w:pPr>
                <w:pStyle w:val="Bibliography"/>
                <w:rPr>
                  <w:noProof/>
                </w:rPr>
              </w:pPr>
              <w:r>
                <w:rPr>
                  <w:noProof/>
                </w:rPr>
                <w:t>Kerker, B., Hurlbert, M., Horwitz, S. &amp; Landsverk, J., 2015. Adverse childhood experiences and mental health, chronic medical conditions and development in young children. 15(5), pp. 510-517.</w:t>
              </w:r>
            </w:p>
            <w:p w14:paraId="28038EC0" w14:textId="77777777" w:rsidR="00285A96" w:rsidRDefault="00285A96" w:rsidP="00285A96">
              <w:pPr>
                <w:pStyle w:val="Bibliography"/>
                <w:rPr>
                  <w:noProof/>
                </w:rPr>
              </w:pPr>
              <w:r>
                <w:rPr>
                  <w:noProof/>
                </w:rPr>
                <w:t xml:space="preserve">Larkin, W. &amp; Cairns, P., 2020. Addressing adverse childhood experiences: Implications for professional practice. </w:t>
              </w:r>
              <w:r>
                <w:rPr>
                  <w:i/>
                  <w:iCs/>
                  <w:noProof/>
                </w:rPr>
                <w:t xml:space="preserve">British journal of general practice , </w:t>
              </w:r>
              <w:r>
                <w:rPr>
                  <w:noProof/>
                </w:rPr>
                <w:t>70(693).</w:t>
              </w:r>
            </w:p>
            <w:p w14:paraId="2B8831C5" w14:textId="77777777" w:rsidR="00285A96" w:rsidRDefault="00285A96" w:rsidP="00285A96">
              <w:pPr>
                <w:pStyle w:val="Bibliography"/>
                <w:rPr>
                  <w:noProof/>
                </w:rPr>
              </w:pPr>
              <w:r>
                <w:rPr>
                  <w:noProof/>
                </w:rPr>
                <w:t xml:space="preserve">Pelle, N. L., 2004. Simplifying Qualitative Data Analysis Using General Purpose Software Tools. </w:t>
              </w:r>
              <w:r>
                <w:rPr>
                  <w:i/>
                  <w:iCs/>
                  <w:noProof/>
                </w:rPr>
                <w:t xml:space="preserve">Sage Journals , </w:t>
              </w:r>
              <w:r>
                <w:rPr>
                  <w:noProof/>
                </w:rPr>
                <w:t>16(1).</w:t>
              </w:r>
            </w:p>
            <w:p w14:paraId="22EA1A20" w14:textId="77777777" w:rsidR="00285A96" w:rsidRDefault="00285A96" w:rsidP="00285A96">
              <w:pPr>
                <w:pStyle w:val="Bibliography"/>
                <w:rPr>
                  <w:noProof/>
                </w:rPr>
              </w:pPr>
              <w:r>
                <w:rPr>
                  <w:noProof/>
                </w:rPr>
                <w:t xml:space="preserve">Rossman, G. &amp; Rallis, S., 2003. </w:t>
              </w:r>
              <w:r>
                <w:rPr>
                  <w:i/>
                  <w:iCs/>
                  <w:noProof/>
                </w:rPr>
                <w:t xml:space="preserve">Learning in the field - An introduction to qualitative research. </w:t>
              </w:r>
              <w:r>
                <w:rPr>
                  <w:noProof/>
                </w:rPr>
                <w:t>2 ed. s.l.:Sage Publications.</w:t>
              </w:r>
            </w:p>
            <w:p w14:paraId="09F90303" w14:textId="77777777" w:rsidR="00285A96" w:rsidRDefault="00285A96" w:rsidP="00285A96">
              <w:pPr>
                <w:pStyle w:val="Bibliography"/>
                <w:rPr>
                  <w:noProof/>
                </w:rPr>
              </w:pPr>
              <w:r>
                <w:rPr>
                  <w:noProof/>
                </w:rPr>
                <w:t xml:space="preserve">Scott, K., 2021. Adverse Childhood Exerpeinces. </w:t>
              </w:r>
              <w:r>
                <w:rPr>
                  <w:i/>
                  <w:iCs/>
                  <w:noProof/>
                </w:rPr>
                <w:t xml:space="preserve">Sage Journals, </w:t>
              </w:r>
              <w:r>
                <w:rPr>
                  <w:noProof/>
                </w:rPr>
                <w:t>14(1).</w:t>
              </w:r>
            </w:p>
            <w:p w14:paraId="30F54536" w14:textId="77777777" w:rsidR="00285A96" w:rsidRDefault="00285A96" w:rsidP="00285A96">
              <w:pPr>
                <w:pStyle w:val="Bibliography"/>
                <w:rPr>
                  <w:noProof/>
                </w:rPr>
              </w:pPr>
              <w:r>
                <w:rPr>
                  <w:noProof/>
                </w:rPr>
                <w:t xml:space="preserve">Tripurani, R., 2023. </w:t>
              </w:r>
              <w:r>
                <w:rPr>
                  <w:i/>
                  <w:iCs/>
                  <w:noProof/>
                </w:rPr>
                <w:t xml:space="preserve">Exploring Microsoft Forms: A Comprehensive Overview. </w:t>
              </w:r>
              <w:r>
                <w:rPr>
                  <w:noProof/>
                </w:rPr>
                <w:t xml:space="preserve">[Online] </w:t>
              </w:r>
              <w:r>
                <w:rPr>
                  <w:noProof/>
                </w:rPr>
                <w:br/>
                <w:t xml:space="preserve">Available at: </w:t>
              </w:r>
              <w:r>
                <w:rPr>
                  <w:noProof/>
                  <w:u w:val="single"/>
                </w:rPr>
                <w:t>https://techcommunity.microsoft.com/t5/nonprofit-techies/exploring-microsoft-forms-a-comprehensive-overview/ba-p/3898016</w:t>
              </w:r>
              <w:r>
                <w:rPr>
                  <w:noProof/>
                </w:rPr>
                <w:br/>
                <w:t>[Accessed 23 April 2024].</w:t>
              </w:r>
            </w:p>
            <w:p w14:paraId="4C6CE828" w14:textId="77777777" w:rsidR="00285A96" w:rsidRDefault="00285A96" w:rsidP="00285A96">
              <w:pPr>
                <w:pStyle w:val="Bibliography"/>
                <w:rPr>
                  <w:noProof/>
                </w:rPr>
              </w:pPr>
              <w:r>
                <w:rPr>
                  <w:noProof/>
                </w:rPr>
                <w:t xml:space="preserve">Violence Prevention Unit , 2024. </w:t>
              </w:r>
              <w:r>
                <w:rPr>
                  <w:i/>
                  <w:iCs/>
                  <w:noProof/>
                </w:rPr>
                <w:t xml:space="preserve">Adverse childhood Experiences. </w:t>
              </w:r>
              <w:r>
                <w:rPr>
                  <w:noProof/>
                </w:rPr>
                <w:t xml:space="preserve">[Online] </w:t>
              </w:r>
              <w:r>
                <w:rPr>
                  <w:noProof/>
                </w:rPr>
                <w:br/>
                <w:t xml:space="preserve">Available at: </w:t>
              </w:r>
              <w:r>
                <w:rPr>
                  <w:noProof/>
                  <w:u w:val="single"/>
                </w:rPr>
                <w:t>https://www.violencepreventionwales.co.uk/research-evidence/adverse-childhood-experiences-aces</w:t>
              </w:r>
              <w:r>
                <w:rPr>
                  <w:noProof/>
                </w:rPr>
                <w:br/>
                <w:t>[Accessed 23 April 2024].</w:t>
              </w:r>
            </w:p>
            <w:p w14:paraId="05206B2A" w14:textId="7B06B8B6" w:rsidR="00285A96" w:rsidRDefault="00285A96" w:rsidP="00285A96">
              <w:r>
                <w:rPr>
                  <w:b/>
                  <w:bCs/>
                  <w:noProof/>
                </w:rPr>
                <w:fldChar w:fldCharType="end"/>
              </w:r>
            </w:p>
          </w:sdtContent>
        </w:sdt>
      </w:sdtContent>
    </w:sdt>
    <w:p w14:paraId="6413F3AA" w14:textId="77777777" w:rsidR="00285A96" w:rsidRPr="00BA623B" w:rsidRDefault="00285A96"/>
    <w:sectPr w:rsidR="00285A96" w:rsidRPr="00BA62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6BF2"/>
    <w:rsid w:val="000419AB"/>
    <w:rsid w:val="000E161F"/>
    <w:rsid w:val="0011234F"/>
    <w:rsid w:val="00131BDA"/>
    <w:rsid w:val="00273CFF"/>
    <w:rsid w:val="00285A96"/>
    <w:rsid w:val="003409B3"/>
    <w:rsid w:val="004321E3"/>
    <w:rsid w:val="004F4143"/>
    <w:rsid w:val="0056125F"/>
    <w:rsid w:val="005E719F"/>
    <w:rsid w:val="005F5BEC"/>
    <w:rsid w:val="006C5C77"/>
    <w:rsid w:val="00726BF2"/>
    <w:rsid w:val="00770D88"/>
    <w:rsid w:val="007A6D77"/>
    <w:rsid w:val="007D154E"/>
    <w:rsid w:val="008B5EF8"/>
    <w:rsid w:val="008C7BDF"/>
    <w:rsid w:val="00990768"/>
    <w:rsid w:val="00A76144"/>
    <w:rsid w:val="00B71206"/>
    <w:rsid w:val="00BA623B"/>
    <w:rsid w:val="00BA7300"/>
    <w:rsid w:val="00C33D4D"/>
    <w:rsid w:val="00CB4DBA"/>
    <w:rsid w:val="00D03F37"/>
    <w:rsid w:val="00D868FC"/>
    <w:rsid w:val="00DD34EA"/>
    <w:rsid w:val="00DE0D69"/>
    <w:rsid w:val="00EB6924"/>
    <w:rsid w:val="00F241EB"/>
    <w:rsid w:val="00F9598D"/>
    <w:rsid w:val="00FA2E0C"/>
    <w:rsid w:val="00FE11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3962D2"/>
  <w15:chartTrackingRefBased/>
  <w15:docId w15:val="{56BDD0C4-A123-45CC-8E4E-0793AACAC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26B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26B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26B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26B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6B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6B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6B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6B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6B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26B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26B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26B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26B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6B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6B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6B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6B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6BF2"/>
    <w:rPr>
      <w:rFonts w:eastAsiaTheme="majorEastAsia" w:cstheme="majorBidi"/>
      <w:color w:val="272727" w:themeColor="text1" w:themeTint="D8"/>
    </w:rPr>
  </w:style>
  <w:style w:type="paragraph" w:styleId="Title">
    <w:name w:val="Title"/>
    <w:basedOn w:val="Normal"/>
    <w:next w:val="Normal"/>
    <w:link w:val="TitleChar"/>
    <w:uiPriority w:val="10"/>
    <w:qFormat/>
    <w:rsid w:val="00726B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6B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6B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6B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6BF2"/>
    <w:pPr>
      <w:spacing w:before="160"/>
      <w:jc w:val="center"/>
    </w:pPr>
    <w:rPr>
      <w:i/>
      <w:iCs/>
      <w:color w:val="404040" w:themeColor="text1" w:themeTint="BF"/>
    </w:rPr>
  </w:style>
  <w:style w:type="character" w:customStyle="1" w:styleId="QuoteChar">
    <w:name w:val="Quote Char"/>
    <w:basedOn w:val="DefaultParagraphFont"/>
    <w:link w:val="Quote"/>
    <w:uiPriority w:val="29"/>
    <w:rsid w:val="00726BF2"/>
    <w:rPr>
      <w:i/>
      <w:iCs/>
      <w:color w:val="404040" w:themeColor="text1" w:themeTint="BF"/>
    </w:rPr>
  </w:style>
  <w:style w:type="paragraph" w:styleId="ListParagraph">
    <w:name w:val="List Paragraph"/>
    <w:basedOn w:val="Normal"/>
    <w:uiPriority w:val="34"/>
    <w:qFormat/>
    <w:rsid w:val="00726BF2"/>
    <w:pPr>
      <w:ind w:left="720"/>
      <w:contextualSpacing/>
    </w:pPr>
  </w:style>
  <w:style w:type="character" w:styleId="IntenseEmphasis">
    <w:name w:val="Intense Emphasis"/>
    <w:basedOn w:val="DefaultParagraphFont"/>
    <w:uiPriority w:val="21"/>
    <w:qFormat/>
    <w:rsid w:val="00726BF2"/>
    <w:rPr>
      <w:i/>
      <w:iCs/>
      <w:color w:val="0F4761" w:themeColor="accent1" w:themeShade="BF"/>
    </w:rPr>
  </w:style>
  <w:style w:type="paragraph" w:styleId="IntenseQuote">
    <w:name w:val="Intense Quote"/>
    <w:basedOn w:val="Normal"/>
    <w:next w:val="Normal"/>
    <w:link w:val="IntenseQuoteChar"/>
    <w:uiPriority w:val="30"/>
    <w:qFormat/>
    <w:rsid w:val="00726B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6BF2"/>
    <w:rPr>
      <w:i/>
      <w:iCs/>
      <w:color w:val="0F4761" w:themeColor="accent1" w:themeShade="BF"/>
    </w:rPr>
  </w:style>
  <w:style w:type="character" w:styleId="IntenseReference">
    <w:name w:val="Intense Reference"/>
    <w:basedOn w:val="DefaultParagraphFont"/>
    <w:uiPriority w:val="32"/>
    <w:qFormat/>
    <w:rsid w:val="00726BF2"/>
    <w:rPr>
      <w:b/>
      <w:bCs/>
      <w:smallCaps/>
      <w:color w:val="0F4761" w:themeColor="accent1" w:themeShade="BF"/>
      <w:spacing w:val="5"/>
    </w:rPr>
  </w:style>
  <w:style w:type="paragraph" w:styleId="Bibliography">
    <w:name w:val="Bibliography"/>
    <w:basedOn w:val="Normal"/>
    <w:next w:val="Normal"/>
    <w:uiPriority w:val="37"/>
    <w:unhideWhenUsed/>
    <w:rsid w:val="00285A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4080154">
      <w:bodyDiv w:val="1"/>
      <w:marLeft w:val="0"/>
      <w:marRight w:val="0"/>
      <w:marTop w:val="0"/>
      <w:marBottom w:val="0"/>
      <w:divBdr>
        <w:top w:val="none" w:sz="0" w:space="0" w:color="auto"/>
        <w:left w:val="none" w:sz="0" w:space="0" w:color="auto"/>
        <w:bottom w:val="none" w:sz="0" w:space="0" w:color="auto"/>
        <w:right w:val="none" w:sz="0" w:space="0" w:color="auto"/>
      </w:divBdr>
    </w:div>
    <w:div w:id="425266951">
      <w:bodyDiv w:val="1"/>
      <w:marLeft w:val="0"/>
      <w:marRight w:val="0"/>
      <w:marTop w:val="0"/>
      <w:marBottom w:val="0"/>
      <w:divBdr>
        <w:top w:val="none" w:sz="0" w:space="0" w:color="auto"/>
        <w:left w:val="none" w:sz="0" w:space="0" w:color="auto"/>
        <w:bottom w:val="none" w:sz="0" w:space="0" w:color="auto"/>
        <w:right w:val="none" w:sz="0" w:space="0" w:color="auto"/>
      </w:divBdr>
    </w:div>
    <w:div w:id="903494980">
      <w:bodyDiv w:val="1"/>
      <w:marLeft w:val="0"/>
      <w:marRight w:val="0"/>
      <w:marTop w:val="0"/>
      <w:marBottom w:val="0"/>
      <w:divBdr>
        <w:top w:val="none" w:sz="0" w:space="0" w:color="auto"/>
        <w:left w:val="none" w:sz="0" w:space="0" w:color="auto"/>
        <w:bottom w:val="none" w:sz="0" w:space="0" w:color="auto"/>
        <w:right w:val="none" w:sz="0" w:space="0" w:color="auto"/>
      </w:divBdr>
    </w:div>
    <w:div w:id="1158152751">
      <w:bodyDiv w:val="1"/>
      <w:marLeft w:val="0"/>
      <w:marRight w:val="0"/>
      <w:marTop w:val="0"/>
      <w:marBottom w:val="0"/>
      <w:divBdr>
        <w:top w:val="none" w:sz="0" w:space="0" w:color="auto"/>
        <w:left w:val="none" w:sz="0" w:space="0" w:color="auto"/>
        <w:bottom w:val="none" w:sz="0" w:space="0" w:color="auto"/>
        <w:right w:val="none" w:sz="0" w:space="0" w:color="auto"/>
      </w:divBdr>
    </w:div>
    <w:div w:id="1203440566">
      <w:bodyDiv w:val="1"/>
      <w:marLeft w:val="0"/>
      <w:marRight w:val="0"/>
      <w:marTop w:val="0"/>
      <w:marBottom w:val="0"/>
      <w:divBdr>
        <w:top w:val="none" w:sz="0" w:space="0" w:color="auto"/>
        <w:left w:val="none" w:sz="0" w:space="0" w:color="auto"/>
        <w:bottom w:val="none" w:sz="0" w:space="0" w:color="auto"/>
        <w:right w:val="none" w:sz="0" w:space="0" w:color="auto"/>
      </w:divBdr>
    </w:div>
    <w:div w:id="1244298083">
      <w:bodyDiv w:val="1"/>
      <w:marLeft w:val="0"/>
      <w:marRight w:val="0"/>
      <w:marTop w:val="0"/>
      <w:marBottom w:val="0"/>
      <w:divBdr>
        <w:top w:val="none" w:sz="0" w:space="0" w:color="auto"/>
        <w:left w:val="none" w:sz="0" w:space="0" w:color="auto"/>
        <w:bottom w:val="none" w:sz="0" w:space="0" w:color="auto"/>
        <w:right w:val="none" w:sz="0" w:space="0" w:color="auto"/>
      </w:divBdr>
    </w:div>
    <w:div w:id="1368333676">
      <w:bodyDiv w:val="1"/>
      <w:marLeft w:val="0"/>
      <w:marRight w:val="0"/>
      <w:marTop w:val="0"/>
      <w:marBottom w:val="0"/>
      <w:divBdr>
        <w:top w:val="none" w:sz="0" w:space="0" w:color="auto"/>
        <w:left w:val="none" w:sz="0" w:space="0" w:color="auto"/>
        <w:bottom w:val="none" w:sz="0" w:space="0" w:color="auto"/>
        <w:right w:val="none" w:sz="0" w:space="0" w:color="auto"/>
      </w:divBdr>
    </w:div>
    <w:div w:id="1369136996">
      <w:bodyDiv w:val="1"/>
      <w:marLeft w:val="0"/>
      <w:marRight w:val="0"/>
      <w:marTop w:val="0"/>
      <w:marBottom w:val="0"/>
      <w:divBdr>
        <w:top w:val="none" w:sz="0" w:space="0" w:color="auto"/>
        <w:left w:val="none" w:sz="0" w:space="0" w:color="auto"/>
        <w:bottom w:val="none" w:sz="0" w:space="0" w:color="auto"/>
        <w:right w:val="none" w:sz="0" w:space="0" w:color="auto"/>
      </w:divBdr>
    </w:div>
    <w:div w:id="1631017021">
      <w:bodyDiv w:val="1"/>
      <w:marLeft w:val="0"/>
      <w:marRight w:val="0"/>
      <w:marTop w:val="0"/>
      <w:marBottom w:val="0"/>
      <w:divBdr>
        <w:top w:val="none" w:sz="0" w:space="0" w:color="auto"/>
        <w:left w:val="none" w:sz="0" w:space="0" w:color="auto"/>
        <w:bottom w:val="none" w:sz="0" w:space="0" w:color="auto"/>
        <w:right w:val="none" w:sz="0" w:space="0" w:color="auto"/>
      </w:divBdr>
    </w:div>
    <w:div w:id="1657371876">
      <w:bodyDiv w:val="1"/>
      <w:marLeft w:val="0"/>
      <w:marRight w:val="0"/>
      <w:marTop w:val="0"/>
      <w:marBottom w:val="0"/>
      <w:divBdr>
        <w:top w:val="none" w:sz="0" w:space="0" w:color="auto"/>
        <w:left w:val="none" w:sz="0" w:space="0" w:color="auto"/>
        <w:bottom w:val="none" w:sz="0" w:space="0" w:color="auto"/>
        <w:right w:val="none" w:sz="0" w:space="0" w:color="auto"/>
      </w:divBdr>
    </w:div>
    <w:div w:id="1979260480">
      <w:bodyDiv w:val="1"/>
      <w:marLeft w:val="0"/>
      <w:marRight w:val="0"/>
      <w:marTop w:val="0"/>
      <w:marBottom w:val="0"/>
      <w:divBdr>
        <w:top w:val="none" w:sz="0" w:space="0" w:color="auto"/>
        <w:left w:val="none" w:sz="0" w:space="0" w:color="auto"/>
        <w:bottom w:val="none" w:sz="0" w:space="0" w:color="auto"/>
        <w:right w:val="none" w:sz="0" w:space="0" w:color="auto"/>
      </w:divBdr>
    </w:div>
    <w:div w:id="2049334962">
      <w:bodyDiv w:val="1"/>
      <w:marLeft w:val="0"/>
      <w:marRight w:val="0"/>
      <w:marTop w:val="0"/>
      <w:marBottom w:val="0"/>
      <w:divBdr>
        <w:top w:val="none" w:sz="0" w:space="0" w:color="auto"/>
        <w:left w:val="none" w:sz="0" w:space="0" w:color="auto"/>
        <w:bottom w:val="none" w:sz="0" w:space="0" w:color="auto"/>
        <w:right w:val="none" w:sz="0" w:space="0" w:color="auto"/>
      </w:divBdr>
    </w:div>
    <w:div w:id="20703750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Ros03</b:Tag>
    <b:SourceType>Book</b:SourceType>
    <b:Guid>{7458E66D-9395-464B-8EAB-C4706B20096E}</b:Guid>
    <b:Title>Learning in the field - An introduction to qualitative research</b:Title>
    <b:Year>2003</b:Year>
    <b:Publisher>Sage Publications</b:Publisher>
    <b:Edition>2</b:Edition>
    <b:Author>
      <b:Author>
        <b:NameList>
          <b:Person>
            <b:Last>Rossman</b:Last>
            <b:First>Gretchen</b:First>
          </b:Person>
          <b:Person>
            <b:Last>Rallis</b:Last>
            <b:First>Sharon</b:First>
          </b:Person>
        </b:NameList>
      </b:Author>
    </b:Author>
    <b:RefOrder>1</b:RefOrder>
  </b:Source>
  <b:Source>
    <b:Tag>Hos19</b:Tag>
    <b:SourceType>Book</b:SourceType>
    <b:Guid>{9E91B041-F9AA-4012-B451-E4AA4A338DB6}</b:Guid>
    <b:Title>Genes and behaviour:Beyound nature-nuture</b:Title>
    <b:Year>2019</b:Year>
    <b:City>West Sussex</b:City>
    <b:Publisher>Wiley Publishers </b:Publisher>
    <b:Author>
      <b:Author>
        <b:NameList>
          <b:Person>
            <b:Last>Hosken</b:Last>
            <b:First>David </b:First>
          </b:Person>
          <b:Person>
            <b:Last>Hunt</b:Last>
            <b:First>John</b:First>
          </b:Person>
          <b:Person>
            <b:Last>Wedell</b:Last>
            <b:First>Nina</b:First>
          </b:Person>
        </b:NameList>
      </b:Author>
    </b:Author>
    <b:RefOrder>6</b:RefOrder>
  </b:Source>
  <b:Source>
    <b:Tag>Kat21</b:Tag>
    <b:SourceType>JournalArticle</b:SourceType>
    <b:Guid>{BA038D42-8CCB-41B4-8002-25E4806C76FE}</b:Guid>
    <b:Title>Adverse Childhood Exerpeinces </b:Title>
    <b:Year>2021</b:Year>
    <b:Author>
      <b:Author>
        <b:NameList>
          <b:Person>
            <b:Last>Scott</b:Last>
            <b:First>Katie</b:First>
          </b:Person>
        </b:NameList>
      </b:Author>
    </b:Author>
    <b:JournalName>Sage Journals</b:JournalName>
    <b:Volume>14</b:Volume>
    <b:Issue>1</b:Issue>
    <b:RefOrder>12</b:RefOrder>
  </b:Source>
  <b:Source>
    <b:Tag>Lar20</b:Tag>
    <b:SourceType>JournalArticle</b:SourceType>
    <b:Guid>{BA80670A-B16F-4323-A64B-692E0DACB398}</b:Guid>
    <b:Title>Addressing adverse childhood experiences: Implications for professional practice </b:Title>
    <b:JournalName>British journal of general practice </b:JournalName>
    <b:Year>2020</b:Year>
    <b:Volume>70</b:Volume>
    <b:Issue>693</b:Issue>
    <b:Author>
      <b:Author>
        <b:NameList>
          <b:Person>
            <b:Last>Larkin</b:Last>
            <b:First>Warren</b:First>
          </b:Person>
          <b:Person>
            <b:Last>Cairns</b:Last>
            <b:First>Peter</b:First>
          </b:Person>
        </b:NameList>
      </b:Author>
    </b:Author>
    <b:RefOrder>7</b:RefOrder>
  </b:Source>
  <b:Source>
    <b:Tag>Vio24</b:Tag>
    <b:SourceType>InternetSite</b:SourceType>
    <b:Guid>{B9406F74-BBC8-4FCF-A249-444DD18656E3}</b:Guid>
    <b:Title>Adverse childhood Experiences </b:Title>
    <b:Year>2024</b:Year>
    <b:Author>
      <b:Author>
        <b:Corporate>Violence Prevention Unit </b:Corporate>
      </b:Author>
    </b:Author>
    <b:YearAccessed>2024</b:YearAccessed>
    <b:MonthAccessed>April</b:MonthAccessed>
    <b:DayAccessed>23</b:DayAccessed>
    <b:URL>https://www.violencepreventionwales.co.uk/research-evidence/adverse-childhood-experiences-aces</b:URL>
    <b:RefOrder>8</b:RefOrder>
  </b:Source>
  <b:Source>
    <b:Tag>Ker15</b:Tag>
    <b:SourceType>JournalArticle</b:SourceType>
    <b:Guid>{6C524FC2-BA98-49CA-BBE8-56B6FE2C56A7}</b:Guid>
    <b:Title>Adverse childhood experiences and mental health, chronic medical conditions and development in young children </b:Title>
    <b:Year>2015</b:Year>
    <b:Pages>510-517</b:Pages>
    <b:Volume>15</b:Volume>
    <b:Issue>5</b:Issue>
    <b:Author>
      <b:Author>
        <b:NameList>
          <b:Person>
            <b:Last>Kerker</b:Last>
            <b:First>Bonnie </b:First>
          </b:Person>
          <b:Person>
            <b:Last>Hurlbert</b:Last>
            <b:First>Micheal </b:First>
          </b:Person>
          <b:Person>
            <b:Last>Horwitz</b:Last>
            <b:First>Sarah </b:First>
          </b:Person>
          <b:Person>
            <b:Last>Landsverk</b:Last>
            <b:First>John</b:First>
          </b:Person>
        </b:NameList>
      </b:Author>
    </b:Author>
    <b:RefOrder>10</b:RefOrder>
  </b:Source>
  <b:Source>
    <b:Tag>Fla15</b:Tag>
    <b:SourceType>JournalArticle</b:SourceType>
    <b:Guid>{0C9F2709-DE5B-4B6A-9D5B-F517655F9222}</b:Guid>
    <b:Title>Trajectories of Adverse childhood experiences and self-reported health at age 18</b:Title>
    <b:Year>2015</b:Year>
    <b:Pages>503-509</b:Pages>
    <b:Volume>15</b:Volume>
    <b:Issue>5</b:Issue>
    <b:Author>
      <b:Author>
        <b:NameList>
          <b:Person>
            <b:Last>Flaherty</b:Last>
            <b:First>Emalee</b:First>
          </b:Person>
          <b:Person>
            <b:Last>Litrownik</b:Last>
            <b:First>Alan</b:First>
          </b:Person>
          <b:Person>
            <b:Last>Dubowitz</b:Last>
            <b:First>Howard</b:First>
          </b:Person>
        </b:NameList>
      </b:Author>
    </b:Author>
    <b:RefOrder>9</b:RefOrder>
  </b:Source>
  <b:Source>
    <b:Tag>Bur03</b:Tag>
    <b:SourceType>Report</b:SourceType>
    <b:Guid>{C75469E5-D963-4C93-BCB9-A4A642F8F905}</b:Guid>
    <b:Author>
      <b:Author>
        <b:NameList>
          <b:Person>
            <b:Last>Burrows</b:Last>
            <b:First>Morgan</b:First>
          </b:Person>
        </b:NameList>
      </b:Author>
    </b:Author>
    <b:Year>2003</b:Year>
    <b:Publisher>Youth Justice</b:Publisher>
    <b:Title>Evaulation of the Youth Inclusion Programme</b:Title>
    <b:City>London</b:City>
    <b:RefOrder>11</b:RefOrder>
  </b:Source>
  <b:Source>
    <b:Tag>Ali10</b:Tag>
    <b:SourceType>JournalArticle</b:SourceType>
    <b:Guid>{1A87E1B1-389C-4DCF-867C-B4DF3AEEA79D}</b:Guid>
    <b:Title>Qualitative method and compromise in applied social research</b:Title>
    <b:Year>2010</b:Year>
    <b:Author>
      <b:Author>
        <b:NameList>
          <b:Person>
            <b:Last>Brown</b:Last>
            <b:First>Alison</b:First>
          </b:Person>
        </b:NameList>
      </b:Author>
    </b:Author>
    <b:JournalName>Sage Journals </b:JournalName>
    <b:Volume>10</b:Volume>
    <b:Issue>2</b:Issue>
    <b:RefOrder>4</b:RefOrder>
  </b:Source>
  <b:Source>
    <b:Tag>Chy17</b:Tag>
    <b:SourceType>Report</b:SourceType>
    <b:Guid>{01E7E447-126D-47CD-9B63-09D46CB79B73}</b:Guid>
    <b:Author>
      <b:Author>
        <b:NameList>
          <b:Person>
            <b:Last>Chyung</b:Last>
            <b:First>Seung</b:First>
          </b:Person>
        </b:NameList>
      </b:Author>
    </b:Author>
    <b:Title>Evidence-Based Survey Design: The Use of a</b:Title>
    <b:Year>2017</b:Year>
    <b:Publisher>Bosie State University </b:Publisher>
    <b:RefOrder>5</b:RefOrder>
  </b:Source>
  <b:Source>
    <b:Tag>Rad23</b:Tag>
    <b:SourceType>InternetSite</b:SourceType>
    <b:Guid>{7317C1B3-B0E6-4E1E-BE90-8BA00302E0F5}</b:Guid>
    <b:Title>Exploring Microsoft Forms: A Comprehensive Overview</b:Title>
    <b:Year>2023</b:Year>
    <b:Author>
      <b:Author>
        <b:NameList>
          <b:Person>
            <b:Last>Tripurani</b:Last>
            <b:First>Radhika</b:First>
          </b:Person>
        </b:NameList>
      </b:Author>
    </b:Author>
    <b:YearAccessed>2024</b:YearAccessed>
    <b:MonthAccessed>April</b:MonthAccessed>
    <b:DayAccessed>23</b:DayAccessed>
    <b:URL>https://techcommunity.microsoft.com/t5/nonprofit-techies/exploring-microsoft-forms-a-comprehensive-overview/ba-p/3898016</b:URL>
    <b:RefOrder>3</b:RefOrder>
  </b:Source>
  <b:Source>
    <b:Tag>Nan04</b:Tag>
    <b:SourceType>JournalArticle</b:SourceType>
    <b:Guid>{CD62BDBD-5761-45A9-B952-4F0D5EADC4D5}</b:Guid>
    <b:Title>Simplifying Qualitative Data Analysis Using General Purpose Software Tools</b:Title>
    <b:Year>2004</b:Year>
    <b:Author>
      <b:Author>
        <b:NameList>
          <b:Person>
            <b:Last>Pelle</b:Last>
            <b:First>Nancy</b:First>
            <b:Middle>La</b:Middle>
          </b:Person>
        </b:NameList>
      </b:Author>
    </b:Author>
    <b:JournalName>Sage Journals </b:JournalName>
    <b:Volume>16</b:Volume>
    <b:Issue>1</b:Issue>
    <b:RefOrder>2</b:RefOrder>
  </b:Source>
</b:Sources>
</file>

<file path=customXml/itemProps1.xml><?xml version="1.0" encoding="utf-8"?>
<ds:datastoreItem xmlns:ds="http://schemas.openxmlformats.org/officeDocument/2006/customXml" ds:itemID="{96A8E195-8B1E-40CA-836A-89A266FA0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8</Pages>
  <Words>2203</Words>
  <Characters>11758</Characters>
  <Application>Microsoft Office Word</Application>
  <DocSecurity>0</DocSecurity>
  <Lines>214</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Hurlow (2103531)</dc:creator>
  <cp:keywords/>
  <dc:description/>
  <cp:lastModifiedBy>Olivia Hurlow (2103531)</cp:lastModifiedBy>
  <cp:revision>8</cp:revision>
  <dcterms:created xsi:type="dcterms:W3CDTF">2024-03-24T15:20:00Z</dcterms:created>
  <dcterms:modified xsi:type="dcterms:W3CDTF">2024-04-23T19:42:00Z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7288e1c2-a237-4d52-a07e-47e6e29f3ed9</vt:lpwstr>
  </property>
</Properties>
</file>