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Capital Rationing &amp; Investment Appraisal Interpretation</w:t>
      </w:r>
    </w:p>
    <w:p>
      <w:pPr>
        <w:pStyle w:val="Heading1"/>
      </w:pPr>
      <w:r>
        <w:t>1. Overview of Capital Rationing</w:t>
      </w:r>
    </w:p>
    <w:p>
      <w:r>
        <w:t>Capital rationing occurs when a firm places a budget constraint on the amount of funds that can be invested during a specific period, meaning it cannot undertake all available projects even if they yield positive returns. In this assessment, the firm is constrained to a strict maximum capital budget of £100 million. Since Projects A, B, and C each require an initial outlay of £50 million, the firm can select a maximum of two projects to combine.</w:t>
      </w:r>
    </w:p>
    <w:p>
      <w:pPr>
        <w:pStyle w:val="Heading1"/>
      </w:pPr>
      <w:r>
        <w:t>2. Standalone Project Evaluation</w:t>
      </w:r>
    </w:p>
    <w:p>
      <w:r>
        <w:t>Before evaluating combinations, we must rank the projects based on their standalone Net Present Value (NPV), Profitability Index (PI), and Internal Rate of Return (IRR) using the 8% discount rate.</w:t>
      </w:r>
    </w:p>
    <w:p>
      <w:r>
        <w:t>• Project C (Rank 1): This is the only financially viable project on a standalone basis. It generates a positive NPV of £0.86m, a Profitability Index of 1.02, and an IRR of 8.59% (which exceeds the 8% cost of capital hurdle rate).</w:t>
      </w:r>
    </w:p>
    <w:p>
      <w:r>
        <w:t>• Project B (Rank 2): Project B is value-destroying, generating an NPV of -£6.08m, a PI of 0.88, and an IRR of just 3.26%.</w:t>
      </w:r>
    </w:p>
    <w:p>
      <w:r>
        <w:t>• Project A (Rank 3): Project A is the least financially attractive option, destroying £6.54m in shareholder value (NPV), with a PI of 0.87 and an IRR of 2.72%.</w:t>
      </w:r>
    </w:p>
    <w:p>
      <w:pPr>
        <w:pStyle w:val="Heading1"/>
      </w:pPr>
      <w:r>
        <w:t>3. Capital Rationing Decision (£100m Limit)</w:t>
      </w:r>
    </w:p>
    <w:p>
      <w:r>
        <w:t>To maximize shareholder wealth within the £100 million budget, the firm must select the combination of projects that yields the highest aggregate Net Present Value.</w:t>
      </w:r>
    </w:p>
    <w:p>
      <w:r>
        <w:t>• Combination 1 (Project A + B): Total Cost = £100m | Combined NPV = -£12.62m</w:t>
      </w:r>
    </w:p>
    <w:p>
      <w:r>
        <w:t>• Combination 2 (Project A + C): Total Cost = £100m | Combined NPV = -£5.68m</w:t>
      </w:r>
    </w:p>
    <w:p>
      <w:r>
        <w:t>• Combination 3 (Project B + C): Total Cost = £100m | Combined NPV = -£5.22m</w:t>
      </w:r>
    </w:p>
    <w:p>
      <w:pPr>
        <w:pStyle w:val="Heading1"/>
      </w:pPr>
      <w:r>
        <w:t>4. Final Recommendation</w:t>
      </w:r>
    </w:p>
    <w:p>
      <w:r>
        <w:t>Decision under mandatory 2-project selection: If the firm is absolutely required to allocate the full £100 million budget into a combination of two projects, Combination 3 (Project B + Project C) is the mathematically superior choice. It destroys the least amount of shareholder wealth (-£5.22m) compared to the alternative pairings because it pairs the only positive-NPV project (C) with the "least bad" negative-NPV project (B).</w:t>
      </w:r>
    </w:p>
    <w:p>
      <w:r>
        <w:t>Decision under strict financial theory: However, fundamental financial management principles dictate that a firm should never willingly accept a negative NPV project, as doing so destroys enterprise value. Therefore, the optimal strategic decision is to accept only Project C (utilizing £50 million of the budget) and reject both Projects A and B. The remaining £50 million should be retained, invested in the capital markets at the 8% hurdle rate, or distributed to shareholders as dividends, resulting in a maximized total NPV of +£0.86m.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