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21AA" w:rsidRDefault="00E321AA" w:rsidP="00E321AA">
      <w:pPr>
        <w:jc w:val="center"/>
        <w:rPr>
          <w:b/>
          <w:sz w:val="32"/>
          <w:szCs w:val="32"/>
        </w:rPr>
      </w:pPr>
      <w:r>
        <w:rPr>
          <w:b/>
          <w:sz w:val="32"/>
          <w:szCs w:val="32"/>
        </w:rPr>
        <w:t xml:space="preserve">How does Geoffrey Chaucer </w:t>
      </w:r>
      <w:r w:rsidR="00B3164B">
        <w:rPr>
          <w:b/>
          <w:sz w:val="32"/>
          <w:szCs w:val="32"/>
        </w:rPr>
        <w:t>introduce</w:t>
      </w:r>
      <w:r>
        <w:rPr>
          <w:b/>
          <w:sz w:val="32"/>
          <w:szCs w:val="32"/>
        </w:rPr>
        <w:t xml:space="preserve"> the Great Revolt of 1381 in the Canterbury Tales?</w:t>
      </w:r>
    </w:p>
    <w:p w:rsidR="00E321AA" w:rsidRDefault="00E321AA" w:rsidP="00E321AA">
      <w:pPr>
        <w:rPr>
          <w:sz w:val="24"/>
          <w:szCs w:val="24"/>
        </w:rPr>
      </w:pPr>
    </w:p>
    <w:p w:rsidR="00EB1418" w:rsidRDefault="00E321AA" w:rsidP="00E321AA">
      <w:pPr>
        <w:rPr>
          <w:sz w:val="24"/>
          <w:szCs w:val="24"/>
        </w:rPr>
      </w:pPr>
      <w:r>
        <w:rPr>
          <w:sz w:val="24"/>
          <w:szCs w:val="24"/>
        </w:rPr>
        <w:t>The time period which Chaucer was writing in was very significant to Medieval British history.</w:t>
      </w:r>
      <w:r w:rsidR="00597AB6">
        <w:rPr>
          <w:sz w:val="24"/>
          <w:szCs w:val="24"/>
        </w:rPr>
        <w:t xml:space="preserve"> Richard II had betrayed the emerging classes after going back on his word in the Great Revolt and had almost been ousted</w:t>
      </w:r>
      <w:r w:rsidR="00C22DBB">
        <w:rPr>
          <w:sz w:val="24"/>
          <w:szCs w:val="24"/>
        </w:rPr>
        <w:t xml:space="preserve"> by Henry Bolingbroke</w:t>
      </w:r>
      <w:r w:rsidR="00C22DBB">
        <w:rPr>
          <w:rStyle w:val="FootnoteReference"/>
          <w:sz w:val="24"/>
          <w:szCs w:val="24"/>
        </w:rPr>
        <w:footnoteReference w:id="1"/>
      </w:r>
      <w:r w:rsidR="0065687F">
        <w:rPr>
          <w:sz w:val="24"/>
          <w:szCs w:val="24"/>
        </w:rPr>
        <w:t>.</w:t>
      </w:r>
      <w:r w:rsidR="008300A5">
        <w:rPr>
          <w:sz w:val="24"/>
          <w:szCs w:val="24"/>
        </w:rPr>
        <w:t xml:space="preserve"> </w:t>
      </w:r>
      <w:r>
        <w:rPr>
          <w:sz w:val="24"/>
          <w:szCs w:val="24"/>
        </w:rPr>
        <w:t xml:space="preserve">In this essay we’ll be looking at how Chaucer addressed the issue of the </w:t>
      </w:r>
      <w:r w:rsidR="00615636">
        <w:rPr>
          <w:sz w:val="24"/>
          <w:szCs w:val="24"/>
        </w:rPr>
        <w:t>Great Revolt in England</w:t>
      </w:r>
      <w:r>
        <w:rPr>
          <w:sz w:val="24"/>
          <w:szCs w:val="24"/>
        </w:rPr>
        <w:t xml:space="preserve"> in the mock-epic</w:t>
      </w:r>
      <w:r w:rsidR="00FB2DE1">
        <w:rPr>
          <w:sz w:val="24"/>
          <w:szCs w:val="24"/>
        </w:rPr>
        <w:t xml:space="preserve"> sermon</w:t>
      </w:r>
      <w:r w:rsidR="00615636">
        <w:rPr>
          <w:sz w:val="24"/>
          <w:szCs w:val="24"/>
        </w:rPr>
        <w:t xml:space="preserve"> tale</w:t>
      </w:r>
      <w:r>
        <w:rPr>
          <w:sz w:val="24"/>
          <w:szCs w:val="24"/>
        </w:rPr>
        <w:t xml:space="preserve"> from the Nun’s Priest and the</w:t>
      </w:r>
      <w:r w:rsidR="00B61982">
        <w:rPr>
          <w:sz w:val="24"/>
          <w:szCs w:val="24"/>
        </w:rPr>
        <w:t xml:space="preserve"> meaning of the interruption of the social hierarchy in the Millers Tale</w:t>
      </w:r>
      <w:r>
        <w:rPr>
          <w:sz w:val="24"/>
          <w:szCs w:val="24"/>
        </w:rPr>
        <w:t>.</w:t>
      </w:r>
    </w:p>
    <w:p w:rsidR="00ED2DEC" w:rsidRDefault="00ED2DEC" w:rsidP="00E321AA">
      <w:pPr>
        <w:rPr>
          <w:sz w:val="24"/>
          <w:szCs w:val="24"/>
        </w:rPr>
      </w:pPr>
    </w:p>
    <w:p w:rsidR="00ED2DEC" w:rsidRDefault="00ED2DEC" w:rsidP="00ED2DEC">
      <w:pPr>
        <w:rPr>
          <w:sz w:val="24"/>
          <w:szCs w:val="24"/>
        </w:rPr>
      </w:pPr>
      <w:r>
        <w:rPr>
          <w:sz w:val="24"/>
          <w:szCs w:val="24"/>
        </w:rPr>
        <w:t>The Millers Tale is the second story told in the Canterbury Tales, introduced to us immediately after the Knights. Initially, the Miller isn’t supposed to be the one telling the second story as we can see when Harry Bailley is trying to continue in the right order of social hierarchy,</w:t>
      </w:r>
    </w:p>
    <w:p w:rsidR="00ED2DEC" w:rsidRDefault="00ED2DEC" w:rsidP="00ED2DEC">
      <w:pPr>
        <w:ind w:left="850"/>
        <w:rPr>
          <w:i/>
          <w:sz w:val="24"/>
          <w:szCs w:val="24"/>
        </w:rPr>
      </w:pPr>
      <w:r w:rsidRPr="0057672A">
        <w:rPr>
          <w:i/>
          <w:sz w:val="24"/>
          <w:szCs w:val="24"/>
        </w:rPr>
        <w:t>‘</w:t>
      </w:r>
      <w:r>
        <w:rPr>
          <w:i/>
          <w:sz w:val="24"/>
          <w:szCs w:val="24"/>
        </w:rPr>
        <w:t xml:space="preserve">For </w:t>
      </w:r>
      <w:proofErr w:type="spellStart"/>
      <w:r>
        <w:rPr>
          <w:i/>
          <w:sz w:val="24"/>
          <w:szCs w:val="24"/>
        </w:rPr>
        <w:t>truwely</w:t>
      </w:r>
      <w:proofErr w:type="spellEnd"/>
      <w:r>
        <w:rPr>
          <w:i/>
          <w:sz w:val="24"/>
          <w:szCs w:val="24"/>
        </w:rPr>
        <w:t xml:space="preserve"> the game is </w:t>
      </w:r>
      <w:proofErr w:type="spellStart"/>
      <w:r>
        <w:rPr>
          <w:i/>
          <w:sz w:val="24"/>
          <w:szCs w:val="24"/>
        </w:rPr>
        <w:t>wel</w:t>
      </w:r>
      <w:proofErr w:type="spellEnd"/>
      <w:r>
        <w:rPr>
          <w:i/>
          <w:sz w:val="24"/>
          <w:szCs w:val="24"/>
        </w:rPr>
        <w:t xml:space="preserve"> </w:t>
      </w:r>
      <w:proofErr w:type="spellStart"/>
      <w:r>
        <w:rPr>
          <w:i/>
          <w:sz w:val="24"/>
          <w:szCs w:val="24"/>
        </w:rPr>
        <w:t>bigonne</w:t>
      </w:r>
      <w:proofErr w:type="spellEnd"/>
      <w:r>
        <w:rPr>
          <w:i/>
          <w:sz w:val="24"/>
          <w:szCs w:val="24"/>
        </w:rPr>
        <w:t>.</w:t>
      </w:r>
    </w:p>
    <w:p w:rsidR="00ED2DEC" w:rsidRDefault="00ED2DEC" w:rsidP="00ED2DEC">
      <w:pPr>
        <w:ind w:left="850"/>
        <w:rPr>
          <w:i/>
          <w:sz w:val="24"/>
          <w:szCs w:val="24"/>
        </w:rPr>
      </w:pPr>
      <w:r>
        <w:rPr>
          <w:i/>
          <w:sz w:val="24"/>
          <w:szCs w:val="24"/>
        </w:rPr>
        <w:t xml:space="preserve">Now </w:t>
      </w:r>
      <w:proofErr w:type="spellStart"/>
      <w:r>
        <w:rPr>
          <w:i/>
          <w:sz w:val="24"/>
          <w:szCs w:val="24"/>
        </w:rPr>
        <w:t>telleth</w:t>
      </w:r>
      <w:proofErr w:type="spellEnd"/>
      <w:r>
        <w:rPr>
          <w:i/>
          <w:sz w:val="24"/>
          <w:szCs w:val="24"/>
        </w:rPr>
        <w:t xml:space="preserve"> </w:t>
      </w:r>
      <w:proofErr w:type="spellStart"/>
      <w:r>
        <w:rPr>
          <w:i/>
          <w:sz w:val="24"/>
          <w:szCs w:val="24"/>
        </w:rPr>
        <w:t>ye</w:t>
      </w:r>
      <w:proofErr w:type="spellEnd"/>
      <w:r>
        <w:rPr>
          <w:i/>
          <w:sz w:val="24"/>
          <w:szCs w:val="24"/>
        </w:rPr>
        <w:t xml:space="preserve">, </w:t>
      </w:r>
      <w:proofErr w:type="gramStart"/>
      <w:r>
        <w:rPr>
          <w:i/>
          <w:sz w:val="24"/>
          <w:szCs w:val="24"/>
        </w:rPr>
        <w:t>sir</w:t>
      </w:r>
      <w:proofErr w:type="gramEnd"/>
      <w:r>
        <w:rPr>
          <w:i/>
          <w:sz w:val="24"/>
          <w:szCs w:val="24"/>
        </w:rPr>
        <w:t xml:space="preserve"> Monk, if that ye </w:t>
      </w:r>
      <w:proofErr w:type="spellStart"/>
      <w:r>
        <w:rPr>
          <w:i/>
          <w:sz w:val="24"/>
          <w:szCs w:val="24"/>
        </w:rPr>
        <w:t>konne</w:t>
      </w:r>
      <w:proofErr w:type="spellEnd"/>
      <w:r>
        <w:rPr>
          <w:i/>
          <w:sz w:val="24"/>
          <w:szCs w:val="24"/>
        </w:rPr>
        <w:t>,</w:t>
      </w:r>
    </w:p>
    <w:p w:rsidR="00ED2DEC" w:rsidRDefault="00ED2DEC" w:rsidP="00ED2DEC">
      <w:pPr>
        <w:ind w:left="850"/>
        <w:rPr>
          <w:i/>
          <w:sz w:val="24"/>
          <w:szCs w:val="24"/>
        </w:rPr>
      </w:pPr>
      <w:proofErr w:type="spellStart"/>
      <w:r>
        <w:rPr>
          <w:i/>
          <w:sz w:val="24"/>
          <w:szCs w:val="24"/>
        </w:rPr>
        <w:t>Somwhat</w:t>
      </w:r>
      <w:proofErr w:type="spellEnd"/>
      <w:r>
        <w:rPr>
          <w:i/>
          <w:sz w:val="24"/>
          <w:szCs w:val="24"/>
        </w:rPr>
        <w:t xml:space="preserve"> to quite with the </w:t>
      </w:r>
      <w:proofErr w:type="spellStart"/>
      <w:r>
        <w:rPr>
          <w:i/>
          <w:sz w:val="24"/>
          <w:szCs w:val="24"/>
        </w:rPr>
        <w:t>Knyghtes</w:t>
      </w:r>
      <w:proofErr w:type="spellEnd"/>
      <w:r>
        <w:rPr>
          <w:i/>
          <w:sz w:val="24"/>
          <w:szCs w:val="24"/>
        </w:rPr>
        <w:t xml:space="preserve"> tale</w:t>
      </w:r>
      <w:r>
        <w:rPr>
          <w:rStyle w:val="FootnoteReference"/>
          <w:i/>
          <w:sz w:val="24"/>
          <w:szCs w:val="24"/>
        </w:rPr>
        <w:footnoteReference w:id="2"/>
      </w:r>
      <w:r>
        <w:rPr>
          <w:i/>
          <w:sz w:val="24"/>
          <w:szCs w:val="24"/>
        </w:rPr>
        <w:t>.’</w:t>
      </w:r>
    </w:p>
    <w:p w:rsidR="00ED2DEC" w:rsidRDefault="00ED2DEC" w:rsidP="00ED2DEC">
      <w:pPr>
        <w:rPr>
          <w:sz w:val="24"/>
          <w:szCs w:val="24"/>
        </w:rPr>
      </w:pPr>
      <w:r>
        <w:rPr>
          <w:sz w:val="24"/>
          <w:szCs w:val="24"/>
        </w:rPr>
        <w:t>Only to be interrupted immediately after when</w:t>
      </w:r>
    </w:p>
    <w:p w:rsidR="00ED2DEC" w:rsidRDefault="00ED2DEC" w:rsidP="00ED2DEC">
      <w:pPr>
        <w:ind w:left="850"/>
        <w:rPr>
          <w:i/>
          <w:sz w:val="24"/>
          <w:szCs w:val="24"/>
        </w:rPr>
      </w:pPr>
      <w:r w:rsidRPr="0057672A">
        <w:rPr>
          <w:i/>
          <w:sz w:val="24"/>
          <w:szCs w:val="24"/>
        </w:rPr>
        <w:t>‘</w:t>
      </w:r>
      <w:r>
        <w:rPr>
          <w:i/>
          <w:sz w:val="24"/>
          <w:szCs w:val="24"/>
        </w:rPr>
        <w:t xml:space="preserve">The </w:t>
      </w:r>
      <w:proofErr w:type="spellStart"/>
      <w:r>
        <w:rPr>
          <w:i/>
          <w:sz w:val="24"/>
          <w:szCs w:val="24"/>
        </w:rPr>
        <w:t>Millere</w:t>
      </w:r>
      <w:proofErr w:type="spellEnd"/>
      <w:r>
        <w:rPr>
          <w:i/>
          <w:sz w:val="24"/>
          <w:szCs w:val="24"/>
        </w:rPr>
        <w:t xml:space="preserve">, that for </w:t>
      </w:r>
      <w:proofErr w:type="spellStart"/>
      <w:r>
        <w:rPr>
          <w:i/>
          <w:sz w:val="24"/>
          <w:szCs w:val="24"/>
        </w:rPr>
        <w:t>dronkon</w:t>
      </w:r>
      <w:proofErr w:type="spellEnd"/>
      <w:r>
        <w:rPr>
          <w:i/>
          <w:sz w:val="24"/>
          <w:szCs w:val="24"/>
        </w:rPr>
        <w:t xml:space="preserve"> was al pale</w:t>
      </w:r>
      <w:r w:rsidR="00A006E3">
        <w:rPr>
          <w:i/>
          <w:sz w:val="24"/>
          <w:szCs w:val="24"/>
        </w:rPr>
        <w:t>,</w:t>
      </w:r>
    </w:p>
    <w:p w:rsidR="00A006E3" w:rsidRDefault="00A006E3" w:rsidP="00ED2DEC">
      <w:pPr>
        <w:ind w:left="850"/>
        <w:rPr>
          <w:i/>
          <w:sz w:val="24"/>
          <w:szCs w:val="24"/>
        </w:rPr>
      </w:pPr>
      <w:r>
        <w:rPr>
          <w:i/>
          <w:sz w:val="24"/>
          <w:szCs w:val="24"/>
        </w:rPr>
        <w:t xml:space="preserve">So that </w:t>
      </w:r>
      <w:proofErr w:type="spellStart"/>
      <w:r>
        <w:rPr>
          <w:i/>
          <w:sz w:val="24"/>
          <w:szCs w:val="24"/>
        </w:rPr>
        <w:t>unnethe</w:t>
      </w:r>
      <w:proofErr w:type="spellEnd"/>
      <w:r>
        <w:rPr>
          <w:i/>
          <w:sz w:val="24"/>
          <w:szCs w:val="24"/>
        </w:rPr>
        <w:t xml:space="preserve"> upon his hors he sat,</w:t>
      </w:r>
    </w:p>
    <w:p w:rsidR="00A006E3" w:rsidRDefault="00A006E3" w:rsidP="00ED2DEC">
      <w:pPr>
        <w:ind w:left="850"/>
        <w:rPr>
          <w:i/>
          <w:sz w:val="24"/>
          <w:szCs w:val="24"/>
        </w:rPr>
      </w:pPr>
      <w:r>
        <w:rPr>
          <w:i/>
          <w:sz w:val="24"/>
          <w:szCs w:val="24"/>
        </w:rPr>
        <w:t xml:space="preserve">He </w:t>
      </w:r>
      <w:proofErr w:type="spellStart"/>
      <w:r>
        <w:rPr>
          <w:i/>
          <w:sz w:val="24"/>
          <w:szCs w:val="24"/>
        </w:rPr>
        <w:t>nolde</w:t>
      </w:r>
      <w:proofErr w:type="spellEnd"/>
      <w:r>
        <w:rPr>
          <w:i/>
          <w:sz w:val="24"/>
          <w:szCs w:val="24"/>
        </w:rPr>
        <w:t xml:space="preserve"> </w:t>
      </w:r>
      <w:proofErr w:type="spellStart"/>
      <w:r>
        <w:rPr>
          <w:i/>
          <w:sz w:val="24"/>
          <w:szCs w:val="24"/>
        </w:rPr>
        <w:t>avalen</w:t>
      </w:r>
      <w:proofErr w:type="spellEnd"/>
      <w:r>
        <w:rPr>
          <w:i/>
          <w:sz w:val="24"/>
          <w:szCs w:val="24"/>
        </w:rPr>
        <w:t xml:space="preserve"> neither hood ne hat,</w:t>
      </w:r>
    </w:p>
    <w:p w:rsidR="00A006E3" w:rsidRDefault="00A006E3" w:rsidP="00ED2DEC">
      <w:pPr>
        <w:ind w:left="850"/>
        <w:rPr>
          <w:i/>
          <w:sz w:val="24"/>
          <w:szCs w:val="24"/>
        </w:rPr>
      </w:pPr>
      <w:r>
        <w:rPr>
          <w:i/>
          <w:sz w:val="24"/>
          <w:szCs w:val="24"/>
        </w:rPr>
        <w:t xml:space="preserve">Ne </w:t>
      </w:r>
      <w:proofErr w:type="spellStart"/>
      <w:r>
        <w:rPr>
          <w:i/>
          <w:sz w:val="24"/>
          <w:szCs w:val="24"/>
        </w:rPr>
        <w:t>abyde</w:t>
      </w:r>
      <w:proofErr w:type="spellEnd"/>
      <w:r>
        <w:rPr>
          <w:i/>
          <w:sz w:val="24"/>
          <w:szCs w:val="24"/>
        </w:rPr>
        <w:t xml:space="preserve"> no man for his </w:t>
      </w:r>
      <w:proofErr w:type="spellStart"/>
      <w:proofErr w:type="gramStart"/>
      <w:r>
        <w:rPr>
          <w:i/>
          <w:sz w:val="24"/>
          <w:szCs w:val="24"/>
        </w:rPr>
        <w:t>curteisie</w:t>
      </w:r>
      <w:proofErr w:type="spellEnd"/>
      <w:r>
        <w:rPr>
          <w:i/>
          <w:sz w:val="24"/>
          <w:szCs w:val="24"/>
        </w:rPr>
        <w:t xml:space="preserve"> ,</w:t>
      </w:r>
      <w:proofErr w:type="gramEnd"/>
    </w:p>
    <w:p w:rsidR="00A006E3" w:rsidRDefault="00A006E3" w:rsidP="00ED2DEC">
      <w:pPr>
        <w:ind w:left="850"/>
        <w:rPr>
          <w:i/>
          <w:sz w:val="24"/>
          <w:szCs w:val="24"/>
        </w:rPr>
      </w:pPr>
      <w:r>
        <w:rPr>
          <w:i/>
          <w:sz w:val="24"/>
          <w:szCs w:val="24"/>
        </w:rPr>
        <w:t xml:space="preserve">But in Pilates </w:t>
      </w:r>
      <w:proofErr w:type="spellStart"/>
      <w:r>
        <w:rPr>
          <w:i/>
          <w:sz w:val="24"/>
          <w:szCs w:val="24"/>
        </w:rPr>
        <w:t>voys</w:t>
      </w:r>
      <w:proofErr w:type="spellEnd"/>
      <w:r>
        <w:rPr>
          <w:i/>
          <w:sz w:val="24"/>
          <w:szCs w:val="24"/>
        </w:rPr>
        <w:t xml:space="preserve"> he </w:t>
      </w:r>
      <w:proofErr w:type="spellStart"/>
      <w:r>
        <w:rPr>
          <w:i/>
          <w:sz w:val="24"/>
          <w:szCs w:val="24"/>
        </w:rPr>
        <w:t>gan</w:t>
      </w:r>
      <w:proofErr w:type="spellEnd"/>
      <w:r>
        <w:rPr>
          <w:i/>
          <w:sz w:val="24"/>
          <w:szCs w:val="24"/>
        </w:rPr>
        <w:t xml:space="preserve"> to </w:t>
      </w:r>
      <w:proofErr w:type="spellStart"/>
      <w:r>
        <w:rPr>
          <w:i/>
          <w:sz w:val="24"/>
          <w:szCs w:val="24"/>
        </w:rPr>
        <w:t>crie</w:t>
      </w:r>
      <w:proofErr w:type="spellEnd"/>
    </w:p>
    <w:p w:rsidR="00A006E3" w:rsidRDefault="00A006E3" w:rsidP="00ED2DEC">
      <w:pPr>
        <w:ind w:left="850"/>
        <w:rPr>
          <w:i/>
          <w:sz w:val="24"/>
          <w:szCs w:val="24"/>
        </w:rPr>
      </w:pPr>
      <w:r>
        <w:rPr>
          <w:i/>
          <w:sz w:val="24"/>
          <w:szCs w:val="24"/>
        </w:rPr>
        <w:t xml:space="preserve">And </w:t>
      </w:r>
      <w:proofErr w:type="spellStart"/>
      <w:r>
        <w:rPr>
          <w:i/>
          <w:sz w:val="24"/>
          <w:szCs w:val="24"/>
        </w:rPr>
        <w:t>swoor</w:t>
      </w:r>
      <w:proofErr w:type="spellEnd"/>
      <w:r>
        <w:rPr>
          <w:i/>
          <w:sz w:val="24"/>
          <w:szCs w:val="24"/>
        </w:rPr>
        <w:t xml:space="preserve">, “By </w:t>
      </w:r>
      <w:proofErr w:type="spellStart"/>
      <w:r>
        <w:rPr>
          <w:i/>
          <w:sz w:val="24"/>
          <w:szCs w:val="24"/>
        </w:rPr>
        <w:t>armes</w:t>
      </w:r>
      <w:proofErr w:type="spellEnd"/>
      <w:r>
        <w:rPr>
          <w:i/>
          <w:sz w:val="24"/>
          <w:szCs w:val="24"/>
        </w:rPr>
        <w:t>, and by blood and bones,</w:t>
      </w:r>
    </w:p>
    <w:p w:rsidR="00A006E3" w:rsidRDefault="00A006E3" w:rsidP="00ED2DEC">
      <w:pPr>
        <w:ind w:left="850"/>
        <w:rPr>
          <w:i/>
          <w:sz w:val="24"/>
          <w:szCs w:val="24"/>
        </w:rPr>
      </w:pPr>
      <w:r>
        <w:rPr>
          <w:i/>
          <w:sz w:val="24"/>
          <w:szCs w:val="24"/>
        </w:rPr>
        <w:t xml:space="preserve">I </w:t>
      </w:r>
      <w:proofErr w:type="spellStart"/>
      <w:proofErr w:type="gramStart"/>
      <w:r>
        <w:rPr>
          <w:i/>
          <w:sz w:val="24"/>
          <w:szCs w:val="24"/>
        </w:rPr>
        <w:t>kan</w:t>
      </w:r>
      <w:proofErr w:type="spellEnd"/>
      <w:proofErr w:type="gramEnd"/>
      <w:r>
        <w:rPr>
          <w:i/>
          <w:sz w:val="24"/>
          <w:szCs w:val="24"/>
        </w:rPr>
        <w:t xml:space="preserve"> a noble tale for the </w:t>
      </w:r>
      <w:proofErr w:type="spellStart"/>
      <w:r>
        <w:rPr>
          <w:i/>
          <w:sz w:val="24"/>
          <w:szCs w:val="24"/>
        </w:rPr>
        <w:t>nones</w:t>
      </w:r>
      <w:proofErr w:type="spellEnd"/>
      <w:r>
        <w:rPr>
          <w:i/>
          <w:sz w:val="24"/>
          <w:szCs w:val="24"/>
        </w:rPr>
        <w:t>,</w:t>
      </w:r>
    </w:p>
    <w:p w:rsidR="00E321AA" w:rsidRDefault="00A006E3" w:rsidP="00A006E3">
      <w:pPr>
        <w:ind w:left="850"/>
        <w:rPr>
          <w:rFonts w:ascii="Helvetica" w:hAnsi="Helvetica" w:cs="Helvetica"/>
          <w:color w:val="000000"/>
          <w:shd w:val="clear" w:color="auto" w:fill="FFFFFF"/>
        </w:rPr>
      </w:pPr>
      <w:r>
        <w:rPr>
          <w:i/>
          <w:sz w:val="24"/>
          <w:szCs w:val="24"/>
        </w:rPr>
        <w:t xml:space="preserve">With which I </w:t>
      </w:r>
      <w:proofErr w:type="spellStart"/>
      <w:r>
        <w:rPr>
          <w:i/>
          <w:sz w:val="24"/>
          <w:szCs w:val="24"/>
        </w:rPr>
        <w:t>wol</w:t>
      </w:r>
      <w:proofErr w:type="spellEnd"/>
      <w:r>
        <w:rPr>
          <w:i/>
          <w:sz w:val="24"/>
          <w:szCs w:val="24"/>
        </w:rPr>
        <w:t xml:space="preserve"> now quite the </w:t>
      </w:r>
      <w:proofErr w:type="spellStart"/>
      <w:r>
        <w:rPr>
          <w:i/>
          <w:sz w:val="24"/>
          <w:szCs w:val="24"/>
        </w:rPr>
        <w:t>Knyghtes</w:t>
      </w:r>
      <w:proofErr w:type="spellEnd"/>
      <w:r>
        <w:rPr>
          <w:i/>
          <w:sz w:val="24"/>
          <w:szCs w:val="24"/>
        </w:rPr>
        <w:t xml:space="preserve"> tale.</w:t>
      </w:r>
      <w:r>
        <w:rPr>
          <w:rStyle w:val="FootnoteReference"/>
          <w:i/>
          <w:sz w:val="24"/>
          <w:szCs w:val="24"/>
        </w:rPr>
        <w:footnoteReference w:id="3"/>
      </w:r>
      <w:bookmarkStart w:id="0" w:name="PROLOGUE"/>
      <w:r>
        <w:rPr>
          <w:rFonts w:ascii="Helvetica" w:hAnsi="Helvetica" w:cs="Helvetica"/>
          <w:color w:val="000000"/>
          <w:shd w:val="clear" w:color="auto" w:fill="FFFFFF"/>
        </w:rPr>
        <w:t xml:space="preserve">                    </w:t>
      </w:r>
      <w:bookmarkEnd w:id="0"/>
    </w:p>
    <w:p w:rsidR="00640058" w:rsidRDefault="00A006E3" w:rsidP="00A006E3">
      <w:pPr>
        <w:rPr>
          <w:rFonts w:cstheme="minorHAnsi"/>
          <w:color w:val="000000"/>
          <w:sz w:val="24"/>
          <w:szCs w:val="24"/>
          <w:shd w:val="clear" w:color="auto" w:fill="FFFFFF"/>
        </w:rPr>
      </w:pPr>
      <w:r w:rsidRPr="002353EF">
        <w:rPr>
          <w:rFonts w:cstheme="minorHAnsi"/>
          <w:color w:val="000000"/>
          <w:sz w:val="24"/>
          <w:szCs w:val="24"/>
          <w:shd w:val="clear" w:color="auto" w:fill="FFFFFF"/>
        </w:rPr>
        <w:t>This is a huge discourse of the tale, especially for the pilgrims, who must have been shocked by this drunken outburst by the Miller.</w:t>
      </w:r>
      <w:r w:rsidR="002353EF" w:rsidRPr="002353EF">
        <w:rPr>
          <w:rFonts w:cstheme="minorHAnsi"/>
          <w:color w:val="000000"/>
          <w:sz w:val="24"/>
          <w:szCs w:val="24"/>
          <w:shd w:val="clear" w:color="auto" w:fill="FFFFFF"/>
        </w:rPr>
        <w:t xml:space="preserve"> </w:t>
      </w:r>
      <w:r w:rsidR="002353EF">
        <w:rPr>
          <w:rFonts w:cstheme="minorHAnsi"/>
          <w:color w:val="000000"/>
          <w:sz w:val="24"/>
          <w:szCs w:val="24"/>
          <w:shd w:val="clear" w:color="auto" w:fill="FFFFFF"/>
        </w:rPr>
        <w:t>By letting the Miller do this, Chaucer ‘sets aside a principle of order sanctioned by social authority</w:t>
      </w:r>
      <w:r w:rsidR="002353EF">
        <w:rPr>
          <w:rStyle w:val="FootnoteReference"/>
          <w:rFonts w:cstheme="minorHAnsi"/>
          <w:color w:val="000000"/>
          <w:sz w:val="24"/>
          <w:szCs w:val="24"/>
          <w:shd w:val="clear" w:color="auto" w:fill="FFFFFF"/>
        </w:rPr>
        <w:footnoteReference w:id="4"/>
      </w:r>
      <w:r w:rsidR="00542132">
        <w:rPr>
          <w:rFonts w:cstheme="minorHAnsi"/>
          <w:color w:val="000000"/>
          <w:sz w:val="24"/>
          <w:szCs w:val="24"/>
          <w:shd w:val="clear" w:color="auto" w:fill="FFFFFF"/>
        </w:rPr>
        <w:t>.</w:t>
      </w:r>
      <w:r w:rsidR="002353EF">
        <w:rPr>
          <w:rFonts w:cstheme="minorHAnsi"/>
          <w:color w:val="000000"/>
          <w:sz w:val="24"/>
          <w:szCs w:val="24"/>
          <w:shd w:val="clear" w:color="auto" w:fill="FFFFFF"/>
        </w:rPr>
        <w:t>’</w:t>
      </w:r>
      <w:r w:rsidR="00C54AFC">
        <w:rPr>
          <w:rFonts w:cstheme="minorHAnsi"/>
          <w:color w:val="000000"/>
          <w:sz w:val="24"/>
          <w:szCs w:val="24"/>
          <w:shd w:val="clear" w:color="auto" w:fill="FFFFFF"/>
        </w:rPr>
        <w:t xml:space="preserve"> </w:t>
      </w:r>
      <w:r w:rsidR="002353EF" w:rsidRPr="002353EF">
        <w:rPr>
          <w:rFonts w:cstheme="minorHAnsi"/>
          <w:color w:val="000000"/>
          <w:sz w:val="24"/>
          <w:szCs w:val="24"/>
          <w:shd w:val="clear" w:color="auto" w:fill="FFFFFF"/>
        </w:rPr>
        <w:t xml:space="preserve">At this point it is important to note that </w:t>
      </w:r>
      <w:r w:rsidR="002353EF" w:rsidRPr="002353EF">
        <w:rPr>
          <w:rFonts w:cstheme="minorHAnsi"/>
          <w:color w:val="000000"/>
          <w:sz w:val="24"/>
          <w:szCs w:val="24"/>
          <w:shd w:val="clear" w:color="auto" w:fill="FFFFFF"/>
        </w:rPr>
        <w:lastRenderedPageBreak/>
        <w:t xml:space="preserve">the Millers were </w:t>
      </w:r>
      <w:r w:rsidR="00C54AFC">
        <w:rPr>
          <w:rFonts w:cstheme="minorHAnsi"/>
          <w:color w:val="000000"/>
          <w:sz w:val="24"/>
          <w:szCs w:val="24"/>
          <w:shd w:val="clear" w:color="auto" w:fill="FFFFFF"/>
        </w:rPr>
        <w:t>an important part of the 1381 rising, the millers were physically strong due to their work but also had a ‘reputation for violence</w:t>
      </w:r>
      <w:r w:rsidR="00C54AFC">
        <w:rPr>
          <w:rStyle w:val="FootnoteReference"/>
          <w:rFonts w:cstheme="minorHAnsi"/>
          <w:color w:val="000000"/>
          <w:sz w:val="24"/>
          <w:szCs w:val="24"/>
          <w:shd w:val="clear" w:color="auto" w:fill="FFFFFF"/>
        </w:rPr>
        <w:footnoteReference w:id="5"/>
      </w:r>
      <w:r w:rsidR="00C54AFC">
        <w:rPr>
          <w:rFonts w:cstheme="minorHAnsi"/>
          <w:color w:val="000000"/>
          <w:sz w:val="24"/>
          <w:szCs w:val="24"/>
          <w:shd w:val="clear" w:color="auto" w:fill="FFFFFF"/>
        </w:rPr>
        <w:t>.’ We can read the Miller’s prologue, where the Miller seems imposing and strong, as a direct correlation with this fact.</w:t>
      </w:r>
      <w:r w:rsidR="008C716C">
        <w:rPr>
          <w:rFonts w:cstheme="minorHAnsi"/>
          <w:color w:val="000000"/>
          <w:sz w:val="24"/>
          <w:szCs w:val="24"/>
          <w:shd w:val="clear" w:color="auto" w:fill="FFFFFF"/>
        </w:rPr>
        <w:t xml:space="preserve"> Because of this, the direct interruption of the hierarchical order </w:t>
      </w:r>
      <w:r w:rsidR="00640058">
        <w:rPr>
          <w:rFonts w:cstheme="minorHAnsi"/>
          <w:color w:val="000000"/>
          <w:sz w:val="24"/>
          <w:szCs w:val="24"/>
          <w:shd w:val="clear" w:color="auto" w:fill="FFFFFF"/>
        </w:rPr>
        <w:t>becomes more sinister and foreboding. Harry Bailley also tries to bring the order of the storytelling back to the social hierarchy but fails when</w:t>
      </w:r>
    </w:p>
    <w:p w:rsidR="00640058" w:rsidRDefault="00640058" w:rsidP="00640058">
      <w:pPr>
        <w:ind w:left="850"/>
        <w:rPr>
          <w:i/>
          <w:sz w:val="24"/>
          <w:szCs w:val="24"/>
        </w:rPr>
      </w:pPr>
      <w:r>
        <w:rPr>
          <w:rFonts w:cstheme="minorHAnsi"/>
          <w:color w:val="000000"/>
          <w:sz w:val="24"/>
          <w:szCs w:val="24"/>
          <w:shd w:val="clear" w:color="auto" w:fill="FFFFFF"/>
        </w:rPr>
        <w:t xml:space="preserve"> </w:t>
      </w:r>
      <w:r w:rsidRPr="0057672A">
        <w:rPr>
          <w:i/>
          <w:sz w:val="24"/>
          <w:szCs w:val="24"/>
        </w:rPr>
        <w:t>‘</w:t>
      </w:r>
      <w:proofErr w:type="spellStart"/>
      <w:r>
        <w:rPr>
          <w:i/>
          <w:sz w:val="24"/>
          <w:szCs w:val="24"/>
        </w:rPr>
        <w:t>Som</w:t>
      </w:r>
      <w:proofErr w:type="spellEnd"/>
      <w:r>
        <w:rPr>
          <w:i/>
          <w:sz w:val="24"/>
          <w:szCs w:val="24"/>
        </w:rPr>
        <w:t xml:space="preserve"> better man </w:t>
      </w:r>
      <w:proofErr w:type="spellStart"/>
      <w:r>
        <w:rPr>
          <w:i/>
          <w:sz w:val="24"/>
          <w:szCs w:val="24"/>
        </w:rPr>
        <w:t>shal</w:t>
      </w:r>
      <w:proofErr w:type="spellEnd"/>
      <w:r>
        <w:rPr>
          <w:i/>
          <w:sz w:val="24"/>
          <w:szCs w:val="24"/>
        </w:rPr>
        <w:t xml:space="preserve"> </w:t>
      </w:r>
      <w:proofErr w:type="spellStart"/>
      <w:r>
        <w:rPr>
          <w:i/>
          <w:sz w:val="24"/>
          <w:szCs w:val="24"/>
        </w:rPr>
        <w:t>telle</w:t>
      </w:r>
      <w:proofErr w:type="spellEnd"/>
      <w:r>
        <w:rPr>
          <w:i/>
          <w:sz w:val="24"/>
          <w:szCs w:val="24"/>
        </w:rPr>
        <w:t xml:space="preserve"> us first another.</w:t>
      </w:r>
    </w:p>
    <w:p w:rsidR="00542132" w:rsidRDefault="00640058" w:rsidP="00640058">
      <w:pPr>
        <w:ind w:left="850"/>
        <w:rPr>
          <w:i/>
          <w:sz w:val="24"/>
          <w:szCs w:val="24"/>
        </w:rPr>
      </w:pPr>
      <w:proofErr w:type="spellStart"/>
      <w:r>
        <w:rPr>
          <w:i/>
          <w:sz w:val="24"/>
          <w:szCs w:val="24"/>
        </w:rPr>
        <w:t>Abyd</w:t>
      </w:r>
      <w:proofErr w:type="spellEnd"/>
      <w:r>
        <w:rPr>
          <w:i/>
          <w:sz w:val="24"/>
          <w:szCs w:val="24"/>
        </w:rPr>
        <w:t xml:space="preserve">, and </w:t>
      </w:r>
      <w:proofErr w:type="spellStart"/>
      <w:r>
        <w:rPr>
          <w:i/>
          <w:sz w:val="24"/>
          <w:szCs w:val="24"/>
        </w:rPr>
        <w:t>lat</w:t>
      </w:r>
      <w:proofErr w:type="spellEnd"/>
      <w:r>
        <w:rPr>
          <w:i/>
          <w:sz w:val="24"/>
          <w:szCs w:val="24"/>
        </w:rPr>
        <w:t xml:space="preserve"> </w:t>
      </w:r>
      <w:proofErr w:type="spellStart"/>
      <w:r>
        <w:rPr>
          <w:i/>
          <w:sz w:val="24"/>
          <w:szCs w:val="24"/>
        </w:rPr>
        <w:t>us</w:t>
      </w:r>
      <w:proofErr w:type="spellEnd"/>
      <w:r>
        <w:rPr>
          <w:i/>
          <w:sz w:val="24"/>
          <w:szCs w:val="24"/>
        </w:rPr>
        <w:t xml:space="preserve"> </w:t>
      </w:r>
      <w:proofErr w:type="spellStart"/>
      <w:r>
        <w:rPr>
          <w:i/>
          <w:sz w:val="24"/>
          <w:szCs w:val="24"/>
        </w:rPr>
        <w:t>werken</w:t>
      </w:r>
      <w:proofErr w:type="spellEnd"/>
      <w:r>
        <w:rPr>
          <w:i/>
          <w:sz w:val="24"/>
          <w:szCs w:val="24"/>
        </w:rPr>
        <w:t xml:space="preserve"> thriftily.</w:t>
      </w:r>
      <w:r>
        <w:rPr>
          <w:rStyle w:val="FootnoteReference"/>
          <w:i/>
          <w:sz w:val="24"/>
          <w:szCs w:val="24"/>
        </w:rPr>
        <w:footnoteReference w:id="6"/>
      </w:r>
      <w:r>
        <w:rPr>
          <w:i/>
          <w:sz w:val="24"/>
          <w:szCs w:val="24"/>
        </w:rPr>
        <w:t>”</w:t>
      </w:r>
    </w:p>
    <w:p w:rsidR="00640058" w:rsidRPr="003253EB" w:rsidRDefault="003253EB" w:rsidP="003253EB">
      <w:pPr>
        <w:rPr>
          <w:sz w:val="24"/>
          <w:szCs w:val="24"/>
        </w:rPr>
      </w:pPr>
      <w:r>
        <w:rPr>
          <w:sz w:val="24"/>
          <w:szCs w:val="24"/>
        </w:rPr>
        <w:t>This shows us that, after the rising and all the other major events of the late Fourteenth Century, the normal social orders imposed by Feudalism no longer applies with the same effect that it once did.</w:t>
      </w:r>
      <w:r w:rsidR="004F2746">
        <w:rPr>
          <w:sz w:val="24"/>
          <w:szCs w:val="24"/>
        </w:rPr>
        <w:t xml:space="preserve"> It is obvious that the Miller, no matter how badly he is portrayed, had a great amount of understanding of the workings of the feudal hierarchy as we can see in the way he rehabilitates the natural world</w:t>
      </w:r>
      <w:r w:rsidR="004F2746">
        <w:rPr>
          <w:rStyle w:val="FootnoteReference"/>
          <w:sz w:val="24"/>
          <w:szCs w:val="24"/>
        </w:rPr>
        <w:footnoteReference w:id="7"/>
      </w:r>
      <w:r w:rsidR="004F2746">
        <w:rPr>
          <w:sz w:val="24"/>
          <w:szCs w:val="24"/>
        </w:rPr>
        <w:t>.The Miller’s tale itself, although it could be considered as crude, was spoken of in an intelligent manner, this was ‘proving that the peasant is not the inarticulate figure that hostile representations had depicted</w:t>
      </w:r>
      <w:r w:rsidR="004F2746">
        <w:rPr>
          <w:rStyle w:val="FootnoteReference"/>
          <w:sz w:val="24"/>
          <w:szCs w:val="24"/>
        </w:rPr>
        <w:footnoteReference w:id="8"/>
      </w:r>
      <w:r w:rsidR="004F2746">
        <w:rPr>
          <w:sz w:val="24"/>
          <w:szCs w:val="24"/>
        </w:rPr>
        <w:t xml:space="preserve">.’ </w:t>
      </w:r>
    </w:p>
    <w:p w:rsidR="00640058" w:rsidRPr="00640058" w:rsidRDefault="00640058" w:rsidP="00640058">
      <w:pPr>
        <w:ind w:left="850"/>
        <w:rPr>
          <w:i/>
          <w:sz w:val="24"/>
          <w:szCs w:val="24"/>
        </w:rPr>
      </w:pPr>
    </w:p>
    <w:p w:rsidR="00E321AA" w:rsidRDefault="00D946BA" w:rsidP="00E321AA">
      <w:pPr>
        <w:rPr>
          <w:sz w:val="24"/>
          <w:szCs w:val="24"/>
        </w:rPr>
      </w:pPr>
      <w:r>
        <w:rPr>
          <w:sz w:val="24"/>
          <w:szCs w:val="24"/>
        </w:rPr>
        <w:t>The N</w:t>
      </w:r>
      <w:r w:rsidR="00E321AA">
        <w:rPr>
          <w:sz w:val="24"/>
          <w:szCs w:val="24"/>
        </w:rPr>
        <w:t>un</w:t>
      </w:r>
      <w:r>
        <w:rPr>
          <w:sz w:val="24"/>
          <w:szCs w:val="24"/>
        </w:rPr>
        <w:t>’</w:t>
      </w:r>
      <w:r w:rsidR="00E321AA">
        <w:rPr>
          <w:sz w:val="24"/>
          <w:szCs w:val="24"/>
        </w:rPr>
        <w:t xml:space="preserve">s priest is introduced to us in the tale of Chanticleer and Dame Pertelote with no </w:t>
      </w:r>
      <w:r w:rsidR="00522DBD">
        <w:rPr>
          <w:sz w:val="24"/>
          <w:szCs w:val="24"/>
        </w:rPr>
        <w:t xml:space="preserve">real presentation of his </w:t>
      </w:r>
      <w:r w:rsidR="00CE21A7">
        <w:rPr>
          <w:sz w:val="24"/>
          <w:szCs w:val="24"/>
        </w:rPr>
        <w:t>character</w:t>
      </w:r>
      <w:r w:rsidR="00522DBD">
        <w:rPr>
          <w:sz w:val="24"/>
          <w:szCs w:val="24"/>
        </w:rPr>
        <w:t xml:space="preserve"> in his prologue</w:t>
      </w:r>
      <w:r w:rsidR="00E321AA">
        <w:rPr>
          <w:sz w:val="24"/>
          <w:szCs w:val="24"/>
        </w:rPr>
        <w:t xml:space="preserve"> for us to understand him. He is </w:t>
      </w:r>
      <w:r w:rsidR="00522DBD">
        <w:rPr>
          <w:sz w:val="24"/>
          <w:szCs w:val="24"/>
        </w:rPr>
        <w:t xml:space="preserve">also </w:t>
      </w:r>
      <w:r w:rsidR="00E321AA">
        <w:rPr>
          <w:sz w:val="24"/>
          <w:szCs w:val="24"/>
        </w:rPr>
        <w:t xml:space="preserve">only briefly touched upon in the general prologue when Chaucer writes, </w:t>
      </w:r>
    </w:p>
    <w:p w:rsidR="00E321AA" w:rsidRPr="0057672A" w:rsidRDefault="00E321AA" w:rsidP="00E321AA">
      <w:pPr>
        <w:ind w:left="850"/>
        <w:rPr>
          <w:i/>
          <w:sz w:val="24"/>
          <w:szCs w:val="24"/>
        </w:rPr>
      </w:pPr>
      <w:r w:rsidRPr="0057672A">
        <w:rPr>
          <w:i/>
          <w:sz w:val="24"/>
          <w:szCs w:val="24"/>
        </w:rPr>
        <w:t xml:space="preserve">‘Another </w:t>
      </w:r>
      <w:proofErr w:type="spellStart"/>
      <w:r w:rsidRPr="0057672A">
        <w:rPr>
          <w:i/>
          <w:sz w:val="24"/>
          <w:szCs w:val="24"/>
        </w:rPr>
        <w:t>Nonne</w:t>
      </w:r>
      <w:proofErr w:type="spellEnd"/>
      <w:r w:rsidRPr="0057672A">
        <w:rPr>
          <w:i/>
          <w:sz w:val="24"/>
          <w:szCs w:val="24"/>
        </w:rPr>
        <w:t xml:space="preserve"> with hire </w:t>
      </w:r>
      <w:proofErr w:type="spellStart"/>
      <w:r w:rsidRPr="0057672A">
        <w:rPr>
          <w:i/>
          <w:sz w:val="24"/>
          <w:szCs w:val="24"/>
        </w:rPr>
        <w:t>hadde</w:t>
      </w:r>
      <w:proofErr w:type="spellEnd"/>
      <w:r w:rsidRPr="0057672A">
        <w:rPr>
          <w:i/>
          <w:sz w:val="24"/>
          <w:szCs w:val="24"/>
        </w:rPr>
        <w:t xml:space="preserve"> she, </w:t>
      </w:r>
    </w:p>
    <w:p w:rsidR="00E321AA" w:rsidRPr="0057672A" w:rsidRDefault="00E321AA" w:rsidP="00E321AA">
      <w:pPr>
        <w:ind w:left="850"/>
        <w:rPr>
          <w:i/>
          <w:sz w:val="24"/>
          <w:szCs w:val="24"/>
        </w:rPr>
      </w:pPr>
      <w:r w:rsidRPr="0057672A">
        <w:rPr>
          <w:i/>
          <w:sz w:val="24"/>
          <w:szCs w:val="24"/>
        </w:rPr>
        <w:t xml:space="preserve">That was </w:t>
      </w:r>
      <w:proofErr w:type="spellStart"/>
      <w:r w:rsidRPr="0057672A">
        <w:rPr>
          <w:i/>
          <w:sz w:val="24"/>
          <w:szCs w:val="24"/>
        </w:rPr>
        <w:t>hir</w:t>
      </w:r>
      <w:proofErr w:type="spellEnd"/>
      <w:r w:rsidRPr="0057672A">
        <w:rPr>
          <w:i/>
          <w:sz w:val="24"/>
          <w:szCs w:val="24"/>
        </w:rPr>
        <w:t xml:space="preserve"> </w:t>
      </w:r>
      <w:proofErr w:type="spellStart"/>
      <w:r w:rsidRPr="0057672A">
        <w:rPr>
          <w:i/>
          <w:sz w:val="24"/>
          <w:szCs w:val="24"/>
        </w:rPr>
        <w:t>chapelyne</w:t>
      </w:r>
      <w:proofErr w:type="spellEnd"/>
      <w:r w:rsidRPr="0057672A">
        <w:rPr>
          <w:i/>
          <w:sz w:val="24"/>
          <w:szCs w:val="24"/>
        </w:rPr>
        <w:t xml:space="preserve">, and </w:t>
      </w:r>
      <w:proofErr w:type="spellStart"/>
      <w:r w:rsidRPr="0057672A">
        <w:rPr>
          <w:i/>
          <w:sz w:val="24"/>
          <w:szCs w:val="24"/>
        </w:rPr>
        <w:t>preestes</w:t>
      </w:r>
      <w:proofErr w:type="spellEnd"/>
      <w:r w:rsidRPr="0057672A">
        <w:rPr>
          <w:i/>
          <w:sz w:val="24"/>
          <w:szCs w:val="24"/>
        </w:rPr>
        <w:t xml:space="preserve"> </w:t>
      </w:r>
      <w:proofErr w:type="spellStart"/>
      <w:r w:rsidRPr="0057672A">
        <w:rPr>
          <w:i/>
          <w:sz w:val="24"/>
          <w:szCs w:val="24"/>
        </w:rPr>
        <w:t>thre</w:t>
      </w:r>
      <w:proofErr w:type="spellEnd"/>
      <w:r w:rsidRPr="0057672A">
        <w:rPr>
          <w:rStyle w:val="FootnoteReference"/>
          <w:i/>
          <w:sz w:val="24"/>
          <w:szCs w:val="24"/>
        </w:rPr>
        <w:footnoteReference w:id="9"/>
      </w:r>
      <w:r w:rsidRPr="0057672A">
        <w:rPr>
          <w:i/>
          <w:sz w:val="24"/>
          <w:szCs w:val="24"/>
        </w:rPr>
        <w:t>’</w:t>
      </w:r>
    </w:p>
    <w:p w:rsidR="00CB3F02" w:rsidRDefault="00E321AA" w:rsidP="00CB3F02">
      <w:pPr>
        <w:rPr>
          <w:sz w:val="24"/>
          <w:szCs w:val="24"/>
        </w:rPr>
      </w:pPr>
      <w:r>
        <w:rPr>
          <w:sz w:val="24"/>
          <w:szCs w:val="24"/>
        </w:rPr>
        <w:t>Which means that we cannot truly be able to know him as anything apart from what he seems to be through himself and Harry Bailley</w:t>
      </w:r>
      <w:r w:rsidR="00D946BA">
        <w:rPr>
          <w:sz w:val="24"/>
          <w:szCs w:val="24"/>
        </w:rPr>
        <w:t>’s brief comment on him after the tale</w:t>
      </w:r>
      <w:r>
        <w:rPr>
          <w:sz w:val="24"/>
          <w:szCs w:val="24"/>
        </w:rPr>
        <w:t xml:space="preserve">. </w:t>
      </w:r>
      <w:r w:rsidR="007A01F0">
        <w:rPr>
          <w:sz w:val="24"/>
          <w:szCs w:val="24"/>
        </w:rPr>
        <w:t>And some</w:t>
      </w:r>
      <w:r w:rsidR="00522DBD">
        <w:rPr>
          <w:sz w:val="24"/>
          <w:szCs w:val="24"/>
        </w:rPr>
        <w:t xml:space="preserve"> scholars believ</w:t>
      </w:r>
      <w:r w:rsidR="007A01F0">
        <w:rPr>
          <w:sz w:val="24"/>
          <w:szCs w:val="24"/>
        </w:rPr>
        <w:t>e these lines to have been written</w:t>
      </w:r>
      <w:r w:rsidR="00522DBD">
        <w:rPr>
          <w:sz w:val="24"/>
          <w:szCs w:val="24"/>
        </w:rPr>
        <w:t xml:space="preserve"> by somebody other than Chaucer</w:t>
      </w:r>
      <w:r w:rsidR="00522DBD">
        <w:rPr>
          <w:rStyle w:val="FootnoteReference"/>
          <w:sz w:val="24"/>
          <w:szCs w:val="24"/>
        </w:rPr>
        <w:footnoteReference w:id="10"/>
      </w:r>
      <w:r w:rsidR="00440A36">
        <w:rPr>
          <w:sz w:val="24"/>
          <w:szCs w:val="24"/>
        </w:rPr>
        <w:t>.</w:t>
      </w:r>
      <w:r w:rsidR="00CE7A19">
        <w:rPr>
          <w:sz w:val="24"/>
          <w:szCs w:val="24"/>
        </w:rPr>
        <w:t xml:space="preserve"> </w:t>
      </w:r>
      <w:r w:rsidR="0066753F">
        <w:rPr>
          <w:sz w:val="24"/>
          <w:szCs w:val="24"/>
        </w:rPr>
        <w:t>“The Nun’s Priest, simply by Chaucer calling him that, suggests a contradiction to his social being: he is ‘higher’ than the Prioress in that he can perform sacraments but ‘lower’ than she as a member of her entourage</w:t>
      </w:r>
      <w:r w:rsidR="0066753F">
        <w:rPr>
          <w:rStyle w:val="FootnoteReference"/>
          <w:sz w:val="24"/>
          <w:szCs w:val="24"/>
        </w:rPr>
        <w:footnoteReference w:id="11"/>
      </w:r>
      <w:r w:rsidR="0066753F">
        <w:rPr>
          <w:sz w:val="24"/>
          <w:szCs w:val="24"/>
        </w:rPr>
        <w:t xml:space="preserve">.” </w:t>
      </w:r>
      <w:r w:rsidR="00CE7A19">
        <w:rPr>
          <w:sz w:val="24"/>
          <w:szCs w:val="24"/>
        </w:rPr>
        <w:t>We also know that, unlike the Priestess in her riches, he rides a ‘jade</w:t>
      </w:r>
      <w:r w:rsidR="00CE7A19">
        <w:rPr>
          <w:rStyle w:val="FootnoteReference"/>
          <w:sz w:val="24"/>
          <w:szCs w:val="24"/>
        </w:rPr>
        <w:footnoteReference w:id="12"/>
      </w:r>
      <w:r w:rsidR="00CE7A19">
        <w:rPr>
          <w:sz w:val="24"/>
          <w:szCs w:val="24"/>
        </w:rPr>
        <w:t>’ so he is probably not very rich.</w:t>
      </w:r>
      <w:r w:rsidR="00440A36">
        <w:rPr>
          <w:sz w:val="24"/>
          <w:szCs w:val="24"/>
        </w:rPr>
        <w:t xml:space="preserve"> Chaucer may have</w:t>
      </w:r>
      <w:r w:rsidR="00FB2DE1">
        <w:rPr>
          <w:sz w:val="24"/>
          <w:szCs w:val="24"/>
        </w:rPr>
        <w:t xml:space="preserve"> purpose</w:t>
      </w:r>
      <w:r w:rsidR="00440A36">
        <w:rPr>
          <w:sz w:val="24"/>
          <w:szCs w:val="24"/>
        </w:rPr>
        <w:t>ly given us so little on the Nun’s Priest’s personality and physical appearance</w:t>
      </w:r>
      <w:r w:rsidR="00FB2DE1">
        <w:rPr>
          <w:sz w:val="24"/>
          <w:szCs w:val="24"/>
        </w:rPr>
        <w:t xml:space="preserve"> so that we see this tale in an unbiased way.</w:t>
      </w:r>
      <w:r w:rsidR="00B3164B">
        <w:rPr>
          <w:sz w:val="24"/>
          <w:szCs w:val="24"/>
        </w:rPr>
        <w:t xml:space="preserve"> </w:t>
      </w:r>
      <w:r w:rsidR="00CB3F02">
        <w:rPr>
          <w:sz w:val="24"/>
          <w:szCs w:val="24"/>
        </w:rPr>
        <w:t xml:space="preserve">Like many of Chaucer’s tales, in the Nun’s Priest’s tale, the women’s question </w:t>
      </w:r>
      <w:r w:rsidR="00CB3F02">
        <w:rPr>
          <w:sz w:val="24"/>
          <w:szCs w:val="24"/>
        </w:rPr>
        <w:lastRenderedPageBreak/>
        <w:t>is also introduced to us. The tale was an adaptation of the Roman de Renart yet, unlike in its original form, Chaucer makes the female hen an educated person who tries to explain her idea’s in a rational way</w:t>
      </w:r>
      <w:r w:rsidR="00CB3F02">
        <w:rPr>
          <w:rStyle w:val="FootnoteReference"/>
          <w:sz w:val="24"/>
          <w:szCs w:val="24"/>
        </w:rPr>
        <w:footnoteReference w:id="13"/>
      </w:r>
      <w:r w:rsidR="00CB3F02">
        <w:rPr>
          <w:sz w:val="24"/>
          <w:szCs w:val="24"/>
        </w:rPr>
        <w:t>. He also portrays the feeling of helplessness a poor widow feels, which we can contrast with the Wife of Bath’s more materialistic worries. Comparing the Prioress with the widow also adds another dynamic to the story in regards to class, where a clergy woman so obsessed with appetite is used against the description of the poor widow as a complete opposite. It is the first moment in the story where estate difference is shown in a way so obvious to the readers.</w:t>
      </w:r>
    </w:p>
    <w:p w:rsidR="00A459B1" w:rsidRDefault="00A459B1">
      <w:pPr>
        <w:rPr>
          <w:sz w:val="24"/>
          <w:szCs w:val="24"/>
        </w:rPr>
      </w:pPr>
    </w:p>
    <w:p w:rsidR="002B6E71" w:rsidRDefault="007A01F0">
      <w:pPr>
        <w:rPr>
          <w:sz w:val="24"/>
          <w:szCs w:val="24"/>
        </w:rPr>
      </w:pPr>
      <w:r>
        <w:rPr>
          <w:sz w:val="24"/>
          <w:szCs w:val="24"/>
        </w:rPr>
        <w:t>The whole tale seems to be a web of contradictory ideas, it is a beast fable and yet the beasts are scholars, at times it is anti-feministic and at others it seems to support women</w:t>
      </w:r>
      <w:r>
        <w:rPr>
          <w:rStyle w:val="FootnoteReference"/>
          <w:sz w:val="24"/>
          <w:szCs w:val="24"/>
        </w:rPr>
        <w:footnoteReference w:id="14"/>
      </w:r>
      <w:r>
        <w:rPr>
          <w:sz w:val="24"/>
          <w:szCs w:val="24"/>
        </w:rPr>
        <w:t>.</w:t>
      </w:r>
      <w:r w:rsidR="00A5401A">
        <w:rPr>
          <w:sz w:val="24"/>
          <w:szCs w:val="24"/>
        </w:rPr>
        <w:t xml:space="preserve"> Consistency in this tale seems to be lacking</w:t>
      </w:r>
      <w:r w:rsidR="00A5401A">
        <w:rPr>
          <w:rStyle w:val="FootnoteReference"/>
          <w:sz w:val="24"/>
          <w:szCs w:val="24"/>
        </w:rPr>
        <w:footnoteReference w:id="15"/>
      </w:r>
      <w:r w:rsidR="00A5401A">
        <w:rPr>
          <w:sz w:val="24"/>
          <w:szCs w:val="24"/>
        </w:rPr>
        <w:t>.</w:t>
      </w:r>
      <w:r>
        <w:rPr>
          <w:sz w:val="24"/>
          <w:szCs w:val="24"/>
        </w:rPr>
        <w:t xml:space="preserve"> It seems as though Chaucer may have made this intertwining web of contradictions</w:t>
      </w:r>
      <w:r w:rsidR="008453EC">
        <w:rPr>
          <w:sz w:val="24"/>
          <w:szCs w:val="24"/>
        </w:rPr>
        <w:t xml:space="preserve"> and lack of consistency</w:t>
      </w:r>
      <w:r>
        <w:rPr>
          <w:sz w:val="24"/>
          <w:szCs w:val="24"/>
        </w:rPr>
        <w:t xml:space="preserve"> to be able to introduce a sensitive subject without it being overly obvious that he was doing so. </w:t>
      </w:r>
    </w:p>
    <w:p w:rsidR="007F5FFC" w:rsidRPr="0057672A" w:rsidRDefault="007F5FFC" w:rsidP="007F5FFC">
      <w:pPr>
        <w:ind w:left="850"/>
        <w:rPr>
          <w:i/>
          <w:sz w:val="24"/>
          <w:szCs w:val="24"/>
        </w:rPr>
      </w:pPr>
      <w:r w:rsidRPr="0057672A">
        <w:rPr>
          <w:i/>
          <w:sz w:val="24"/>
          <w:szCs w:val="24"/>
        </w:rPr>
        <w:t xml:space="preserve">‘Certes, he </w:t>
      </w:r>
      <w:proofErr w:type="spellStart"/>
      <w:r w:rsidRPr="0057672A">
        <w:rPr>
          <w:i/>
          <w:sz w:val="24"/>
          <w:szCs w:val="24"/>
        </w:rPr>
        <w:t>Jakke</w:t>
      </w:r>
      <w:proofErr w:type="spellEnd"/>
      <w:r w:rsidRPr="0057672A">
        <w:rPr>
          <w:i/>
          <w:sz w:val="24"/>
          <w:szCs w:val="24"/>
        </w:rPr>
        <w:t xml:space="preserve"> Straw and his </w:t>
      </w:r>
      <w:proofErr w:type="spellStart"/>
      <w:r w:rsidRPr="0057672A">
        <w:rPr>
          <w:i/>
          <w:sz w:val="24"/>
          <w:szCs w:val="24"/>
        </w:rPr>
        <w:t>meynee</w:t>
      </w:r>
      <w:proofErr w:type="spellEnd"/>
    </w:p>
    <w:p w:rsidR="007F5FFC" w:rsidRPr="0057672A" w:rsidRDefault="007F5FFC" w:rsidP="007F5FFC">
      <w:pPr>
        <w:ind w:left="850"/>
        <w:rPr>
          <w:i/>
          <w:sz w:val="24"/>
          <w:szCs w:val="24"/>
        </w:rPr>
      </w:pPr>
      <w:r w:rsidRPr="0057672A">
        <w:rPr>
          <w:i/>
          <w:sz w:val="24"/>
          <w:szCs w:val="24"/>
        </w:rPr>
        <w:t xml:space="preserve">Ne made </w:t>
      </w:r>
      <w:proofErr w:type="spellStart"/>
      <w:r w:rsidRPr="0057672A">
        <w:rPr>
          <w:i/>
          <w:sz w:val="24"/>
          <w:szCs w:val="24"/>
        </w:rPr>
        <w:t>nevere</w:t>
      </w:r>
      <w:proofErr w:type="spellEnd"/>
      <w:r w:rsidRPr="0057672A">
        <w:rPr>
          <w:i/>
          <w:sz w:val="24"/>
          <w:szCs w:val="24"/>
        </w:rPr>
        <w:t xml:space="preserve"> </w:t>
      </w:r>
      <w:proofErr w:type="spellStart"/>
      <w:r w:rsidRPr="0057672A">
        <w:rPr>
          <w:i/>
          <w:sz w:val="24"/>
          <w:szCs w:val="24"/>
        </w:rPr>
        <w:t>shoutes</w:t>
      </w:r>
      <w:proofErr w:type="spellEnd"/>
      <w:r w:rsidRPr="0057672A">
        <w:rPr>
          <w:i/>
          <w:sz w:val="24"/>
          <w:szCs w:val="24"/>
        </w:rPr>
        <w:t xml:space="preserve"> half so </w:t>
      </w:r>
      <w:proofErr w:type="spellStart"/>
      <w:r w:rsidRPr="0057672A">
        <w:rPr>
          <w:i/>
          <w:sz w:val="24"/>
          <w:szCs w:val="24"/>
        </w:rPr>
        <w:t>shrille</w:t>
      </w:r>
      <w:proofErr w:type="spellEnd"/>
    </w:p>
    <w:p w:rsidR="007F5FFC" w:rsidRPr="0057672A" w:rsidRDefault="007F5FFC" w:rsidP="007F5FFC">
      <w:pPr>
        <w:ind w:left="850"/>
        <w:rPr>
          <w:i/>
          <w:sz w:val="24"/>
          <w:szCs w:val="24"/>
        </w:rPr>
      </w:pPr>
      <w:proofErr w:type="spellStart"/>
      <w:r w:rsidRPr="0057672A">
        <w:rPr>
          <w:i/>
          <w:sz w:val="24"/>
          <w:szCs w:val="24"/>
        </w:rPr>
        <w:t>Whan</w:t>
      </w:r>
      <w:proofErr w:type="spellEnd"/>
      <w:r w:rsidRPr="0057672A">
        <w:rPr>
          <w:i/>
          <w:sz w:val="24"/>
          <w:szCs w:val="24"/>
        </w:rPr>
        <w:t xml:space="preserve"> that they </w:t>
      </w:r>
      <w:proofErr w:type="spellStart"/>
      <w:r w:rsidRPr="0057672A">
        <w:rPr>
          <w:i/>
          <w:sz w:val="24"/>
          <w:szCs w:val="24"/>
        </w:rPr>
        <w:t>wolden</w:t>
      </w:r>
      <w:proofErr w:type="spellEnd"/>
      <w:r w:rsidRPr="0057672A">
        <w:rPr>
          <w:i/>
          <w:sz w:val="24"/>
          <w:szCs w:val="24"/>
        </w:rPr>
        <w:t xml:space="preserve"> any </w:t>
      </w:r>
      <w:proofErr w:type="spellStart"/>
      <w:r w:rsidRPr="0057672A">
        <w:rPr>
          <w:i/>
          <w:sz w:val="24"/>
          <w:szCs w:val="24"/>
        </w:rPr>
        <w:t>Flemyng</w:t>
      </w:r>
      <w:proofErr w:type="spellEnd"/>
      <w:r w:rsidRPr="0057672A">
        <w:rPr>
          <w:i/>
          <w:sz w:val="24"/>
          <w:szCs w:val="24"/>
        </w:rPr>
        <w:t xml:space="preserve"> </w:t>
      </w:r>
      <w:proofErr w:type="spellStart"/>
      <w:r w:rsidRPr="0057672A">
        <w:rPr>
          <w:i/>
          <w:sz w:val="24"/>
          <w:szCs w:val="24"/>
        </w:rPr>
        <w:t>kille</w:t>
      </w:r>
      <w:proofErr w:type="spellEnd"/>
      <w:r w:rsidRPr="0057672A">
        <w:rPr>
          <w:i/>
          <w:sz w:val="24"/>
          <w:szCs w:val="24"/>
        </w:rPr>
        <w:t>,</w:t>
      </w:r>
    </w:p>
    <w:p w:rsidR="007F5FFC" w:rsidRPr="0057672A" w:rsidRDefault="007F5FFC" w:rsidP="007F5FFC">
      <w:pPr>
        <w:ind w:left="850"/>
        <w:rPr>
          <w:i/>
          <w:sz w:val="24"/>
          <w:szCs w:val="24"/>
        </w:rPr>
      </w:pPr>
      <w:r w:rsidRPr="0057672A">
        <w:rPr>
          <w:i/>
          <w:sz w:val="24"/>
          <w:szCs w:val="24"/>
        </w:rPr>
        <w:t xml:space="preserve">As </w:t>
      </w:r>
      <w:proofErr w:type="spellStart"/>
      <w:r w:rsidRPr="0057672A">
        <w:rPr>
          <w:i/>
          <w:sz w:val="24"/>
          <w:szCs w:val="24"/>
        </w:rPr>
        <w:t>thilke</w:t>
      </w:r>
      <w:proofErr w:type="spellEnd"/>
      <w:r w:rsidRPr="0057672A">
        <w:rPr>
          <w:i/>
          <w:sz w:val="24"/>
          <w:szCs w:val="24"/>
        </w:rPr>
        <w:t xml:space="preserve"> day was </w:t>
      </w:r>
      <w:proofErr w:type="spellStart"/>
      <w:r w:rsidRPr="0057672A">
        <w:rPr>
          <w:i/>
          <w:sz w:val="24"/>
          <w:szCs w:val="24"/>
        </w:rPr>
        <w:t>maad</w:t>
      </w:r>
      <w:proofErr w:type="spellEnd"/>
      <w:r w:rsidRPr="0057672A">
        <w:rPr>
          <w:i/>
          <w:sz w:val="24"/>
          <w:szCs w:val="24"/>
        </w:rPr>
        <w:t xml:space="preserve"> upon the fox</w:t>
      </w:r>
      <w:r w:rsidRPr="0057672A">
        <w:rPr>
          <w:rStyle w:val="FootnoteReference"/>
          <w:i/>
          <w:sz w:val="24"/>
          <w:szCs w:val="24"/>
        </w:rPr>
        <w:footnoteReference w:id="16"/>
      </w:r>
      <w:r w:rsidRPr="0057672A">
        <w:rPr>
          <w:i/>
          <w:sz w:val="24"/>
          <w:szCs w:val="24"/>
        </w:rPr>
        <w:t>’</w:t>
      </w:r>
    </w:p>
    <w:p w:rsidR="00193EA5" w:rsidRDefault="0060350B" w:rsidP="00193EA5">
      <w:pPr>
        <w:rPr>
          <w:sz w:val="24"/>
          <w:szCs w:val="24"/>
        </w:rPr>
      </w:pPr>
      <w:r>
        <w:rPr>
          <w:sz w:val="24"/>
          <w:szCs w:val="24"/>
        </w:rPr>
        <w:t>These lines were obviously placed in this section of the tale for comedic effect but it is also possible that Chaucer was trying to draw attention to the stark reality</w:t>
      </w:r>
      <w:r w:rsidR="00705ED4">
        <w:rPr>
          <w:sz w:val="24"/>
          <w:szCs w:val="24"/>
        </w:rPr>
        <w:t xml:space="preserve"> of the</w:t>
      </w:r>
      <w:r w:rsidR="005D167B">
        <w:rPr>
          <w:sz w:val="24"/>
          <w:szCs w:val="24"/>
        </w:rPr>
        <w:t xml:space="preserve"> great</w:t>
      </w:r>
      <w:r w:rsidR="00705ED4">
        <w:rPr>
          <w:sz w:val="24"/>
          <w:szCs w:val="24"/>
        </w:rPr>
        <w:t xml:space="preserve"> revolt.</w:t>
      </w:r>
      <w:r w:rsidR="00F3735E">
        <w:rPr>
          <w:sz w:val="24"/>
          <w:szCs w:val="24"/>
        </w:rPr>
        <w:t xml:space="preserve"> Comedy is often used as a way to ridicule others as a ‘mistake or deformity not productive of pain or harm to others</w:t>
      </w:r>
      <w:r w:rsidR="00F3735E">
        <w:rPr>
          <w:rStyle w:val="FootnoteReference"/>
          <w:sz w:val="24"/>
          <w:szCs w:val="24"/>
        </w:rPr>
        <w:footnoteReference w:id="17"/>
      </w:r>
      <w:r w:rsidR="00F3735E">
        <w:rPr>
          <w:sz w:val="24"/>
          <w:szCs w:val="24"/>
        </w:rPr>
        <w:t>.’</w:t>
      </w:r>
      <w:r w:rsidR="00705ED4">
        <w:rPr>
          <w:sz w:val="24"/>
          <w:szCs w:val="24"/>
        </w:rPr>
        <w:t xml:space="preserve"> </w:t>
      </w:r>
      <w:r w:rsidR="00F3735E">
        <w:rPr>
          <w:sz w:val="24"/>
          <w:szCs w:val="24"/>
        </w:rPr>
        <w:t>Chaucer</w:t>
      </w:r>
      <w:r w:rsidR="00705ED4">
        <w:rPr>
          <w:sz w:val="24"/>
          <w:szCs w:val="24"/>
        </w:rPr>
        <w:t xml:space="preserve"> </w:t>
      </w:r>
      <w:r w:rsidR="002B6E71">
        <w:rPr>
          <w:sz w:val="24"/>
          <w:szCs w:val="24"/>
        </w:rPr>
        <w:t>introduced ideas which the readers of the time</w:t>
      </w:r>
      <w:r w:rsidR="00A5401A">
        <w:rPr>
          <w:sz w:val="24"/>
          <w:szCs w:val="24"/>
        </w:rPr>
        <w:t xml:space="preserve"> would have been familiar</w:t>
      </w:r>
      <w:r w:rsidR="002B6E71">
        <w:rPr>
          <w:sz w:val="24"/>
          <w:szCs w:val="24"/>
        </w:rPr>
        <w:t xml:space="preserve"> with, such as predestined </w:t>
      </w:r>
      <w:r w:rsidR="00CF20D3">
        <w:rPr>
          <w:sz w:val="24"/>
          <w:szCs w:val="24"/>
        </w:rPr>
        <w:t>fates</w:t>
      </w:r>
      <w:r w:rsidR="00ED21A8">
        <w:rPr>
          <w:sz w:val="24"/>
          <w:szCs w:val="24"/>
        </w:rPr>
        <w:t>, beast fables, mock epics</w:t>
      </w:r>
      <w:r w:rsidR="002B6E71">
        <w:rPr>
          <w:sz w:val="24"/>
          <w:szCs w:val="24"/>
        </w:rPr>
        <w:t xml:space="preserve"> </w:t>
      </w:r>
      <w:r w:rsidR="003C1D02">
        <w:rPr>
          <w:sz w:val="24"/>
          <w:szCs w:val="24"/>
        </w:rPr>
        <w:t>and the safety of the idyllic countryside</w:t>
      </w:r>
      <w:r w:rsidR="003C1D02">
        <w:rPr>
          <w:rStyle w:val="FootnoteReference"/>
          <w:sz w:val="24"/>
          <w:szCs w:val="24"/>
        </w:rPr>
        <w:footnoteReference w:id="18"/>
      </w:r>
      <w:r w:rsidR="00A5401A">
        <w:rPr>
          <w:sz w:val="24"/>
          <w:szCs w:val="24"/>
        </w:rPr>
        <w:t>.</w:t>
      </w:r>
      <w:r w:rsidR="00CF20D3">
        <w:rPr>
          <w:sz w:val="24"/>
          <w:szCs w:val="24"/>
        </w:rPr>
        <w:t xml:space="preserve"> H</w:t>
      </w:r>
      <w:r w:rsidR="000D5D22">
        <w:rPr>
          <w:sz w:val="24"/>
          <w:szCs w:val="24"/>
        </w:rPr>
        <w:t>e also uses intertextuality techniques</w:t>
      </w:r>
      <w:r w:rsidR="00CF20D3">
        <w:rPr>
          <w:sz w:val="24"/>
          <w:szCs w:val="24"/>
        </w:rPr>
        <w:t xml:space="preserve">, such as </w:t>
      </w:r>
      <w:r w:rsidR="00ED21A8">
        <w:rPr>
          <w:sz w:val="24"/>
          <w:szCs w:val="24"/>
        </w:rPr>
        <w:t>when</w:t>
      </w:r>
      <w:r w:rsidR="000D5D22">
        <w:rPr>
          <w:sz w:val="24"/>
          <w:szCs w:val="24"/>
        </w:rPr>
        <w:t xml:space="preserve"> he mentions</w:t>
      </w:r>
      <w:r w:rsidR="00ED21A8">
        <w:rPr>
          <w:sz w:val="24"/>
          <w:szCs w:val="24"/>
        </w:rPr>
        <w:t xml:space="preserve"> Nero, Carthage, the sack of Troy, Pirrus, Priam, and the Aeneid are all mentioned in correspondence to the chase of Chanticleer</w:t>
      </w:r>
      <w:r w:rsidR="00ED21A8">
        <w:rPr>
          <w:rStyle w:val="FootnoteReference"/>
          <w:sz w:val="24"/>
          <w:szCs w:val="24"/>
        </w:rPr>
        <w:footnoteReference w:id="19"/>
      </w:r>
      <w:r w:rsidR="00ED21A8">
        <w:rPr>
          <w:sz w:val="24"/>
          <w:szCs w:val="24"/>
        </w:rPr>
        <w:t>. By introducing techniques and subject matters that readers would have been familiar with, he was lulling them into a false sense of security, which immediately falls away as soon as Jack Straw is mentioned.</w:t>
      </w:r>
      <w:r w:rsidR="00ED21A8" w:rsidRPr="00ED21A8">
        <w:rPr>
          <w:sz w:val="24"/>
          <w:szCs w:val="24"/>
        </w:rPr>
        <w:t xml:space="preserve"> </w:t>
      </w:r>
      <w:r w:rsidR="00ED21A8">
        <w:rPr>
          <w:sz w:val="24"/>
          <w:szCs w:val="24"/>
        </w:rPr>
        <w:t>By being able to place Jack Straw into the NP Tale and, to this day, have it dismissed ‘as a curiosity</w:t>
      </w:r>
      <w:r w:rsidR="00ED21A8">
        <w:rPr>
          <w:rStyle w:val="FootnoteReference"/>
          <w:sz w:val="24"/>
          <w:szCs w:val="24"/>
        </w:rPr>
        <w:footnoteReference w:id="20"/>
      </w:r>
      <w:r w:rsidR="00ED21A8">
        <w:rPr>
          <w:sz w:val="24"/>
          <w:szCs w:val="24"/>
        </w:rPr>
        <w:t xml:space="preserve">’ shows </w:t>
      </w:r>
      <w:r w:rsidR="00ED21A8">
        <w:rPr>
          <w:sz w:val="24"/>
          <w:szCs w:val="24"/>
        </w:rPr>
        <w:lastRenderedPageBreak/>
        <w:t>us that the threads of history and literature have always been, and</w:t>
      </w:r>
      <w:r w:rsidR="008420BC">
        <w:rPr>
          <w:sz w:val="24"/>
          <w:szCs w:val="24"/>
        </w:rPr>
        <w:t xml:space="preserve"> probably</w:t>
      </w:r>
      <w:r w:rsidR="00ED21A8">
        <w:rPr>
          <w:sz w:val="24"/>
          <w:szCs w:val="24"/>
        </w:rPr>
        <w:t xml:space="preserve"> always will be, intertwined. </w:t>
      </w:r>
    </w:p>
    <w:p w:rsidR="00D75167" w:rsidRDefault="00D554AF" w:rsidP="00ED21A8">
      <w:pPr>
        <w:rPr>
          <w:sz w:val="24"/>
          <w:szCs w:val="24"/>
        </w:rPr>
      </w:pPr>
      <w:r>
        <w:rPr>
          <w:sz w:val="24"/>
          <w:szCs w:val="24"/>
        </w:rPr>
        <w:t xml:space="preserve">Chanticleer comes from the old French </w:t>
      </w:r>
      <w:r w:rsidR="009745C6">
        <w:rPr>
          <w:sz w:val="24"/>
          <w:szCs w:val="24"/>
        </w:rPr>
        <w:t>‘</w:t>
      </w:r>
      <w:r>
        <w:rPr>
          <w:sz w:val="24"/>
          <w:szCs w:val="24"/>
        </w:rPr>
        <w:t>Chantecler</w:t>
      </w:r>
      <w:r w:rsidR="009745C6">
        <w:rPr>
          <w:sz w:val="24"/>
          <w:szCs w:val="24"/>
        </w:rPr>
        <w:t>’</w:t>
      </w:r>
      <w:r>
        <w:rPr>
          <w:sz w:val="24"/>
          <w:szCs w:val="24"/>
        </w:rPr>
        <w:t xml:space="preserve"> which roughly translates as ‘clear singer</w:t>
      </w:r>
      <w:r w:rsidR="000D5D22">
        <w:rPr>
          <w:rStyle w:val="FootnoteReference"/>
          <w:sz w:val="24"/>
          <w:szCs w:val="24"/>
        </w:rPr>
        <w:footnoteReference w:id="21"/>
      </w:r>
      <w:r>
        <w:rPr>
          <w:sz w:val="24"/>
          <w:szCs w:val="24"/>
        </w:rPr>
        <w:t>’ and he is described as royalty</w:t>
      </w:r>
      <w:r w:rsidR="00EE364B" w:rsidRPr="00EE364B">
        <w:rPr>
          <w:sz w:val="24"/>
          <w:szCs w:val="24"/>
        </w:rPr>
        <w:t xml:space="preserve"> </w:t>
      </w:r>
      <w:r w:rsidR="00EE364B">
        <w:rPr>
          <w:sz w:val="24"/>
          <w:szCs w:val="24"/>
        </w:rPr>
        <w:t>as he ‘is both a member of the aristocracy and the means of livelihood for the widow</w:t>
      </w:r>
      <w:r w:rsidR="00EE364B">
        <w:rPr>
          <w:rStyle w:val="FootnoteReference"/>
          <w:sz w:val="24"/>
          <w:szCs w:val="24"/>
        </w:rPr>
        <w:footnoteReference w:id="22"/>
      </w:r>
      <w:r w:rsidR="00EE364B">
        <w:rPr>
          <w:sz w:val="24"/>
          <w:szCs w:val="24"/>
        </w:rPr>
        <w:t>.’</w:t>
      </w:r>
      <w:r>
        <w:rPr>
          <w:sz w:val="24"/>
          <w:szCs w:val="24"/>
        </w:rPr>
        <w:t xml:space="preserve"> </w:t>
      </w:r>
      <w:r w:rsidR="00CE21A7">
        <w:rPr>
          <w:sz w:val="24"/>
          <w:szCs w:val="24"/>
        </w:rPr>
        <w:t>There are also many courtly overtones in the tale in reference to the hens and cockerel</w:t>
      </w:r>
      <w:r w:rsidR="000D5D22">
        <w:rPr>
          <w:sz w:val="24"/>
          <w:szCs w:val="24"/>
        </w:rPr>
        <w:t xml:space="preserve"> in the way that </w:t>
      </w:r>
      <w:r w:rsidR="00DC4242">
        <w:rPr>
          <w:sz w:val="24"/>
          <w:szCs w:val="24"/>
        </w:rPr>
        <w:t>the hen ‘was cleped faire damoysele Pertelote</w:t>
      </w:r>
      <w:r w:rsidR="00DC4242">
        <w:rPr>
          <w:rStyle w:val="FootnoteReference"/>
          <w:sz w:val="24"/>
          <w:szCs w:val="24"/>
        </w:rPr>
        <w:footnoteReference w:id="23"/>
      </w:r>
      <w:r w:rsidR="00DC4242">
        <w:rPr>
          <w:sz w:val="24"/>
          <w:szCs w:val="24"/>
        </w:rPr>
        <w:t>’</w:t>
      </w:r>
      <w:r w:rsidR="004D4DB2">
        <w:rPr>
          <w:sz w:val="24"/>
          <w:szCs w:val="24"/>
        </w:rPr>
        <w:t xml:space="preserve"> and Chanticleers introduction</w:t>
      </w:r>
      <w:r w:rsidR="004D4DB2">
        <w:rPr>
          <w:rStyle w:val="FootnoteReference"/>
          <w:sz w:val="24"/>
          <w:szCs w:val="24"/>
        </w:rPr>
        <w:footnoteReference w:id="24"/>
      </w:r>
      <w:r w:rsidR="009E2437">
        <w:rPr>
          <w:sz w:val="24"/>
          <w:szCs w:val="24"/>
        </w:rPr>
        <w:t>, hinting at a use of</w:t>
      </w:r>
      <w:r w:rsidR="004D4DB2">
        <w:rPr>
          <w:sz w:val="24"/>
          <w:szCs w:val="24"/>
        </w:rPr>
        <w:t xml:space="preserve"> grand style for such a trivial subject. </w:t>
      </w:r>
      <w:r w:rsidR="00D439D8">
        <w:rPr>
          <w:sz w:val="24"/>
          <w:szCs w:val="24"/>
        </w:rPr>
        <w:t>The name Russell derives from old French too, roughly translating in English to ‘son of the red</w:t>
      </w:r>
      <w:r w:rsidR="00D439D8">
        <w:rPr>
          <w:rStyle w:val="FootnoteReference"/>
          <w:sz w:val="24"/>
          <w:szCs w:val="24"/>
        </w:rPr>
        <w:footnoteReference w:id="25"/>
      </w:r>
      <w:r w:rsidR="00D439D8">
        <w:rPr>
          <w:sz w:val="24"/>
          <w:szCs w:val="24"/>
        </w:rPr>
        <w:t>.’</w:t>
      </w:r>
      <w:r w:rsidR="009745C6">
        <w:rPr>
          <w:sz w:val="24"/>
          <w:szCs w:val="24"/>
        </w:rPr>
        <w:t xml:space="preserve"> Considering that Chanticleer’s feathers are described as ‘redder than the fyn coral</w:t>
      </w:r>
      <w:r w:rsidR="009745C6">
        <w:rPr>
          <w:rStyle w:val="FootnoteReference"/>
          <w:sz w:val="24"/>
          <w:szCs w:val="24"/>
        </w:rPr>
        <w:footnoteReference w:id="26"/>
      </w:r>
      <w:r w:rsidR="00645D63">
        <w:rPr>
          <w:sz w:val="24"/>
          <w:szCs w:val="24"/>
        </w:rPr>
        <w:t xml:space="preserve">,’ it is very intriguing to ponder over why Chaucer named the fox, the cunning and outsmarted attacker, the son of red. </w:t>
      </w:r>
      <w:r w:rsidR="009D0A1F">
        <w:rPr>
          <w:sz w:val="24"/>
          <w:szCs w:val="24"/>
        </w:rPr>
        <w:t>In light of this, it would only be logical to associate Russell and Chanticleer as two sides of the same coin which are both in conflict with one another.</w:t>
      </w:r>
      <w:r w:rsidR="002778A0">
        <w:rPr>
          <w:sz w:val="24"/>
          <w:szCs w:val="24"/>
        </w:rPr>
        <w:t xml:space="preserve"> </w:t>
      </w:r>
    </w:p>
    <w:p w:rsidR="002168C3" w:rsidRDefault="002778A0" w:rsidP="005A3F8B">
      <w:pPr>
        <w:rPr>
          <w:sz w:val="24"/>
          <w:szCs w:val="24"/>
        </w:rPr>
      </w:pPr>
      <w:r>
        <w:rPr>
          <w:sz w:val="24"/>
          <w:szCs w:val="24"/>
        </w:rPr>
        <w:t>Birds in medieval literature were regarded as air based creatures with lofty ideas above others whereas a fox was considered as a corrupt earth based wonderer hunted by aristocrats</w:t>
      </w:r>
      <w:r>
        <w:rPr>
          <w:rStyle w:val="FootnoteReference"/>
          <w:sz w:val="24"/>
          <w:szCs w:val="24"/>
        </w:rPr>
        <w:footnoteReference w:id="27"/>
      </w:r>
      <w:r>
        <w:rPr>
          <w:sz w:val="24"/>
          <w:szCs w:val="24"/>
        </w:rPr>
        <w:t>.</w:t>
      </w:r>
      <w:r w:rsidR="00D75167">
        <w:rPr>
          <w:sz w:val="24"/>
          <w:szCs w:val="24"/>
        </w:rPr>
        <w:t xml:space="preserve"> </w:t>
      </w:r>
      <w:r w:rsidR="00C361AB">
        <w:rPr>
          <w:sz w:val="24"/>
          <w:szCs w:val="24"/>
        </w:rPr>
        <w:t>The fox also had red hair, which was often linked to Judas and evil in general</w:t>
      </w:r>
      <w:r w:rsidR="00C361AB">
        <w:rPr>
          <w:rStyle w:val="FootnoteReference"/>
          <w:sz w:val="24"/>
          <w:szCs w:val="24"/>
        </w:rPr>
        <w:footnoteReference w:id="28"/>
      </w:r>
      <w:r w:rsidR="00AF0CC8">
        <w:rPr>
          <w:sz w:val="24"/>
          <w:szCs w:val="24"/>
        </w:rPr>
        <w:t>. Because of the way Jack Straw is mentioned during the chase</w:t>
      </w:r>
      <w:r w:rsidR="00957091">
        <w:rPr>
          <w:sz w:val="24"/>
          <w:szCs w:val="24"/>
        </w:rPr>
        <w:t xml:space="preserve"> and the way that actions seem to progress from the point of his mention</w:t>
      </w:r>
      <w:r w:rsidR="00AF0CC8">
        <w:rPr>
          <w:sz w:val="24"/>
          <w:szCs w:val="24"/>
        </w:rPr>
        <w:t>, it is reasonable to link Chanticleer and Russell to the characters o</w:t>
      </w:r>
      <w:r w:rsidR="007018EB">
        <w:rPr>
          <w:sz w:val="24"/>
          <w:szCs w:val="24"/>
        </w:rPr>
        <w:t>f King Richard II and Wat Tyler</w:t>
      </w:r>
      <w:r w:rsidR="008F0D5B">
        <w:rPr>
          <w:sz w:val="24"/>
          <w:szCs w:val="24"/>
        </w:rPr>
        <w:t xml:space="preserve"> </w:t>
      </w:r>
      <w:r w:rsidR="00AD2B93">
        <w:rPr>
          <w:sz w:val="24"/>
          <w:szCs w:val="24"/>
        </w:rPr>
        <w:t>those he led</w:t>
      </w:r>
      <w:r w:rsidR="008F0D5B">
        <w:rPr>
          <w:sz w:val="24"/>
          <w:szCs w:val="24"/>
        </w:rPr>
        <w:t>.</w:t>
      </w:r>
      <w:r w:rsidR="007018EB">
        <w:rPr>
          <w:sz w:val="24"/>
          <w:szCs w:val="24"/>
        </w:rPr>
        <w:t xml:space="preserve"> Richard II </w:t>
      </w:r>
      <w:r w:rsidR="00CA7062">
        <w:rPr>
          <w:sz w:val="24"/>
          <w:szCs w:val="24"/>
        </w:rPr>
        <w:t>is the</w:t>
      </w:r>
      <w:r w:rsidR="007018EB">
        <w:rPr>
          <w:sz w:val="24"/>
          <w:szCs w:val="24"/>
        </w:rPr>
        <w:t xml:space="preserve"> intelligent, well-spoken rooster whom the idyllic poverty-stricken farm relies on and Wat Tyler</w:t>
      </w:r>
      <w:r w:rsidR="008F0D5B">
        <w:rPr>
          <w:sz w:val="24"/>
          <w:szCs w:val="24"/>
        </w:rPr>
        <w:t xml:space="preserve"> and his band of rebels</w:t>
      </w:r>
      <w:r w:rsidR="00CA7062">
        <w:rPr>
          <w:sz w:val="24"/>
          <w:szCs w:val="24"/>
        </w:rPr>
        <w:t xml:space="preserve"> are the </w:t>
      </w:r>
      <w:r w:rsidR="007018EB">
        <w:rPr>
          <w:sz w:val="24"/>
          <w:szCs w:val="24"/>
        </w:rPr>
        <w:t xml:space="preserve">cunning fox trying to steal that which the countryside needs. </w:t>
      </w:r>
      <w:r w:rsidR="000B5162">
        <w:rPr>
          <w:sz w:val="24"/>
          <w:szCs w:val="24"/>
        </w:rPr>
        <w:t>As the fox is both predator to the poor and prey for the rich, it is the perfe</w:t>
      </w:r>
      <w:r w:rsidR="00CA7062">
        <w:rPr>
          <w:sz w:val="24"/>
          <w:szCs w:val="24"/>
        </w:rPr>
        <w:t>ct metaphor for Tyler’s cause’s</w:t>
      </w:r>
      <w:r w:rsidR="00737368">
        <w:rPr>
          <w:sz w:val="24"/>
          <w:szCs w:val="24"/>
        </w:rPr>
        <w:t xml:space="preserve"> demise. He was a predator, having the young King in a very volatile situation, and yet he was also prey, being easily slaughtered by the </w:t>
      </w:r>
      <w:r w:rsidR="00EC0D6A">
        <w:rPr>
          <w:sz w:val="24"/>
          <w:szCs w:val="24"/>
        </w:rPr>
        <w:t>Walworth at Smithfield</w:t>
      </w:r>
      <w:r w:rsidR="00013A13">
        <w:rPr>
          <w:sz w:val="24"/>
          <w:szCs w:val="24"/>
        </w:rPr>
        <w:t>, allowing the King and his retinue to regain control of the situation</w:t>
      </w:r>
      <w:r w:rsidR="00821A6C">
        <w:rPr>
          <w:sz w:val="24"/>
          <w:szCs w:val="24"/>
        </w:rPr>
        <w:t xml:space="preserve"> (the same way that the widow regains Chanticleer at the end of the tale)</w:t>
      </w:r>
      <w:r w:rsidR="00013A13">
        <w:rPr>
          <w:rStyle w:val="FootnoteReference"/>
          <w:sz w:val="24"/>
          <w:szCs w:val="24"/>
        </w:rPr>
        <w:footnoteReference w:id="29"/>
      </w:r>
      <w:r w:rsidR="00737368">
        <w:rPr>
          <w:sz w:val="24"/>
          <w:szCs w:val="24"/>
        </w:rPr>
        <w:t>.</w:t>
      </w:r>
      <w:r w:rsidR="00EC0D6A">
        <w:rPr>
          <w:sz w:val="24"/>
          <w:szCs w:val="24"/>
        </w:rPr>
        <w:t xml:space="preserve"> The King, like Chanticleer</w:t>
      </w:r>
      <w:r w:rsidR="00141161">
        <w:rPr>
          <w:sz w:val="24"/>
          <w:szCs w:val="24"/>
        </w:rPr>
        <w:t>,</w:t>
      </w:r>
      <w:r w:rsidR="00EC0D6A">
        <w:rPr>
          <w:sz w:val="24"/>
          <w:szCs w:val="24"/>
        </w:rPr>
        <w:t xml:space="preserve"> honey-coated words and tricked </w:t>
      </w:r>
      <w:r w:rsidR="002571A3">
        <w:rPr>
          <w:sz w:val="24"/>
          <w:szCs w:val="24"/>
        </w:rPr>
        <w:t xml:space="preserve">the revolutionaries (aka. </w:t>
      </w:r>
      <w:r w:rsidR="00EC0D6A">
        <w:rPr>
          <w:sz w:val="24"/>
          <w:szCs w:val="24"/>
        </w:rPr>
        <w:t>t</w:t>
      </w:r>
      <w:r w:rsidR="002571A3">
        <w:rPr>
          <w:sz w:val="24"/>
          <w:szCs w:val="24"/>
        </w:rPr>
        <w:t>he fox)</w:t>
      </w:r>
      <w:r w:rsidR="00EC0D6A">
        <w:rPr>
          <w:sz w:val="24"/>
          <w:szCs w:val="24"/>
        </w:rPr>
        <w:t xml:space="preserve"> into losing his prize</w:t>
      </w:r>
      <w:r w:rsidR="00013A13">
        <w:rPr>
          <w:sz w:val="24"/>
          <w:szCs w:val="24"/>
        </w:rPr>
        <w:t>. T</w:t>
      </w:r>
      <w:r w:rsidR="00A03C59">
        <w:rPr>
          <w:sz w:val="24"/>
          <w:szCs w:val="24"/>
        </w:rPr>
        <w:t>he prize in question in reality was Wat Tyler’s own life and</w:t>
      </w:r>
      <w:r w:rsidR="002168C3">
        <w:rPr>
          <w:sz w:val="24"/>
          <w:szCs w:val="24"/>
        </w:rPr>
        <w:t xml:space="preserve"> some of the lives and</w:t>
      </w:r>
      <w:r w:rsidR="00A03C59">
        <w:rPr>
          <w:sz w:val="24"/>
          <w:szCs w:val="24"/>
        </w:rPr>
        <w:t xml:space="preserve"> the rights</w:t>
      </w:r>
      <w:r w:rsidR="002168C3">
        <w:rPr>
          <w:sz w:val="24"/>
          <w:szCs w:val="24"/>
        </w:rPr>
        <w:t xml:space="preserve"> which were granted to</w:t>
      </w:r>
      <w:r w:rsidR="00A03C59">
        <w:rPr>
          <w:sz w:val="24"/>
          <w:szCs w:val="24"/>
        </w:rPr>
        <w:t xml:space="preserve"> the ‘common people from the country</w:t>
      </w:r>
      <w:r w:rsidR="00A03C59">
        <w:rPr>
          <w:rStyle w:val="FootnoteReference"/>
          <w:sz w:val="24"/>
          <w:szCs w:val="24"/>
        </w:rPr>
        <w:footnoteReference w:id="30"/>
      </w:r>
      <w:r w:rsidR="00A03C59">
        <w:rPr>
          <w:sz w:val="24"/>
          <w:szCs w:val="24"/>
        </w:rPr>
        <w:t>’</w:t>
      </w:r>
      <w:r w:rsidR="002168C3">
        <w:rPr>
          <w:sz w:val="24"/>
          <w:szCs w:val="24"/>
        </w:rPr>
        <w:t xml:space="preserve"> who followed him</w:t>
      </w:r>
      <w:r w:rsidR="00013A13">
        <w:rPr>
          <w:sz w:val="24"/>
          <w:szCs w:val="24"/>
        </w:rPr>
        <w:t>, whereas</w:t>
      </w:r>
      <w:r w:rsidR="00FF0B7B">
        <w:rPr>
          <w:sz w:val="24"/>
          <w:szCs w:val="24"/>
        </w:rPr>
        <w:t xml:space="preserve"> in the story the prize in question was </w:t>
      </w:r>
      <w:r w:rsidR="00FF0B7B">
        <w:rPr>
          <w:sz w:val="24"/>
          <w:szCs w:val="24"/>
        </w:rPr>
        <w:lastRenderedPageBreak/>
        <w:t xml:space="preserve">Chanticleer. </w:t>
      </w:r>
      <w:r w:rsidR="002571A3">
        <w:rPr>
          <w:sz w:val="24"/>
          <w:szCs w:val="24"/>
        </w:rPr>
        <w:t>This shows us the perspective of how the nobility of the time no doubt saw the events from the moment the rebels entered London until the moment they left</w:t>
      </w:r>
      <w:r w:rsidR="002571A3">
        <w:rPr>
          <w:rStyle w:val="FootnoteReference"/>
          <w:sz w:val="24"/>
          <w:szCs w:val="24"/>
        </w:rPr>
        <w:footnoteReference w:id="31"/>
      </w:r>
      <w:r w:rsidR="002571A3">
        <w:rPr>
          <w:sz w:val="24"/>
          <w:szCs w:val="24"/>
        </w:rPr>
        <w:t>.</w:t>
      </w:r>
    </w:p>
    <w:p w:rsidR="00ED2DEC" w:rsidRDefault="00FF0B7B" w:rsidP="005A3F8B">
      <w:pPr>
        <w:rPr>
          <w:sz w:val="24"/>
          <w:szCs w:val="24"/>
        </w:rPr>
      </w:pPr>
      <w:r>
        <w:rPr>
          <w:sz w:val="24"/>
          <w:szCs w:val="24"/>
        </w:rPr>
        <w:t>Russell as ‘the son of the red’ was borne from the red Chanticleer and his choice of action in the tale and in reality. Chanticleer in the tale knew of the risk of going outside on the day, as did Richard II</w:t>
      </w:r>
      <w:r w:rsidR="002571A3">
        <w:rPr>
          <w:sz w:val="24"/>
          <w:szCs w:val="24"/>
        </w:rPr>
        <w:t xml:space="preserve"> when he left the tower of London</w:t>
      </w:r>
      <w:r>
        <w:rPr>
          <w:sz w:val="24"/>
          <w:szCs w:val="24"/>
        </w:rPr>
        <w:t xml:space="preserve">, and yet he chose to do so. Russell, however, was going to come and attack regardless. </w:t>
      </w:r>
      <w:r w:rsidR="00BD6883">
        <w:rPr>
          <w:sz w:val="24"/>
          <w:szCs w:val="24"/>
        </w:rPr>
        <w:t>We constantly see the way that Chaucer includes many perspectives in his Canterbury Tales, in this tale in particular it is most apparent. Chanticleer feels tricked and betrayed, yet tricks and</w:t>
      </w:r>
      <w:r w:rsidR="00DD4DBC">
        <w:rPr>
          <w:sz w:val="24"/>
          <w:szCs w:val="24"/>
        </w:rPr>
        <w:t xml:space="preserve"> betrays in return.</w:t>
      </w:r>
      <w:r w:rsidR="00BD6883">
        <w:rPr>
          <w:sz w:val="24"/>
          <w:szCs w:val="24"/>
        </w:rPr>
        <w:t xml:space="preserve"> Russell tries to capture the Cockerel, which was supposed to be a source of nourishment, yet he loses him due </w:t>
      </w:r>
      <w:r w:rsidR="00DD4DBC">
        <w:rPr>
          <w:sz w:val="24"/>
          <w:szCs w:val="24"/>
        </w:rPr>
        <w:t>his greed and is then punished due to his own foolishness</w:t>
      </w:r>
      <w:r w:rsidR="00DD4DBC" w:rsidRPr="00DD4DBC">
        <w:rPr>
          <w:sz w:val="24"/>
          <w:szCs w:val="24"/>
        </w:rPr>
        <w:t xml:space="preserve"> </w:t>
      </w:r>
      <w:r w:rsidR="00DD4DBC">
        <w:rPr>
          <w:sz w:val="24"/>
          <w:szCs w:val="24"/>
        </w:rPr>
        <w:t>of opening his mouth</w:t>
      </w:r>
      <w:r w:rsidR="00BD6883">
        <w:rPr>
          <w:sz w:val="24"/>
          <w:szCs w:val="24"/>
        </w:rPr>
        <w:t xml:space="preserve">. </w:t>
      </w:r>
      <w:r w:rsidR="002571A3">
        <w:rPr>
          <w:sz w:val="24"/>
          <w:szCs w:val="24"/>
        </w:rPr>
        <w:t xml:space="preserve">The widow, who we can view as the peasantry, is the one who is wrought with worry from these actions which she has no ability to control and who, whether the actions work to her benefit or not, is the one who will pay for the outcome of the situation. </w:t>
      </w:r>
      <w:r w:rsidR="00B374B9">
        <w:rPr>
          <w:sz w:val="24"/>
          <w:szCs w:val="24"/>
        </w:rPr>
        <w:t>It seems comical that the fox would have turned back to shout when there was no need for it, but so was Wat Tyler’s retaliation to the Kentish retainer ‘who was riding behind the King and who had been intently gazing the demagogue, remarked in audible tones that he had recognised the man, and knew him for the most notorious highwayman and thief in the country</w:t>
      </w:r>
      <w:r w:rsidR="00B374B9">
        <w:rPr>
          <w:rStyle w:val="FootnoteReference"/>
          <w:sz w:val="24"/>
          <w:szCs w:val="24"/>
        </w:rPr>
        <w:footnoteReference w:id="32"/>
      </w:r>
      <w:r w:rsidR="00B374B9">
        <w:rPr>
          <w:sz w:val="24"/>
          <w:szCs w:val="24"/>
        </w:rPr>
        <w:t xml:space="preserve">.’ Wat Tyler, like the fox could have ignored the comment spoken, but instead chose to act on it, and lost everything as a result. </w:t>
      </w:r>
    </w:p>
    <w:p w:rsidR="00004BA9" w:rsidRDefault="00004BA9" w:rsidP="005A3F8B">
      <w:pPr>
        <w:rPr>
          <w:sz w:val="24"/>
          <w:szCs w:val="24"/>
        </w:rPr>
      </w:pPr>
    </w:p>
    <w:p w:rsidR="00CD4747" w:rsidRDefault="00CD4747" w:rsidP="005A3F8B">
      <w:pPr>
        <w:rPr>
          <w:sz w:val="24"/>
          <w:szCs w:val="24"/>
        </w:rPr>
      </w:pPr>
    </w:p>
    <w:p w:rsidR="006C5A18" w:rsidRDefault="006C5A18"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004BA9" w:rsidRDefault="00004BA9" w:rsidP="005A3F8B">
      <w:pPr>
        <w:rPr>
          <w:sz w:val="24"/>
          <w:szCs w:val="24"/>
        </w:rPr>
      </w:pPr>
    </w:p>
    <w:p w:rsidR="00654A07" w:rsidRDefault="00654A07" w:rsidP="005A3F8B">
      <w:pPr>
        <w:rPr>
          <w:sz w:val="24"/>
          <w:szCs w:val="24"/>
        </w:rPr>
      </w:pPr>
    </w:p>
    <w:sdt>
      <w:sdtPr>
        <w:id w:val="34012614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522DBD" w:rsidRDefault="00522DBD" w:rsidP="00AF0CC8">
          <w:pPr>
            <w:pStyle w:val="Heading1"/>
            <w:jc w:val="center"/>
          </w:pPr>
          <w:r w:rsidRPr="00590DF4">
            <w:rPr>
              <w:sz w:val="36"/>
              <w:szCs w:val="36"/>
            </w:rPr>
            <w:t>Bibliography</w:t>
          </w:r>
        </w:p>
      </w:sdtContent>
    </w:sdt>
    <w:p w:rsidR="00522DBD" w:rsidRDefault="00522DBD" w:rsidP="00522DBD">
      <w:pPr>
        <w:pStyle w:val="FootnoteText"/>
      </w:pPr>
    </w:p>
    <w:p w:rsidR="00C22DBB" w:rsidRDefault="00C22DBB" w:rsidP="00C22DBB">
      <w:pPr>
        <w:pStyle w:val="FootnoteText"/>
        <w:rPr>
          <w:sz w:val="22"/>
          <w:szCs w:val="22"/>
        </w:rPr>
      </w:pPr>
      <w:r w:rsidRPr="00C22DBB">
        <w:rPr>
          <w:sz w:val="22"/>
          <w:szCs w:val="22"/>
        </w:rPr>
        <w:t xml:space="preserve">G. Mathew, </w:t>
      </w:r>
      <w:proofErr w:type="gramStart"/>
      <w:r w:rsidR="002571A3">
        <w:rPr>
          <w:i/>
          <w:sz w:val="22"/>
          <w:szCs w:val="22"/>
        </w:rPr>
        <w:t>The</w:t>
      </w:r>
      <w:proofErr w:type="gramEnd"/>
      <w:r w:rsidR="002571A3">
        <w:rPr>
          <w:i/>
          <w:sz w:val="22"/>
          <w:szCs w:val="22"/>
        </w:rPr>
        <w:t xml:space="preserve"> Court of Richard II</w:t>
      </w:r>
      <w:r w:rsidRPr="00C22DBB">
        <w:rPr>
          <w:i/>
          <w:sz w:val="22"/>
          <w:szCs w:val="22"/>
        </w:rPr>
        <w:t xml:space="preserve"> </w:t>
      </w:r>
      <w:r w:rsidRPr="00C22DBB">
        <w:rPr>
          <w:sz w:val="22"/>
          <w:szCs w:val="22"/>
        </w:rPr>
        <w:t>(Gervase Mathew, 1968)</w:t>
      </w:r>
    </w:p>
    <w:p w:rsidR="00C22DBB" w:rsidRDefault="00C22DBB" w:rsidP="00C22DBB">
      <w:pPr>
        <w:pStyle w:val="FootnoteText"/>
        <w:rPr>
          <w:sz w:val="22"/>
          <w:szCs w:val="22"/>
        </w:rPr>
      </w:pPr>
    </w:p>
    <w:p w:rsidR="00ED2DEC" w:rsidRDefault="00ED2DEC" w:rsidP="00ED2DEC">
      <w:pPr>
        <w:pStyle w:val="FootnoteText"/>
        <w:rPr>
          <w:sz w:val="22"/>
          <w:szCs w:val="22"/>
        </w:rPr>
      </w:pPr>
      <w:r w:rsidRPr="00ED2DEC">
        <w:rPr>
          <w:sz w:val="22"/>
          <w:szCs w:val="22"/>
        </w:rPr>
        <w:t xml:space="preserve">G. Chaucer, </w:t>
      </w:r>
      <w:proofErr w:type="gramStart"/>
      <w:r w:rsidRPr="00ED2DEC">
        <w:rPr>
          <w:i/>
          <w:sz w:val="22"/>
          <w:szCs w:val="22"/>
        </w:rPr>
        <w:t>The</w:t>
      </w:r>
      <w:proofErr w:type="gramEnd"/>
      <w:r w:rsidRPr="00ED2DEC">
        <w:rPr>
          <w:i/>
          <w:sz w:val="22"/>
          <w:szCs w:val="22"/>
        </w:rPr>
        <w:t xml:space="preserve"> Miller’s Prologue and Tale </w:t>
      </w:r>
      <w:r w:rsidRPr="00ED2DEC">
        <w:rPr>
          <w:sz w:val="22"/>
          <w:szCs w:val="22"/>
        </w:rPr>
        <w:t>(</w:t>
      </w:r>
      <w:hyperlink r:id="rId7" w:history="1">
        <w:r w:rsidRPr="00ED2DEC">
          <w:rPr>
            <w:rStyle w:val="Hyperlink"/>
            <w:sz w:val="22"/>
            <w:szCs w:val="22"/>
          </w:rPr>
          <w:t>https://sites.fas.harvard.edu/~chaucer/teachslf/milt-par.htm</w:t>
        </w:r>
      </w:hyperlink>
      <w:r w:rsidRPr="00ED2DEC">
        <w:rPr>
          <w:sz w:val="22"/>
          <w:szCs w:val="22"/>
        </w:rPr>
        <w:t>)</w:t>
      </w:r>
    </w:p>
    <w:p w:rsidR="00654A07" w:rsidRDefault="00654A07" w:rsidP="00ED2DEC">
      <w:pPr>
        <w:pStyle w:val="FootnoteText"/>
        <w:rPr>
          <w:sz w:val="22"/>
          <w:szCs w:val="22"/>
        </w:rPr>
      </w:pPr>
    </w:p>
    <w:p w:rsidR="00654A07" w:rsidRPr="00654A07" w:rsidRDefault="00654A07" w:rsidP="00654A07">
      <w:pPr>
        <w:pStyle w:val="FootnoteText"/>
        <w:rPr>
          <w:sz w:val="22"/>
          <w:szCs w:val="22"/>
        </w:rPr>
      </w:pPr>
      <w:r w:rsidRPr="00654A07">
        <w:rPr>
          <w:sz w:val="22"/>
          <w:szCs w:val="22"/>
        </w:rPr>
        <w:t xml:space="preserve">L. Patterson, </w:t>
      </w:r>
      <w:proofErr w:type="gramStart"/>
      <w:r w:rsidRPr="00654A07">
        <w:rPr>
          <w:i/>
          <w:sz w:val="22"/>
          <w:szCs w:val="22"/>
        </w:rPr>
        <w:t>The</w:t>
      </w:r>
      <w:proofErr w:type="gramEnd"/>
      <w:r w:rsidRPr="00654A07">
        <w:rPr>
          <w:i/>
          <w:sz w:val="22"/>
          <w:szCs w:val="22"/>
        </w:rPr>
        <w:t xml:space="preserve"> Millers Tale and the Politics of Laughter </w:t>
      </w:r>
      <w:r w:rsidRPr="00654A07">
        <w:rPr>
          <w:sz w:val="22"/>
          <w:szCs w:val="22"/>
        </w:rPr>
        <w:t>(University of Wisconsin Press)</w:t>
      </w:r>
    </w:p>
    <w:p w:rsidR="00ED2DEC" w:rsidRPr="00C22DBB" w:rsidRDefault="00ED2DEC" w:rsidP="00C22DBB">
      <w:pPr>
        <w:pStyle w:val="FootnoteText"/>
        <w:rPr>
          <w:sz w:val="22"/>
          <w:szCs w:val="22"/>
        </w:rPr>
      </w:pPr>
    </w:p>
    <w:p w:rsidR="00522DBD" w:rsidRPr="00C22DBB" w:rsidRDefault="00522DBD" w:rsidP="00522DBD">
      <w:pPr>
        <w:pStyle w:val="FootnoteText"/>
        <w:rPr>
          <w:sz w:val="22"/>
          <w:szCs w:val="22"/>
        </w:rPr>
      </w:pPr>
      <w:r w:rsidRPr="00C22DBB">
        <w:rPr>
          <w:sz w:val="22"/>
          <w:szCs w:val="22"/>
        </w:rPr>
        <w:t>G. Chaucer</w:t>
      </w:r>
      <w:r w:rsidRPr="00C22DBB">
        <w:rPr>
          <w:i/>
          <w:sz w:val="22"/>
          <w:szCs w:val="22"/>
        </w:rPr>
        <w:t xml:space="preserve">, </w:t>
      </w:r>
      <w:proofErr w:type="gramStart"/>
      <w:r w:rsidRPr="00C22DBB">
        <w:rPr>
          <w:i/>
          <w:sz w:val="22"/>
          <w:szCs w:val="22"/>
        </w:rPr>
        <w:t>The</w:t>
      </w:r>
      <w:proofErr w:type="gramEnd"/>
      <w:r w:rsidRPr="00C22DBB">
        <w:rPr>
          <w:i/>
          <w:sz w:val="22"/>
          <w:szCs w:val="22"/>
        </w:rPr>
        <w:t xml:space="preserve"> General Prologue</w:t>
      </w:r>
      <w:r w:rsidRPr="00C22DBB">
        <w:rPr>
          <w:sz w:val="22"/>
          <w:szCs w:val="22"/>
        </w:rPr>
        <w:t xml:space="preserve"> (</w:t>
      </w:r>
      <w:hyperlink r:id="rId8" w:history="1">
        <w:r w:rsidRPr="00C22DBB">
          <w:rPr>
            <w:rStyle w:val="Hyperlink"/>
            <w:sz w:val="22"/>
            <w:szCs w:val="22"/>
          </w:rPr>
          <w:t>https://sites.fas.harvard.edu/~chaucer/teachslf/gp-par.htm</w:t>
        </w:r>
      </w:hyperlink>
      <w:r w:rsidR="00EE32AC" w:rsidRPr="00C22DBB">
        <w:rPr>
          <w:sz w:val="22"/>
          <w:szCs w:val="22"/>
        </w:rPr>
        <w:t xml:space="preserve">) </w:t>
      </w:r>
    </w:p>
    <w:p w:rsidR="00EE32AC" w:rsidRPr="00C22DBB" w:rsidRDefault="00EE32AC" w:rsidP="00522DBD">
      <w:pPr>
        <w:pStyle w:val="FootnoteText"/>
        <w:rPr>
          <w:sz w:val="22"/>
          <w:szCs w:val="22"/>
        </w:rPr>
      </w:pPr>
    </w:p>
    <w:p w:rsidR="00522DBD" w:rsidRPr="00C22DBB" w:rsidRDefault="00522DBD" w:rsidP="00522DBD">
      <w:pPr>
        <w:pStyle w:val="FootnoteText"/>
        <w:rPr>
          <w:sz w:val="22"/>
          <w:szCs w:val="22"/>
        </w:rPr>
      </w:pPr>
      <w:r w:rsidRPr="00C22DBB">
        <w:rPr>
          <w:sz w:val="22"/>
          <w:szCs w:val="22"/>
        </w:rPr>
        <w:t xml:space="preserve">R. M. </w:t>
      </w:r>
      <w:proofErr w:type="spellStart"/>
      <w:r w:rsidRPr="00C22DBB">
        <w:rPr>
          <w:sz w:val="22"/>
          <w:szCs w:val="22"/>
        </w:rPr>
        <w:t>Lumiansky</w:t>
      </w:r>
      <w:proofErr w:type="spellEnd"/>
      <w:r w:rsidRPr="00C22DBB">
        <w:rPr>
          <w:sz w:val="22"/>
          <w:szCs w:val="22"/>
        </w:rPr>
        <w:t xml:space="preserve">, </w:t>
      </w:r>
      <w:r w:rsidRPr="00C22DBB">
        <w:rPr>
          <w:i/>
          <w:sz w:val="22"/>
          <w:szCs w:val="22"/>
        </w:rPr>
        <w:t>Of Sondry Folk: The Dramatic Principle in the Canterbury Tales</w:t>
      </w:r>
      <w:r w:rsidRPr="00C22DBB">
        <w:rPr>
          <w:sz w:val="22"/>
          <w:szCs w:val="22"/>
        </w:rPr>
        <w:t xml:space="preserve"> (University of Texas Press, 1995) </w:t>
      </w:r>
    </w:p>
    <w:p w:rsidR="0066753F" w:rsidRPr="00C22DBB" w:rsidRDefault="0066753F" w:rsidP="00522DBD">
      <w:pPr>
        <w:pStyle w:val="FootnoteText"/>
        <w:rPr>
          <w:sz w:val="22"/>
          <w:szCs w:val="22"/>
        </w:rPr>
      </w:pPr>
    </w:p>
    <w:p w:rsidR="0066753F" w:rsidRPr="00C22DBB" w:rsidRDefault="0066753F" w:rsidP="0066753F">
      <w:r w:rsidRPr="00C22DBB">
        <w:t xml:space="preserve">P. Knapp, </w:t>
      </w:r>
      <w:r w:rsidR="0065687F" w:rsidRPr="00C22DBB">
        <w:rPr>
          <w:i/>
        </w:rPr>
        <w:t>Chaucer</w:t>
      </w:r>
      <w:r w:rsidRPr="00C22DBB">
        <w:rPr>
          <w:i/>
        </w:rPr>
        <w:t xml:space="preserve"> and the Social Context </w:t>
      </w:r>
      <w:r w:rsidRPr="00C22DBB">
        <w:t>(Routledge, 1990</w:t>
      </w:r>
      <w:r w:rsidR="00485254" w:rsidRPr="00C22DBB">
        <w:t>)</w:t>
      </w:r>
    </w:p>
    <w:p w:rsidR="00EE32AC" w:rsidRPr="00C22DBB" w:rsidRDefault="00EE32AC" w:rsidP="00522DBD">
      <w:pPr>
        <w:pStyle w:val="FootnoteText"/>
        <w:rPr>
          <w:sz w:val="22"/>
          <w:szCs w:val="22"/>
        </w:rPr>
      </w:pPr>
    </w:p>
    <w:p w:rsidR="007F5FFC" w:rsidRPr="00C22DBB" w:rsidRDefault="00522DBD" w:rsidP="00522DBD">
      <w:r w:rsidRPr="00C22DBB">
        <w:t xml:space="preserve">G. Chaucer, </w:t>
      </w:r>
      <w:proofErr w:type="gramStart"/>
      <w:r w:rsidRPr="00C22DBB">
        <w:rPr>
          <w:i/>
        </w:rPr>
        <w:t>The</w:t>
      </w:r>
      <w:proofErr w:type="gramEnd"/>
      <w:r w:rsidRPr="00C22DBB">
        <w:rPr>
          <w:i/>
        </w:rPr>
        <w:t xml:space="preserve"> Nun’s Priest Tale and Epilogue </w:t>
      </w:r>
      <w:r w:rsidRPr="00C22DBB">
        <w:t>(</w:t>
      </w:r>
      <w:hyperlink r:id="rId9" w:history="1">
        <w:r w:rsidRPr="00C22DBB">
          <w:rPr>
            <w:rStyle w:val="Hyperlink"/>
          </w:rPr>
          <w:t>https://sites.fas.harvard.edu/~chaucer/teachslf/npt-par.htm</w:t>
        </w:r>
      </w:hyperlink>
      <w:r w:rsidRPr="00C22DBB">
        <w:t xml:space="preserve">) </w:t>
      </w:r>
    </w:p>
    <w:p w:rsidR="00485254" w:rsidRDefault="00485254" w:rsidP="00522DBD">
      <w:r>
        <w:t xml:space="preserve">C. Muscatine, </w:t>
      </w:r>
      <w:r>
        <w:rPr>
          <w:i/>
        </w:rPr>
        <w:t xml:space="preserve">Chaucer and </w:t>
      </w:r>
      <w:r w:rsidR="0065687F">
        <w:rPr>
          <w:i/>
        </w:rPr>
        <w:t>the</w:t>
      </w:r>
      <w:r>
        <w:rPr>
          <w:i/>
        </w:rPr>
        <w:t xml:space="preserve"> French Tradition</w:t>
      </w:r>
      <w:r>
        <w:t xml:space="preserve"> (University of California Press, 1957)</w:t>
      </w:r>
    </w:p>
    <w:p w:rsidR="00A5401A" w:rsidRDefault="00A5401A" w:rsidP="00A5401A">
      <w:r>
        <w:t xml:space="preserve">F. A. Payne, </w:t>
      </w:r>
      <w:r>
        <w:rPr>
          <w:i/>
        </w:rPr>
        <w:t>Chaucer and Menippean Satire</w:t>
      </w:r>
      <w:r>
        <w:t xml:space="preserve"> (The University of Wisconsin Press, 1981)</w:t>
      </w:r>
    </w:p>
    <w:p w:rsidR="00F3735E" w:rsidRPr="00522DBD" w:rsidRDefault="00F3735E" w:rsidP="00A5401A">
      <w:r>
        <w:t xml:space="preserve">M. E. Leech, </w:t>
      </w:r>
      <w:r>
        <w:rPr>
          <w:i/>
        </w:rPr>
        <w:t>That’s not funny: Comic forms, didactic Purpose and Physical Injury in Medieval Comic Tales’ LATCH</w:t>
      </w:r>
      <w:r>
        <w:t xml:space="preserve">: </w:t>
      </w:r>
      <w:r>
        <w:rPr>
          <w:i/>
        </w:rPr>
        <w:t xml:space="preserve">A Journal for the Study of the Literary </w:t>
      </w:r>
      <w:r>
        <w:t>(</w:t>
      </w:r>
      <w:r w:rsidRPr="00F3735E">
        <w:t>Vol. 1</w:t>
      </w:r>
      <w:r>
        <w:t xml:space="preserve"> Artefact in Theory, Culture or History, 2008)</w:t>
      </w:r>
    </w:p>
    <w:p w:rsidR="00EE32AC" w:rsidRDefault="0065687F" w:rsidP="00522DBD">
      <w:r>
        <w:t xml:space="preserve">R. W. </w:t>
      </w:r>
      <w:proofErr w:type="spellStart"/>
      <w:r>
        <w:t>Fehrenbacher</w:t>
      </w:r>
      <w:proofErr w:type="spellEnd"/>
      <w:r>
        <w:t xml:space="preserve">, </w:t>
      </w:r>
      <w:r w:rsidR="00EE32AC">
        <w:rPr>
          <w:i/>
        </w:rPr>
        <w:t xml:space="preserve">A </w:t>
      </w:r>
      <w:proofErr w:type="spellStart"/>
      <w:r w:rsidR="00EE32AC">
        <w:rPr>
          <w:i/>
        </w:rPr>
        <w:t>Yeerd</w:t>
      </w:r>
      <w:proofErr w:type="spellEnd"/>
      <w:r w:rsidR="00EE32AC">
        <w:rPr>
          <w:i/>
        </w:rPr>
        <w:t xml:space="preserve"> Enclosed al </w:t>
      </w:r>
      <w:proofErr w:type="spellStart"/>
      <w:r w:rsidR="00EE32AC">
        <w:rPr>
          <w:i/>
        </w:rPr>
        <w:t>Aboute</w:t>
      </w:r>
      <w:proofErr w:type="spellEnd"/>
      <w:r w:rsidR="00EE32AC">
        <w:rPr>
          <w:i/>
        </w:rPr>
        <w:t>: Literature and History in the “Nun’s Priest’s Tale</w:t>
      </w:r>
      <w:r w:rsidR="00EE32AC">
        <w:t xml:space="preserve"> (The Chaucer Review, 1994)</w:t>
      </w:r>
    </w:p>
    <w:p w:rsidR="00C41838" w:rsidRDefault="00207842" w:rsidP="00C41838">
      <w:hyperlink r:id="rId10" w:history="1">
        <w:r w:rsidR="00EE364B" w:rsidRPr="008F1AD4">
          <w:rPr>
            <w:rStyle w:val="Hyperlink"/>
          </w:rPr>
          <w:t>https://en.oxforddictionaries.com/definition/chanticleer</w:t>
        </w:r>
      </w:hyperlink>
    </w:p>
    <w:p w:rsidR="00EE364B" w:rsidRDefault="00EE364B" w:rsidP="00EE364B">
      <w:r>
        <w:t xml:space="preserve">H. Barr, </w:t>
      </w:r>
      <w:proofErr w:type="spellStart"/>
      <w:r>
        <w:rPr>
          <w:i/>
        </w:rPr>
        <w:t>Socioliterary</w:t>
      </w:r>
      <w:proofErr w:type="spellEnd"/>
      <w:r>
        <w:rPr>
          <w:i/>
        </w:rPr>
        <w:t xml:space="preserve"> Practice in Late Medieval England</w:t>
      </w:r>
      <w:r>
        <w:t xml:space="preserve"> (Oxford University Press, 2001)</w:t>
      </w:r>
    </w:p>
    <w:p w:rsidR="00D439D8" w:rsidRDefault="00207842" w:rsidP="00EE364B">
      <w:hyperlink r:id="rId11" w:history="1">
        <w:r w:rsidR="00EC0D6A" w:rsidRPr="002315DB">
          <w:rPr>
            <w:rStyle w:val="Hyperlink"/>
          </w:rPr>
          <w:t>http://www.surnamedb.com/Surname/Russell</w:t>
        </w:r>
      </w:hyperlink>
    </w:p>
    <w:p w:rsidR="00EC0D6A" w:rsidRDefault="00EC0D6A" w:rsidP="00EC0D6A">
      <w:r>
        <w:t xml:space="preserve">D. Yamamoto, </w:t>
      </w:r>
      <w:r>
        <w:rPr>
          <w:i/>
        </w:rPr>
        <w:t xml:space="preserve">The boundaries of the Human in Medieval Literature </w:t>
      </w:r>
      <w:r>
        <w:t>(Oxford University Press, 2000)</w:t>
      </w:r>
    </w:p>
    <w:p w:rsidR="00EC0D6A" w:rsidRDefault="00EC0D6A" w:rsidP="00EC0D6A">
      <w:r>
        <w:t xml:space="preserve">E. B. </w:t>
      </w:r>
      <w:proofErr w:type="spellStart"/>
      <w:r>
        <w:t>Fryde</w:t>
      </w:r>
      <w:proofErr w:type="spellEnd"/>
      <w:r>
        <w:t xml:space="preserve">, </w:t>
      </w:r>
      <w:proofErr w:type="gramStart"/>
      <w:r>
        <w:rPr>
          <w:i/>
        </w:rPr>
        <w:t>The</w:t>
      </w:r>
      <w:proofErr w:type="gramEnd"/>
      <w:r>
        <w:rPr>
          <w:i/>
        </w:rPr>
        <w:t xml:space="preserve"> Great Revolt of 1381</w:t>
      </w:r>
      <w:r>
        <w:t xml:space="preserve"> (Oxford University Press, 1969)</w:t>
      </w:r>
    </w:p>
    <w:p w:rsidR="0044721A" w:rsidRDefault="0044721A" w:rsidP="0044721A">
      <w:r>
        <w:t xml:space="preserve">R. Hilton, </w:t>
      </w:r>
      <w:r>
        <w:rPr>
          <w:i/>
        </w:rPr>
        <w:t xml:space="preserve">Bond Men Made Free: Medieval Peasant Movements and the English Rising of 1381 </w:t>
      </w:r>
      <w:r>
        <w:t>(Routledge, 2003)</w:t>
      </w:r>
    </w:p>
    <w:p w:rsidR="00A5401A" w:rsidRPr="00522DBD" w:rsidRDefault="00A5401A"/>
    <w:sectPr w:rsidR="00A5401A" w:rsidRPr="00522D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7842" w:rsidRDefault="00207842" w:rsidP="00E321AA">
      <w:pPr>
        <w:spacing w:after="0" w:line="240" w:lineRule="auto"/>
      </w:pPr>
      <w:r>
        <w:separator/>
      </w:r>
    </w:p>
  </w:endnote>
  <w:endnote w:type="continuationSeparator" w:id="0">
    <w:p w:rsidR="00207842" w:rsidRDefault="00207842" w:rsidP="00E32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7842" w:rsidRDefault="00207842" w:rsidP="00E321AA">
      <w:pPr>
        <w:spacing w:after="0" w:line="240" w:lineRule="auto"/>
      </w:pPr>
      <w:r>
        <w:separator/>
      </w:r>
    </w:p>
  </w:footnote>
  <w:footnote w:type="continuationSeparator" w:id="0">
    <w:p w:rsidR="00207842" w:rsidRDefault="00207842" w:rsidP="00E321AA">
      <w:pPr>
        <w:spacing w:after="0" w:line="240" w:lineRule="auto"/>
      </w:pPr>
      <w:r>
        <w:continuationSeparator/>
      </w:r>
    </w:p>
  </w:footnote>
  <w:footnote w:id="1">
    <w:p w:rsidR="00C22DBB" w:rsidRPr="00C22DBB" w:rsidRDefault="00C22DBB">
      <w:pPr>
        <w:pStyle w:val="FootnoteText"/>
      </w:pPr>
      <w:r>
        <w:rPr>
          <w:rStyle w:val="FootnoteReference"/>
        </w:rPr>
        <w:footnoteRef/>
      </w:r>
      <w:r>
        <w:t xml:space="preserve"> G. Mathew, </w:t>
      </w:r>
      <w:r>
        <w:rPr>
          <w:i/>
        </w:rPr>
        <w:t xml:space="preserve">The Court of Richard II  </w:t>
      </w:r>
      <w:r>
        <w:t>(Gervase Mathew, 1968) p.146-166</w:t>
      </w:r>
    </w:p>
  </w:footnote>
  <w:footnote w:id="2">
    <w:p w:rsidR="00ED2DEC" w:rsidRPr="00ED2DEC" w:rsidRDefault="00ED2DEC" w:rsidP="00ED2DEC">
      <w:pPr>
        <w:pStyle w:val="FootnoteText"/>
      </w:pPr>
      <w:r>
        <w:rPr>
          <w:rStyle w:val="FootnoteReference"/>
        </w:rPr>
        <w:footnoteRef/>
      </w:r>
      <w:r>
        <w:t xml:space="preserve"> G. Chaucer, </w:t>
      </w:r>
      <w:r>
        <w:rPr>
          <w:i/>
        </w:rPr>
        <w:t xml:space="preserve">The Miller’s Prologue and Tale </w:t>
      </w:r>
      <w:r>
        <w:t>(</w:t>
      </w:r>
      <w:hyperlink r:id="rId1" w:history="1">
        <w:r w:rsidRPr="002315DB">
          <w:rPr>
            <w:rStyle w:val="Hyperlink"/>
          </w:rPr>
          <w:t>https://sites.fas.harvard.edu/~chaucer/teachslf/milt-par.htm</w:t>
        </w:r>
      </w:hyperlink>
      <w:r>
        <w:t>)</w:t>
      </w:r>
      <w:r w:rsidR="00640058">
        <w:t xml:space="preserve"> L</w:t>
      </w:r>
      <w:r>
        <w:t>.3117-3119</w:t>
      </w:r>
    </w:p>
  </w:footnote>
  <w:footnote w:id="3">
    <w:p w:rsidR="00A006E3" w:rsidRDefault="00A006E3">
      <w:pPr>
        <w:pStyle w:val="FootnoteText"/>
      </w:pPr>
      <w:r>
        <w:rPr>
          <w:rStyle w:val="FootnoteReference"/>
        </w:rPr>
        <w:footnoteRef/>
      </w:r>
      <w:r>
        <w:t xml:space="preserve"> G. Chaucer, </w:t>
      </w:r>
      <w:r>
        <w:rPr>
          <w:i/>
        </w:rPr>
        <w:t xml:space="preserve">The Miller’s Prologue and Tale </w:t>
      </w:r>
      <w:r>
        <w:t>(</w:t>
      </w:r>
      <w:hyperlink r:id="rId2" w:history="1">
        <w:r w:rsidRPr="002315DB">
          <w:rPr>
            <w:rStyle w:val="Hyperlink"/>
          </w:rPr>
          <w:t>https://sites.fas.harvard.edu/~chaucer/teachslf/milt-par.htm</w:t>
        </w:r>
      </w:hyperlink>
      <w:r>
        <w:t>)</w:t>
      </w:r>
      <w:r w:rsidR="00640058">
        <w:t xml:space="preserve"> L</w:t>
      </w:r>
      <w:r>
        <w:t>.3120-</w:t>
      </w:r>
    </w:p>
  </w:footnote>
  <w:footnote w:id="4">
    <w:p w:rsidR="002353EF" w:rsidRPr="002353EF" w:rsidRDefault="002353EF">
      <w:pPr>
        <w:pStyle w:val="FootnoteText"/>
      </w:pPr>
      <w:r>
        <w:rPr>
          <w:rStyle w:val="FootnoteReference"/>
        </w:rPr>
        <w:footnoteRef/>
      </w:r>
      <w:r>
        <w:t xml:space="preserve"> L. Patterson, </w:t>
      </w:r>
      <w:r>
        <w:rPr>
          <w:i/>
        </w:rPr>
        <w:t xml:space="preserve">The Millers Tale and the Politics of Laughter </w:t>
      </w:r>
      <w:r>
        <w:t>(Universit</w:t>
      </w:r>
      <w:r w:rsidR="00654A07">
        <w:t>y of Wisconsin Press) p.245</w:t>
      </w:r>
    </w:p>
  </w:footnote>
  <w:footnote w:id="5">
    <w:p w:rsidR="00C54AFC" w:rsidRDefault="00C54AFC">
      <w:pPr>
        <w:pStyle w:val="FootnoteText"/>
      </w:pPr>
      <w:r>
        <w:rPr>
          <w:rStyle w:val="FootnoteReference"/>
        </w:rPr>
        <w:footnoteRef/>
      </w:r>
      <w:r>
        <w:t xml:space="preserve"> L. Patterson, </w:t>
      </w:r>
      <w:r>
        <w:rPr>
          <w:i/>
        </w:rPr>
        <w:t xml:space="preserve">The Millers Tale and the Politics of Laughter </w:t>
      </w:r>
      <w:r>
        <w:t>(University of Wisconsin Press) p.257</w:t>
      </w:r>
    </w:p>
  </w:footnote>
  <w:footnote w:id="6">
    <w:p w:rsidR="00640058" w:rsidRDefault="00640058">
      <w:pPr>
        <w:pStyle w:val="FootnoteText"/>
      </w:pPr>
      <w:r>
        <w:rPr>
          <w:rStyle w:val="FootnoteReference"/>
        </w:rPr>
        <w:footnoteRef/>
      </w:r>
      <w:r>
        <w:t xml:space="preserve"> G. Chaucer, </w:t>
      </w:r>
      <w:r>
        <w:rPr>
          <w:i/>
        </w:rPr>
        <w:t xml:space="preserve">The Miller’s Prologue and Tale </w:t>
      </w:r>
      <w:r>
        <w:t>(</w:t>
      </w:r>
      <w:hyperlink r:id="rId3" w:history="1">
        <w:r w:rsidRPr="002315DB">
          <w:rPr>
            <w:rStyle w:val="Hyperlink"/>
          </w:rPr>
          <w:t>https://sites.fas.harvard.edu/~chaucer/teachslf/milt-par.htm</w:t>
        </w:r>
      </w:hyperlink>
      <w:r>
        <w:t>) L.3130-3131</w:t>
      </w:r>
    </w:p>
  </w:footnote>
  <w:footnote w:id="7">
    <w:p w:rsidR="004F2746" w:rsidRDefault="004F2746">
      <w:pPr>
        <w:pStyle w:val="FootnoteText"/>
      </w:pPr>
      <w:r>
        <w:rPr>
          <w:rStyle w:val="FootnoteReference"/>
        </w:rPr>
        <w:footnoteRef/>
      </w:r>
      <w:r>
        <w:t xml:space="preserve"> </w:t>
      </w:r>
      <w:r>
        <w:t xml:space="preserve">L. Patterson, </w:t>
      </w:r>
      <w:r>
        <w:rPr>
          <w:i/>
        </w:rPr>
        <w:t xml:space="preserve">The Millers Tale and the Politics of Laughter </w:t>
      </w:r>
      <w:r>
        <w:t>(Unive</w:t>
      </w:r>
      <w:r>
        <w:t xml:space="preserve">rsity of Wisconsin Press) </w:t>
      </w:r>
      <w:r>
        <w:t>p.</w:t>
      </w:r>
      <w:bookmarkStart w:id="1" w:name="_GoBack"/>
      <w:bookmarkEnd w:id="1"/>
      <w:r>
        <w:t>265</w:t>
      </w:r>
    </w:p>
  </w:footnote>
  <w:footnote w:id="8">
    <w:p w:rsidR="004F2746" w:rsidRDefault="004F2746">
      <w:pPr>
        <w:pStyle w:val="FootnoteText"/>
      </w:pPr>
      <w:r>
        <w:rPr>
          <w:rStyle w:val="FootnoteReference"/>
        </w:rPr>
        <w:footnoteRef/>
      </w:r>
      <w:r>
        <w:t xml:space="preserve"> </w:t>
      </w:r>
      <w:r>
        <w:t xml:space="preserve">L. Patterson, </w:t>
      </w:r>
      <w:r>
        <w:rPr>
          <w:i/>
        </w:rPr>
        <w:t xml:space="preserve">The Millers Tale and the Politics of Laughter </w:t>
      </w:r>
      <w:r>
        <w:t>(Univ</w:t>
      </w:r>
      <w:r>
        <w:t>ersity of Wisconsin Press) p.264-265</w:t>
      </w:r>
    </w:p>
  </w:footnote>
  <w:footnote w:id="9">
    <w:p w:rsidR="00E321AA" w:rsidRDefault="00E321AA" w:rsidP="00E321AA">
      <w:pPr>
        <w:pStyle w:val="FootnoteText"/>
      </w:pPr>
      <w:r>
        <w:rPr>
          <w:rStyle w:val="FootnoteReference"/>
        </w:rPr>
        <w:footnoteRef/>
      </w:r>
      <w:r>
        <w:t>G. Chaucer</w:t>
      </w:r>
      <w:r w:rsidRPr="00E321AA">
        <w:rPr>
          <w:i/>
        </w:rPr>
        <w:t>, The General Prologue</w:t>
      </w:r>
      <w:r>
        <w:t xml:space="preserve"> (</w:t>
      </w:r>
      <w:hyperlink r:id="rId4" w:history="1">
        <w:r w:rsidRPr="00AF1871">
          <w:rPr>
            <w:rStyle w:val="Hyperlink"/>
          </w:rPr>
          <w:t>https://sites.fas.harvard.edu/~chaucer/teachslf/gp-par.htm</w:t>
        </w:r>
      </w:hyperlink>
      <w:r>
        <w:t>)</w:t>
      </w:r>
      <w:r w:rsidRPr="00E321AA">
        <w:t xml:space="preserve"> </w:t>
      </w:r>
      <w:r>
        <w:t>L. 163-164</w:t>
      </w:r>
    </w:p>
  </w:footnote>
  <w:footnote w:id="10">
    <w:p w:rsidR="00522DBD" w:rsidRPr="00522DBD" w:rsidRDefault="00522DBD">
      <w:pPr>
        <w:pStyle w:val="FootnoteText"/>
      </w:pPr>
      <w:r>
        <w:rPr>
          <w:rStyle w:val="FootnoteReference"/>
        </w:rPr>
        <w:footnoteRef/>
      </w:r>
      <w:r>
        <w:t xml:space="preserve"> R. M. </w:t>
      </w:r>
      <w:proofErr w:type="spellStart"/>
      <w:r>
        <w:t>Lumiansky</w:t>
      </w:r>
      <w:proofErr w:type="spellEnd"/>
      <w:r>
        <w:t xml:space="preserve">, </w:t>
      </w:r>
      <w:r>
        <w:rPr>
          <w:i/>
        </w:rPr>
        <w:t>Of Sondry Folk: The Dramatic Principle in the Canterbury Tales</w:t>
      </w:r>
      <w:r>
        <w:t xml:space="preserve"> (University of Texas Press, 1995) p.105</w:t>
      </w:r>
    </w:p>
  </w:footnote>
  <w:footnote w:id="11">
    <w:p w:rsidR="0066753F" w:rsidRDefault="0066753F" w:rsidP="0066753F">
      <w:pPr>
        <w:pStyle w:val="FootnoteText"/>
      </w:pPr>
      <w:r>
        <w:rPr>
          <w:rStyle w:val="FootnoteReference"/>
        </w:rPr>
        <w:footnoteRef/>
      </w:r>
      <w:r>
        <w:t xml:space="preserve"> P. Knapp, </w:t>
      </w:r>
      <w:r w:rsidR="00C41838">
        <w:rPr>
          <w:i/>
        </w:rPr>
        <w:t>Chaucer</w:t>
      </w:r>
      <w:r>
        <w:rPr>
          <w:i/>
        </w:rPr>
        <w:t xml:space="preserve"> and the Social Context </w:t>
      </w:r>
      <w:r>
        <w:t>(Routledge, 1990) p.45</w:t>
      </w:r>
    </w:p>
  </w:footnote>
  <w:footnote w:id="12">
    <w:p w:rsidR="00CE7A19" w:rsidRDefault="00CE7A19">
      <w:pPr>
        <w:pStyle w:val="FootnoteText"/>
      </w:pPr>
      <w:r>
        <w:rPr>
          <w:rStyle w:val="FootnoteReference"/>
        </w:rPr>
        <w:footnoteRef/>
      </w:r>
      <w:r>
        <w:t xml:space="preserve"> G. Chaucer, </w:t>
      </w:r>
      <w:r>
        <w:rPr>
          <w:i/>
        </w:rPr>
        <w:t xml:space="preserve">The Nun’s Priest Tale and Epilogue </w:t>
      </w:r>
      <w:r>
        <w:t>(</w:t>
      </w:r>
      <w:hyperlink r:id="rId5" w:history="1">
        <w:r w:rsidRPr="00DB058C">
          <w:rPr>
            <w:rStyle w:val="Hyperlink"/>
          </w:rPr>
          <w:t>https://sites.fas.harvard.edu/~chaucer/teachslf/npt-par.htm</w:t>
        </w:r>
      </w:hyperlink>
      <w:r>
        <w:t>) L.2812</w:t>
      </w:r>
    </w:p>
  </w:footnote>
  <w:footnote w:id="13">
    <w:p w:rsidR="00CB3F02" w:rsidRPr="00615636" w:rsidRDefault="00CB3F02" w:rsidP="00CB3F02">
      <w:pPr>
        <w:pStyle w:val="FootnoteText"/>
      </w:pPr>
      <w:r>
        <w:rPr>
          <w:rStyle w:val="FootnoteReference"/>
        </w:rPr>
        <w:footnoteRef/>
      </w:r>
      <w:r>
        <w:t xml:space="preserve"> A. W. Pollard, </w:t>
      </w:r>
      <w:proofErr w:type="spellStart"/>
      <w:r>
        <w:rPr>
          <w:i/>
        </w:rPr>
        <w:t>Chaucers</w:t>
      </w:r>
      <w:proofErr w:type="spellEnd"/>
      <w:r>
        <w:rPr>
          <w:i/>
        </w:rPr>
        <w:t xml:space="preserve"> Canterbury Tales: The Nun’s Priest’s Tale</w:t>
      </w:r>
      <w:r>
        <w:t xml:space="preserve"> (Macmillan and Co. Ltd. 1927) </w:t>
      </w:r>
      <w:proofErr w:type="spellStart"/>
      <w:r>
        <w:t>p.xiv</w:t>
      </w:r>
      <w:proofErr w:type="spellEnd"/>
    </w:p>
  </w:footnote>
  <w:footnote w:id="14">
    <w:p w:rsidR="007A01F0" w:rsidRPr="006C40F9" w:rsidRDefault="007A01F0" w:rsidP="007A01F0">
      <w:pPr>
        <w:pStyle w:val="FootnoteText"/>
      </w:pPr>
      <w:r>
        <w:rPr>
          <w:rStyle w:val="FootnoteReference"/>
        </w:rPr>
        <w:footnoteRef/>
      </w:r>
      <w:r>
        <w:t xml:space="preserve"> C. Muscatine, </w:t>
      </w:r>
      <w:r>
        <w:rPr>
          <w:i/>
        </w:rPr>
        <w:t>Chaucer and The French Tradition</w:t>
      </w:r>
      <w:r>
        <w:t xml:space="preserve"> (University of California Press, 1957) p.238-239</w:t>
      </w:r>
    </w:p>
  </w:footnote>
  <w:footnote w:id="15">
    <w:p w:rsidR="00A5401A" w:rsidRDefault="00A5401A" w:rsidP="00A5401A">
      <w:pPr>
        <w:pStyle w:val="FootnoteText"/>
      </w:pPr>
      <w:r>
        <w:rPr>
          <w:rStyle w:val="FootnoteReference"/>
        </w:rPr>
        <w:footnoteRef/>
      </w:r>
      <w:r>
        <w:t xml:space="preserve"> F. A. Payne, </w:t>
      </w:r>
      <w:r>
        <w:rPr>
          <w:i/>
        </w:rPr>
        <w:t>Chaucer and Menippean Satire</w:t>
      </w:r>
      <w:r>
        <w:t xml:space="preserve"> (The University of Wisconsin Press, 1981) p.p.170</w:t>
      </w:r>
    </w:p>
  </w:footnote>
  <w:footnote w:id="16">
    <w:p w:rsidR="007F5FFC" w:rsidRPr="007F5FFC" w:rsidRDefault="007F5FFC">
      <w:pPr>
        <w:pStyle w:val="FootnoteText"/>
      </w:pPr>
      <w:r>
        <w:rPr>
          <w:rStyle w:val="FootnoteReference"/>
        </w:rPr>
        <w:footnoteRef/>
      </w:r>
      <w:r>
        <w:t xml:space="preserve"> G. Chaucer, </w:t>
      </w:r>
      <w:r>
        <w:rPr>
          <w:i/>
        </w:rPr>
        <w:t xml:space="preserve">The Nun’s Priest Tale and Epilogue </w:t>
      </w:r>
      <w:r>
        <w:t>(</w:t>
      </w:r>
      <w:hyperlink r:id="rId6" w:history="1">
        <w:r w:rsidR="00522DBD" w:rsidRPr="00DB058C">
          <w:rPr>
            <w:rStyle w:val="Hyperlink"/>
          </w:rPr>
          <w:t>https://sites.fas.harvard.edu/~chaucer/teachslf/npt-par.htm</w:t>
        </w:r>
      </w:hyperlink>
      <w:r w:rsidR="00522DBD">
        <w:t>) L.3394-3397</w:t>
      </w:r>
    </w:p>
  </w:footnote>
  <w:footnote w:id="17">
    <w:p w:rsidR="00F3735E" w:rsidRPr="00F3735E" w:rsidRDefault="00F3735E" w:rsidP="00F3735E">
      <w:pPr>
        <w:pStyle w:val="FootnoteText"/>
      </w:pPr>
      <w:r>
        <w:rPr>
          <w:rStyle w:val="FootnoteReference"/>
        </w:rPr>
        <w:footnoteRef/>
      </w:r>
      <w:r>
        <w:t xml:space="preserve"> M. E. Leech, </w:t>
      </w:r>
      <w:r>
        <w:rPr>
          <w:i/>
        </w:rPr>
        <w:t>That’s not funny: Comic forms, didactic Purpose and Physical Injury in Medieval Comic Tales’ LATCH</w:t>
      </w:r>
      <w:r>
        <w:t xml:space="preserve">: </w:t>
      </w:r>
      <w:r>
        <w:rPr>
          <w:i/>
        </w:rPr>
        <w:t xml:space="preserve">A Journal for the Study of the Literary </w:t>
      </w:r>
      <w:r>
        <w:t>(</w:t>
      </w:r>
      <w:r w:rsidRPr="00F3735E">
        <w:t>Vol. 1</w:t>
      </w:r>
      <w:r>
        <w:t xml:space="preserve"> Artefact in Theory, Culture or History, 2008)</w:t>
      </w:r>
    </w:p>
  </w:footnote>
  <w:footnote w:id="18">
    <w:p w:rsidR="003C1D02" w:rsidRPr="003C1D02" w:rsidRDefault="003C1D02">
      <w:pPr>
        <w:pStyle w:val="FootnoteText"/>
      </w:pPr>
      <w:r>
        <w:rPr>
          <w:rStyle w:val="FootnoteReference"/>
        </w:rPr>
        <w:footnoteRef/>
      </w:r>
      <w:r>
        <w:t xml:space="preserve"> F. A. Payne, </w:t>
      </w:r>
      <w:r>
        <w:rPr>
          <w:i/>
        </w:rPr>
        <w:t>Chaucer and Menippean Satire</w:t>
      </w:r>
      <w:r>
        <w:t xml:space="preserve"> (The University of Wisconsin Press, 1981) p.159-160</w:t>
      </w:r>
    </w:p>
  </w:footnote>
  <w:footnote w:id="19">
    <w:p w:rsidR="00ED21A8" w:rsidRDefault="00ED21A8">
      <w:pPr>
        <w:pStyle w:val="FootnoteText"/>
      </w:pPr>
      <w:r>
        <w:rPr>
          <w:rStyle w:val="FootnoteReference"/>
        </w:rPr>
        <w:footnoteRef/>
      </w:r>
      <w:r>
        <w:t xml:space="preserve"> G. Chaucer, </w:t>
      </w:r>
      <w:r>
        <w:rPr>
          <w:i/>
        </w:rPr>
        <w:t xml:space="preserve">The Nun’s Priest Tale and Epilogue </w:t>
      </w:r>
      <w:r>
        <w:t>(</w:t>
      </w:r>
      <w:hyperlink r:id="rId7" w:history="1">
        <w:r w:rsidRPr="00DB058C">
          <w:rPr>
            <w:rStyle w:val="Hyperlink"/>
          </w:rPr>
          <w:t>https://sites.fas.harvard.edu/~chaucer/teachslf/npt-par.htm</w:t>
        </w:r>
      </w:hyperlink>
      <w:r>
        <w:t>) L.3355-3374</w:t>
      </w:r>
    </w:p>
  </w:footnote>
  <w:footnote w:id="20">
    <w:p w:rsidR="00ED21A8" w:rsidRPr="00EE364B" w:rsidRDefault="00ED21A8" w:rsidP="00ED21A8">
      <w:pPr>
        <w:pStyle w:val="FootnoteText"/>
        <w:rPr>
          <w:vertAlign w:val="subscript"/>
        </w:rPr>
      </w:pPr>
      <w:r>
        <w:rPr>
          <w:rStyle w:val="FootnoteReference"/>
        </w:rPr>
        <w:footnoteRef/>
      </w:r>
      <w:r>
        <w:t xml:space="preserve"> R. W. </w:t>
      </w:r>
      <w:proofErr w:type="spellStart"/>
      <w:r>
        <w:t>Fehrenbacher</w:t>
      </w:r>
      <w:proofErr w:type="spellEnd"/>
      <w:r>
        <w:t xml:space="preserve">,  </w:t>
      </w:r>
      <w:r>
        <w:rPr>
          <w:i/>
        </w:rPr>
        <w:t xml:space="preserve">A </w:t>
      </w:r>
      <w:proofErr w:type="spellStart"/>
      <w:r>
        <w:rPr>
          <w:i/>
        </w:rPr>
        <w:t>Yeerd</w:t>
      </w:r>
      <w:proofErr w:type="spellEnd"/>
      <w:r>
        <w:rPr>
          <w:i/>
        </w:rPr>
        <w:t xml:space="preserve"> Enclosed al </w:t>
      </w:r>
      <w:proofErr w:type="spellStart"/>
      <w:r>
        <w:rPr>
          <w:i/>
        </w:rPr>
        <w:t>Aboute</w:t>
      </w:r>
      <w:proofErr w:type="spellEnd"/>
      <w:r>
        <w:rPr>
          <w:i/>
        </w:rPr>
        <w:t>: Literature and History in the “Nun’s Priest’s Tale</w:t>
      </w:r>
      <w:r>
        <w:t xml:space="preserve"> (The Chaucer Review, 1994) p.135</w:t>
      </w:r>
    </w:p>
  </w:footnote>
  <w:footnote w:id="21">
    <w:p w:rsidR="000D5D22" w:rsidRDefault="000D5D22">
      <w:pPr>
        <w:pStyle w:val="FootnoteText"/>
      </w:pPr>
      <w:r>
        <w:rPr>
          <w:rStyle w:val="FootnoteReference"/>
        </w:rPr>
        <w:footnoteRef/>
      </w:r>
      <w:r>
        <w:t xml:space="preserve"> </w:t>
      </w:r>
      <w:r w:rsidRPr="000D5D22">
        <w:t>https://en.oxforddictionaries.com/definition/chanticleer</w:t>
      </w:r>
    </w:p>
  </w:footnote>
  <w:footnote w:id="22">
    <w:p w:rsidR="00EE364B" w:rsidRPr="00EE364B" w:rsidRDefault="00EE364B" w:rsidP="00EE364B">
      <w:pPr>
        <w:pStyle w:val="FootnoteText"/>
      </w:pPr>
      <w:r>
        <w:rPr>
          <w:rStyle w:val="FootnoteReference"/>
        </w:rPr>
        <w:footnoteRef/>
      </w:r>
      <w:r>
        <w:t xml:space="preserve"> H. Barr, </w:t>
      </w:r>
      <w:proofErr w:type="spellStart"/>
      <w:r>
        <w:rPr>
          <w:i/>
        </w:rPr>
        <w:t>Socioliterary</w:t>
      </w:r>
      <w:proofErr w:type="spellEnd"/>
      <w:r>
        <w:rPr>
          <w:i/>
        </w:rPr>
        <w:t xml:space="preserve"> Practice in Late Medieval England</w:t>
      </w:r>
      <w:r>
        <w:t xml:space="preserve"> (Oxford University Press, 2001) p.29</w:t>
      </w:r>
    </w:p>
  </w:footnote>
  <w:footnote w:id="23">
    <w:p w:rsidR="00DC4242" w:rsidRDefault="00DC4242">
      <w:pPr>
        <w:pStyle w:val="FootnoteText"/>
      </w:pPr>
      <w:r>
        <w:rPr>
          <w:rStyle w:val="FootnoteReference"/>
        </w:rPr>
        <w:footnoteRef/>
      </w:r>
      <w:r>
        <w:t xml:space="preserve"> G. Chaucer, </w:t>
      </w:r>
      <w:r>
        <w:rPr>
          <w:i/>
        </w:rPr>
        <w:t xml:space="preserve">The Nun’s Priest Tale and Epilogue </w:t>
      </w:r>
      <w:r>
        <w:t>(</w:t>
      </w:r>
      <w:hyperlink r:id="rId8" w:history="1">
        <w:r w:rsidRPr="00DB058C">
          <w:rPr>
            <w:rStyle w:val="Hyperlink"/>
          </w:rPr>
          <w:t>https://sites.fas.harvard.edu/~chaucer/teachslf/npt-par.htm</w:t>
        </w:r>
      </w:hyperlink>
      <w:r>
        <w:t>) L.2870-2871</w:t>
      </w:r>
    </w:p>
  </w:footnote>
  <w:footnote w:id="24">
    <w:p w:rsidR="004D4DB2" w:rsidRDefault="004D4DB2">
      <w:pPr>
        <w:pStyle w:val="FootnoteText"/>
      </w:pPr>
      <w:r>
        <w:rPr>
          <w:rStyle w:val="FootnoteReference"/>
        </w:rPr>
        <w:footnoteRef/>
      </w:r>
      <w:r>
        <w:t xml:space="preserve"> G. Chaucer, </w:t>
      </w:r>
      <w:r>
        <w:rPr>
          <w:i/>
        </w:rPr>
        <w:t xml:space="preserve">The Nun’s Priest Tale and Epilogue </w:t>
      </w:r>
      <w:r>
        <w:t>(</w:t>
      </w:r>
      <w:hyperlink r:id="rId9" w:history="1">
        <w:r w:rsidRPr="00DB058C">
          <w:rPr>
            <w:rStyle w:val="Hyperlink"/>
          </w:rPr>
          <w:t>https://sites.fas.harvard.edu/~chaucer/teachslf/npt-par.htm</w:t>
        </w:r>
      </w:hyperlink>
      <w:r>
        <w:t>) L.2858-2865</w:t>
      </w:r>
    </w:p>
  </w:footnote>
  <w:footnote w:id="25">
    <w:p w:rsidR="00D439D8" w:rsidRDefault="00D439D8">
      <w:pPr>
        <w:pStyle w:val="FootnoteText"/>
      </w:pPr>
      <w:r>
        <w:rPr>
          <w:rStyle w:val="FootnoteReference"/>
        </w:rPr>
        <w:footnoteRef/>
      </w:r>
      <w:r>
        <w:t xml:space="preserve"> </w:t>
      </w:r>
      <w:r w:rsidRPr="00D439D8">
        <w:t>http://www.surnamedb.com/Surname/Russell</w:t>
      </w:r>
    </w:p>
  </w:footnote>
  <w:footnote w:id="26">
    <w:p w:rsidR="009745C6" w:rsidRDefault="009745C6">
      <w:pPr>
        <w:pStyle w:val="FootnoteText"/>
      </w:pPr>
      <w:r>
        <w:rPr>
          <w:rStyle w:val="FootnoteReference"/>
        </w:rPr>
        <w:footnoteRef/>
      </w:r>
      <w:r>
        <w:t xml:space="preserve"> G. Chaucer, </w:t>
      </w:r>
      <w:r>
        <w:rPr>
          <w:i/>
        </w:rPr>
        <w:t xml:space="preserve">The Nun’s Priest Tale and Epilogue </w:t>
      </w:r>
      <w:r>
        <w:t>(</w:t>
      </w:r>
      <w:hyperlink r:id="rId10" w:history="1">
        <w:r w:rsidRPr="00DB058C">
          <w:rPr>
            <w:rStyle w:val="Hyperlink"/>
          </w:rPr>
          <w:t>https://sites.fas.harvard.edu/~chaucer/teachslf/npt-par.htm</w:t>
        </w:r>
      </w:hyperlink>
      <w:r>
        <w:t>) L.2859</w:t>
      </w:r>
    </w:p>
  </w:footnote>
  <w:footnote w:id="27">
    <w:p w:rsidR="002778A0" w:rsidRPr="002778A0" w:rsidRDefault="002778A0">
      <w:pPr>
        <w:pStyle w:val="FootnoteText"/>
      </w:pPr>
      <w:r>
        <w:rPr>
          <w:rStyle w:val="FootnoteReference"/>
        </w:rPr>
        <w:footnoteRef/>
      </w:r>
      <w:r>
        <w:t xml:space="preserve"> D. Yamamoto, </w:t>
      </w:r>
      <w:r>
        <w:rPr>
          <w:i/>
        </w:rPr>
        <w:t xml:space="preserve">The boundaries of the Human in Medieval Literature </w:t>
      </w:r>
      <w:r>
        <w:t>(Oxford University Press, 2000) p56</w:t>
      </w:r>
    </w:p>
  </w:footnote>
  <w:footnote w:id="28">
    <w:p w:rsidR="00C361AB" w:rsidRDefault="00C361AB" w:rsidP="00C361AB">
      <w:pPr>
        <w:pStyle w:val="FootnoteText"/>
      </w:pPr>
      <w:r>
        <w:rPr>
          <w:rStyle w:val="FootnoteReference"/>
        </w:rPr>
        <w:footnoteRef/>
      </w:r>
      <w:r>
        <w:t xml:space="preserve"> D. Yamamoto, </w:t>
      </w:r>
      <w:r>
        <w:rPr>
          <w:i/>
        </w:rPr>
        <w:t xml:space="preserve">The boundaries of the Human in Medieval Literature </w:t>
      </w:r>
      <w:r>
        <w:t>(Oxford University Press, 2000) p57</w:t>
      </w:r>
    </w:p>
  </w:footnote>
  <w:footnote w:id="29">
    <w:p w:rsidR="00013A13" w:rsidRPr="00EC0D6A" w:rsidRDefault="00013A13" w:rsidP="00013A13">
      <w:pPr>
        <w:pStyle w:val="FootnoteText"/>
      </w:pPr>
      <w:r>
        <w:rPr>
          <w:rStyle w:val="FootnoteReference"/>
        </w:rPr>
        <w:footnoteRef/>
      </w:r>
      <w:r>
        <w:t xml:space="preserve"> E. B. </w:t>
      </w:r>
      <w:proofErr w:type="spellStart"/>
      <w:r>
        <w:t>Fryde</w:t>
      </w:r>
      <w:proofErr w:type="spellEnd"/>
      <w:r>
        <w:t xml:space="preserve">, </w:t>
      </w:r>
      <w:r>
        <w:rPr>
          <w:i/>
        </w:rPr>
        <w:t>The Great Revolt of 1381</w:t>
      </w:r>
      <w:r>
        <w:t xml:space="preserve"> (Oxford University Press, 1969) p.</w:t>
      </w:r>
      <w:r w:rsidR="00B374B9">
        <w:t>73-</w:t>
      </w:r>
      <w:r>
        <w:t>75</w:t>
      </w:r>
    </w:p>
  </w:footnote>
  <w:footnote w:id="30">
    <w:p w:rsidR="00A03C59" w:rsidRPr="00A03C59" w:rsidRDefault="00A03C59">
      <w:pPr>
        <w:pStyle w:val="FootnoteText"/>
      </w:pPr>
      <w:r>
        <w:rPr>
          <w:rStyle w:val="FootnoteReference"/>
        </w:rPr>
        <w:footnoteRef/>
      </w:r>
      <w:r>
        <w:t xml:space="preserve"> R. Hilton, </w:t>
      </w:r>
      <w:r>
        <w:rPr>
          <w:i/>
        </w:rPr>
        <w:t xml:space="preserve">Bond Men Made Free: Medieval Peasant Movements and the English Rising of 1381 </w:t>
      </w:r>
      <w:r>
        <w:t>(Routledge, 2003) p.177</w:t>
      </w:r>
    </w:p>
  </w:footnote>
  <w:footnote w:id="31">
    <w:p w:rsidR="002571A3" w:rsidRPr="00EC0D6A" w:rsidRDefault="002571A3" w:rsidP="002571A3">
      <w:pPr>
        <w:pStyle w:val="FootnoteText"/>
      </w:pPr>
      <w:r>
        <w:rPr>
          <w:rStyle w:val="FootnoteReference"/>
        </w:rPr>
        <w:footnoteRef/>
      </w:r>
      <w:r>
        <w:t xml:space="preserve"> E. B. </w:t>
      </w:r>
      <w:proofErr w:type="spellStart"/>
      <w:r>
        <w:t>Fryde</w:t>
      </w:r>
      <w:proofErr w:type="spellEnd"/>
      <w:r>
        <w:t xml:space="preserve">, </w:t>
      </w:r>
      <w:r>
        <w:rPr>
          <w:i/>
        </w:rPr>
        <w:t>The Great Revolt of 1381</w:t>
      </w:r>
      <w:r>
        <w:t xml:space="preserve"> (Oxford University Press, 1969) Chapter IV</w:t>
      </w:r>
    </w:p>
    <w:p w:rsidR="002571A3" w:rsidRDefault="002571A3">
      <w:pPr>
        <w:pStyle w:val="FootnoteText"/>
      </w:pPr>
    </w:p>
  </w:footnote>
  <w:footnote w:id="32">
    <w:p w:rsidR="00B374B9" w:rsidRDefault="00B374B9">
      <w:pPr>
        <w:pStyle w:val="FootnoteText"/>
      </w:pPr>
      <w:r>
        <w:rPr>
          <w:rStyle w:val="FootnoteReference"/>
        </w:rPr>
        <w:footnoteRef/>
      </w:r>
      <w:r>
        <w:t xml:space="preserve"> E. B. </w:t>
      </w:r>
      <w:proofErr w:type="spellStart"/>
      <w:r>
        <w:t>Fryde</w:t>
      </w:r>
      <w:proofErr w:type="spellEnd"/>
      <w:r>
        <w:t xml:space="preserve">, </w:t>
      </w:r>
      <w:r>
        <w:rPr>
          <w:i/>
        </w:rPr>
        <w:t>The Great Revolt of 1381</w:t>
      </w:r>
      <w:r>
        <w:t xml:space="preserve"> (Oxford University Press, 1969) p.75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1AA"/>
    <w:rsid w:val="00004BA9"/>
    <w:rsid w:val="00013A13"/>
    <w:rsid w:val="0001550D"/>
    <w:rsid w:val="000978BE"/>
    <w:rsid w:val="000B5162"/>
    <w:rsid w:val="000D5D22"/>
    <w:rsid w:val="00141161"/>
    <w:rsid w:val="00193EA5"/>
    <w:rsid w:val="00207842"/>
    <w:rsid w:val="002168C3"/>
    <w:rsid w:val="00230EBD"/>
    <w:rsid w:val="002353EF"/>
    <w:rsid w:val="00252E94"/>
    <w:rsid w:val="002571A3"/>
    <w:rsid w:val="002778A0"/>
    <w:rsid w:val="00290C15"/>
    <w:rsid w:val="002B6E71"/>
    <w:rsid w:val="00315801"/>
    <w:rsid w:val="003253EB"/>
    <w:rsid w:val="003A2D2A"/>
    <w:rsid w:val="003C1D02"/>
    <w:rsid w:val="00440A36"/>
    <w:rsid w:val="0044721A"/>
    <w:rsid w:val="00485254"/>
    <w:rsid w:val="004C2185"/>
    <w:rsid w:val="004D4DB2"/>
    <w:rsid w:val="004F2746"/>
    <w:rsid w:val="00522DBD"/>
    <w:rsid w:val="00542132"/>
    <w:rsid w:val="0057672A"/>
    <w:rsid w:val="00590DF4"/>
    <w:rsid w:val="00597AB6"/>
    <w:rsid w:val="005A3F8B"/>
    <w:rsid w:val="005B58A9"/>
    <w:rsid w:val="005D167B"/>
    <w:rsid w:val="005D1C58"/>
    <w:rsid w:val="005F0F0E"/>
    <w:rsid w:val="005F6041"/>
    <w:rsid w:val="0060350B"/>
    <w:rsid w:val="00615636"/>
    <w:rsid w:val="00640058"/>
    <w:rsid w:val="006441C6"/>
    <w:rsid w:val="00645D63"/>
    <w:rsid w:val="00654A07"/>
    <w:rsid w:val="0065687F"/>
    <w:rsid w:val="0066753F"/>
    <w:rsid w:val="006A26F5"/>
    <w:rsid w:val="006C40F9"/>
    <w:rsid w:val="006C5A18"/>
    <w:rsid w:val="007018EB"/>
    <w:rsid w:val="00705ED4"/>
    <w:rsid w:val="00737368"/>
    <w:rsid w:val="007A01F0"/>
    <w:rsid w:val="007D2945"/>
    <w:rsid w:val="007F5FFC"/>
    <w:rsid w:val="00821A6C"/>
    <w:rsid w:val="00827E62"/>
    <w:rsid w:val="008300A5"/>
    <w:rsid w:val="008420BC"/>
    <w:rsid w:val="008453EC"/>
    <w:rsid w:val="008C716C"/>
    <w:rsid w:val="008F0D5B"/>
    <w:rsid w:val="00930C97"/>
    <w:rsid w:val="00951C80"/>
    <w:rsid w:val="00957091"/>
    <w:rsid w:val="009745C6"/>
    <w:rsid w:val="009809CF"/>
    <w:rsid w:val="009C2E99"/>
    <w:rsid w:val="009D0A1F"/>
    <w:rsid w:val="009E2437"/>
    <w:rsid w:val="00A006E3"/>
    <w:rsid w:val="00A03C59"/>
    <w:rsid w:val="00A34A70"/>
    <w:rsid w:val="00A459B1"/>
    <w:rsid w:val="00A5401A"/>
    <w:rsid w:val="00AC21AA"/>
    <w:rsid w:val="00AD2B93"/>
    <w:rsid w:val="00AF0CC8"/>
    <w:rsid w:val="00B3164B"/>
    <w:rsid w:val="00B374B9"/>
    <w:rsid w:val="00B61982"/>
    <w:rsid w:val="00B83CF7"/>
    <w:rsid w:val="00BA2E8A"/>
    <w:rsid w:val="00BD6883"/>
    <w:rsid w:val="00BE3969"/>
    <w:rsid w:val="00C22DBB"/>
    <w:rsid w:val="00C361AB"/>
    <w:rsid w:val="00C41838"/>
    <w:rsid w:val="00C46C7C"/>
    <w:rsid w:val="00C54AFC"/>
    <w:rsid w:val="00CA7062"/>
    <w:rsid w:val="00CB3F02"/>
    <w:rsid w:val="00CB45BA"/>
    <w:rsid w:val="00CD4747"/>
    <w:rsid w:val="00CE21A7"/>
    <w:rsid w:val="00CE7A19"/>
    <w:rsid w:val="00CF20D3"/>
    <w:rsid w:val="00D439D8"/>
    <w:rsid w:val="00D554AF"/>
    <w:rsid w:val="00D75167"/>
    <w:rsid w:val="00D946BA"/>
    <w:rsid w:val="00DB2EB6"/>
    <w:rsid w:val="00DC4242"/>
    <w:rsid w:val="00DD4DBC"/>
    <w:rsid w:val="00E321AA"/>
    <w:rsid w:val="00EB1418"/>
    <w:rsid w:val="00EC0D6A"/>
    <w:rsid w:val="00ED21A8"/>
    <w:rsid w:val="00ED2DEC"/>
    <w:rsid w:val="00EE32AC"/>
    <w:rsid w:val="00EE364B"/>
    <w:rsid w:val="00F3735E"/>
    <w:rsid w:val="00FB2DE1"/>
    <w:rsid w:val="00FC6DF8"/>
    <w:rsid w:val="00FD52E7"/>
    <w:rsid w:val="00FE1CDF"/>
    <w:rsid w:val="00FF0B7B"/>
    <w:rsid w:val="00FF3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DC253"/>
  <w15:chartTrackingRefBased/>
  <w15:docId w15:val="{0C2E966D-C8D5-4574-839D-D1DB314C2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21AA"/>
  </w:style>
  <w:style w:type="paragraph" w:styleId="Heading1">
    <w:name w:val="heading 1"/>
    <w:basedOn w:val="Normal"/>
    <w:next w:val="Normal"/>
    <w:link w:val="Heading1Char"/>
    <w:uiPriority w:val="9"/>
    <w:qFormat/>
    <w:rsid w:val="00522DB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321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321AA"/>
    <w:rPr>
      <w:sz w:val="20"/>
      <w:szCs w:val="20"/>
    </w:rPr>
  </w:style>
  <w:style w:type="character" w:styleId="FootnoteReference">
    <w:name w:val="footnote reference"/>
    <w:basedOn w:val="DefaultParagraphFont"/>
    <w:uiPriority w:val="99"/>
    <w:semiHidden/>
    <w:unhideWhenUsed/>
    <w:rsid w:val="00E321AA"/>
    <w:rPr>
      <w:vertAlign w:val="superscript"/>
    </w:rPr>
  </w:style>
  <w:style w:type="character" w:styleId="Hyperlink">
    <w:name w:val="Hyperlink"/>
    <w:basedOn w:val="DefaultParagraphFont"/>
    <w:uiPriority w:val="99"/>
    <w:unhideWhenUsed/>
    <w:rsid w:val="00E321AA"/>
    <w:rPr>
      <w:color w:val="0563C1" w:themeColor="hyperlink"/>
      <w:u w:val="single"/>
    </w:rPr>
  </w:style>
  <w:style w:type="character" w:customStyle="1" w:styleId="Heading1Char">
    <w:name w:val="Heading 1 Char"/>
    <w:basedOn w:val="DefaultParagraphFont"/>
    <w:link w:val="Heading1"/>
    <w:uiPriority w:val="9"/>
    <w:rsid w:val="00522DBD"/>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0817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fas.harvard.edu/~chaucer/teachslf/gp-par.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ites.fas.harvard.edu/~chaucer/teachslf/milt-par.ht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surnamedb.com/Surname/Russell" TargetMode="External"/><Relationship Id="rId5" Type="http://schemas.openxmlformats.org/officeDocument/2006/relationships/footnotes" Target="footnotes.xml"/><Relationship Id="rId10" Type="http://schemas.openxmlformats.org/officeDocument/2006/relationships/hyperlink" Target="https://en.oxforddictionaries.com/definition/chanticleer" TargetMode="External"/><Relationship Id="rId4" Type="http://schemas.openxmlformats.org/officeDocument/2006/relationships/webSettings" Target="webSettings.xml"/><Relationship Id="rId9" Type="http://schemas.openxmlformats.org/officeDocument/2006/relationships/hyperlink" Target="https://sites.fas.harvard.edu/~chaucer/teachslf/npt-par.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sites.fas.harvard.edu/~chaucer/teachslf/npt-par.htm" TargetMode="External"/><Relationship Id="rId3" Type="http://schemas.openxmlformats.org/officeDocument/2006/relationships/hyperlink" Target="https://sites.fas.harvard.edu/~chaucer/teachslf/milt-par.htm" TargetMode="External"/><Relationship Id="rId7" Type="http://schemas.openxmlformats.org/officeDocument/2006/relationships/hyperlink" Target="https://sites.fas.harvard.edu/~chaucer/teachslf/npt-par.htm" TargetMode="External"/><Relationship Id="rId2" Type="http://schemas.openxmlformats.org/officeDocument/2006/relationships/hyperlink" Target="https://sites.fas.harvard.edu/~chaucer/teachslf/milt-par.htm" TargetMode="External"/><Relationship Id="rId1" Type="http://schemas.openxmlformats.org/officeDocument/2006/relationships/hyperlink" Target="https://sites.fas.harvard.edu/~chaucer/teachslf/milt-par.htm" TargetMode="External"/><Relationship Id="rId6" Type="http://schemas.openxmlformats.org/officeDocument/2006/relationships/hyperlink" Target="https://sites.fas.harvard.edu/~chaucer/teachslf/npt-par.htm" TargetMode="External"/><Relationship Id="rId5" Type="http://schemas.openxmlformats.org/officeDocument/2006/relationships/hyperlink" Target="https://sites.fas.harvard.edu/~chaucer/teachslf/npt-par.htm" TargetMode="External"/><Relationship Id="rId10" Type="http://schemas.openxmlformats.org/officeDocument/2006/relationships/hyperlink" Target="https://sites.fas.harvard.edu/~chaucer/teachslf/npt-par.htm" TargetMode="External"/><Relationship Id="rId4" Type="http://schemas.openxmlformats.org/officeDocument/2006/relationships/hyperlink" Target="https://sites.fas.harvard.edu/~chaucer/teachslf/gp-par.htm" TargetMode="External"/><Relationship Id="rId9" Type="http://schemas.openxmlformats.org/officeDocument/2006/relationships/hyperlink" Target="https://sites.fas.harvard.edu/~chaucer/teachslf/npt-par.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2BC92C-1F89-488E-A06D-5CB77E4F4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7</Pages>
  <Words>1848</Words>
  <Characters>10538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Melantha Snow (1601759)</dc:creator>
  <cp:keywords/>
  <dc:description/>
  <cp:lastModifiedBy>Melantha Snow (1601759)</cp:lastModifiedBy>
  <cp:revision>89</cp:revision>
  <dcterms:created xsi:type="dcterms:W3CDTF">2018-10-09T11:11:00Z</dcterms:created>
  <dcterms:modified xsi:type="dcterms:W3CDTF">2018-10-11T15:08:00Z</dcterms:modified>
</cp:coreProperties>
</file>