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E2344C2" w14:textId="77777777" w:rsidR="004F32DD" w:rsidRDefault="004F32DD" w:rsidP="004F32DD">
      <w:pPr>
        <w:jc w:val="both"/>
        <w:rPr>
          <w:rFonts w:ascii="Arial" w:hAnsi="Arial" w:cs="Arial"/>
        </w:rPr>
      </w:pPr>
    </w:p>
    <w:p w14:paraId="2F0CAE72" w14:textId="77777777" w:rsidR="004F32DD" w:rsidRDefault="004F32DD" w:rsidP="004F32DD">
      <w:pPr>
        <w:jc w:val="both"/>
        <w:rPr>
          <w:rFonts w:ascii="Arial" w:hAnsi="Arial" w:cs="Arial"/>
        </w:rPr>
      </w:pPr>
    </w:p>
    <w:p w14:paraId="061A3D72" w14:textId="77777777" w:rsidR="004F32DD" w:rsidRDefault="004F32DD" w:rsidP="004F32DD">
      <w:pPr>
        <w:jc w:val="both"/>
        <w:rPr>
          <w:rFonts w:ascii="Arial" w:hAnsi="Arial" w:cs="Arial"/>
        </w:rPr>
      </w:pPr>
    </w:p>
    <w:p w14:paraId="0B2BA256" w14:textId="77777777" w:rsidR="004F32DD" w:rsidRDefault="004F32DD" w:rsidP="004F32DD">
      <w:pPr>
        <w:jc w:val="both"/>
        <w:rPr>
          <w:rFonts w:ascii="Arial" w:hAnsi="Arial" w:cs="Arial"/>
        </w:rPr>
      </w:pPr>
    </w:p>
    <w:p w14:paraId="175AEE20" w14:textId="77777777" w:rsidR="004F32DD" w:rsidRDefault="004F32DD" w:rsidP="004F32DD">
      <w:pPr>
        <w:jc w:val="both"/>
        <w:rPr>
          <w:rFonts w:ascii="Arial" w:hAnsi="Arial" w:cs="Arial"/>
        </w:rPr>
      </w:pPr>
    </w:p>
    <w:p w14:paraId="14DC270D" w14:textId="77777777" w:rsidR="004F32DD" w:rsidRDefault="004F32DD" w:rsidP="004F32DD">
      <w:pPr>
        <w:jc w:val="both"/>
        <w:rPr>
          <w:rFonts w:ascii="Arial" w:hAnsi="Arial" w:cs="Arial"/>
        </w:rPr>
      </w:pPr>
    </w:p>
    <w:p w14:paraId="1D96AFE0" w14:textId="77777777" w:rsidR="004F32DD" w:rsidRDefault="004F32DD" w:rsidP="004F32DD">
      <w:pPr>
        <w:jc w:val="both"/>
        <w:rPr>
          <w:rFonts w:ascii="Arial" w:hAnsi="Arial" w:cs="Arial"/>
        </w:rPr>
      </w:pPr>
    </w:p>
    <w:p w14:paraId="678D75B9" w14:textId="77777777" w:rsidR="004F32DD" w:rsidRDefault="004F32DD" w:rsidP="004F32DD">
      <w:pPr>
        <w:jc w:val="both"/>
        <w:rPr>
          <w:rFonts w:ascii="Arial" w:hAnsi="Arial" w:cs="Arial"/>
        </w:rPr>
      </w:pPr>
    </w:p>
    <w:p w14:paraId="0AAD7864" w14:textId="5AC91147" w:rsidR="004F32DD" w:rsidRDefault="004F32DD" w:rsidP="004F32DD">
      <w:pPr>
        <w:jc w:val="center"/>
        <w:rPr>
          <w:rFonts w:ascii="Arial" w:hAnsi="Arial" w:cs="Arial"/>
        </w:rPr>
      </w:pPr>
      <w:r>
        <w:rPr>
          <w:rFonts w:ascii="Arial" w:hAnsi="Arial" w:cs="Arial"/>
        </w:rPr>
        <w:t>Mariana Angelica Gemes</w:t>
      </w:r>
    </w:p>
    <w:p w14:paraId="2B2B4F2D" w14:textId="2EE32B7C" w:rsidR="004F32DD" w:rsidRDefault="004F32DD" w:rsidP="004F32DD">
      <w:pPr>
        <w:jc w:val="center"/>
        <w:rPr>
          <w:rFonts w:ascii="Arial" w:hAnsi="Arial" w:cs="Arial"/>
        </w:rPr>
      </w:pPr>
      <w:r>
        <w:rPr>
          <w:rFonts w:ascii="Arial" w:hAnsi="Arial" w:cs="Arial"/>
        </w:rPr>
        <w:t>1920089</w:t>
      </w:r>
    </w:p>
    <w:p w14:paraId="5C07F289" w14:textId="1427B162" w:rsidR="004F32DD" w:rsidRDefault="004F32DD" w:rsidP="004F32DD">
      <w:pPr>
        <w:jc w:val="center"/>
        <w:rPr>
          <w:rFonts w:ascii="Arial" w:hAnsi="Arial" w:cs="Arial"/>
        </w:rPr>
      </w:pPr>
      <w:r>
        <w:rPr>
          <w:rFonts w:ascii="Arial" w:hAnsi="Arial" w:cs="Arial"/>
        </w:rPr>
        <w:t>BHMP</w:t>
      </w:r>
      <w:r w:rsidR="005B5535">
        <w:rPr>
          <w:rFonts w:ascii="Arial" w:hAnsi="Arial" w:cs="Arial"/>
        </w:rPr>
        <w:t xml:space="preserve"> 6009</w:t>
      </w:r>
    </w:p>
    <w:p w14:paraId="51CCC26F" w14:textId="0F1FBDE8" w:rsidR="005B5535" w:rsidRDefault="005B5535" w:rsidP="004F32DD">
      <w:pPr>
        <w:jc w:val="center"/>
        <w:rPr>
          <w:rFonts w:ascii="Arial" w:hAnsi="Arial" w:cs="Arial"/>
        </w:rPr>
      </w:pPr>
      <w:r>
        <w:rPr>
          <w:rFonts w:ascii="Arial" w:hAnsi="Arial" w:cs="Arial"/>
        </w:rPr>
        <w:t xml:space="preserve">Task 2 </w:t>
      </w:r>
    </w:p>
    <w:p w14:paraId="4FC51943" w14:textId="0A0952EA" w:rsidR="005B5535" w:rsidRDefault="005B5535" w:rsidP="004F32DD">
      <w:pPr>
        <w:jc w:val="center"/>
        <w:rPr>
          <w:rFonts w:ascii="Arial" w:hAnsi="Arial" w:cs="Arial"/>
        </w:rPr>
      </w:pPr>
      <w:r>
        <w:rPr>
          <w:rFonts w:ascii="Arial" w:hAnsi="Arial" w:cs="Arial"/>
        </w:rPr>
        <w:t>Joanne Davies</w:t>
      </w:r>
    </w:p>
    <w:p w14:paraId="0E49E121" w14:textId="77777777" w:rsidR="004F32DD" w:rsidRDefault="004F32DD" w:rsidP="004F32DD">
      <w:pPr>
        <w:jc w:val="both"/>
        <w:rPr>
          <w:rFonts w:ascii="Arial" w:hAnsi="Arial" w:cs="Arial"/>
        </w:rPr>
      </w:pPr>
    </w:p>
    <w:p w14:paraId="31917BFD" w14:textId="77777777" w:rsidR="004F32DD" w:rsidRDefault="004F32DD" w:rsidP="004F32DD">
      <w:pPr>
        <w:jc w:val="both"/>
        <w:rPr>
          <w:rFonts w:ascii="Arial" w:hAnsi="Arial" w:cs="Arial"/>
        </w:rPr>
      </w:pPr>
    </w:p>
    <w:p w14:paraId="1D0B07A2" w14:textId="77777777" w:rsidR="004F32DD" w:rsidRDefault="004F32DD" w:rsidP="004F32DD">
      <w:pPr>
        <w:jc w:val="both"/>
        <w:rPr>
          <w:rFonts w:ascii="Arial" w:hAnsi="Arial" w:cs="Arial"/>
        </w:rPr>
      </w:pPr>
    </w:p>
    <w:p w14:paraId="204C6F9F" w14:textId="77777777" w:rsidR="004F32DD" w:rsidRDefault="004F32DD" w:rsidP="004F32DD">
      <w:pPr>
        <w:jc w:val="both"/>
        <w:rPr>
          <w:rFonts w:ascii="Arial" w:hAnsi="Arial" w:cs="Arial"/>
        </w:rPr>
      </w:pPr>
    </w:p>
    <w:p w14:paraId="7E94A53E" w14:textId="77777777" w:rsidR="004F32DD" w:rsidRDefault="004F32DD" w:rsidP="004F32DD">
      <w:pPr>
        <w:jc w:val="both"/>
        <w:rPr>
          <w:rFonts w:ascii="Arial" w:hAnsi="Arial" w:cs="Arial"/>
        </w:rPr>
      </w:pPr>
    </w:p>
    <w:p w14:paraId="7BD86AEB" w14:textId="77777777" w:rsidR="004F32DD" w:rsidRDefault="004F32DD" w:rsidP="004F32DD">
      <w:pPr>
        <w:jc w:val="both"/>
        <w:rPr>
          <w:rFonts w:ascii="Arial" w:hAnsi="Arial" w:cs="Arial"/>
        </w:rPr>
      </w:pPr>
    </w:p>
    <w:p w14:paraId="3CDE6F7F" w14:textId="77777777" w:rsidR="004F32DD" w:rsidRDefault="004F32DD" w:rsidP="004F32DD">
      <w:pPr>
        <w:jc w:val="both"/>
        <w:rPr>
          <w:rFonts w:ascii="Arial" w:hAnsi="Arial" w:cs="Arial"/>
        </w:rPr>
      </w:pPr>
    </w:p>
    <w:p w14:paraId="05BF413F" w14:textId="77777777" w:rsidR="004F32DD" w:rsidRDefault="004F32DD" w:rsidP="004F32DD">
      <w:pPr>
        <w:jc w:val="both"/>
        <w:rPr>
          <w:rFonts w:ascii="Arial" w:hAnsi="Arial" w:cs="Arial"/>
        </w:rPr>
      </w:pPr>
    </w:p>
    <w:p w14:paraId="6E96D61F" w14:textId="77777777" w:rsidR="004F32DD" w:rsidRDefault="004F32DD" w:rsidP="004F32DD">
      <w:pPr>
        <w:jc w:val="both"/>
        <w:rPr>
          <w:rFonts w:ascii="Arial" w:hAnsi="Arial" w:cs="Arial"/>
        </w:rPr>
      </w:pPr>
    </w:p>
    <w:p w14:paraId="67695575" w14:textId="77777777" w:rsidR="004F32DD" w:rsidRDefault="004F32DD" w:rsidP="004F32DD">
      <w:pPr>
        <w:jc w:val="both"/>
        <w:rPr>
          <w:rFonts w:ascii="Arial" w:hAnsi="Arial" w:cs="Arial"/>
        </w:rPr>
      </w:pPr>
    </w:p>
    <w:p w14:paraId="5CB64401" w14:textId="77777777" w:rsidR="004F32DD" w:rsidRDefault="004F32DD" w:rsidP="004F32DD">
      <w:pPr>
        <w:jc w:val="both"/>
        <w:rPr>
          <w:rFonts w:ascii="Arial" w:hAnsi="Arial" w:cs="Arial"/>
        </w:rPr>
      </w:pPr>
    </w:p>
    <w:p w14:paraId="75A6CED8" w14:textId="77777777" w:rsidR="004F32DD" w:rsidRDefault="004F32DD" w:rsidP="004F32DD">
      <w:pPr>
        <w:jc w:val="both"/>
        <w:rPr>
          <w:rFonts w:ascii="Arial" w:hAnsi="Arial" w:cs="Arial"/>
        </w:rPr>
      </w:pPr>
    </w:p>
    <w:p w14:paraId="6A734C8B" w14:textId="77777777" w:rsidR="004F32DD" w:rsidRDefault="004F32DD" w:rsidP="004F32DD">
      <w:pPr>
        <w:jc w:val="both"/>
        <w:rPr>
          <w:rFonts w:ascii="Arial" w:hAnsi="Arial" w:cs="Arial"/>
        </w:rPr>
      </w:pPr>
    </w:p>
    <w:p w14:paraId="60369B1B" w14:textId="77777777" w:rsidR="004F32DD" w:rsidRDefault="004F32DD" w:rsidP="004F32DD">
      <w:pPr>
        <w:jc w:val="both"/>
        <w:rPr>
          <w:rFonts w:ascii="Arial" w:hAnsi="Arial" w:cs="Arial"/>
        </w:rPr>
      </w:pPr>
    </w:p>
    <w:p w14:paraId="77B73ADF" w14:textId="77777777" w:rsidR="004F32DD" w:rsidRDefault="004F32DD" w:rsidP="004F32DD">
      <w:pPr>
        <w:jc w:val="both"/>
        <w:rPr>
          <w:rFonts w:ascii="Arial" w:hAnsi="Arial" w:cs="Arial"/>
        </w:rPr>
      </w:pPr>
    </w:p>
    <w:p w14:paraId="68EA1FA7" w14:textId="77777777" w:rsidR="004F32DD" w:rsidRDefault="004F32DD" w:rsidP="004F32DD">
      <w:pPr>
        <w:jc w:val="both"/>
        <w:rPr>
          <w:rFonts w:ascii="Arial" w:hAnsi="Arial" w:cs="Arial"/>
        </w:rPr>
      </w:pPr>
    </w:p>
    <w:p w14:paraId="76D9DEB5" w14:textId="77777777" w:rsidR="004F32DD" w:rsidRDefault="004F32DD" w:rsidP="004F32DD">
      <w:pPr>
        <w:jc w:val="both"/>
        <w:rPr>
          <w:rFonts w:ascii="Arial" w:hAnsi="Arial" w:cs="Arial"/>
        </w:rPr>
      </w:pPr>
    </w:p>
    <w:p w14:paraId="10765A78" w14:textId="22BE9AA0" w:rsidR="004F32DD" w:rsidRDefault="004F32DD" w:rsidP="004F32DD">
      <w:pPr>
        <w:jc w:val="both"/>
        <w:rPr>
          <w:rFonts w:ascii="Arial" w:hAnsi="Arial" w:cs="Arial"/>
        </w:rPr>
      </w:pPr>
    </w:p>
    <w:p w14:paraId="053EA7C6" w14:textId="77777777" w:rsidR="005B5535" w:rsidRDefault="005B5535" w:rsidP="004F32DD">
      <w:pPr>
        <w:jc w:val="both"/>
        <w:rPr>
          <w:rFonts w:ascii="Arial" w:hAnsi="Arial" w:cs="Arial"/>
        </w:rPr>
      </w:pPr>
    </w:p>
    <w:p w14:paraId="48328F3E" w14:textId="72475E56" w:rsidR="00854BC6" w:rsidRDefault="004F32DD" w:rsidP="004F32DD">
      <w:pPr>
        <w:jc w:val="both"/>
        <w:rPr>
          <w:rFonts w:ascii="Arial" w:hAnsi="Arial" w:cs="Arial"/>
        </w:rPr>
      </w:pPr>
      <w:r>
        <w:rPr>
          <w:rFonts w:ascii="Arial" w:hAnsi="Arial" w:cs="Arial"/>
        </w:rPr>
        <w:lastRenderedPageBreak/>
        <w:t>Table of Content</w:t>
      </w:r>
    </w:p>
    <w:p w14:paraId="1F0B7A73" w14:textId="68F79371" w:rsidR="004F32DD" w:rsidRDefault="004F32DD" w:rsidP="004F32DD">
      <w:pPr>
        <w:jc w:val="both"/>
        <w:rPr>
          <w:rFonts w:ascii="Arial" w:hAnsi="Arial" w:cs="Arial"/>
        </w:rPr>
      </w:pPr>
      <w:r>
        <w:rPr>
          <w:rFonts w:ascii="Arial" w:hAnsi="Arial" w:cs="Arial"/>
        </w:rPr>
        <w:t>Introduction..............................................................................................................................3</w:t>
      </w:r>
    </w:p>
    <w:p w14:paraId="362934D2" w14:textId="77777777" w:rsidR="004F32DD" w:rsidRPr="004F32DD" w:rsidRDefault="004F32DD" w:rsidP="004F32DD">
      <w:pPr>
        <w:jc w:val="both"/>
        <w:rPr>
          <w:rFonts w:ascii="Arial" w:hAnsi="Arial" w:cs="Arial"/>
        </w:rPr>
      </w:pPr>
    </w:p>
    <w:p w14:paraId="293095FC" w14:textId="55CD6E45" w:rsidR="004F32DD" w:rsidRDefault="004F32DD" w:rsidP="004F32DD">
      <w:pPr>
        <w:jc w:val="both"/>
        <w:rPr>
          <w:rFonts w:ascii="Arial" w:hAnsi="Arial" w:cs="Arial"/>
        </w:rPr>
      </w:pPr>
      <w:r w:rsidRPr="004F32DD">
        <w:rPr>
          <w:rFonts w:ascii="Arial" w:hAnsi="Arial" w:cs="Arial"/>
        </w:rPr>
        <w:t>Old Age</w:t>
      </w:r>
      <w:r>
        <w:rPr>
          <w:rFonts w:ascii="Arial" w:hAnsi="Arial" w:cs="Arial"/>
        </w:rPr>
        <w:t>....................................................................................................................................3</w:t>
      </w:r>
    </w:p>
    <w:p w14:paraId="5F68B3D8" w14:textId="77777777" w:rsidR="004F32DD" w:rsidRDefault="004F32DD" w:rsidP="004F32DD">
      <w:pPr>
        <w:jc w:val="both"/>
        <w:rPr>
          <w:rFonts w:ascii="Arial" w:hAnsi="Arial" w:cs="Arial"/>
        </w:rPr>
      </w:pPr>
    </w:p>
    <w:p w14:paraId="740641CC" w14:textId="453CF255" w:rsidR="004F32DD" w:rsidRDefault="004F32DD" w:rsidP="004F32DD">
      <w:pPr>
        <w:jc w:val="both"/>
        <w:rPr>
          <w:rFonts w:ascii="Arial" w:hAnsi="Arial" w:cs="Arial"/>
        </w:rPr>
      </w:pPr>
      <w:r w:rsidRPr="004F32DD">
        <w:rPr>
          <w:rFonts w:ascii="Arial" w:hAnsi="Arial" w:cs="Arial"/>
        </w:rPr>
        <w:t>Impact of Old Age on the Society</w:t>
      </w:r>
      <w:r>
        <w:rPr>
          <w:rFonts w:ascii="Arial" w:hAnsi="Arial" w:cs="Arial"/>
        </w:rPr>
        <w:t>..............................................................................................3</w:t>
      </w:r>
    </w:p>
    <w:p w14:paraId="27B85F39" w14:textId="77777777" w:rsidR="004F32DD" w:rsidRDefault="004F32DD" w:rsidP="004F32DD">
      <w:pPr>
        <w:jc w:val="both"/>
        <w:rPr>
          <w:rFonts w:ascii="Arial" w:hAnsi="Arial" w:cs="Arial"/>
        </w:rPr>
      </w:pPr>
    </w:p>
    <w:p w14:paraId="2D5971ED" w14:textId="63E38A82" w:rsidR="004F32DD" w:rsidRDefault="004F32DD" w:rsidP="004F32DD">
      <w:pPr>
        <w:jc w:val="both"/>
        <w:rPr>
          <w:rFonts w:ascii="Arial" w:hAnsi="Arial" w:cs="Arial"/>
        </w:rPr>
      </w:pPr>
      <w:r w:rsidRPr="004F32DD">
        <w:rPr>
          <w:rFonts w:ascii="Arial" w:hAnsi="Arial" w:cs="Arial"/>
        </w:rPr>
        <w:t>Issues experienced by the elder population</w:t>
      </w:r>
      <w:r>
        <w:rPr>
          <w:rFonts w:ascii="Arial" w:hAnsi="Arial" w:cs="Arial"/>
        </w:rPr>
        <w:t>...................................................................</w:t>
      </w:r>
      <w:r w:rsidR="00656332">
        <w:rPr>
          <w:rFonts w:ascii="Arial" w:hAnsi="Arial" w:cs="Arial"/>
        </w:rPr>
        <w:t>.</w:t>
      </w:r>
      <w:r>
        <w:rPr>
          <w:rFonts w:ascii="Arial" w:hAnsi="Arial" w:cs="Arial"/>
        </w:rPr>
        <w:t>..........4</w:t>
      </w:r>
    </w:p>
    <w:p w14:paraId="238F9391" w14:textId="77777777" w:rsidR="004F32DD" w:rsidRDefault="004F32DD" w:rsidP="004F32DD">
      <w:pPr>
        <w:jc w:val="both"/>
        <w:rPr>
          <w:rFonts w:ascii="Arial" w:hAnsi="Arial" w:cs="Arial"/>
        </w:rPr>
      </w:pPr>
    </w:p>
    <w:p w14:paraId="2EBF0FF9" w14:textId="6352EA4B" w:rsidR="004F32DD" w:rsidRDefault="004F32DD" w:rsidP="004F32DD">
      <w:pPr>
        <w:jc w:val="both"/>
        <w:rPr>
          <w:rFonts w:ascii="Arial" w:hAnsi="Arial" w:cs="Arial"/>
        </w:rPr>
      </w:pPr>
      <w:r w:rsidRPr="004F32DD">
        <w:rPr>
          <w:rFonts w:ascii="Arial" w:hAnsi="Arial" w:cs="Arial"/>
        </w:rPr>
        <w:t>Old age in the pandemic</w:t>
      </w:r>
      <w:r>
        <w:rPr>
          <w:rFonts w:ascii="Arial" w:hAnsi="Arial" w:cs="Arial"/>
        </w:rPr>
        <w:t>...........................................................................................................6</w:t>
      </w:r>
    </w:p>
    <w:p w14:paraId="5F50390D" w14:textId="77777777" w:rsidR="004F32DD" w:rsidRDefault="004F32DD" w:rsidP="004F32DD">
      <w:pPr>
        <w:jc w:val="both"/>
        <w:rPr>
          <w:rFonts w:ascii="Arial" w:hAnsi="Arial" w:cs="Arial"/>
        </w:rPr>
      </w:pPr>
    </w:p>
    <w:p w14:paraId="3A29B3FC" w14:textId="3615CC6B" w:rsidR="004F32DD" w:rsidRDefault="004F32DD" w:rsidP="004F32DD">
      <w:pPr>
        <w:jc w:val="both"/>
        <w:rPr>
          <w:rFonts w:ascii="Arial" w:hAnsi="Arial" w:cs="Arial"/>
        </w:rPr>
      </w:pPr>
      <w:r w:rsidRPr="004F32DD">
        <w:rPr>
          <w:rFonts w:ascii="Arial" w:hAnsi="Arial" w:cs="Arial"/>
        </w:rPr>
        <w:t>Health and social care provision in the UK</w:t>
      </w:r>
      <w:r>
        <w:rPr>
          <w:rFonts w:ascii="Arial" w:hAnsi="Arial" w:cs="Arial"/>
        </w:rPr>
        <w:t>..............................................................................6</w:t>
      </w:r>
    </w:p>
    <w:p w14:paraId="7DF99AEE" w14:textId="77777777" w:rsidR="004F32DD" w:rsidRDefault="004F32DD" w:rsidP="004F32DD">
      <w:pPr>
        <w:jc w:val="both"/>
        <w:rPr>
          <w:rFonts w:ascii="Arial" w:hAnsi="Arial" w:cs="Arial"/>
        </w:rPr>
      </w:pPr>
    </w:p>
    <w:p w14:paraId="4AA4F88A" w14:textId="5C107757" w:rsidR="004F32DD" w:rsidRDefault="004F32DD" w:rsidP="004F32DD">
      <w:pPr>
        <w:jc w:val="both"/>
        <w:rPr>
          <w:rFonts w:ascii="Arial" w:hAnsi="Arial" w:cs="Arial"/>
        </w:rPr>
      </w:pPr>
      <w:r w:rsidRPr="004F32DD">
        <w:rPr>
          <w:rFonts w:ascii="Arial" w:hAnsi="Arial" w:cs="Arial"/>
        </w:rPr>
        <w:t>Government implications</w:t>
      </w:r>
      <w:r>
        <w:rPr>
          <w:rFonts w:ascii="Arial" w:hAnsi="Arial" w:cs="Arial"/>
        </w:rPr>
        <w:t>..........................................................................................................7</w:t>
      </w:r>
    </w:p>
    <w:p w14:paraId="5F36E30F" w14:textId="77777777" w:rsidR="004F32DD" w:rsidRDefault="004F32DD" w:rsidP="004F32DD">
      <w:pPr>
        <w:jc w:val="both"/>
        <w:rPr>
          <w:rFonts w:ascii="Arial" w:hAnsi="Arial" w:cs="Arial"/>
        </w:rPr>
      </w:pPr>
    </w:p>
    <w:p w14:paraId="5385E6B5" w14:textId="137E481F" w:rsidR="004F32DD" w:rsidRDefault="004F32DD" w:rsidP="004F32DD">
      <w:pPr>
        <w:jc w:val="both"/>
        <w:rPr>
          <w:rFonts w:ascii="Arial" w:hAnsi="Arial" w:cs="Arial"/>
        </w:rPr>
      </w:pPr>
      <w:r w:rsidRPr="004F32DD">
        <w:rPr>
          <w:rFonts w:ascii="Arial" w:hAnsi="Arial" w:cs="Arial"/>
        </w:rPr>
        <w:t>Conclusion</w:t>
      </w:r>
      <w:r>
        <w:rPr>
          <w:rFonts w:ascii="Arial" w:hAnsi="Arial" w:cs="Arial"/>
        </w:rPr>
        <w:t>...............................................................................................................................8</w:t>
      </w:r>
    </w:p>
    <w:p w14:paraId="64B122A8" w14:textId="7A8B6477" w:rsidR="004F32DD" w:rsidRDefault="004F32DD" w:rsidP="004F32DD">
      <w:pPr>
        <w:jc w:val="both"/>
        <w:rPr>
          <w:rFonts w:ascii="Arial" w:hAnsi="Arial" w:cs="Arial"/>
        </w:rPr>
      </w:pPr>
    </w:p>
    <w:p w14:paraId="509A167A" w14:textId="773130E2" w:rsidR="004F32DD" w:rsidRDefault="004F32DD" w:rsidP="004F32DD">
      <w:pPr>
        <w:jc w:val="both"/>
        <w:rPr>
          <w:rFonts w:ascii="Arial" w:hAnsi="Arial" w:cs="Arial"/>
        </w:rPr>
      </w:pPr>
      <w:r>
        <w:rPr>
          <w:rFonts w:ascii="Arial" w:hAnsi="Arial" w:cs="Arial"/>
        </w:rPr>
        <w:t>References...............................................................................................................................9</w:t>
      </w:r>
    </w:p>
    <w:p w14:paraId="71801906" w14:textId="77777777" w:rsidR="004F32DD" w:rsidRDefault="004F32DD" w:rsidP="004F32DD">
      <w:pPr>
        <w:jc w:val="both"/>
        <w:rPr>
          <w:rFonts w:ascii="Arial" w:hAnsi="Arial" w:cs="Arial"/>
        </w:rPr>
      </w:pPr>
    </w:p>
    <w:p w14:paraId="5620F2AD" w14:textId="77777777" w:rsidR="004F32DD" w:rsidRDefault="004F32DD" w:rsidP="004F32DD">
      <w:pPr>
        <w:jc w:val="both"/>
        <w:rPr>
          <w:rFonts w:ascii="Arial" w:hAnsi="Arial" w:cs="Arial"/>
        </w:rPr>
      </w:pPr>
    </w:p>
    <w:p w14:paraId="3AC17AC1" w14:textId="77777777" w:rsidR="004F32DD" w:rsidRDefault="004F32DD" w:rsidP="004F32DD">
      <w:pPr>
        <w:jc w:val="both"/>
        <w:rPr>
          <w:rFonts w:ascii="Arial" w:hAnsi="Arial" w:cs="Arial"/>
        </w:rPr>
      </w:pPr>
    </w:p>
    <w:p w14:paraId="2D48C9C9" w14:textId="77777777" w:rsidR="004F32DD" w:rsidRDefault="004F32DD" w:rsidP="004F32DD">
      <w:pPr>
        <w:jc w:val="both"/>
        <w:rPr>
          <w:rFonts w:ascii="Arial" w:hAnsi="Arial" w:cs="Arial"/>
        </w:rPr>
      </w:pPr>
    </w:p>
    <w:p w14:paraId="1ACEA1FC" w14:textId="77777777" w:rsidR="004F32DD" w:rsidRDefault="004F32DD" w:rsidP="004F32DD">
      <w:pPr>
        <w:jc w:val="both"/>
        <w:rPr>
          <w:rFonts w:ascii="Arial" w:hAnsi="Arial" w:cs="Arial"/>
        </w:rPr>
      </w:pPr>
    </w:p>
    <w:p w14:paraId="3695C8C5" w14:textId="77777777" w:rsidR="004F32DD" w:rsidRDefault="004F32DD" w:rsidP="004F32DD">
      <w:pPr>
        <w:jc w:val="both"/>
        <w:rPr>
          <w:rFonts w:ascii="Arial" w:hAnsi="Arial" w:cs="Arial"/>
        </w:rPr>
      </w:pPr>
    </w:p>
    <w:p w14:paraId="69506FCF" w14:textId="77777777" w:rsidR="004F32DD" w:rsidRDefault="004F32DD" w:rsidP="004F32DD">
      <w:pPr>
        <w:jc w:val="both"/>
        <w:rPr>
          <w:rFonts w:ascii="Arial" w:hAnsi="Arial" w:cs="Arial"/>
        </w:rPr>
      </w:pPr>
    </w:p>
    <w:p w14:paraId="6257829A" w14:textId="77777777" w:rsidR="004F32DD" w:rsidRDefault="004F32DD" w:rsidP="004F32DD">
      <w:pPr>
        <w:jc w:val="both"/>
        <w:rPr>
          <w:rFonts w:ascii="Arial" w:hAnsi="Arial" w:cs="Arial"/>
        </w:rPr>
      </w:pPr>
    </w:p>
    <w:p w14:paraId="1EC9DC87" w14:textId="77777777" w:rsidR="004F32DD" w:rsidRDefault="004F32DD" w:rsidP="004F32DD">
      <w:pPr>
        <w:jc w:val="both"/>
        <w:rPr>
          <w:rFonts w:ascii="Arial" w:hAnsi="Arial" w:cs="Arial"/>
        </w:rPr>
      </w:pPr>
    </w:p>
    <w:p w14:paraId="27226B11" w14:textId="27796AD0" w:rsidR="004F32DD" w:rsidRDefault="004F32DD" w:rsidP="004F32DD">
      <w:pPr>
        <w:jc w:val="both"/>
        <w:rPr>
          <w:rFonts w:ascii="Arial" w:hAnsi="Arial" w:cs="Arial"/>
        </w:rPr>
      </w:pPr>
    </w:p>
    <w:p w14:paraId="78037065" w14:textId="77777777" w:rsidR="004F32DD" w:rsidRDefault="004F32DD" w:rsidP="004F32DD">
      <w:pPr>
        <w:jc w:val="both"/>
        <w:rPr>
          <w:rFonts w:ascii="Arial" w:hAnsi="Arial" w:cs="Arial"/>
        </w:rPr>
      </w:pPr>
    </w:p>
    <w:p w14:paraId="2BB296F8" w14:textId="77777777" w:rsidR="004F32DD" w:rsidRDefault="004F32DD" w:rsidP="004F32DD">
      <w:pPr>
        <w:jc w:val="both"/>
        <w:rPr>
          <w:rFonts w:ascii="Arial" w:hAnsi="Arial" w:cs="Arial"/>
        </w:rPr>
      </w:pPr>
    </w:p>
    <w:p w14:paraId="7A000849" w14:textId="77777777" w:rsidR="004F32DD" w:rsidRDefault="004F32DD" w:rsidP="004F32DD">
      <w:pPr>
        <w:jc w:val="both"/>
        <w:rPr>
          <w:rFonts w:ascii="Arial" w:hAnsi="Arial" w:cs="Arial"/>
        </w:rPr>
      </w:pPr>
    </w:p>
    <w:p w14:paraId="57DD1B1A" w14:textId="77777777" w:rsidR="004F32DD" w:rsidRDefault="004F32DD" w:rsidP="004F32DD">
      <w:pPr>
        <w:jc w:val="both"/>
        <w:rPr>
          <w:rFonts w:ascii="Arial" w:hAnsi="Arial" w:cs="Arial"/>
        </w:rPr>
      </w:pPr>
    </w:p>
    <w:p w14:paraId="23ECF730" w14:textId="053B8800" w:rsidR="004F32DD" w:rsidRPr="004F32DD" w:rsidRDefault="004F32DD" w:rsidP="004F32DD">
      <w:pPr>
        <w:spacing w:line="360" w:lineRule="auto"/>
        <w:jc w:val="both"/>
        <w:rPr>
          <w:rFonts w:ascii="Arial" w:hAnsi="Arial" w:cs="Arial"/>
        </w:rPr>
      </w:pPr>
      <w:r>
        <w:rPr>
          <w:rFonts w:ascii="Arial" w:hAnsi="Arial" w:cs="Arial"/>
        </w:rPr>
        <w:lastRenderedPageBreak/>
        <w:t>Introduct</w:t>
      </w:r>
      <w:r w:rsidRPr="004F32DD">
        <w:rPr>
          <w:rFonts w:ascii="Arial" w:hAnsi="Arial" w:cs="Arial"/>
        </w:rPr>
        <w:t>ion</w:t>
      </w:r>
    </w:p>
    <w:p w14:paraId="54D3A622"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This essay will be looking at elderly people in the UK and more importantly, will be fovusing on issues that this group of people is experiencing and what are some of the actions that can be done in order to facilitate a better understating of them. Therefore, it will reflect the implications of government, Health and Social Care sector and society in response to these issues, what are some of the actions that have been taken to solve these issues, and what are some of the theories that can be applied in practice, using policies that enable better practices and show support towards the elderly. </w:t>
      </w:r>
    </w:p>
    <w:p w14:paraId="56993AF2" w14:textId="77777777" w:rsidR="004F32DD" w:rsidRPr="004F32DD" w:rsidRDefault="004F32DD" w:rsidP="004F32DD">
      <w:pPr>
        <w:spacing w:line="360" w:lineRule="auto"/>
        <w:jc w:val="both"/>
        <w:rPr>
          <w:rFonts w:ascii="Arial" w:hAnsi="Arial" w:cs="Arial"/>
        </w:rPr>
      </w:pPr>
    </w:p>
    <w:p w14:paraId="4F773286" w14:textId="77777777" w:rsidR="004F32DD" w:rsidRPr="004F32DD" w:rsidRDefault="004F32DD" w:rsidP="004F32DD">
      <w:pPr>
        <w:spacing w:line="360" w:lineRule="auto"/>
        <w:jc w:val="both"/>
        <w:rPr>
          <w:rFonts w:ascii="Arial" w:hAnsi="Arial" w:cs="Arial"/>
        </w:rPr>
      </w:pPr>
      <w:r w:rsidRPr="004F32DD">
        <w:rPr>
          <w:rFonts w:ascii="Arial" w:hAnsi="Arial" w:cs="Arial"/>
        </w:rPr>
        <w:t>Old Age</w:t>
      </w:r>
    </w:p>
    <w:p w14:paraId="2ADA2C00" w14:textId="77777777" w:rsidR="004F32DD" w:rsidRPr="004F32DD" w:rsidRDefault="004F32DD" w:rsidP="004F32DD">
      <w:pPr>
        <w:spacing w:line="360" w:lineRule="auto"/>
        <w:jc w:val="both"/>
        <w:rPr>
          <w:rFonts w:ascii="Arial" w:hAnsi="Arial" w:cs="Arial"/>
        </w:rPr>
      </w:pPr>
      <w:r w:rsidRPr="004F32DD">
        <w:rPr>
          <w:rFonts w:ascii="Arial" w:hAnsi="Arial" w:cs="Arial"/>
        </w:rPr>
        <w:t>In theory, old age represents a social construct that frames people who are over the age of 65 as being old (NHS, 2020). In practice, it is not that easy to define what age a person should be considered old. Therefore, it is important to keep in mind the fact that not everyone is comfortable with this label once they have reached the age of 65. Moreover, there are people over 75 or 80 who are much healthier than people who are younger than them (ibid.). Therefore, old age should not be considered a label that is offensive, and individuals should be able to label themselves when considered to be ‘old age’. More importantly, this term is starting to become out of date. Therefore, the age of 65 is not considered an official retirement age, as the state pension age is rising constantly, and people are still working after the age of 65 (ONS, 2019).</w:t>
      </w:r>
    </w:p>
    <w:p w14:paraId="0ED6D65E" w14:textId="77777777" w:rsidR="004F32DD" w:rsidRPr="004F32DD" w:rsidRDefault="004F32DD" w:rsidP="004F32DD">
      <w:pPr>
        <w:spacing w:line="360" w:lineRule="auto"/>
        <w:jc w:val="both"/>
        <w:rPr>
          <w:rFonts w:ascii="Arial" w:hAnsi="Arial" w:cs="Arial"/>
        </w:rPr>
      </w:pPr>
      <w:r w:rsidRPr="004F32DD">
        <w:rPr>
          <w:rFonts w:ascii="Arial" w:hAnsi="Arial" w:cs="Arial"/>
        </w:rPr>
        <w:t>Laslett &amp; Richard (1996) state that the rapid age of the population is a trend of the twentieth century, and it is an unprecedented one in the entire population history of England. WHO (2021) states that between 2015 and 2050, the number of people who are aged iver 60 has increased from 12% to 22%, and in some years’ time, the number of old people will be much larger the number of children. That is why, it is important ot pay attention to the issues that old people are confronting with now, so they will be resolved by the time the number increase considerably and it will be too late to reverse the impact.</w:t>
      </w:r>
    </w:p>
    <w:p w14:paraId="62EA89DF" w14:textId="77777777" w:rsidR="004F32DD" w:rsidRPr="004F32DD" w:rsidRDefault="004F32DD" w:rsidP="004F32DD">
      <w:pPr>
        <w:spacing w:line="360" w:lineRule="auto"/>
        <w:jc w:val="both"/>
        <w:rPr>
          <w:rFonts w:ascii="Arial" w:hAnsi="Arial" w:cs="Arial"/>
        </w:rPr>
      </w:pPr>
    </w:p>
    <w:p w14:paraId="5AB812EA" w14:textId="77777777" w:rsidR="004F32DD" w:rsidRPr="004F32DD" w:rsidRDefault="004F32DD" w:rsidP="004F32DD">
      <w:pPr>
        <w:spacing w:line="360" w:lineRule="auto"/>
        <w:jc w:val="both"/>
        <w:rPr>
          <w:rFonts w:ascii="Arial" w:hAnsi="Arial" w:cs="Arial"/>
        </w:rPr>
      </w:pPr>
      <w:r w:rsidRPr="004F32DD">
        <w:rPr>
          <w:rFonts w:ascii="Arial" w:hAnsi="Arial" w:cs="Arial"/>
        </w:rPr>
        <w:t>Impact of Old Age on the Society</w:t>
      </w:r>
    </w:p>
    <w:p w14:paraId="62BA9238"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Having a population that is rapidly changing has both positive and negative impacts on the society and it involves a lot of responsibilities when it comes to the other groups of individuals who will have to provide different solutions to the issues that come alongside the old age. </w:t>
      </w:r>
    </w:p>
    <w:p w14:paraId="2A8847CF" w14:textId="77777777" w:rsidR="004F32DD" w:rsidRPr="004F32DD" w:rsidRDefault="004F32DD" w:rsidP="004F32DD">
      <w:pPr>
        <w:spacing w:line="360" w:lineRule="auto"/>
        <w:jc w:val="both"/>
        <w:rPr>
          <w:rFonts w:ascii="Arial" w:hAnsi="Arial" w:cs="Arial"/>
        </w:rPr>
      </w:pPr>
      <w:r w:rsidRPr="004F32DD">
        <w:rPr>
          <w:rFonts w:ascii="Arial" w:hAnsi="Arial" w:cs="Arial"/>
        </w:rPr>
        <w:lastRenderedPageBreak/>
        <w:t>Some of the reasons why the age structure in the UK and worldwide has changes is because of fertility and mortality. ONS (2018) states that since the 1960s the fertility rates have declined in the UK as well as globally. Another reason is immigration. Even though immigration represents a positive impact to a country because most of the immigrants are a young age, it is only for short term since they also age, and they also tend to converge other individuals from that respective country (Dubuc, 2016). Life expectancy has also increased. Now, male babies in the UK are expected to live for 79.2 years while girls are expected to live to 22.6% (ONS, 2019).</w:t>
      </w:r>
    </w:p>
    <w:p w14:paraId="4937A564" w14:textId="77777777" w:rsidR="004F32DD" w:rsidRPr="004F32DD" w:rsidRDefault="004F32DD" w:rsidP="004F32DD">
      <w:pPr>
        <w:spacing w:line="360" w:lineRule="auto"/>
        <w:jc w:val="both"/>
        <w:rPr>
          <w:rFonts w:ascii="Arial" w:hAnsi="Arial" w:cs="Arial"/>
        </w:rPr>
      </w:pPr>
      <w:r w:rsidRPr="004F32DD">
        <w:rPr>
          <w:rFonts w:ascii="Arial" w:hAnsi="Arial" w:cs="Arial"/>
        </w:rPr>
        <w:t>The positive outcomes of this aging population are that, for starters, it will open new opportunities at a societal individual level, as there will be a much more sense of community activism, people will work for long, and new markets will emerge (ONS, 2018). Employment rates for older women has constantly increased in the UK since the 1980s (Chandler &amp; Tetlow, 2014). People leave longer and healthier lives. Health has changed, and the way it is delivered to the population nowadays compared to the mid-80s (ONS, 2021).</w:t>
      </w:r>
    </w:p>
    <w:p w14:paraId="76D0DB52" w14:textId="77777777" w:rsidR="004F32DD" w:rsidRPr="004F32DD" w:rsidRDefault="004F32DD" w:rsidP="004F32DD">
      <w:pPr>
        <w:spacing w:line="360" w:lineRule="auto"/>
        <w:jc w:val="both"/>
        <w:rPr>
          <w:rFonts w:ascii="Arial" w:hAnsi="Arial" w:cs="Arial"/>
        </w:rPr>
      </w:pPr>
      <w:r w:rsidRPr="004F32DD">
        <w:rPr>
          <w:rFonts w:ascii="Arial" w:hAnsi="Arial" w:cs="Arial"/>
        </w:rPr>
        <w:t>The negative outcomes of having a population that is aging at the rate the one in UK is, then the implications are colossal. Firstly, people aging represents a risk of developing illness and becoming frails, which ultimately leads to an increase in the need for health and social care (Raymond et al., 2021). More people will need health and social care, residential care home, and the use of NHS. A scenario presents that, once morbidity increases, it will lead to complications such as much more treatment for patients, comorbidities that will need to be able to look after, but which will ultimately complicate the treatment and have the patient brought in the hospital (Howdon &amp; Rice, 2018). The expenditure of pensions will increase even more. The State Pension account has risen with 3.6% since 1997 (ONS, 2017). Later in life, people consume more welfare spending, which means that the government will have to pay more for pensions and health and social care.</w:t>
      </w:r>
    </w:p>
    <w:p w14:paraId="457ACB81" w14:textId="77777777" w:rsidR="004F32DD" w:rsidRPr="004F32DD" w:rsidRDefault="004F32DD" w:rsidP="004F32DD">
      <w:pPr>
        <w:spacing w:line="360" w:lineRule="auto"/>
        <w:jc w:val="both"/>
        <w:rPr>
          <w:rFonts w:ascii="Arial" w:hAnsi="Arial" w:cs="Arial"/>
        </w:rPr>
      </w:pPr>
    </w:p>
    <w:p w14:paraId="12DDF14D" w14:textId="77777777" w:rsidR="004F32DD" w:rsidRPr="004F32DD" w:rsidRDefault="004F32DD" w:rsidP="004F32DD">
      <w:pPr>
        <w:spacing w:line="360" w:lineRule="auto"/>
        <w:jc w:val="both"/>
        <w:rPr>
          <w:rFonts w:ascii="Arial" w:hAnsi="Arial" w:cs="Arial"/>
        </w:rPr>
      </w:pPr>
      <w:r w:rsidRPr="004F32DD">
        <w:rPr>
          <w:rFonts w:ascii="Arial" w:hAnsi="Arial" w:cs="Arial"/>
        </w:rPr>
        <w:t>Issues experienced by the elder population</w:t>
      </w:r>
    </w:p>
    <w:p w14:paraId="677EDDDA"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The issues that the elderly is experiencing are complex and not only affect that specific target group of individuals, but the entire society locally and globally. AgeUK (2022) states that there are multiple conditions that are developed by the elderly that represent a bigger issue for their life and their health. Therefore, issues such as arthritis, dementia, depression and anxiety and hearing loss are just some of the complications that the elderly face when they reach the old age. </w:t>
      </w:r>
    </w:p>
    <w:p w14:paraId="0911EDF5" w14:textId="77777777" w:rsidR="004F32DD" w:rsidRPr="004F32DD" w:rsidRDefault="004F32DD" w:rsidP="004F32DD">
      <w:pPr>
        <w:spacing w:line="360" w:lineRule="auto"/>
        <w:jc w:val="both"/>
        <w:rPr>
          <w:rFonts w:ascii="Arial" w:hAnsi="Arial" w:cs="Arial"/>
        </w:rPr>
      </w:pPr>
      <w:r w:rsidRPr="004F32DD">
        <w:rPr>
          <w:rFonts w:ascii="Arial" w:hAnsi="Arial" w:cs="Arial"/>
        </w:rPr>
        <w:lastRenderedPageBreak/>
        <w:t xml:space="preserve">That is why, it is significant to be aware fo these issues and try to figure out way which can diminish them for the greater good. Other issues that the elderly face which can represents a significant issue for them are living arrangements, worries and stress about the need for a caregiver (the individual might have no family so he needs to be put into a care home, he might not like, or he might not be treated accordingly), access to goods and services, history of trauma and losses. Financial status is another issue that revolves around old age (because of health conditions, he might have to pay money in order to facilitate a better lifestyle which might be too expensive for him). When increasing the statutory retirement age, it makes early retirement financially less sustainable (Walsh et al., 2021). Therefore, they might face economic exclusion which not only affects the individual, but also the society itself. </w:t>
      </w:r>
    </w:p>
    <w:p w14:paraId="0FE289DA"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Old age comes along with multiple issues that need to be addressed, as everyone reaches that point in their life and need to be prepared. Because elderly might not have the same voice as the younger ones when trying to express their wishes and needs, solutions for these need to be implemented in order to avoid social issues like the ones previously mentioned. </w:t>
      </w:r>
    </w:p>
    <w:p w14:paraId="00CF2C5E" w14:textId="77777777" w:rsidR="004F32DD" w:rsidRPr="004F32DD" w:rsidRDefault="004F32DD" w:rsidP="004F32DD">
      <w:pPr>
        <w:spacing w:line="360" w:lineRule="auto"/>
        <w:jc w:val="both"/>
        <w:rPr>
          <w:rFonts w:ascii="Arial" w:hAnsi="Arial" w:cs="Arial"/>
        </w:rPr>
      </w:pPr>
      <w:r w:rsidRPr="004F32DD">
        <w:rPr>
          <w:rFonts w:ascii="Arial" w:hAnsi="Arial" w:cs="Arial"/>
        </w:rPr>
        <w:t>An issue that will be presented in much greater detail will be the mental health of elderly, and how it has been impacting their lives. When talking about mental health, the issue refers to depression and anxiety. In younger people, depression is associated with feelings of sadness and discouragement, as well as sleeping problems, concentration, and weight loss issues. However, there is a difference between younger and older people, and that is that depression in old people manifests behind somatic symptoms (Gottfries, 1998). Veith &amp; Raskind (1988) state that depression in elderly appears as an outcome of age-related changes in the individual, which makes him more vulnerable. More importantly, there are also risk factors that come along the old age such as loneliness, somatic diseases, and institutionalizations, which become more common with old age rather than with the younger one (Palsson &amp; Skoog, 1997). Another mental health condition that the elderly experience with old age is anxiety. Anxiety disorders appear to be more prominent in old age individuals who also suffer from a high level of comorbidity (Bryant, Jackson &amp; Ames, 2009). This issue is associated with long standings vulnerabilities, which is ultimately transformed in a mix of anxiety and depression that is stronger than having one of the issues on their own (Schoevers, et al., 2003).</w:t>
      </w:r>
    </w:p>
    <w:p w14:paraId="26E5C028"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Here, theories of old age interfere. For example, these issues can be associated with the disengagement theory, which specifies that when older adults grow, they distance themselves from the society, and it results in a mutual activity where the society disengages with the elderly, while they also do the same with the society (Larkin, 2009). This highlights the root causes of issues such as depression and anxiety since both of their risk factors as well as outcomes are based on loneliness and the feeling of being alone. The Care Act 2010 states </w:t>
      </w:r>
      <w:r w:rsidRPr="004F32DD">
        <w:rPr>
          <w:rFonts w:ascii="Arial" w:hAnsi="Arial" w:cs="Arial"/>
        </w:rPr>
        <w:lastRenderedPageBreak/>
        <w:t>that every person should be entitled to personalised centred care. Therefore, a patient that is in the hands of a caregiver should not hide their anxiety from them and should be able to open up to them about their issues. Therefore, the person-centred care, which is based on the Care Act policy, allows the caregiver to personalize the treatment of the patient alongside with him (The Health Foundation, 2014). This procedure will help the individual who experiences depression to be able to include in the treatment things that make him happy or that spurs his interest in order to forget about the issues that pressure him.</w:t>
      </w:r>
    </w:p>
    <w:p w14:paraId="5709863D" w14:textId="77777777" w:rsidR="004F32DD" w:rsidRPr="004F32DD" w:rsidRDefault="004F32DD" w:rsidP="004F32DD">
      <w:pPr>
        <w:spacing w:line="360" w:lineRule="auto"/>
        <w:jc w:val="both"/>
        <w:rPr>
          <w:rFonts w:ascii="Arial" w:hAnsi="Arial" w:cs="Arial"/>
        </w:rPr>
      </w:pPr>
    </w:p>
    <w:p w14:paraId="236FB0FC" w14:textId="77777777" w:rsidR="004F32DD" w:rsidRPr="004F32DD" w:rsidRDefault="004F32DD" w:rsidP="004F32DD">
      <w:pPr>
        <w:spacing w:line="360" w:lineRule="auto"/>
        <w:jc w:val="both"/>
        <w:rPr>
          <w:rFonts w:ascii="Arial" w:hAnsi="Arial" w:cs="Arial"/>
        </w:rPr>
      </w:pPr>
      <w:r w:rsidRPr="004F32DD">
        <w:rPr>
          <w:rFonts w:ascii="Arial" w:hAnsi="Arial" w:cs="Arial"/>
        </w:rPr>
        <w:t>Old age in the pandemic</w:t>
      </w:r>
    </w:p>
    <w:p w14:paraId="0EE5750A" w14:textId="77777777" w:rsidR="004F32DD" w:rsidRPr="004F32DD" w:rsidRDefault="004F32DD" w:rsidP="004F32DD">
      <w:pPr>
        <w:spacing w:line="360" w:lineRule="auto"/>
        <w:jc w:val="both"/>
        <w:rPr>
          <w:rFonts w:ascii="Arial" w:hAnsi="Arial" w:cs="Arial"/>
        </w:rPr>
      </w:pPr>
      <w:r w:rsidRPr="004F32DD">
        <w:rPr>
          <w:rFonts w:ascii="Arial" w:hAnsi="Arial" w:cs="Arial"/>
        </w:rPr>
        <w:t>Old age brings in with it risks of various infections that can put the life at risks. It is important to remember that the old age is the most affected group of individuals in the case of the pandemic as not only they have comorbidities that will put their life at even greater risk, but Team (2020) states that the progression of illness and risk of death is three times higher in the older age group than in all other groups.</w:t>
      </w:r>
    </w:p>
    <w:p w14:paraId="13C7AAAC" w14:textId="77777777" w:rsidR="004F32DD" w:rsidRPr="004F32DD" w:rsidRDefault="004F32DD" w:rsidP="004F32DD">
      <w:pPr>
        <w:spacing w:line="360" w:lineRule="auto"/>
        <w:jc w:val="both"/>
        <w:rPr>
          <w:rFonts w:ascii="Arial" w:hAnsi="Arial" w:cs="Arial"/>
        </w:rPr>
      </w:pPr>
      <w:r w:rsidRPr="004F32DD">
        <w:rPr>
          <w:rFonts w:ascii="Arial" w:hAnsi="Arial" w:cs="Arial"/>
        </w:rPr>
        <w:t>Armitage &amp; Nellums (2020) state that social isolation is a serious concern due to not only their vulnerabilities, but also for their mental health. They state that social distancing, has been a very concerning issue for the older people, especially those living in nursing care homes, as they represent an independent factor risk for depression and anxiety disorders (CDC, 2019). That is why, the pandemic represented for the old age a factor of stigmatization, as they have been marginalized because of their condition (Banerjee, 2020). The Public Interest Disclosure Act 1998, which goes hand in hand with the Modernization Theory (Morgan and Kunkel, 2011), explain that, in the context given, the elderly should be protected and receive all the care and support they need in care homes, even though they status has ‘declined’ in the society.  Even though Banerjee (2020) states that seniors are not comfortable with smart phone or the social media language, which presumably have also been factors that induced loneliness and depression during these times, according to ONS, 47% of people over the age of 75 have recently become internet users in the UK (Aging Better, 2020). Therefore, it is appropriate to state that in the UK, the pandemic has offerd the elderly the possibility to disocver technology and its positive outcomes, which can be seen as a chance to contrast the Modernization Theory.</w:t>
      </w:r>
    </w:p>
    <w:p w14:paraId="6DEB3823" w14:textId="77777777" w:rsidR="004F32DD" w:rsidRPr="004F32DD" w:rsidRDefault="004F32DD" w:rsidP="004F32DD">
      <w:pPr>
        <w:spacing w:line="360" w:lineRule="auto"/>
        <w:jc w:val="both"/>
        <w:rPr>
          <w:rFonts w:ascii="Arial" w:hAnsi="Arial" w:cs="Arial"/>
        </w:rPr>
      </w:pPr>
    </w:p>
    <w:p w14:paraId="73D584A2" w14:textId="77777777" w:rsidR="004F32DD" w:rsidRPr="004F32DD" w:rsidRDefault="004F32DD" w:rsidP="004F32DD">
      <w:pPr>
        <w:spacing w:line="360" w:lineRule="auto"/>
        <w:jc w:val="both"/>
        <w:rPr>
          <w:rFonts w:ascii="Arial" w:hAnsi="Arial" w:cs="Arial"/>
        </w:rPr>
      </w:pPr>
      <w:r w:rsidRPr="004F32DD">
        <w:rPr>
          <w:rFonts w:ascii="Arial" w:hAnsi="Arial" w:cs="Arial"/>
        </w:rPr>
        <w:t>Health and social care provision in the UK</w:t>
      </w:r>
    </w:p>
    <w:p w14:paraId="614E26AC"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Health and social care in the UK are a confusing service as they represent two separate bodies that are handled by two different systems within the Kingdom. Healthcare, which differs in </w:t>
      </w:r>
      <w:r w:rsidRPr="004F32DD">
        <w:rPr>
          <w:rFonts w:ascii="Arial" w:hAnsi="Arial" w:cs="Arial"/>
        </w:rPr>
        <w:lastRenderedPageBreak/>
        <w:t>England, Scotland, Wales, and Northern Ireland, is collectively known as NHS, and it is centrally organised by the government (The Care Workers Charity, 2019). Whereas for Social Care, it is administered by the local authorities, and it represents agencies and activities that are meant to help individuals in need, and it provides a range of services (NHS, 2022). The current social care provision in the UK is still affected by the pandemic, as it disrupted several individual and societal practices (Pearce et al., 2021). Still, even before that, the system was not performing at its full potential. 75% of the care workers state that they have not received any support that would allow them to take a break of between one and 24hours from caring in the last 12 months, and there have been cuts in the local authority social care spending which have ultimately led to increases in the use of A&amp;E services by the people over the ages of 65 (Thorlby et al., 2019). Nonetheless, the positives and the potential social care has in the UK is massive. It not only enables people to live independent and fulfilling lives, as it supports all range of disabilities and conditions, but it also plays a significant role in local economies, and it provides work for a large number of people and has the opportunity to develop improved approach to care through innovation and technology (KingsFund, 2021).</w:t>
      </w:r>
    </w:p>
    <w:p w14:paraId="0E2E7D03"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Government implications </w:t>
      </w:r>
    </w:p>
    <w:p w14:paraId="287E9E7A" w14:textId="77777777" w:rsidR="004F32DD" w:rsidRPr="004F32DD" w:rsidRDefault="004F32DD" w:rsidP="004F32DD">
      <w:pPr>
        <w:spacing w:line="360" w:lineRule="auto"/>
        <w:jc w:val="both"/>
        <w:rPr>
          <w:rFonts w:ascii="Arial" w:hAnsi="Arial" w:cs="Arial"/>
        </w:rPr>
      </w:pPr>
      <w:r w:rsidRPr="004F32DD">
        <w:rPr>
          <w:rFonts w:ascii="Arial" w:hAnsi="Arial" w:cs="Arial"/>
        </w:rPr>
        <w:t>It is important to acknowledge the implications of the government and the social care practices in the issues that this sector of health in the UK experience. There are current laws which protect social care, but they do not keep up with the requirements of today’s societal implications.</w:t>
      </w:r>
    </w:p>
    <w:p w14:paraId="1C92859D" w14:textId="77777777" w:rsidR="004F32DD" w:rsidRPr="004F32DD" w:rsidRDefault="004F32DD" w:rsidP="004F32DD">
      <w:pPr>
        <w:spacing w:line="360" w:lineRule="auto"/>
        <w:jc w:val="both"/>
        <w:rPr>
          <w:rFonts w:ascii="Arial" w:hAnsi="Arial" w:cs="Arial"/>
        </w:rPr>
      </w:pPr>
      <w:r w:rsidRPr="004F32DD">
        <w:rPr>
          <w:rFonts w:ascii="Arial" w:hAnsi="Arial" w:cs="Arial"/>
        </w:rPr>
        <w:t xml:space="preserve">Therefore, some of the responses that the government has given in relation to the issues that have been presented earlier are policies that focus on implementing practices and procedures who will help the the sector for the long term. The first policy is Build Back Better  which reflects on the challenges and changes that have been present in the sector because of Covid 19. Hence, the plan reflects the wish to bring health and social care much more closer to one another, so from October 2023, no eligible person starting social care will have to pay more than £86,000 for personal care in their lifetime. Even though this could have been a possibility for the government to make social care free or at least at a minimal cost, it still represents a step for the better for the social care department. Therefore, from 2023, this policy will be legislatively separate, and will be based on National Insurance contributions. Another policy which has come up as a response for the issues that have been presented within the social care sector. The Health and Social CARE Levy states that the government will be committed to responsible management of public finances, which ultimately will lead to a permanent increase in spending. Unfortunately, this will represent a significant increase in taxation for most individuals in the UK. Taking effect in April 2023, the policy will be the foundation to other </w:t>
      </w:r>
      <w:r w:rsidRPr="004F32DD">
        <w:rPr>
          <w:rFonts w:ascii="Arial" w:hAnsi="Arial" w:cs="Arial"/>
        </w:rPr>
        <w:lastRenderedPageBreak/>
        <w:t>implementations such as the Build Back Better and laws that will become effective in years’ time.</w:t>
      </w:r>
    </w:p>
    <w:p w14:paraId="3C1CA2F7" w14:textId="77777777" w:rsidR="004F32DD" w:rsidRPr="004F32DD" w:rsidRDefault="004F32DD" w:rsidP="004F32DD">
      <w:pPr>
        <w:spacing w:line="360" w:lineRule="auto"/>
        <w:jc w:val="both"/>
        <w:rPr>
          <w:rFonts w:ascii="Arial" w:hAnsi="Arial" w:cs="Arial"/>
        </w:rPr>
      </w:pPr>
    </w:p>
    <w:p w14:paraId="31A4A9C9" w14:textId="77777777" w:rsidR="004F32DD" w:rsidRPr="004F32DD" w:rsidRDefault="004F32DD" w:rsidP="004F32DD">
      <w:pPr>
        <w:spacing w:line="360" w:lineRule="auto"/>
        <w:jc w:val="both"/>
        <w:rPr>
          <w:rFonts w:ascii="Arial" w:hAnsi="Arial" w:cs="Arial"/>
        </w:rPr>
      </w:pPr>
      <w:r w:rsidRPr="004F32DD">
        <w:rPr>
          <w:rFonts w:ascii="Arial" w:hAnsi="Arial" w:cs="Arial"/>
        </w:rPr>
        <w:t>Conclusion</w:t>
      </w:r>
    </w:p>
    <w:p w14:paraId="15124583" w14:textId="77777777" w:rsidR="004F32DD" w:rsidRPr="004F32DD" w:rsidRDefault="004F32DD" w:rsidP="004F32DD">
      <w:pPr>
        <w:spacing w:line="360" w:lineRule="auto"/>
        <w:jc w:val="both"/>
        <w:rPr>
          <w:rFonts w:ascii="Arial" w:hAnsi="Arial" w:cs="Arial"/>
        </w:rPr>
      </w:pPr>
      <w:r w:rsidRPr="004F32DD">
        <w:rPr>
          <w:rFonts w:ascii="Arial" w:hAnsi="Arial" w:cs="Arial"/>
        </w:rPr>
        <w:t>In conclusion, this essay has been looking at the meaning of Old Age and what issues it involves. It has been presented the definition of old age, which differs from theory and practice, as well as the implications of an aging population like the one the UK has. Afterwards, issues that the old age experiences have been disclosed, using relevant examples and key literature. An issues has been explained in detail, which has been linked to theory policy and practice. Followed shortly after, the implications of the pandemic on the elderly population in the UK have been presented, which has critically evaluated the situation from an individual and societal perspective. Lastly, a critical overview of Health and Social Care provision has been presented, which ultimately has been linked to responses from government and the health service regarding the issues presented.</w:t>
      </w:r>
    </w:p>
    <w:p w14:paraId="79015C9F" w14:textId="7D4FF26B" w:rsidR="004F32DD" w:rsidRDefault="004F32DD" w:rsidP="004F32DD">
      <w:pPr>
        <w:spacing w:line="360" w:lineRule="auto"/>
        <w:jc w:val="both"/>
        <w:rPr>
          <w:rFonts w:ascii="Arial" w:hAnsi="Arial" w:cs="Arial"/>
        </w:rPr>
      </w:pPr>
    </w:p>
    <w:p w14:paraId="7F13F2FF" w14:textId="3B5E11DB" w:rsidR="004F32DD" w:rsidRDefault="004F32DD" w:rsidP="004F32DD">
      <w:pPr>
        <w:spacing w:line="360" w:lineRule="auto"/>
        <w:jc w:val="both"/>
        <w:rPr>
          <w:rFonts w:ascii="Arial" w:hAnsi="Arial" w:cs="Arial"/>
        </w:rPr>
      </w:pPr>
    </w:p>
    <w:p w14:paraId="22DFC3B8" w14:textId="7D64366B" w:rsidR="004F32DD" w:rsidRDefault="004F32DD" w:rsidP="004F32DD">
      <w:pPr>
        <w:spacing w:line="360" w:lineRule="auto"/>
        <w:jc w:val="both"/>
        <w:rPr>
          <w:rFonts w:ascii="Arial" w:hAnsi="Arial" w:cs="Arial"/>
        </w:rPr>
      </w:pPr>
    </w:p>
    <w:p w14:paraId="08889924" w14:textId="7B67ADB3" w:rsidR="004F32DD" w:rsidRDefault="004F32DD" w:rsidP="004F32DD">
      <w:pPr>
        <w:spacing w:line="360" w:lineRule="auto"/>
        <w:jc w:val="both"/>
        <w:rPr>
          <w:rFonts w:ascii="Arial" w:hAnsi="Arial" w:cs="Arial"/>
        </w:rPr>
      </w:pPr>
    </w:p>
    <w:p w14:paraId="537FB200" w14:textId="64DC7B25" w:rsidR="004F32DD" w:rsidRDefault="004F32DD" w:rsidP="004F32DD">
      <w:pPr>
        <w:spacing w:line="360" w:lineRule="auto"/>
        <w:jc w:val="both"/>
        <w:rPr>
          <w:rFonts w:ascii="Arial" w:hAnsi="Arial" w:cs="Arial"/>
        </w:rPr>
      </w:pPr>
    </w:p>
    <w:p w14:paraId="796D2FC7" w14:textId="6CCED05D" w:rsidR="004F32DD" w:rsidRDefault="004F32DD" w:rsidP="004F32DD">
      <w:pPr>
        <w:spacing w:line="360" w:lineRule="auto"/>
        <w:jc w:val="both"/>
        <w:rPr>
          <w:rFonts w:ascii="Arial" w:hAnsi="Arial" w:cs="Arial"/>
        </w:rPr>
      </w:pPr>
    </w:p>
    <w:p w14:paraId="551C6F5A" w14:textId="3EE8BB5E" w:rsidR="004F32DD" w:rsidRDefault="004F32DD" w:rsidP="004F32DD">
      <w:pPr>
        <w:spacing w:line="360" w:lineRule="auto"/>
        <w:jc w:val="both"/>
        <w:rPr>
          <w:rFonts w:ascii="Arial" w:hAnsi="Arial" w:cs="Arial"/>
        </w:rPr>
      </w:pPr>
    </w:p>
    <w:p w14:paraId="0168DFAA" w14:textId="2F59406B" w:rsidR="004F32DD" w:rsidRDefault="004F32DD" w:rsidP="004F32DD">
      <w:pPr>
        <w:spacing w:line="360" w:lineRule="auto"/>
        <w:jc w:val="both"/>
        <w:rPr>
          <w:rFonts w:ascii="Arial" w:hAnsi="Arial" w:cs="Arial"/>
        </w:rPr>
      </w:pPr>
    </w:p>
    <w:p w14:paraId="0E09238A" w14:textId="0FA51BDF" w:rsidR="004F32DD" w:rsidRDefault="004F32DD" w:rsidP="004F32DD">
      <w:pPr>
        <w:spacing w:line="360" w:lineRule="auto"/>
        <w:jc w:val="both"/>
        <w:rPr>
          <w:rFonts w:ascii="Arial" w:hAnsi="Arial" w:cs="Arial"/>
        </w:rPr>
      </w:pPr>
    </w:p>
    <w:p w14:paraId="4C2AF4B8" w14:textId="26FB099B" w:rsidR="004F32DD" w:rsidRDefault="004F32DD" w:rsidP="004F32DD">
      <w:pPr>
        <w:spacing w:line="360" w:lineRule="auto"/>
        <w:jc w:val="both"/>
        <w:rPr>
          <w:rFonts w:ascii="Arial" w:hAnsi="Arial" w:cs="Arial"/>
        </w:rPr>
      </w:pPr>
    </w:p>
    <w:p w14:paraId="07AC3782" w14:textId="74DA328A" w:rsidR="004F32DD" w:rsidRDefault="004F32DD" w:rsidP="004F32DD">
      <w:pPr>
        <w:spacing w:line="360" w:lineRule="auto"/>
        <w:jc w:val="both"/>
        <w:rPr>
          <w:rFonts w:ascii="Arial" w:hAnsi="Arial" w:cs="Arial"/>
        </w:rPr>
      </w:pPr>
    </w:p>
    <w:p w14:paraId="71D1E0CD" w14:textId="1BA9FE4E" w:rsidR="004F32DD" w:rsidRDefault="004F32DD" w:rsidP="004F32DD">
      <w:pPr>
        <w:spacing w:line="360" w:lineRule="auto"/>
        <w:jc w:val="both"/>
        <w:rPr>
          <w:rFonts w:ascii="Arial" w:hAnsi="Arial" w:cs="Arial"/>
        </w:rPr>
      </w:pPr>
    </w:p>
    <w:p w14:paraId="638DA41E" w14:textId="4BDDEC10" w:rsidR="004F32DD" w:rsidRDefault="004F32DD" w:rsidP="004F32DD">
      <w:pPr>
        <w:spacing w:line="360" w:lineRule="auto"/>
        <w:jc w:val="both"/>
        <w:rPr>
          <w:rFonts w:ascii="Arial" w:hAnsi="Arial" w:cs="Arial"/>
        </w:rPr>
      </w:pPr>
    </w:p>
    <w:p w14:paraId="35F425D0" w14:textId="725B6E4E" w:rsidR="004F32DD" w:rsidRDefault="004F32DD" w:rsidP="004F32DD">
      <w:pPr>
        <w:spacing w:line="360" w:lineRule="auto"/>
        <w:jc w:val="both"/>
        <w:rPr>
          <w:rFonts w:ascii="Arial" w:hAnsi="Arial" w:cs="Arial"/>
        </w:rPr>
      </w:pPr>
    </w:p>
    <w:p w14:paraId="38A3AD0F" w14:textId="77777777" w:rsidR="004F32DD" w:rsidRPr="004F32DD" w:rsidRDefault="004F32DD" w:rsidP="004F32DD">
      <w:pPr>
        <w:spacing w:line="360" w:lineRule="auto"/>
        <w:jc w:val="both"/>
        <w:rPr>
          <w:rFonts w:ascii="Arial" w:hAnsi="Arial" w:cs="Arial"/>
        </w:rPr>
      </w:pPr>
    </w:p>
    <w:p w14:paraId="444B3C25" w14:textId="77777777" w:rsidR="004F32DD" w:rsidRPr="004F32DD" w:rsidRDefault="004F32DD" w:rsidP="004F32DD">
      <w:pPr>
        <w:spacing w:line="360" w:lineRule="auto"/>
        <w:jc w:val="both"/>
        <w:rPr>
          <w:rFonts w:ascii="Arial" w:hAnsi="Arial" w:cs="Arial"/>
        </w:rPr>
      </w:pPr>
      <w:r w:rsidRPr="004F32DD">
        <w:rPr>
          <w:rFonts w:ascii="Arial" w:hAnsi="Arial" w:cs="Arial"/>
        </w:rPr>
        <w:lastRenderedPageBreak/>
        <w:t xml:space="preserve">References </w:t>
      </w:r>
    </w:p>
    <w:p w14:paraId="154F1F00"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AgeUK (2022) </w:t>
      </w:r>
      <w:r w:rsidRPr="004F32DD">
        <w:rPr>
          <w:rFonts w:ascii="Arial" w:hAnsi="Arial" w:cs="Arial"/>
          <w:i/>
          <w:iCs/>
        </w:rPr>
        <w:t xml:space="preserve">Conditions and illnesses </w:t>
      </w:r>
      <w:r w:rsidRPr="004F32DD">
        <w:rPr>
          <w:rFonts w:ascii="Arial" w:hAnsi="Arial" w:cs="Arial"/>
        </w:rPr>
        <w:t xml:space="preserve">(online). Available at: </w:t>
      </w:r>
      <w:hyperlink r:id="rId8" w:history="1">
        <w:r w:rsidRPr="004F32DD">
          <w:rPr>
            <w:rFonts w:ascii="Arial" w:hAnsi="Arial" w:cs="Arial"/>
            <w:color w:val="0563C1" w:themeColor="hyperlink"/>
            <w:u w:val="single"/>
          </w:rPr>
          <w:t>https://www.ageuk.org.uk/information-advice/health-wellbeing/conditions-illnesses/</w:t>
        </w:r>
      </w:hyperlink>
      <w:r w:rsidRPr="004F32DD">
        <w:rPr>
          <w:rFonts w:ascii="Arial" w:hAnsi="Arial" w:cs="Arial"/>
        </w:rPr>
        <w:t xml:space="preserve"> (Accessed 30 July 2022).</w:t>
      </w:r>
    </w:p>
    <w:p w14:paraId="1765086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Aging Better (2020) </w:t>
      </w:r>
      <w:r w:rsidRPr="004F32DD">
        <w:rPr>
          <w:rFonts w:ascii="Arial" w:hAnsi="Arial" w:cs="Arial"/>
          <w:i/>
          <w:iCs/>
        </w:rPr>
        <w:t xml:space="preserve">How are older people adapting to digital technology during the COVID-19 pandemic </w:t>
      </w:r>
      <w:r w:rsidRPr="004F32DD">
        <w:rPr>
          <w:rFonts w:ascii="Arial" w:hAnsi="Arial" w:cs="Arial"/>
        </w:rPr>
        <w:t xml:space="preserve">(online) Available at: </w:t>
      </w:r>
      <w:hyperlink r:id="rId9" w:history="1">
        <w:r w:rsidRPr="004F32DD">
          <w:rPr>
            <w:rFonts w:ascii="Arial" w:hAnsi="Arial" w:cs="Arial"/>
            <w:color w:val="0563C1" w:themeColor="hyperlink"/>
            <w:u w:val="single"/>
          </w:rPr>
          <w:t>https://ageing-better.org.uk/blogs/how-are-older-people-adapting-digital-technology-during-covid-19-pandemic</w:t>
        </w:r>
      </w:hyperlink>
      <w:r w:rsidRPr="004F32DD">
        <w:rPr>
          <w:rFonts w:ascii="Arial" w:hAnsi="Arial" w:cs="Arial"/>
        </w:rPr>
        <w:t xml:space="preserve"> (Accessed 31 July 2022).</w:t>
      </w:r>
    </w:p>
    <w:p w14:paraId="19FF791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Armitage, R., &amp; Nellums, L. B. (2020), ‘COVID-19 and the consequences of isolating the elderly’, </w:t>
      </w:r>
      <w:r w:rsidRPr="004F32DD">
        <w:rPr>
          <w:rFonts w:ascii="Arial" w:hAnsi="Arial" w:cs="Arial"/>
          <w:i/>
          <w:iCs/>
        </w:rPr>
        <w:t>The Lancet Public Health</w:t>
      </w:r>
      <w:r w:rsidRPr="004F32DD">
        <w:rPr>
          <w:rFonts w:ascii="Arial" w:hAnsi="Arial" w:cs="Arial"/>
        </w:rPr>
        <w:t>, 5(5), pp. e256.</w:t>
      </w:r>
    </w:p>
    <w:p w14:paraId="78D50087"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Banerjee, D. (2020), ‘The impact of Covid</w:t>
      </w:r>
      <w:r w:rsidRPr="004F32DD">
        <w:rPr>
          <w:rFonts w:ascii="Cambria Math" w:hAnsi="Cambria Math" w:cs="Cambria Math"/>
        </w:rPr>
        <w:t>‐</w:t>
      </w:r>
      <w:r w:rsidRPr="004F32DD">
        <w:rPr>
          <w:rFonts w:ascii="Arial" w:hAnsi="Arial" w:cs="Arial"/>
        </w:rPr>
        <w:t xml:space="preserve">19 pandemic on elderly mental health’, </w:t>
      </w:r>
      <w:r w:rsidRPr="004F32DD">
        <w:rPr>
          <w:rFonts w:ascii="Arial" w:hAnsi="Arial" w:cs="Arial"/>
          <w:i/>
          <w:iCs/>
        </w:rPr>
        <w:t>International Journal of Geriatric Psychiatry</w:t>
      </w:r>
      <w:r w:rsidRPr="004F32DD">
        <w:rPr>
          <w:rFonts w:ascii="Arial" w:hAnsi="Arial" w:cs="Arial"/>
        </w:rPr>
        <w:t>, 35(12), pp. 1466.</w:t>
      </w:r>
    </w:p>
    <w:p w14:paraId="1E823C72"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Bryant, C., Jackson, H. and Ames, D. (2009), ‘Depressionand anxiety in medically unwell older adults: prevalenceand short-term course’, </w:t>
      </w:r>
      <w:r w:rsidRPr="004F32DD">
        <w:rPr>
          <w:rFonts w:ascii="Arial" w:hAnsi="Arial" w:cs="Arial"/>
          <w:i/>
          <w:iCs/>
        </w:rPr>
        <w:t>International Psychogeriatrics</w:t>
      </w:r>
      <w:r w:rsidRPr="004F32DD">
        <w:rPr>
          <w:rFonts w:ascii="Arial" w:hAnsi="Arial" w:cs="Arial"/>
        </w:rPr>
        <w:t>, 21, pp. 754–764.</w:t>
      </w:r>
    </w:p>
    <w:p w14:paraId="0555AF91" w14:textId="77777777" w:rsidR="004F32DD" w:rsidRPr="004F32DD" w:rsidRDefault="004F32DD" w:rsidP="004F32DD">
      <w:pPr>
        <w:numPr>
          <w:ilvl w:val="0"/>
          <w:numId w:val="1"/>
        </w:numPr>
        <w:spacing w:line="360" w:lineRule="auto"/>
        <w:contextualSpacing/>
        <w:jc w:val="both"/>
      </w:pPr>
      <w:r w:rsidRPr="004F32DD">
        <w:rPr>
          <w:rFonts w:ascii="Arial" w:hAnsi="Arial" w:cs="Arial"/>
        </w:rPr>
        <w:t xml:space="preserve">CDC (2019) </w:t>
      </w:r>
      <w:r w:rsidRPr="004F32DD">
        <w:rPr>
          <w:rFonts w:ascii="Arial" w:hAnsi="Arial" w:cs="Arial"/>
          <w:i/>
          <w:iCs/>
        </w:rPr>
        <w:t>Managing Stress and Anxiety</w:t>
      </w:r>
      <w:r w:rsidRPr="004F32DD">
        <w:rPr>
          <w:rFonts w:ascii="Arial" w:hAnsi="Arial" w:cs="Arial"/>
        </w:rPr>
        <w:t xml:space="preserve"> (online) Available at: </w:t>
      </w:r>
      <w:hyperlink r:id="rId10" w:history="1">
        <w:r w:rsidRPr="004F32DD">
          <w:rPr>
            <w:rFonts w:ascii="Arial" w:hAnsi="Arial" w:cs="Arial"/>
            <w:color w:val="0563C1" w:themeColor="hyperlink"/>
            <w:u w:val="single"/>
          </w:rPr>
          <w:t>https://www.cdc.gov/coronavirus/2019-ncov/prepare/managing-stress-anxiety.html</w:t>
        </w:r>
      </w:hyperlink>
      <w:r w:rsidRPr="004F32DD">
        <w:rPr>
          <w:rFonts w:ascii="Arial" w:hAnsi="Arial" w:cs="Arial"/>
        </w:rPr>
        <w:t xml:space="preserve"> (Accessed 31 July 2022).</w:t>
      </w:r>
      <w:r w:rsidRPr="004F32DD">
        <w:t xml:space="preserve"> </w:t>
      </w:r>
    </w:p>
    <w:p w14:paraId="433D127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Chandler, D. &amp; Tetlow, G. (2014) </w:t>
      </w:r>
      <w:r w:rsidRPr="004F32DD">
        <w:rPr>
          <w:rFonts w:ascii="Arial" w:hAnsi="Arial" w:cs="Arial"/>
          <w:i/>
          <w:iCs/>
        </w:rPr>
        <w:t>Retirement in the 21st Century - IFS Report R98</w:t>
      </w:r>
      <w:r w:rsidRPr="004F32DD">
        <w:rPr>
          <w:rFonts w:ascii="Arial" w:hAnsi="Arial" w:cs="Arial"/>
        </w:rPr>
        <w:t xml:space="preserve"> (online). Available at: </w:t>
      </w:r>
      <w:hyperlink r:id="rId11" w:history="1">
        <w:r w:rsidRPr="004F32DD">
          <w:rPr>
            <w:rFonts w:ascii="Arial" w:hAnsi="Arial" w:cs="Arial"/>
            <w:color w:val="0563C1" w:themeColor="hyperlink"/>
            <w:u w:val="single"/>
          </w:rPr>
          <w:t>https://ifs.org.uk/uploads/publications/comms/R98.pdf</w:t>
        </w:r>
      </w:hyperlink>
      <w:r w:rsidRPr="004F32DD">
        <w:rPr>
          <w:rFonts w:ascii="Arial" w:hAnsi="Arial" w:cs="Arial"/>
        </w:rPr>
        <w:t xml:space="preserve"> (Accessed 29 July 2022).</w:t>
      </w:r>
    </w:p>
    <w:p w14:paraId="18FA08F8"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Dubuc, S. (2016</w:t>
      </w:r>
      <w:r w:rsidRPr="004F32DD">
        <w:rPr>
          <w:rFonts w:ascii="Arial" w:hAnsi="Arial" w:cs="Arial"/>
          <w:i/>
          <w:iCs/>
        </w:rPr>
        <w:t>), Immigrants and ethnic fertility convergence in the UK: the role of global fertility transition and intergenerational social integration</w:t>
      </w:r>
      <w:r w:rsidRPr="004F32DD">
        <w:rPr>
          <w:rFonts w:ascii="Arial" w:hAnsi="Arial" w:cs="Arial"/>
        </w:rPr>
        <w:t xml:space="preserve">. </w:t>
      </w:r>
    </w:p>
    <w:p w14:paraId="4B36CC3D"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Gottfries, C. G. (1998), ‘Is there a difference between elderly and younger patients with regard to the symptomatology and aetiology of depression?’, </w:t>
      </w:r>
      <w:r w:rsidRPr="004F32DD">
        <w:rPr>
          <w:rFonts w:ascii="Arial" w:hAnsi="Arial" w:cs="Arial"/>
          <w:i/>
          <w:iCs/>
        </w:rPr>
        <w:t>International Clinical Psychopharmacology</w:t>
      </w:r>
      <w:r w:rsidRPr="004F32DD">
        <w:rPr>
          <w:rFonts w:ascii="Arial" w:hAnsi="Arial" w:cs="Arial"/>
        </w:rPr>
        <w:t>, 13(5), pp. S13–S18.</w:t>
      </w:r>
    </w:p>
    <w:p w14:paraId="10461834"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Howdon, D., &amp; Rice, N. (2018), ‘Health care expenditures, age, proximity to death and morbidity: Implications for an ageing population’, </w:t>
      </w:r>
      <w:r w:rsidRPr="004F32DD">
        <w:rPr>
          <w:rFonts w:ascii="Arial" w:hAnsi="Arial" w:cs="Arial"/>
          <w:i/>
          <w:iCs/>
        </w:rPr>
        <w:t>Journal of Health Economics</w:t>
      </w:r>
      <w:r w:rsidRPr="004F32DD">
        <w:rPr>
          <w:rFonts w:ascii="Arial" w:hAnsi="Arial" w:cs="Arial"/>
        </w:rPr>
        <w:t>, 57, pp. 60-74.</w:t>
      </w:r>
    </w:p>
    <w:p w14:paraId="6C1B46C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KingsFund (2021) </w:t>
      </w:r>
      <w:r w:rsidRPr="004F32DD">
        <w:rPr>
          <w:rFonts w:ascii="Arial" w:hAnsi="Arial" w:cs="Arial"/>
          <w:i/>
          <w:iCs/>
        </w:rPr>
        <w:t>The value of investing in social care - What are the benefits of further funding for reform to adult social care in England?</w:t>
      </w:r>
      <w:r w:rsidRPr="004F32DD">
        <w:rPr>
          <w:rFonts w:ascii="Arial" w:hAnsi="Arial" w:cs="Arial"/>
        </w:rPr>
        <w:t xml:space="preserve"> (online) Available at: </w:t>
      </w:r>
      <w:hyperlink r:id="rId12" w:history="1">
        <w:r w:rsidRPr="004F32DD">
          <w:rPr>
            <w:rFonts w:ascii="Arial" w:hAnsi="Arial" w:cs="Arial"/>
            <w:color w:val="0563C1" w:themeColor="hyperlink"/>
            <w:u w:val="single"/>
          </w:rPr>
          <w:t>https://www.kingsfund.org.uk/sites/default/files/2021-10/value-investing-social-care-briefing.pdf</w:t>
        </w:r>
      </w:hyperlink>
      <w:r w:rsidRPr="004F32DD">
        <w:rPr>
          <w:rFonts w:ascii="Arial" w:hAnsi="Arial" w:cs="Arial"/>
        </w:rPr>
        <w:t xml:space="preserve"> (Accessed 31 July 2022).</w:t>
      </w:r>
    </w:p>
    <w:p w14:paraId="6D77097F"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Larkin, M. (2009) </w:t>
      </w:r>
      <w:r w:rsidRPr="004F32DD">
        <w:rPr>
          <w:rFonts w:ascii="Arial" w:hAnsi="Arial" w:cs="Arial"/>
          <w:i/>
          <w:iCs/>
        </w:rPr>
        <w:t>Vulnerable Groups in Health and Social Care</w:t>
      </w:r>
      <w:r w:rsidRPr="004F32DD">
        <w:rPr>
          <w:rFonts w:ascii="Arial" w:hAnsi="Arial" w:cs="Arial"/>
        </w:rPr>
        <w:t>. 1</w:t>
      </w:r>
      <w:r w:rsidRPr="004F32DD">
        <w:rPr>
          <w:rFonts w:ascii="Arial" w:hAnsi="Arial" w:cs="Arial"/>
          <w:vertAlign w:val="superscript"/>
        </w:rPr>
        <w:t>st</w:t>
      </w:r>
      <w:r w:rsidRPr="004F32DD">
        <w:rPr>
          <w:rFonts w:ascii="Arial" w:hAnsi="Arial" w:cs="Arial"/>
        </w:rPr>
        <w:t xml:space="preserve"> edn., London: Sage Publications Ltd.</w:t>
      </w:r>
    </w:p>
    <w:p w14:paraId="0AB438D0"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lastRenderedPageBreak/>
        <w:t xml:space="preserve">Laslett, P., &amp; Richard, W. (1996). What is old age’, </w:t>
      </w:r>
      <w:r w:rsidRPr="004F32DD">
        <w:rPr>
          <w:rFonts w:ascii="Arial" w:hAnsi="Arial" w:cs="Arial"/>
          <w:i/>
          <w:iCs/>
        </w:rPr>
        <w:t>Variation Over Time and Between</w:t>
      </w:r>
      <w:r w:rsidRPr="004F32DD">
        <w:rPr>
          <w:rFonts w:ascii="Arial" w:hAnsi="Arial" w:cs="Arial"/>
        </w:rPr>
        <w:t>, 1(1), pp. 1-8.</w:t>
      </w:r>
    </w:p>
    <w:p w14:paraId="3EF437CA"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NHS (2020). </w:t>
      </w:r>
      <w:r w:rsidRPr="004F32DD">
        <w:rPr>
          <w:rFonts w:ascii="Arial" w:hAnsi="Arial" w:cs="Arial"/>
          <w:i/>
          <w:iCs/>
        </w:rPr>
        <w:t>Improving care for older people</w:t>
      </w:r>
      <w:r w:rsidRPr="004F32DD">
        <w:rPr>
          <w:rFonts w:ascii="Arial" w:hAnsi="Arial" w:cs="Arial"/>
        </w:rPr>
        <w:t xml:space="preserve"> [online]. Available at: </w:t>
      </w:r>
      <w:hyperlink r:id="rId13" w:history="1">
        <w:r w:rsidRPr="004F32DD">
          <w:rPr>
            <w:rFonts w:ascii="Arial" w:hAnsi="Arial" w:cs="Arial"/>
            <w:color w:val="0563C1" w:themeColor="hyperlink"/>
            <w:u w:val="single"/>
          </w:rPr>
          <w:t>https://www.england.nhs.uk/ourwork/clinical-policy/older-people/improving-care-for-older-people/</w:t>
        </w:r>
      </w:hyperlink>
      <w:r w:rsidRPr="004F32DD">
        <w:rPr>
          <w:rFonts w:ascii="Arial" w:hAnsi="Arial" w:cs="Arial"/>
        </w:rPr>
        <w:t xml:space="preserve"> (Accessed 29</w:t>
      </w:r>
      <w:r w:rsidRPr="004F32DD">
        <w:rPr>
          <w:rFonts w:ascii="Arial" w:hAnsi="Arial" w:cs="Arial"/>
          <w:vertAlign w:val="superscript"/>
        </w:rPr>
        <w:t xml:space="preserve"> </w:t>
      </w:r>
      <w:r w:rsidRPr="004F32DD">
        <w:rPr>
          <w:rFonts w:ascii="Arial" w:hAnsi="Arial" w:cs="Arial"/>
        </w:rPr>
        <w:t>July 2022).</w:t>
      </w:r>
    </w:p>
    <w:p w14:paraId="3A0D0B0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NHS (2022) </w:t>
      </w:r>
      <w:r w:rsidRPr="004F32DD">
        <w:rPr>
          <w:rFonts w:ascii="Arial" w:hAnsi="Arial" w:cs="Arial"/>
          <w:i/>
          <w:iCs/>
        </w:rPr>
        <w:t>Social care and support guide</w:t>
      </w:r>
      <w:r w:rsidRPr="004F32DD">
        <w:rPr>
          <w:rFonts w:ascii="Arial" w:hAnsi="Arial" w:cs="Arial"/>
        </w:rPr>
        <w:t xml:space="preserve"> (online) Available at: </w:t>
      </w:r>
      <w:hyperlink r:id="rId14" w:history="1">
        <w:r w:rsidRPr="004F32DD">
          <w:rPr>
            <w:rFonts w:ascii="Arial" w:hAnsi="Arial" w:cs="Arial"/>
            <w:color w:val="0563C1" w:themeColor="hyperlink"/>
            <w:u w:val="single"/>
          </w:rPr>
          <w:t>https://www.nhs.uk/conditions/social-care-and-support-guide/</w:t>
        </w:r>
      </w:hyperlink>
      <w:r w:rsidRPr="004F32DD">
        <w:rPr>
          <w:rFonts w:ascii="Arial" w:hAnsi="Arial" w:cs="Arial"/>
        </w:rPr>
        <w:t xml:space="preserve"> (Accessed 31 July 2022).</w:t>
      </w:r>
    </w:p>
    <w:p w14:paraId="216C48A2"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ONS (2017). </w:t>
      </w:r>
      <w:r w:rsidRPr="004F32DD">
        <w:rPr>
          <w:rFonts w:ascii="Arial" w:hAnsi="Arial" w:cs="Arial"/>
          <w:i/>
          <w:iCs/>
        </w:rPr>
        <w:t>Pensioners in the EU and UK</w:t>
      </w:r>
      <w:r w:rsidRPr="004F32DD">
        <w:rPr>
          <w:rFonts w:ascii="Arial" w:hAnsi="Arial" w:cs="Arial"/>
        </w:rPr>
        <w:t xml:space="preserve"> (online). Available at: </w:t>
      </w:r>
      <w:hyperlink r:id="rId15" w:history="1">
        <w:r w:rsidRPr="004F32DD">
          <w:rPr>
            <w:rFonts w:ascii="Arial" w:hAnsi="Arial" w:cs="Arial"/>
            <w:color w:val="0563C1" w:themeColor="hyperlink"/>
            <w:u w:val="single"/>
          </w:rPr>
          <w:t>https://www.ons.gov.uk/economy/investmentspensionsandtrusts/articles/pensionersintheeuanduk/2017-09-05</w:t>
        </w:r>
      </w:hyperlink>
      <w:r w:rsidRPr="004F32DD">
        <w:rPr>
          <w:rFonts w:ascii="Arial" w:hAnsi="Arial" w:cs="Arial"/>
        </w:rPr>
        <w:t xml:space="preserve"> (Accessed 29 July 2022).</w:t>
      </w:r>
    </w:p>
    <w:p w14:paraId="522B40D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ONS (2018) </w:t>
      </w:r>
      <w:r w:rsidRPr="004F32DD">
        <w:rPr>
          <w:rFonts w:ascii="Arial" w:hAnsi="Arial" w:cs="Arial"/>
          <w:i/>
          <w:iCs/>
        </w:rPr>
        <w:t>Living longer: how our population is changing and why it matters</w:t>
      </w:r>
      <w:r w:rsidRPr="004F32DD">
        <w:rPr>
          <w:rFonts w:ascii="Arial" w:hAnsi="Arial" w:cs="Arial"/>
        </w:rPr>
        <w:t xml:space="preserve"> (online). Available at: </w:t>
      </w:r>
      <w:hyperlink r:id="rId16" w:anchor="what-has-caused-population-ageing" w:history="1">
        <w:r w:rsidRPr="004F32DD">
          <w:rPr>
            <w:rFonts w:ascii="Arial" w:hAnsi="Arial" w:cs="Arial"/>
            <w:color w:val="0563C1" w:themeColor="hyperlink"/>
            <w:u w:val="single"/>
          </w:rPr>
          <w:t>https://www.ons.gov.uk/peoplepopulationandcommunity/birthsdeathsandmarriages/ageing/articles/livinglongerhowourpopulationischangingandwhyitmatters/2018-08-13#what-has-caused-population-ageing</w:t>
        </w:r>
      </w:hyperlink>
      <w:r w:rsidRPr="004F32DD">
        <w:rPr>
          <w:rFonts w:ascii="Arial" w:hAnsi="Arial" w:cs="Arial"/>
        </w:rPr>
        <w:t xml:space="preserve"> (Accessed 29 July 2022).</w:t>
      </w:r>
    </w:p>
    <w:p w14:paraId="6062AD8D"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ONS, (2019) </w:t>
      </w:r>
      <w:r w:rsidRPr="004F32DD">
        <w:rPr>
          <w:rFonts w:ascii="Arial" w:hAnsi="Arial" w:cs="Arial"/>
          <w:i/>
          <w:iCs/>
        </w:rPr>
        <w:t xml:space="preserve">Living Longer: Is 70 the New Age 65? </w:t>
      </w:r>
      <w:r w:rsidRPr="004F32DD">
        <w:rPr>
          <w:rFonts w:ascii="Arial" w:hAnsi="Arial" w:cs="Arial"/>
        </w:rPr>
        <w:t xml:space="preserve">Available at: </w:t>
      </w:r>
      <w:hyperlink r:id="rId17" w:history="1">
        <w:r w:rsidRPr="004F32DD">
          <w:rPr>
            <w:rFonts w:ascii="Arial" w:hAnsi="Arial" w:cs="Arial"/>
            <w:color w:val="0563C1" w:themeColor="hyperlink"/>
            <w:u w:val="single"/>
          </w:rPr>
          <w:t>https://www.ons.gov.uk/peoplepopulationandcommunity/birthsdeathsandmarriages/ageing/articles/livinglongerisage70thenewage65/2019-11-19</w:t>
        </w:r>
      </w:hyperlink>
      <w:r w:rsidRPr="004F32DD">
        <w:rPr>
          <w:rFonts w:ascii="Arial" w:hAnsi="Arial" w:cs="Arial"/>
        </w:rPr>
        <w:t xml:space="preserve"> (Accessed</w:t>
      </w:r>
      <w:r w:rsidRPr="004F32DD">
        <w:t xml:space="preserve"> </w:t>
      </w:r>
      <w:r w:rsidRPr="004F32DD">
        <w:rPr>
          <w:rFonts w:ascii="Arial" w:hAnsi="Arial" w:cs="Arial"/>
        </w:rPr>
        <w:t>29 July 2022).</w:t>
      </w:r>
    </w:p>
    <w:p w14:paraId="44A8DE54"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Palsson, S., &amp; Skoog, I. (1997), ‘The epidemiology of affective disorders in the elderly: a review’, </w:t>
      </w:r>
      <w:r w:rsidRPr="004F32DD">
        <w:rPr>
          <w:rFonts w:ascii="Arial" w:hAnsi="Arial" w:cs="Arial"/>
          <w:i/>
          <w:iCs/>
        </w:rPr>
        <w:t>International Clinical Psychopharmacology</w:t>
      </w:r>
      <w:r w:rsidRPr="004F32DD">
        <w:rPr>
          <w:rFonts w:ascii="Arial" w:hAnsi="Arial" w:cs="Arial"/>
        </w:rPr>
        <w:t>, 12, pp. S3-13.</w:t>
      </w:r>
    </w:p>
    <w:p w14:paraId="1D6609C5"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Pearce, C., (2021), ‘‘A silent epidemic of grief’: a survey of bereavement care provision in the UK and Ireland during the COVID-19 pandemic’, </w:t>
      </w:r>
      <w:r w:rsidRPr="004F32DD">
        <w:rPr>
          <w:rFonts w:ascii="Arial" w:hAnsi="Arial" w:cs="Arial"/>
          <w:i/>
          <w:iCs/>
        </w:rPr>
        <w:t>BMJ open</w:t>
      </w:r>
      <w:r w:rsidRPr="004F32DD">
        <w:rPr>
          <w:rFonts w:ascii="Arial" w:hAnsi="Arial" w:cs="Arial"/>
        </w:rPr>
        <w:t>, 11(3), pp. e046872.</w:t>
      </w:r>
    </w:p>
    <w:p w14:paraId="6E918874"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Raymond, A. et al. (2021) </w:t>
      </w:r>
      <w:r w:rsidRPr="004F32DD">
        <w:rPr>
          <w:rFonts w:ascii="Arial" w:hAnsi="Arial" w:cs="Arial"/>
          <w:i/>
          <w:iCs/>
        </w:rPr>
        <w:t>Our ageing population - How ageing affects health and care need in England</w:t>
      </w:r>
      <w:r w:rsidRPr="004F32DD">
        <w:rPr>
          <w:rFonts w:ascii="Arial" w:hAnsi="Arial" w:cs="Arial"/>
        </w:rPr>
        <w:t xml:space="preserve"> (ONLINE). Available at: </w:t>
      </w:r>
      <w:hyperlink r:id="rId18" w:history="1">
        <w:r w:rsidRPr="004F32DD">
          <w:rPr>
            <w:rFonts w:ascii="Arial" w:hAnsi="Arial" w:cs="Arial"/>
            <w:color w:val="0563C1" w:themeColor="hyperlink"/>
            <w:u w:val="single"/>
          </w:rPr>
          <w:t>https://www.health.org.uk/publications/our-ageing-population</w:t>
        </w:r>
      </w:hyperlink>
      <w:r w:rsidRPr="004F32DD">
        <w:rPr>
          <w:rFonts w:ascii="Arial" w:hAnsi="Arial" w:cs="Arial"/>
        </w:rPr>
        <w:t xml:space="preserve"> (Accessed 29 July 2022).</w:t>
      </w:r>
    </w:p>
    <w:p w14:paraId="602CCBB1"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Schoevers, R. A., et al. (2003), ‘Comorbidity and risk</w:t>
      </w:r>
      <w:r w:rsidRPr="004F32DD">
        <w:rPr>
          <w:rFonts w:ascii="Cambria Math" w:hAnsi="Cambria Math" w:cs="Cambria Math"/>
        </w:rPr>
        <w:t>‐</w:t>
      </w:r>
      <w:r w:rsidRPr="004F32DD">
        <w:rPr>
          <w:rFonts w:ascii="Arial" w:hAnsi="Arial" w:cs="Arial"/>
        </w:rPr>
        <w:t>patterns of depression, generalised anxiety disorder and mixed anxiety</w:t>
      </w:r>
      <w:r w:rsidRPr="004F32DD">
        <w:rPr>
          <w:rFonts w:ascii="Cambria Math" w:hAnsi="Cambria Math" w:cs="Cambria Math"/>
        </w:rPr>
        <w:t>‐</w:t>
      </w:r>
      <w:r w:rsidRPr="004F32DD">
        <w:rPr>
          <w:rFonts w:ascii="Arial" w:hAnsi="Arial" w:cs="Arial"/>
        </w:rPr>
        <w:t xml:space="preserve">depression in later life: results from the AMSTEL study’, </w:t>
      </w:r>
      <w:r w:rsidRPr="004F32DD">
        <w:rPr>
          <w:rFonts w:ascii="Arial" w:hAnsi="Arial" w:cs="Arial"/>
          <w:i/>
          <w:iCs/>
        </w:rPr>
        <w:t>International Journal of Geriatric Psychiatry</w:t>
      </w:r>
      <w:r w:rsidRPr="004F32DD">
        <w:rPr>
          <w:rFonts w:ascii="Arial" w:hAnsi="Arial" w:cs="Arial"/>
        </w:rPr>
        <w:t>, 18(11), pp. 994-1001.</w:t>
      </w:r>
    </w:p>
    <w:p w14:paraId="318F2164"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Team, E. (2020), ‘The epidemiological characteristics of an outbreak of 2019 novel coronavirus diseases (COVID-19)—China, 2020’, </w:t>
      </w:r>
      <w:r w:rsidRPr="004F32DD">
        <w:rPr>
          <w:rFonts w:ascii="Arial" w:hAnsi="Arial" w:cs="Arial"/>
          <w:i/>
          <w:iCs/>
        </w:rPr>
        <w:t>China CDC weekly</w:t>
      </w:r>
      <w:r w:rsidRPr="004F32DD">
        <w:rPr>
          <w:rFonts w:ascii="Arial" w:hAnsi="Arial" w:cs="Arial"/>
        </w:rPr>
        <w:t>, 2(8), pp.113.</w:t>
      </w:r>
    </w:p>
    <w:p w14:paraId="5B00B5DE"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The Care Workers Charity (2019) </w:t>
      </w:r>
      <w:r w:rsidRPr="004F32DD">
        <w:rPr>
          <w:rFonts w:ascii="Arial" w:hAnsi="Arial" w:cs="Arial"/>
          <w:i/>
          <w:iCs/>
        </w:rPr>
        <w:t>Health and Social Care Services: The Essential Guide</w:t>
      </w:r>
      <w:r w:rsidRPr="004F32DD">
        <w:rPr>
          <w:rFonts w:ascii="Arial" w:hAnsi="Arial" w:cs="Arial"/>
        </w:rPr>
        <w:t xml:space="preserve"> (online) Available at: </w:t>
      </w:r>
      <w:hyperlink r:id="rId19" w:history="1">
        <w:r w:rsidRPr="004F32DD">
          <w:rPr>
            <w:rFonts w:ascii="Arial" w:hAnsi="Arial" w:cs="Arial"/>
            <w:color w:val="0563C1" w:themeColor="hyperlink"/>
            <w:u w:val="single"/>
          </w:rPr>
          <w:t>https://www.thecareworkerscharity.org.uk/blog/health-and-social-care-services/</w:t>
        </w:r>
      </w:hyperlink>
      <w:r w:rsidRPr="004F32DD">
        <w:rPr>
          <w:rFonts w:ascii="Arial" w:hAnsi="Arial" w:cs="Arial"/>
        </w:rPr>
        <w:t xml:space="preserve"> (Accessed 31 July 2022).</w:t>
      </w:r>
    </w:p>
    <w:p w14:paraId="454DFCDC"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The Health Foundation (2014) </w:t>
      </w:r>
      <w:r w:rsidRPr="004F32DD">
        <w:rPr>
          <w:rFonts w:ascii="Arial" w:hAnsi="Arial" w:cs="Arial"/>
          <w:i/>
          <w:iCs/>
        </w:rPr>
        <w:t>Person-centred care made simple</w:t>
      </w:r>
      <w:r w:rsidRPr="004F32DD">
        <w:rPr>
          <w:rFonts w:ascii="Arial" w:hAnsi="Arial" w:cs="Arial"/>
        </w:rPr>
        <w:t xml:space="preserve"> (online) Available at: </w:t>
      </w:r>
      <w:hyperlink r:id="rId20" w:history="1">
        <w:r w:rsidRPr="004F32DD">
          <w:rPr>
            <w:rFonts w:ascii="Arial" w:hAnsi="Arial" w:cs="Arial"/>
            <w:color w:val="0563C1" w:themeColor="hyperlink"/>
            <w:u w:val="single"/>
          </w:rPr>
          <w:t>https://www.health.org.uk/publications/person-centred-care-made-simple</w:t>
        </w:r>
      </w:hyperlink>
      <w:r w:rsidRPr="004F32DD">
        <w:rPr>
          <w:rFonts w:ascii="Arial" w:hAnsi="Arial" w:cs="Arial"/>
        </w:rPr>
        <w:t xml:space="preserve"> (Accessed 31 July 2022).</w:t>
      </w:r>
    </w:p>
    <w:p w14:paraId="5BEA5D63"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lastRenderedPageBreak/>
        <w:t>Thorlby, R. et al. (2019</w:t>
      </w:r>
      <w:r w:rsidRPr="004F32DD">
        <w:rPr>
          <w:rFonts w:ascii="Arial" w:hAnsi="Arial" w:cs="Arial"/>
          <w:i/>
          <w:iCs/>
        </w:rPr>
        <w:t>) What’s the problem with social care, and why do we need to do better?</w:t>
      </w:r>
      <w:r w:rsidRPr="004F32DD">
        <w:rPr>
          <w:rFonts w:ascii="Arial" w:hAnsi="Arial" w:cs="Arial"/>
        </w:rPr>
        <w:t xml:space="preserve"> (online) Available at: </w:t>
      </w:r>
      <w:hyperlink r:id="rId21" w:history="1">
        <w:r w:rsidRPr="004F32DD">
          <w:rPr>
            <w:rFonts w:ascii="Arial" w:hAnsi="Arial" w:cs="Arial"/>
            <w:color w:val="0563C1" w:themeColor="hyperlink"/>
            <w:u w:val="single"/>
          </w:rPr>
          <w:t>https://www.health.org.uk/sites/default/files/NHS-70-What-Can-We-Do-About-Social-Care.pdf</w:t>
        </w:r>
      </w:hyperlink>
      <w:r w:rsidRPr="004F32DD">
        <w:rPr>
          <w:rFonts w:ascii="Arial" w:hAnsi="Arial" w:cs="Arial"/>
        </w:rPr>
        <w:t xml:space="preserve"> (Accessed 31 July 2022).</w:t>
      </w:r>
    </w:p>
    <w:p w14:paraId="490D7428"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Veith, R. C., &amp; Raskind, M. A. (1988), ‘The neurobiology of aging: does it predispose to depression?’, </w:t>
      </w:r>
      <w:r w:rsidRPr="004F32DD">
        <w:rPr>
          <w:rFonts w:ascii="Arial" w:hAnsi="Arial" w:cs="Arial"/>
          <w:i/>
          <w:iCs/>
        </w:rPr>
        <w:t>Neurobiology of Aging</w:t>
      </w:r>
      <w:r w:rsidRPr="004F32DD">
        <w:rPr>
          <w:rFonts w:ascii="Arial" w:hAnsi="Arial" w:cs="Arial"/>
        </w:rPr>
        <w:t>, 9, pp. 101-117.</w:t>
      </w:r>
    </w:p>
    <w:p w14:paraId="242E1087"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Walsh, K., et al. (2021), ‘Social exclusion in later life: interdisciplinary and policy perspectives’, </w:t>
      </w:r>
      <w:r w:rsidRPr="004F32DD">
        <w:rPr>
          <w:rFonts w:ascii="Arial" w:hAnsi="Arial" w:cs="Arial"/>
          <w:i/>
          <w:iCs/>
        </w:rPr>
        <w:t>Springer Nature</w:t>
      </w:r>
      <w:r w:rsidRPr="004F32DD">
        <w:rPr>
          <w:rFonts w:ascii="Arial" w:hAnsi="Arial" w:cs="Arial"/>
        </w:rPr>
        <w:t>, 28(1), pp. 1-452.</w:t>
      </w:r>
    </w:p>
    <w:p w14:paraId="163CD766" w14:textId="77777777" w:rsidR="004F32DD" w:rsidRPr="004F32DD" w:rsidRDefault="004F32DD" w:rsidP="004F32DD">
      <w:pPr>
        <w:numPr>
          <w:ilvl w:val="0"/>
          <w:numId w:val="1"/>
        </w:numPr>
        <w:spacing w:line="360" w:lineRule="auto"/>
        <w:contextualSpacing/>
        <w:jc w:val="both"/>
        <w:rPr>
          <w:rFonts w:ascii="Arial" w:hAnsi="Arial" w:cs="Arial"/>
        </w:rPr>
      </w:pPr>
      <w:r w:rsidRPr="004F32DD">
        <w:rPr>
          <w:rFonts w:ascii="Arial" w:hAnsi="Arial" w:cs="Arial"/>
        </w:rPr>
        <w:t xml:space="preserve">WHO (2021) </w:t>
      </w:r>
      <w:r w:rsidRPr="004F32DD">
        <w:rPr>
          <w:rFonts w:ascii="Arial" w:hAnsi="Arial" w:cs="Arial"/>
          <w:i/>
          <w:iCs/>
        </w:rPr>
        <w:t>Ageing and health</w:t>
      </w:r>
      <w:r w:rsidRPr="004F32DD">
        <w:rPr>
          <w:rFonts w:ascii="Arial" w:hAnsi="Arial" w:cs="Arial"/>
        </w:rPr>
        <w:t xml:space="preserve"> (online). Available at: </w:t>
      </w:r>
      <w:hyperlink r:id="rId22" w:history="1">
        <w:r w:rsidRPr="004F32DD">
          <w:rPr>
            <w:rFonts w:ascii="Arial" w:hAnsi="Arial" w:cs="Arial"/>
            <w:color w:val="0563C1" w:themeColor="hyperlink"/>
            <w:u w:val="single"/>
          </w:rPr>
          <w:t>https://www.who.int/news-room/fact-sheets/detail/ageing-and-health</w:t>
        </w:r>
      </w:hyperlink>
      <w:r w:rsidRPr="004F32DD">
        <w:rPr>
          <w:rFonts w:ascii="Arial" w:hAnsi="Arial" w:cs="Arial"/>
        </w:rPr>
        <w:t xml:space="preserve"> (Accessed 29 July 2022).</w:t>
      </w:r>
    </w:p>
    <w:p w14:paraId="319D831D" w14:textId="77777777" w:rsidR="00516EF8" w:rsidRPr="004F32DD" w:rsidRDefault="00000000" w:rsidP="004F32DD">
      <w:pPr>
        <w:spacing w:line="360" w:lineRule="auto"/>
        <w:jc w:val="both"/>
        <w:rPr>
          <w:rFonts w:ascii="Arial" w:hAnsi="Arial" w:cs="Arial"/>
        </w:rPr>
      </w:pPr>
    </w:p>
    <w:sectPr w:rsidR="00516EF8" w:rsidRPr="004F32DD">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67A22C4"/>
    <w:multiLevelType w:val="hybridMultilevel"/>
    <w:tmpl w:val="CAE8CFB2"/>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92480453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F32DD"/>
    <w:rsid w:val="0002006C"/>
    <w:rsid w:val="004F32DD"/>
    <w:rsid w:val="005B5535"/>
    <w:rsid w:val="00656332"/>
    <w:rsid w:val="007F35DD"/>
    <w:rsid w:val="00854BC6"/>
    <w:rsid w:val="008E1E7B"/>
    <w:rsid w:val="009D3DAC"/>
    <w:rsid w:val="00BB562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8126617"/>
  <w15:chartTrackingRefBased/>
  <w15:docId w15:val="{32B90686-FF29-42AE-8BF4-8D113A23281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ageuk.org.uk/information-advice/health-wellbeing/conditions-illnesses/" TargetMode="External"/><Relationship Id="rId13" Type="http://schemas.openxmlformats.org/officeDocument/2006/relationships/hyperlink" Target="https://www.england.nhs.uk/ourwork/clinical-policy/older-people/improving-care-for-older-people/" TargetMode="External"/><Relationship Id="rId18" Type="http://schemas.openxmlformats.org/officeDocument/2006/relationships/hyperlink" Target="https://www.health.org.uk/publications/our-ageing-population" TargetMode="External"/><Relationship Id="rId3" Type="http://schemas.openxmlformats.org/officeDocument/2006/relationships/customXml" Target="../customXml/item3.xml"/><Relationship Id="rId21" Type="http://schemas.openxmlformats.org/officeDocument/2006/relationships/hyperlink" Target="https://www.health.org.uk/sites/default/files/NHS-70-What-Can-We-Do-About-Social-Care.pdf" TargetMode="External"/><Relationship Id="rId7" Type="http://schemas.openxmlformats.org/officeDocument/2006/relationships/webSettings" Target="webSettings.xml"/><Relationship Id="rId12" Type="http://schemas.openxmlformats.org/officeDocument/2006/relationships/hyperlink" Target="https://www.kingsfund.org.uk/sites/default/files/2021-10/value-investing-social-care-briefing.pdf" TargetMode="External"/><Relationship Id="rId17" Type="http://schemas.openxmlformats.org/officeDocument/2006/relationships/hyperlink" Target="https://www.ons.gov.uk/peoplepopulationandcommunity/birthsdeathsandmarriages/ageing/articles/livinglongerisage70thenewage65/2019-11-19" TargetMode="External"/><Relationship Id="rId2" Type="http://schemas.openxmlformats.org/officeDocument/2006/relationships/customXml" Target="../customXml/item2.xml"/><Relationship Id="rId16" Type="http://schemas.openxmlformats.org/officeDocument/2006/relationships/hyperlink" Target="https://www.ons.gov.uk/peoplepopulationandcommunity/birthsdeathsandmarriages/ageing/articles/livinglongerhowourpopulationischangingandwhyitmatters/2018-08-13" TargetMode="External"/><Relationship Id="rId20" Type="http://schemas.openxmlformats.org/officeDocument/2006/relationships/hyperlink" Target="https://www.health.org.uk/publications/person-centred-care-made-simple" TargetMode="Externa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ifs.org.uk/uploads/publications/comms/R98.pdf" TargetMode="External"/><Relationship Id="rId24" Type="http://schemas.openxmlformats.org/officeDocument/2006/relationships/theme" Target="theme/theme1.xml"/><Relationship Id="rId5" Type="http://schemas.openxmlformats.org/officeDocument/2006/relationships/styles" Target="styles.xml"/><Relationship Id="rId15" Type="http://schemas.openxmlformats.org/officeDocument/2006/relationships/hyperlink" Target="https://www.ons.gov.uk/economy/investmentspensionsandtrusts/articles/pensionersintheeuanduk/2017-09-05" TargetMode="External"/><Relationship Id="rId23" Type="http://schemas.openxmlformats.org/officeDocument/2006/relationships/fontTable" Target="fontTable.xml"/><Relationship Id="rId10" Type="http://schemas.openxmlformats.org/officeDocument/2006/relationships/hyperlink" Target="https://www.cdc.gov/coronavirus/2019-ncov/prepare/managing-stress-anxiety.html" TargetMode="External"/><Relationship Id="rId19" Type="http://schemas.openxmlformats.org/officeDocument/2006/relationships/hyperlink" Target="https://www.thecareworkerscharity.org.uk/blog/health-and-social-care-services/" TargetMode="External"/><Relationship Id="rId4" Type="http://schemas.openxmlformats.org/officeDocument/2006/relationships/numbering" Target="numbering.xml"/><Relationship Id="rId9" Type="http://schemas.openxmlformats.org/officeDocument/2006/relationships/hyperlink" Target="https://ageing-better.org.uk/blogs/how-are-older-people-adapting-digital-technology-during-covid-19-pandemic" TargetMode="External"/><Relationship Id="rId14" Type="http://schemas.openxmlformats.org/officeDocument/2006/relationships/hyperlink" Target="https://www.nhs.uk/conditions/social-care-and-support-guide/" TargetMode="External"/><Relationship Id="rId22" Type="http://schemas.openxmlformats.org/officeDocument/2006/relationships/hyperlink" Target="https://www.who.int/news-room/fact-sheets/detail/ageing-and-health"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p:properties xmlns:p="http://schemas.microsoft.com/office/2006/metadata/properties" xmlns:xsi="http://www.w3.org/2001/XMLSchema-instance" xmlns:pc="http://schemas.microsoft.com/office/infopath/2007/PartnerControls">
  <documentManagement/>
</p: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56E7CA236AE83B4C8AACB9AE9F32993B" ma:contentTypeVersion="7" ma:contentTypeDescription="Create a new document." ma:contentTypeScope="" ma:versionID="ac30102ca6d4d2cafc8728ed2f10846f">
  <xsd:schema xmlns:xsd="http://www.w3.org/2001/XMLSchema" xmlns:xs="http://www.w3.org/2001/XMLSchema" xmlns:p="http://schemas.microsoft.com/office/2006/metadata/properties" xmlns:ns3="9902240c-f584-4322-946e-7b0be23bca91" xmlns:ns4="d2ec016d-25cf-4c07-aa6b-c53e267faa6f" targetNamespace="http://schemas.microsoft.com/office/2006/metadata/properties" ma:root="true" ma:fieldsID="b4895632a30eeeef7afd6346e06ebbbf" ns3:_="" ns4:_="">
    <xsd:import namespace="9902240c-f584-4322-946e-7b0be23bca91"/>
    <xsd:import namespace="d2ec016d-25cf-4c07-aa6b-c53e267faa6f"/>
    <xsd:element name="properties">
      <xsd:complexType>
        <xsd:sequence>
          <xsd:element name="documentManagement">
            <xsd:complexType>
              <xsd:all>
                <xsd:element ref="ns3:MediaServiceMetadata" minOccurs="0"/>
                <xsd:element ref="ns3:MediaServiceFastMetadata" minOccurs="0"/>
                <xsd:element ref="ns3:MediaServiceAutoKeyPoints" minOccurs="0"/>
                <xsd:element ref="ns3:MediaServiceKeyPoints" minOccurs="0"/>
                <xsd:element ref="ns4:SharedWithUsers" minOccurs="0"/>
                <xsd:element ref="ns4:SharedWithDetails" minOccurs="0"/>
                <xsd:element ref="ns4:SharingHintHash"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902240c-f584-4322-946e-7b0be23bca91"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KeyPoints" ma:index="10" nillable="true" ma:displayName="MediaServiceAutoKeyPoints" ma:hidden="true" ma:internalName="MediaServiceAutoKeyPoints" ma:readOnly="true">
      <xsd:simpleType>
        <xsd:restriction base="dms:Note"/>
      </xsd:simpleType>
    </xsd:element>
    <xsd:element name="MediaServiceKeyPoints" ma:index="11"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d2ec016d-25cf-4c07-aa6b-c53e267faa6f" elementFormDefault="qualified">
    <xsd:import namespace="http://schemas.microsoft.com/office/2006/documentManagement/types"/>
    <xsd:import namespace="http://schemas.microsoft.com/office/infopath/2007/PartnerControls"/>
    <xsd:element name="SharedWithUsers" ma:index="12"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3" nillable="true" ma:displayName="Shared With Details" ma:internalName="SharedWithDetails" ma:readOnly="true">
      <xsd:simpleType>
        <xsd:restriction base="dms:Note">
          <xsd:maxLength value="255"/>
        </xsd:restriction>
      </xsd:simpleType>
    </xsd:element>
    <xsd:element name="SharingHintHash" ma:index="14"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E541256-6391-42A7-BC36-B19818CD69F1}">
  <ds:schemaRefs>
    <ds:schemaRef ds:uri="http://schemas.microsoft.com/office/2006/metadata/properties"/>
    <ds:schemaRef ds:uri="http://schemas.microsoft.com/office/infopath/2007/PartnerControls"/>
  </ds:schemaRefs>
</ds:datastoreItem>
</file>

<file path=customXml/itemProps2.xml><?xml version="1.0" encoding="utf-8"?>
<ds:datastoreItem xmlns:ds="http://schemas.openxmlformats.org/officeDocument/2006/customXml" ds:itemID="{E3016C94-0C15-41A2-82CE-AD487EB616F0}">
  <ds:schemaRefs>
    <ds:schemaRef ds:uri="http://schemas.microsoft.com/sharepoint/v3/contenttype/forms"/>
  </ds:schemaRefs>
</ds:datastoreItem>
</file>

<file path=customXml/itemProps3.xml><?xml version="1.0" encoding="utf-8"?>
<ds:datastoreItem xmlns:ds="http://schemas.openxmlformats.org/officeDocument/2006/customXml" ds:itemID="{C7B31A45-B035-4825-A3DD-42FDDB3ADE1E}">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902240c-f584-4322-946e-7b0be23bca91"/>
    <ds:schemaRef ds:uri="d2ec016d-25cf-4c07-aa6b-c53e267faa6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11</Pages>
  <Words>3502</Words>
  <Characters>19967</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Mariana Gemes (1920089)</dc:creator>
  <cp:keywords/>
  <dc:description/>
  <cp:lastModifiedBy>Mariana Gemes (1920089)</cp:lastModifiedBy>
  <cp:revision>4</cp:revision>
  <dcterms:created xsi:type="dcterms:W3CDTF">2022-08-04T00:26:00Z</dcterms:created>
  <dcterms:modified xsi:type="dcterms:W3CDTF">2022-08-04T08:58:00Z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0x01010056E7CA236AE83B4C8AACB9AE9F32993B</vt:lpwstr>
  </property>
</Properties>
</file>