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407B6" w14:textId="77777777" w:rsidR="0081222B" w:rsidRPr="00427306" w:rsidRDefault="0081222B">
      <w:pPr>
        <w:rPr>
          <w:rFonts w:ascii="Arial" w:hAnsi="Arial" w:cs="Arial"/>
          <w:sz w:val="22"/>
          <w:szCs w:val="22"/>
        </w:rPr>
      </w:pPr>
    </w:p>
    <w:p w14:paraId="50B15AD6" w14:textId="77777777" w:rsidR="00A52A99" w:rsidRDefault="00A52A99" w:rsidP="005534F4">
      <w:pPr>
        <w:spacing w:line="360" w:lineRule="auto"/>
        <w:rPr>
          <w:rFonts w:ascii="Arial" w:hAnsi="Arial" w:cs="Arial"/>
          <w:b/>
          <w:bCs/>
          <w:sz w:val="22"/>
          <w:szCs w:val="22"/>
        </w:rPr>
      </w:pPr>
    </w:p>
    <w:p w14:paraId="32642D3B" w14:textId="7A2AA2B8"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University of Wales Trinity Saint David (UWTSD)</w:t>
      </w:r>
    </w:p>
    <w:p w14:paraId="4828064D" w14:textId="0867DEED"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Faculty of Health and Social Care</w:t>
      </w:r>
    </w:p>
    <w:p w14:paraId="2F9ABDFC" w14:textId="77777777" w:rsidR="007409B4" w:rsidRPr="00A52A99" w:rsidRDefault="007409B4" w:rsidP="005534F4">
      <w:pPr>
        <w:spacing w:line="360" w:lineRule="auto"/>
        <w:rPr>
          <w:rFonts w:ascii="Arial" w:hAnsi="Arial" w:cs="Arial"/>
          <w:sz w:val="22"/>
          <w:szCs w:val="22"/>
        </w:rPr>
      </w:pPr>
    </w:p>
    <w:p w14:paraId="40805FA1" w14:textId="0D7DD681" w:rsidR="00135FA3" w:rsidRPr="00A52A99" w:rsidRDefault="00135FA3" w:rsidP="005534F4">
      <w:pPr>
        <w:spacing w:line="360" w:lineRule="auto"/>
        <w:rPr>
          <w:rFonts w:ascii="Arial" w:hAnsi="Arial" w:cs="Arial"/>
          <w:b/>
          <w:bCs/>
          <w:sz w:val="22"/>
          <w:szCs w:val="22"/>
        </w:rPr>
      </w:pPr>
      <w:r w:rsidRPr="00A52A99">
        <w:rPr>
          <w:rFonts w:ascii="Arial" w:hAnsi="Arial" w:cs="Arial"/>
          <w:sz w:val="22"/>
          <w:szCs w:val="22"/>
        </w:rPr>
        <w:t xml:space="preserve"> </w:t>
      </w:r>
      <w:r w:rsidRPr="00A52A99">
        <w:rPr>
          <w:rFonts w:ascii="Arial" w:hAnsi="Arial" w:cs="Arial"/>
          <w:b/>
          <w:bCs/>
          <w:sz w:val="22"/>
          <w:szCs w:val="22"/>
        </w:rPr>
        <w:t xml:space="preserve">Assignment Title: Component 1 Portfolio: Guided Report </w:t>
      </w:r>
      <w:r w:rsidR="00A11656" w:rsidRPr="00A52A99">
        <w:rPr>
          <w:rFonts w:ascii="Arial" w:hAnsi="Arial" w:cs="Arial"/>
          <w:b/>
          <w:bCs/>
          <w:sz w:val="22"/>
          <w:szCs w:val="22"/>
        </w:rPr>
        <w:t>and Essay</w:t>
      </w:r>
    </w:p>
    <w:p w14:paraId="17E18439" w14:textId="2BBC74FD" w:rsidR="00135FA3" w:rsidRPr="00A52A99" w:rsidRDefault="00135FA3" w:rsidP="005534F4">
      <w:pPr>
        <w:spacing w:line="360" w:lineRule="auto"/>
        <w:rPr>
          <w:rFonts w:ascii="Arial" w:hAnsi="Arial" w:cs="Arial"/>
          <w:sz w:val="22"/>
          <w:szCs w:val="22"/>
        </w:rPr>
      </w:pPr>
      <w:r w:rsidRPr="00A52A99">
        <w:rPr>
          <w:rFonts w:ascii="Arial" w:hAnsi="Arial" w:cs="Arial"/>
          <w:sz w:val="22"/>
          <w:szCs w:val="22"/>
        </w:rPr>
        <w:t xml:space="preserve"> </w:t>
      </w:r>
      <w:r w:rsidR="004302A9" w:rsidRPr="00A52A99">
        <w:rPr>
          <w:rFonts w:ascii="Arial" w:hAnsi="Arial" w:cs="Arial"/>
          <w:b/>
          <w:bCs/>
          <w:sz w:val="22"/>
          <w:szCs w:val="22"/>
        </w:rPr>
        <w:t>Module Code &amp; Title: LCHS4003 – Introduction to Health and Social Care</w:t>
      </w:r>
    </w:p>
    <w:p w14:paraId="419A454A" w14:textId="77E0CDBF" w:rsidR="00135FA3" w:rsidRPr="00A52A99" w:rsidRDefault="00135FA3" w:rsidP="005534F4">
      <w:pPr>
        <w:spacing w:line="360" w:lineRule="auto"/>
        <w:rPr>
          <w:rFonts w:ascii="Arial" w:hAnsi="Arial" w:cs="Arial"/>
          <w:sz w:val="22"/>
          <w:szCs w:val="22"/>
        </w:rPr>
      </w:pPr>
      <w:r w:rsidRPr="00A52A99">
        <w:rPr>
          <w:rFonts w:ascii="Arial" w:hAnsi="Arial" w:cs="Arial"/>
          <w:sz w:val="22"/>
          <w:szCs w:val="22"/>
        </w:rPr>
        <w:t xml:space="preserve"> </w:t>
      </w:r>
      <w:r w:rsidRPr="00A52A99">
        <w:rPr>
          <w:rFonts w:ascii="Arial" w:hAnsi="Arial" w:cs="Arial"/>
          <w:b/>
          <w:bCs/>
          <w:sz w:val="22"/>
          <w:szCs w:val="22"/>
        </w:rPr>
        <w:t>Student Name</w:t>
      </w:r>
      <w:r w:rsidRPr="00A52A99">
        <w:rPr>
          <w:rFonts w:ascii="Arial" w:hAnsi="Arial" w:cs="Arial"/>
          <w:sz w:val="22"/>
          <w:szCs w:val="22"/>
        </w:rPr>
        <w:t>: Alazar Befikadu</w:t>
      </w:r>
    </w:p>
    <w:p w14:paraId="566105C4" w14:textId="06420F4D" w:rsidR="00135FA3" w:rsidRPr="00A52A99" w:rsidRDefault="00135FA3" w:rsidP="005534F4">
      <w:pPr>
        <w:spacing w:line="360" w:lineRule="auto"/>
        <w:rPr>
          <w:rFonts w:ascii="Arial" w:hAnsi="Arial" w:cs="Arial"/>
          <w:sz w:val="22"/>
          <w:szCs w:val="22"/>
        </w:rPr>
      </w:pPr>
      <w:r w:rsidRPr="00A52A99">
        <w:rPr>
          <w:rFonts w:ascii="Arial" w:hAnsi="Arial" w:cs="Arial"/>
          <w:sz w:val="22"/>
          <w:szCs w:val="22"/>
        </w:rPr>
        <w:t xml:space="preserve"> </w:t>
      </w:r>
      <w:r w:rsidRPr="00A52A99">
        <w:rPr>
          <w:rFonts w:ascii="Arial" w:hAnsi="Arial" w:cs="Arial"/>
          <w:b/>
          <w:bCs/>
          <w:sz w:val="22"/>
          <w:szCs w:val="22"/>
        </w:rPr>
        <w:t>Student Number: 2541000</w:t>
      </w:r>
    </w:p>
    <w:p w14:paraId="632720E5" w14:textId="3698B17A" w:rsidR="00135FA3" w:rsidRPr="00A52A99" w:rsidRDefault="00135FA3" w:rsidP="005534F4">
      <w:pPr>
        <w:spacing w:line="360" w:lineRule="auto"/>
        <w:rPr>
          <w:rFonts w:ascii="Arial" w:hAnsi="Arial" w:cs="Arial"/>
          <w:sz w:val="22"/>
          <w:szCs w:val="22"/>
        </w:rPr>
      </w:pPr>
      <w:r w:rsidRPr="00A52A99">
        <w:rPr>
          <w:rFonts w:ascii="Arial" w:hAnsi="Arial" w:cs="Arial"/>
          <w:b/>
          <w:bCs/>
          <w:sz w:val="22"/>
          <w:szCs w:val="22"/>
        </w:rPr>
        <w:t xml:space="preserve"> Lecturer’s Name: </w:t>
      </w:r>
      <w:r w:rsidRPr="00A52A99">
        <w:rPr>
          <w:rFonts w:ascii="Arial" w:hAnsi="Arial" w:cs="Arial"/>
          <w:sz w:val="22"/>
          <w:szCs w:val="22"/>
        </w:rPr>
        <w:t>Jane</w:t>
      </w:r>
    </w:p>
    <w:p w14:paraId="6F25D239" w14:textId="2F51BAA4" w:rsidR="00135FA3" w:rsidRPr="00A52A99" w:rsidRDefault="00135FA3" w:rsidP="005534F4">
      <w:pPr>
        <w:spacing w:line="360" w:lineRule="auto"/>
        <w:rPr>
          <w:rFonts w:ascii="Arial" w:hAnsi="Arial" w:cs="Arial"/>
          <w:sz w:val="22"/>
          <w:szCs w:val="22"/>
        </w:rPr>
      </w:pPr>
      <w:r w:rsidRPr="00A52A99">
        <w:rPr>
          <w:rFonts w:ascii="Arial" w:hAnsi="Arial" w:cs="Arial"/>
          <w:sz w:val="22"/>
          <w:szCs w:val="22"/>
        </w:rPr>
        <w:t xml:space="preserve"> </w:t>
      </w:r>
      <w:r w:rsidRPr="00A52A99">
        <w:rPr>
          <w:rFonts w:ascii="Arial" w:hAnsi="Arial" w:cs="Arial"/>
          <w:b/>
          <w:bCs/>
          <w:sz w:val="22"/>
          <w:szCs w:val="22"/>
        </w:rPr>
        <w:t>Date of Submission:</w:t>
      </w:r>
      <w:r w:rsidRPr="00A52A99">
        <w:rPr>
          <w:rFonts w:ascii="Arial" w:hAnsi="Arial" w:cs="Arial"/>
          <w:sz w:val="22"/>
          <w:szCs w:val="22"/>
        </w:rPr>
        <w:t xml:space="preserve"> 19 October 2026</w:t>
      </w:r>
    </w:p>
    <w:p w14:paraId="18FEB72A" w14:textId="77777777" w:rsidR="00135FA3" w:rsidRPr="00A52A99" w:rsidRDefault="00135FA3" w:rsidP="005534F4">
      <w:pPr>
        <w:spacing w:line="360" w:lineRule="auto"/>
        <w:rPr>
          <w:rFonts w:ascii="Arial" w:hAnsi="Arial" w:cs="Arial"/>
          <w:sz w:val="22"/>
          <w:szCs w:val="22"/>
        </w:rPr>
      </w:pPr>
    </w:p>
    <w:p w14:paraId="10BCDF96" w14:textId="0401473D"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Task 1: Guided Response (Mini Report)</w:t>
      </w:r>
    </w:p>
    <w:p w14:paraId="3558EBA4" w14:textId="77777777" w:rsidR="007409B4" w:rsidRPr="00A52A99" w:rsidRDefault="007409B4" w:rsidP="005534F4">
      <w:pPr>
        <w:spacing w:line="360" w:lineRule="auto"/>
        <w:rPr>
          <w:rFonts w:ascii="Arial" w:hAnsi="Arial" w:cs="Arial"/>
          <w:sz w:val="22"/>
          <w:szCs w:val="22"/>
        </w:rPr>
      </w:pPr>
    </w:p>
    <w:p w14:paraId="283BCD3F" w14:textId="27F32180" w:rsidR="00135FA3" w:rsidRPr="00A52A99" w:rsidRDefault="00135FA3" w:rsidP="005534F4">
      <w:pPr>
        <w:spacing w:line="360" w:lineRule="auto"/>
        <w:rPr>
          <w:rFonts w:ascii="Arial" w:hAnsi="Arial" w:cs="Arial"/>
          <w:sz w:val="22"/>
          <w:szCs w:val="22"/>
        </w:rPr>
      </w:pPr>
      <w:r w:rsidRPr="00A52A99">
        <w:rPr>
          <w:rFonts w:ascii="Arial" w:hAnsi="Arial" w:cs="Arial"/>
          <w:b/>
          <w:bCs/>
          <w:sz w:val="22"/>
          <w:szCs w:val="22"/>
        </w:rPr>
        <w:t>To</w:t>
      </w:r>
      <w:r w:rsidRPr="00A52A99">
        <w:rPr>
          <w:rFonts w:ascii="Arial" w:hAnsi="Arial" w:cs="Arial"/>
          <w:sz w:val="22"/>
          <w:szCs w:val="22"/>
        </w:rPr>
        <w:t>: Councillor Mariam Khan, Birmingham City Council</w:t>
      </w:r>
    </w:p>
    <w:p w14:paraId="193DB5CB" w14:textId="77777777" w:rsidR="00135FA3" w:rsidRPr="00A52A99" w:rsidRDefault="00135FA3" w:rsidP="005534F4">
      <w:pPr>
        <w:spacing w:line="360" w:lineRule="auto"/>
        <w:rPr>
          <w:rFonts w:ascii="Arial" w:hAnsi="Arial" w:cs="Arial"/>
          <w:sz w:val="22"/>
          <w:szCs w:val="22"/>
        </w:rPr>
      </w:pPr>
      <w:r w:rsidRPr="00A52A99">
        <w:rPr>
          <w:rFonts w:ascii="Arial" w:hAnsi="Arial" w:cs="Arial"/>
          <w:b/>
          <w:bCs/>
          <w:sz w:val="22"/>
          <w:szCs w:val="22"/>
        </w:rPr>
        <w:t xml:space="preserve">Address: </w:t>
      </w:r>
      <w:r w:rsidRPr="00A52A99">
        <w:rPr>
          <w:rFonts w:ascii="Arial" w:hAnsi="Arial" w:cs="Arial"/>
          <w:sz w:val="22"/>
          <w:szCs w:val="22"/>
        </w:rPr>
        <w:t>The Council House, Victoria Square, Birmingham, B1 1BB</w:t>
      </w:r>
    </w:p>
    <w:p w14:paraId="6F73E04B" w14:textId="77777777" w:rsidR="00135FA3" w:rsidRPr="00A52A99" w:rsidRDefault="00135FA3" w:rsidP="005534F4">
      <w:pPr>
        <w:spacing w:line="360" w:lineRule="auto"/>
        <w:rPr>
          <w:rFonts w:ascii="Arial" w:hAnsi="Arial" w:cs="Arial"/>
          <w:sz w:val="22"/>
          <w:szCs w:val="22"/>
        </w:rPr>
      </w:pPr>
      <w:r w:rsidRPr="00A52A99">
        <w:rPr>
          <w:rFonts w:ascii="Arial" w:hAnsi="Arial" w:cs="Arial"/>
          <w:b/>
          <w:bCs/>
          <w:sz w:val="22"/>
          <w:szCs w:val="22"/>
        </w:rPr>
        <w:t>Subject:</w:t>
      </w:r>
      <w:r w:rsidRPr="00A52A99">
        <w:rPr>
          <w:rFonts w:ascii="Arial" w:hAnsi="Arial" w:cs="Arial"/>
          <w:sz w:val="22"/>
          <w:szCs w:val="22"/>
        </w:rPr>
        <w:t xml:space="preserve"> Addressing the Shortage of Domiciliary Care Services in Birmingham</w:t>
      </w:r>
    </w:p>
    <w:p w14:paraId="4B709C40" w14:textId="77777777" w:rsidR="00135FA3" w:rsidRPr="00A52A99" w:rsidRDefault="00135FA3" w:rsidP="005534F4">
      <w:pPr>
        <w:spacing w:line="360" w:lineRule="auto"/>
        <w:rPr>
          <w:rFonts w:ascii="Arial" w:hAnsi="Arial" w:cs="Arial"/>
          <w:sz w:val="22"/>
          <w:szCs w:val="22"/>
        </w:rPr>
      </w:pPr>
      <w:r w:rsidRPr="00A52A99">
        <w:rPr>
          <w:rFonts w:ascii="Arial" w:hAnsi="Arial" w:cs="Arial"/>
          <w:b/>
          <w:bCs/>
          <w:sz w:val="22"/>
          <w:szCs w:val="22"/>
        </w:rPr>
        <w:t>Prepared by:</w:t>
      </w:r>
      <w:r w:rsidRPr="00A52A99">
        <w:rPr>
          <w:rFonts w:ascii="Arial" w:hAnsi="Arial" w:cs="Arial"/>
          <w:sz w:val="22"/>
          <w:szCs w:val="22"/>
        </w:rPr>
        <w:t xml:space="preserve"> Alazar Befikadu</w:t>
      </w:r>
    </w:p>
    <w:p w14:paraId="3A271898" w14:textId="77777777" w:rsidR="00135FA3" w:rsidRPr="00A52A99" w:rsidRDefault="00135FA3" w:rsidP="005534F4">
      <w:pPr>
        <w:spacing w:line="360" w:lineRule="auto"/>
        <w:rPr>
          <w:rFonts w:ascii="Arial" w:hAnsi="Arial" w:cs="Arial"/>
          <w:sz w:val="22"/>
          <w:szCs w:val="22"/>
        </w:rPr>
      </w:pPr>
      <w:r w:rsidRPr="00A52A99">
        <w:rPr>
          <w:rFonts w:ascii="Arial" w:hAnsi="Arial" w:cs="Arial"/>
          <w:b/>
          <w:bCs/>
          <w:sz w:val="22"/>
          <w:szCs w:val="22"/>
        </w:rPr>
        <w:t>Date:</w:t>
      </w:r>
      <w:r w:rsidRPr="00A52A99">
        <w:rPr>
          <w:rFonts w:ascii="Arial" w:hAnsi="Arial" w:cs="Arial"/>
          <w:sz w:val="22"/>
          <w:szCs w:val="22"/>
        </w:rPr>
        <w:t xml:space="preserve"> 19 October 2026</w:t>
      </w:r>
    </w:p>
    <w:p w14:paraId="3046644E" w14:textId="77777777" w:rsidR="007409B4" w:rsidRPr="00A52A99" w:rsidRDefault="007409B4" w:rsidP="005534F4">
      <w:pPr>
        <w:spacing w:line="360" w:lineRule="auto"/>
        <w:rPr>
          <w:rFonts w:ascii="Arial" w:hAnsi="Arial" w:cs="Arial"/>
          <w:sz w:val="22"/>
          <w:szCs w:val="22"/>
        </w:rPr>
      </w:pPr>
    </w:p>
    <w:p w14:paraId="2DAC8D7E" w14:textId="2F54B8A3"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Introduction</w:t>
      </w:r>
    </w:p>
    <w:p w14:paraId="2FCBDC5A" w14:textId="763CB3F6" w:rsidR="002A2021" w:rsidRPr="00A52A99" w:rsidRDefault="00135FA3" w:rsidP="005534F4">
      <w:pPr>
        <w:spacing w:line="360" w:lineRule="auto"/>
        <w:rPr>
          <w:rFonts w:ascii="Arial" w:hAnsi="Arial" w:cs="Arial"/>
          <w:sz w:val="22"/>
          <w:szCs w:val="22"/>
        </w:rPr>
      </w:pPr>
      <w:r w:rsidRPr="00A52A99">
        <w:rPr>
          <w:rFonts w:ascii="Arial" w:hAnsi="Arial" w:cs="Arial"/>
          <w:sz w:val="22"/>
          <w:szCs w:val="22"/>
        </w:rPr>
        <w:t xml:space="preserve">When Birmingham lacks enough home care services, adults struggle to stay safe and live independently in their own homes. Domiciliary care covers essential everyday support like help with personal hygiene, making meals, managing medication, and doing daily tasks. A shortage of these services leaves vulnerable people waiting a long time for help, which puts heavy pressure on both family members and local health services. According to the 2025 Home Support Market Position Statement, councils must focus on demand, staff capacity, financial stability, and service availability to build a reliable care market (Birmingham City </w:t>
      </w:r>
      <w:r w:rsidRPr="00A52A99">
        <w:rPr>
          <w:rFonts w:ascii="Arial" w:hAnsi="Arial" w:cs="Arial"/>
          <w:sz w:val="22"/>
          <w:szCs w:val="22"/>
        </w:rPr>
        <w:lastRenderedPageBreak/>
        <w:t>Council, 2025). The Care Quality Commission (2026) rated Birmingham City Council’s adult social care services as Good, while assessing areas including care provision, continuity and safe transitions. The main legal rule here is the Care Act 2014. Section 1 states that local councils must promote individual wellbeing when carrying out their duties</w:t>
      </w:r>
      <w:r w:rsidR="00D323FB" w:rsidRPr="00A52A99">
        <w:rPr>
          <w:rFonts w:ascii="Arial" w:hAnsi="Arial" w:cs="Arial"/>
          <w:sz w:val="22"/>
          <w:szCs w:val="22"/>
        </w:rPr>
        <w:t xml:space="preserve">. </w:t>
      </w:r>
      <w:r w:rsidR="00D323FB" w:rsidRPr="00A52A99">
        <w:rPr>
          <w:rFonts w:ascii="Arial" w:hAnsi="Arial" w:cs="Arial"/>
          <w:sz w:val="22"/>
          <w:szCs w:val="22"/>
        </w:rPr>
        <w:t>Section 5 of the Care Act 2014 requires local authorities to support the development of an effective and sustainable local care market.</w:t>
      </w:r>
    </w:p>
    <w:p w14:paraId="5AAE6D6F" w14:textId="77777777" w:rsidR="008F0779" w:rsidRPr="00A52A99" w:rsidRDefault="008F0779" w:rsidP="005534F4">
      <w:pPr>
        <w:spacing w:line="360" w:lineRule="auto"/>
        <w:rPr>
          <w:rFonts w:ascii="Arial" w:hAnsi="Arial" w:cs="Arial"/>
          <w:sz w:val="22"/>
          <w:szCs w:val="22"/>
        </w:rPr>
      </w:pPr>
    </w:p>
    <w:p w14:paraId="2235F0E1" w14:textId="692EB075" w:rsidR="008F0779" w:rsidRPr="00A52A99" w:rsidRDefault="008F0779" w:rsidP="005534F4">
      <w:pPr>
        <w:spacing w:line="360" w:lineRule="auto"/>
        <w:rPr>
          <w:rFonts w:ascii="Arial" w:hAnsi="Arial" w:cs="Arial"/>
          <w:b/>
          <w:bCs/>
          <w:sz w:val="22"/>
          <w:szCs w:val="22"/>
        </w:rPr>
      </w:pPr>
      <w:r w:rsidRPr="00A52A99">
        <w:rPr>
          <w:rFonts w:ascii="Arial" w:hAnsi="Arial" w:cs="Arial"/>
          <w:b/>
          <w:bCs/>
          <w:sz w:val="22"/>
          <w:szCs w:val="22"/>
        </w:rPr>
        <w:t>Impact on the community</w:t>
      </w:r>
    </w:p>
    <w:p w14:paraId="31689C05" w14:textId="678CE2D8" w:rsidR="00135FA3" w:rsidRPr="00A52A99" w:rsidRDefault="002A2021" w:rsidP="005534F4">
      <w:pPr>
        <w:spacing w:line="360" w:lineRule="auto"/>
        <w:rPr>
          <w:rFonts w:ascii="Arial" w:hAnsi="Arial" w:cs="Arial"/>
          <w:sz w:val="22"/>
          <w:szCs w:val="22"/>
        </w:rPr>
      </w:pPr>
      <w:r w:rsidRPr="00A52A99">
        <w:rPr>
          <w:rFonts w:ascii="Arial" w:hAnsi="Arial" w:cs="Arial"/>
          <w:sz w:val="22"/>
          <w:szCs w:val="22"/>
        </w:rPr>
        <w:t xml:space="preserve">Insufficient </w:t>
      </w:r>
      <w:r w:rsidR="00135FA3" w:rsidRPr="00A52A99">
        <w:rPr>
          <w:rFonts w:ascii="Arial" w:hAnsi="Arial" w:cs="Arial"/>
          <w:sz w:val="22"/>
          <w:szCs w:val="22"/>
        </w:rPr>
        <w:t xml:space="preserve">home care makes it very difficult for </w:t>
      </w:r>
      <w:r w:rsidR="005534F4" w:rsidRPr="00A52A99">
        <w:rPr>
          <w:rFonts w:ascii="Arial" w:hAnsi="Arial" w:cs="Arial"/>
          <w:sz w:val="22"/>
          <w:szCs w:val="22"/>
        </w:rPr>
        <w:t>residents</w:t>
      </w:r>
      <w:r w:rsidR="00135FA3" w:rsidRPr="00A52A99">
        <w:rPr>
          <w:rFonts w:ascii="Arial" w:hAnsi="Arial" w:cs="Arial"/>
          <w:sz w:val="22"/>
          <w:szCs w:val="22"/>
        </w:rPr>
        <w:t xml:space="preserve"> to live safely on their own. Without proper care, adults often struggle to wash themselves, eat nutritious meals, take their medicine safely, and keep up with housework. </w:t>
      </w:r>
      <w:r w:rsidR="0095176D" w:rsidRPr="00A52A99">
        <w:rPr>
          <w:rFonts w:ascii="Arial" w:hAnsi="Arial" w:cs="Arial"/>
          <w:sz w:val="22"/>
          <w:szCs w:val="22"/>
        </w:rPr>
        <w:t>T</w:t>
      </w:r>
      <w:r w:rsidR="0095176D" w:rsidRPr="00A52A99">
        <w:rPr>
          <w:rFonts w:ascii="Arial" w:hAnsi="Arial" w:cs="Arial"/>
          <w:sz w:val="22"/>
          <w:szCs w:val="22"/>
        </w:rPr>
        <w:t>he Care Act 2014 directly connects personal wellbeing to dignity, health, safety from abuse</w:t>
      </w:r>
      <w:r w:rsidR="0095176D" w:rsidRPr="00A52A99">
        <w:rPr>
          <w:rFonts w:ascii="Arial" w:hAnsi="Arial" w:cs="Arial"/>
          <w:sz w:val="22"/>
          <w:szCs w:val="22"/>
        </w:rPr>
        <w:t xml:space="preserve"> </w:t>
      </w:r>
      <w:r w:rsidR="00135FA3" w:rsidRPr="00A52A99">
        <w:rPr>
          <w:rFonts w:ascii="Arial" w:hAnsi="Arial" w:cs="Arial"/>
          <w:sz w:val="22"/>
          <w:szCs w:val="22"/>
        </w:rPr>
        <w:t xml:space="preserve">or neglect, and having control over daily life. When professional home care is missing, unpaid family members </w:t>
      </w:r>
      <w:proofErr w:type="gramStart"/>
      <w:r w:rsidR="00135FA3" w:rsidRPr="00A52A99">
        <w:rPr>
          <w:rFonts w:ascii="Arial" w:hAnsi="Arial" w:cs="Arial"/>
          <w:sz w:val="22"/>
          <w:szCs w:val="22"/>
        </w:rPr>
        <w:t>have to</w:t>
      </w:r>
      <w:proofErr w:type="gramEnd"/>
      <w:r w:rsidR="00135FA3" w:rsidRPr="00A52A99">
        <w:rPr>
          <w:rFonts w:ascii="Arial" w:hAnsi="Arial" w:cs="Arial"/>
          <w:sz w:val="22"/>
          <w:szCs w:val="22"/>
        </w:rPr>
        <w:t xml:space="preserve"> step in and do the work. Relatives often </w:t>
      </w:r>
      <w:proofErr w:type="gramStart"/>
      <w:r w:rsidR="00135FA3" w:rsidRPr="00A52A99">
        <w:rPr>
          <w:rFonts w:ascii="Arial" w:hAnsi="Arial" w:cs="Arial"/>
          <w:sz w:val="22"/>
          <w:szCs w:val="22"/>
        </w:rPr>
        <w:t>have to</w:t>
      </w:r>
      <w:proofErr w:type="gramEnd"/>
      <w:r w:rsidR="00135FA3" w:rsidRPr="00A52A99">
        <w:rPr>
          <w:rFonts w:ascii="Arial" w:hAnsi="Arial" w:cs="Arial"/>
          <w:sz w:val="22"/>
          <w:szCs w:val="22"/>
        </w:rPr>
        <w:t xml:space="preserve"> take over personal care and practical daily chores. This extra burden can hurt their own jobs, cause arguments at home, and damage the physical and mental health of the carers themselves. Helping people stay independent at home fits the prevention and wellbeing goals </w:t>
      </w:r>
      <w:r w:rsidR="0095176D" w:rsidRPr="00A52A99">
        <w:rPr>
          <w:rFonts w:ascii="Arial" w:hAnsi="Arial" w:cs="Arial"/>
          <w:sz w:val="22"/>
          <w:szCs w:val="22"/>
        </w:rPr>
        <w:t>outlined</w:t>
      </w:r>
      <w:r w:rsidR="00135FA3" w:rsidRPr="00A52A99">
        <w:rPr>
          <w:rFonts w:ascii="Arial" w:hAnsi="Arial" w:cs="Arial"/>
          <w:sz w:val="22"/>
          <w:szCs w:val="22"/>
        </w:rPr>
        <w:t xml:space="preserve"> in the Care Act 2014 (Department of Health and Social Care, 2025b). </w:t>
      </w:r>
      <w:r w:rsidR="004A6B0B" w:rsidRPr="00A52A99">
        <w:rPr>
          <w:rFonts w:ascii="Arial" w:hAnsi="Arial" w:cs="Arial"/>
          <w:sz w:val="22"/>
          <w:szCs w:val="22"/>
        </w:rPr>
        <w:t>The adult social care workforce faces significant difficulties as well. According to Skills for Care (2025), the staff turnover rate reached 23.1% during 2024/25, demonstrating that staff retention remains a major issue.</w:t>
      </w:r>
      <w:r w:rsidR="004A6B0B" w:rsidRPr="00A52A99">
        <w:rPr>
          <w:rFonts w:ascii="Arial" w:hAnsi="Arial" w:cs="Arial"/>
          <w:sz w:val="22"/>
          <w:szCs w:val="22"/>
        </w:rPr>
        <w:t xml:space="preserve"> </w:t>
      </w:r>
      <w:r w:rsidR="00135FA3" w:rsidRPr="00A52A99">
        <w:rPr>
          <w:rFonts w:ascii="Arial" w:hAnsi="Arial" w:cs="Arial"/>
          <w:sz w:val="22"/>
          <w:szCs w:val="22"/>
        </w:rPr>
        <w:t xml:space="preserve">Hiring new workers is incredibly hard </w:t>
      </w:r>
      <w:r w:rsidR="00935EA9" w:rsidRPr="00A52A99">
        <w:rPr>
          <w:rFonts w:ascii="Arial" w:hAnsi="Arial" w:cs="Arial"/>
          <w:sz w:val="22"/>
          <w:szCs w:val="22"/>
        </w:rPr>
        <w:t xml:space="preserve">in </w:t>
      </w:r>
      <w:r w:rsidR="005534F4" w:rsidRPr="00A52A99">
        <w:rPr>
          <w:rFonts w:ascii="Arial" w:hAnsi="Arial" w:cs="Arial"/>
          <w:sz w:val="22"/>
          <w:szCs w:val="22"/>
        </w:rPr>
        <w:t>in-home</w:t>
      </w:r>
      <w:r w:rsidR="00135FA3" w:rsidRPr="00A52A99">
        <w:rPr>
          <w:rFonts w:ascii="Arial" w:hAnsi="Arial" w:cs="Arial"/>
          <w:sz w:val="22"/>
          <w:szCs w:val="22"/>
        </w:rPr>
        <w:t xml:space="preserve"> care. </w:t>
      </w:r>
      <w:r w:rsidR="004A6B0B" w:rsidRPr="00A52A99">
        <w:rPr>
          <w:rFonts w:ascii="Arial" w:hAnsi="Arial" w:cs="Arial"/>
          <w:sz w:val="22"/>
          <w:szCs w:val="22"/>
        </w:rPr>
        <w:t>A national survey found that 58.0% of domiciliary care settings identified home care workers as especially difficult to hire compared to the year before (Department of Health and Social Care, 2025a).</w:t>
      </w:r>
      <w:r w:rsidR="004A6B0B" w:rsidRPr="00A52A99">
        <w:rPr>
          <w:rFonts w:ascii="Arial" w:hAnsi="Arial" w:cs="Arial"/>
          <w:sz w:val="22"/>
          <w:szCs w:val="22"/>
        </w:rPr>
        <w:t xml:space="preserve"> </w:t>
      </w:r>
      <w:r w:rsidR="00135FA3" w:rsidRPr="00A52A99">
        <w:rPr>
          <w:rFonts w:ascii="Arial" w:hAnsi="Arial" w:cs="Arial"/>
          <w:sz w:val="22"/>
          <w:szCs w:val="22"/>
        </w:rPr>
        <w:t>Finally, these shortages can mean some patients cannot leave hospital when they are medically fit to go home, creating delays and pressure for local NHS services.</w:t>
      </w:r>
    </w:p>
    <w:p w14:paraId="15364462" w14:textId="77777777" w:rsidR="00135FA3" w:rsidRPr="00A52A99" w:rsidRDefault="00135FA3" w:rsidP="005534F4">
      <w:pPr>
        <w:spacing w:line="360" w:lineRule="auto"/>
        <w:rPr>
          <w:rFonts w:ascii="Arial" w:hAnsi="Arial" w:cs="Arial"/>
          <w:sz w:val="22"/>
          <w:szCs w:val="22"/>
        </w:rPr>
      </w:pPr>
    </w:p>
    <w:p w14:paraId="5DEA31E6" w14:textId="77777777"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Recommendations</w:t>
      </w:r>
    </w:p>
    <w:p w14:paraId="380E846F" w14:textId="6B2F4183" w:rsidR="00135FA3" w:rsidRPr="00A52A99" w:rsidRDefault="00DE38A6" w:rsidP="005534F4">
      <w:pPr>
        <w:spacing w:line="360" w:lineRule="auto"/>
        <w:rPr>
          <w:rFonts w:ascii="Arial" w:hAnsi="Arial" w:cs="Arial"/>
          <w:sz w:val="22"/>
          <w:szCs w:val="22"/>
        </w:rPr>
      </w:pPr>
      <w:r w:rsidRPr="00A52A99">
        <w:rPr>
          <w:rFonts w:ascii="Arial" w:hAnsi="Arial" w:cs="Arial"/>
          <w:sz w:val="22"/>
          <w:szCs w:val="22"/>
        </w:rPr>
        <w:t>Initially, under Section 5 of the Care Act, local authorities must enhance the regional care sector by gathering genuine insights from providers, individuals receiving support, and relatives.</w:t>
      </w:r>
      <w:r w:rsidRPr="00A52A99">
        <w:rPr>
          <w:rFonts w:ascii="Arial" w:hAnsi="Arial" w:cs="Arial"/>
          <w:sz w:val="22"/>
          <w:szCs w:val="22"/>
        </w:rPr>
        <w:t xml:space="preserve"> </w:t>
      </w:r>
      <w:r w:rsidR="00135FA3" w:rsidRPr="00A52A99">
        <w:rPr>
          <w:rFonts w:ascii="Arial" w:hAnsi="Arial" w:cs="Arial"/>
          <w:sz w:val="22"/>
          <w:szCs w:val="22"/>
        </w:rPr>
        <w:t xml:space="preserve">This helps the council buy services based on actual local needs right now, rather than just repeating old spending habits. This matches official guidance which says councils must work closely with communities to provide suitable, easy-to-access care. Second, the money the council pays to care agencies must cover the real costs of running a safe, high-quality service. Agencies need fair funding so they can pay their staff good wages, cover </w:t>
      </w:r>
      <w:r w:rsidR="00135FA3" w:rsidRPr="00A52A99">
        <w:rPr>
          <w:rFonts w:ascii="Arial" w:hAnsi="Arial" w:cs="Arial"/>
          <w:sz w:val="22"/>
          <w:szCs w:val="22"/>
        </w:rPr>
        <w:lastRenderedPageBreak/>
        <w:t>travel time between houses, fund proper training, and run an organised management team. Birmingham’s own 2025 statement highlights the need for workforce and financial sustainability within home care services (Birmingham City Council, 2025). However, raising pay rates will not fix staff retention on its own. Studies show that the overall quality of a job plays a major role in whether direct care workers in England stay in their roles or quit (</w:t>
      </w:r>
      <w:proofErr w:type="spellStart"/>
      <w:r w:rsidR="00135FA3" w:rsidRPr="00A52A99">
        <w:rPr>
          <w:rFonts w:ascii="Arial" w:hAnsi="Arial" w:cs="Arial"/>
          <w:sz w:val="22"/>
          <w:szCs w:val="22"/>
        </w:rPr>
        <w:t>Vadean</w:t>
      </w:r>
      <w:proofErr w:type="spellEnd"/>
      <w:r w:rsidR="00135FA3" w:rsidRPr="00A52A99">
        <w:rPr>
          <w:rFonts w:ascii="Arial" w:hAnsi="Arial" w:cs="Arial"/>
          <w:sz w:val="22"/>
          <w:szCs w:val="22"/>
        </w:rPr>
        <w:t xml:space="preserve"> and </w:t>
      </w:r>
      <w:proofErr w:type="spellStart"/>
      <w:r w:rsidR="00135FA3" w:rsidRPr="00A52A99">
        <w:rPr>
          <w:rFonts w:ascii="Arial" w:hAnsi="Arial" w:cs="Arial"/>
          <w:sz w:val="22"/>
          <w:szCs w:val="22"/>
        </w:rPr>
        <w:t>Saloniki</w:t>
      </w:r>
      <w:proofErr w:type="spellEnd"/>
      <w:r w:rsidR="00135FA3" w:rsidRPr="00A52A99">
        <w:rPr>
          <w:rFonts w:ascii="Arial" w:hAnsi="Arial" w:cs="Arial"/>
          <w:sz w:val="22"/>
          <w:szCs w:val="22"/>
        </w:rPr>
        <w:t xml:space="preserve">, 2023). Because of this, the council must set up funding rules that encourage care providers to offer proper training, fair working conditions, regular staff supervision, and clear career paths. </w:t>
      </w:r>
      <w:r w:rsidRPr="00A52A99">
        <w:rPr>
          <w:rFonts w:ascii="Arial" w:hAnsi="Arial" w:cs="Arial"/>
          <w:sz w:val="22"/>
          <w:szCs w:val="22"/>
        </w:rPr>
        <w:t>Third, the council should help more eligible people use personal social care budgets funded by the government as outlined in the Care Act</w:t>
      </w:r>
      <w:r w:rsidR="00935EA9" w:rsidRPr="00A52A99">
        <w:rPr>
          <w:rFonts w:ascii="Arial" w:hAnsi="Arial" w:cs="Arial"/>
          <w:sz w:val="22"/>
          <w:szCs w:val="22"/>
        </w:rPr>
        <w:t xml:space="preserve"> sections 31 to 33</w:t>
      </w:r>
      <w:r w:rsidRPr="00A52A99">
        <w:rPr>
          <w:rFonts w:ascii="Arial" w:hAnsi="Arial" w:cs="Arial"/>
          <w:sz w:val="22"/>
          <w:szCs w:val="22"/>
        </w:rPr>
        <w:t>, which give adults the money to choose and control how they get their care.</w:t>
      </w:r>
    </w:p>
    <w:p w14:paraId="1FFB77A9" w14:textId="77777777" w:rsidR="00135FA3" w:rsidRPr="00A52A99" w:rsidRDefault="00135FA3" w:rsidP="005534F4">
      <w:pPr>
        <w:spacing w:line="360" w:lineRule="auto"/>
        <w:rPr>
          <w:rFonts w:ascii="Arial" w:hAnsi="Arial" w:cs="Arial"/>
          <w:sz w:val="22"/>
          <w:szCs w:val="22"/>
        </w:rPr>
      </w:pPr>
    </w:p>
    <w:p w14:paraId="0D2A4000" w14:textId="77777777"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Conclusion</w:t>
      </w:r>
    </w:p>
    <w:p w14:paraId="1A2490B3" w14:textId="77777777" w:rsidR="00135FA3" w:rsidRPr="00A52A99" w:rsidRDefault="00135FA3" w:rsidP="005534F4">
      <w:pPr>
        <w:spacing w:line="360" w:lineRule="auto"/>
        <w:rPr>
          <w:rFonts w:ascii="Arial" w:hAnsi="Arial" w:cs="Arial"/>
          <w:sz w:val="22"/>
          <w:szCs w:val="22"/>
        </w:rPr>
      </w:pPr>
      <w:r w:rsidRPr="00A52A99">
        <w:rPr>
          <w:rFonts w:ascii="Arial" w:hAnsi="Arial" w:cs="Arial"/>
          <w:sz w:val="22"/>
          <w:szCs w:val="22"/>
        </w:rPr>
        <w:t>Fixing Birmingham’s home care shortage requires several different approaches working together. The Care Act 2014 sets out a clear path by focusing on individual wellbeing, market planning, and giving people choice through Direct Payments. Birmingham City Council must improve its local market data, offer sustainable funding, invest in keeping staff, and give service users real choices. Taking these steps will protect independent living and wellbeing while building a stronger care market. Working closely with care providers, family carers, health services, and service users will help Birmingham City Council meet its legal duties and deliver better results for residents.</w:t>
      </w:r>
    </w:p>
    <w:p w14:paraId="07CFE7E4" w14:textId="77777777" w:rsidR="00135FA3" w:rsidRPr="00A52A99" w:rsidRDefault="00135FA3" w:rsidP="005534F4">
      <w:pPr>
        <w:spacing w:line="360" w:lineRule="auto"/>
        <w:rPr>
          <w:rFonts w:ascii="Arial" w:hAnsi="Arial" w:cs="Arial"/>
          <w:sz w:val="22"/>
          <w:szCs w:val="22"/>
        </w:rPr>
      </w:pPr>
    </w:p>
    <w:p w14:paraId="4DFFC688" w14:textId="587F95E1" w:rsidR="00135FA3" w:rsidRPr="00A52A99" w:rsidRDefault="00135FA3" w:rsidP="005534F4">
      <w:pPr>
        <w:spacing w:line="360" w:lineRule="auto"/>
        <w:rPr>
          <w:rFonts w:ascii="Arial" w:hAnsi="Arial" w:cs="Arial"/>
          <w:sz w:val="22"/>
          <w:szCs w:val="22"/>
        </w:rPr>
      </w:pPr>
    </w:p>
    <w:p w14:paraId="68702BCA" w14:textId="77777777" w:rsidR="00135FA3" w:rsidRPr="00A52A99" w:rsidRDefault="00135FA3" w:rsidP="005534F4">
      <w:pPr>
        <w:spacing w:line="360" w:lineRule="auto"/>
        <w:rPr>
          <w:rFonts w:ascii="Arial" w:hAnsi="Arial" w:cs="Arial"/>
          <w:sz w:val="22"/>
          <w:szCs w:val="22"/>
        </w:rPr>
      </w:pPr>
    </w:p>
    <w:p w14:paraId="5F567EDE" w14:textId="77777777" w:rsidR="00F26E19" w:rsidRPr="00A52A99" w:rsidRDefault="00F26E19" w:rsidP="005534F4">
      <w:pPr>
        <w:spacing w:line="360" w:lineRule="auto"/>
        <w:rPr>
          <w:rFonts w:ascii="Arial" w:hAnsi="Arial" w:cs="Arial"/>
          <w:b/>
          <w:bCs/>
          <w:sz w:val="22"/>
          <w:szCs w:val="22"/>
        </w:rPr>
      </w:pPr>
    </w:p>
    <w:p w14:paraId="105C665F" w14:textId="77777777" w:rsidR="00F26E19" w:rsidRPr="00A52A99" w:rsidRDefault="00F26E19" w:rsidP="005534F4">
      <w:pPr>
        <w:spacing w:line="360" w:lineRule="auto"/>
        <w:rPr>
          <w:rFonts w:ascii="Arial" w:hAnsi="Arial" w:cs="Arial"/>
          <w:b/>
          <w:bCs/>
          <w:sz w:val="22"/>
          <w:szCs w:val="22"/>
        </w:rPr>
      </w:pPr>
    </w:p>
    <w:p w14:paraId="1E91961A" w14:textId="77777777" w:rsidR="00F26E19" w:rsidRPr="00A52A99" w:rsidRDefault="00F26E19" w:rsidP="005534F4">
      <w:pPr>
        <w:spacing w:line="360" w:lineRule="auto"/>
        <w:rPr>
          <w:rFonts w:ascii="Arial" w:hAnsi="Arial" w:cs="Arial"/>
          <w:b/>
          <w:bCs/>
          <w:sz w:val="22"/>
          <w:szCs w:val="22"/>
        </w:rPr>
      </w:pPr>
    </w:p>
    <w:p w14:paraId="4C94F040" w14:textId="77777777" w:rsidR="00F26E19" w:rsidRPr="00A52A99" w:rsidRDefault="00F26E19" w:rsidP="005534F4">
      <w:pPr>
        <w:spacing w:line="360" w:lineRule="auto"/>
        <w:rPr>
          <w:rFonts w:ascii="Arial" w:hAnsi="Arial" w:cs="Arial"/>
          <w:b/>
          <w:bCs/>
          <w:sz w:val="22"/>
          <w:szCs w:val="22"/>
        </w:rPr>
      </w:pPr>
    </w:p>
    <w:p w14:paraId="73BCBD9F" w14:textId="77777777" w:rsidR="00F26E19" w:rsidRPr="00A52A99" w:rsidRDefault="00F26E19" w:rsidP="005534F4">
      <w:pPr>
        <w:spacing w:line="360" w:lineRule="auto"/>
        <w:rPr>
          <w:rFonts w:ascii="Arial" w:hAnsi="Arial" w:cs="Arial"/>
          <w:b/>
          <w:bCs/>
          <w:sz w:val="22"/>
          <w:szCs w:val="22"/>
        </w:rPr>
      </w:pPr>
    </w:p>
    <w:p w14:paraId="248A7059" w14:textId="77777777" w:rsidR="00F26E19" w:rsidRPr="00A52A99" w:rsidRDefault="00F26E19" w:rsidP="005534F4">
      <w:pPr>
        <w:spacing w:line="360" w:lineRule="auto"/>
        <w:rPr>
          <w:rFonts w:ascii="Arial" w:hAnsi="Arial" w:cs="Arial"/>
          <w:b/>
          <w:bCs/>
          <w:sz w:val="22"/>
          <w:szCs w:val="22"/>
        </w:rPr>
      </w:pPr>
    </w:p>
    <w:p w14:paraId="1C071C2A" w14:textId="77777777" w:rsidR="007409B4" w:rsidRPr="00A52A99" w:rsidRDefault="007409B4" w:rsidP="005534F4">
      <w:pPr>
        <w:spacing w:line="360" w:lineRule="auto"/>
        <w:rPr>
          <w:rFonts w:ascii="Arial" w:hAnsi="Arial" w:cs="Arial"/>
          <w:b/>
          <w:bCs/>
          <w:sz w:val="22"/>
          <w:szCs w:val="22"/>
        </w:rPr>
      </w:pPr>
    </w:p>
    <w:p w14:paraId="6740C8C3" w14:textId="77777777" w:rsidR="007409B4" w:rsidRPr="00A52A99" w:rsidRDefault="007409B4" w:rsidP="005534F4">
      <w:pPr>
        <w:spacing w:line="360" w:lineRule="auto"/>
        <w:rPr>
          <w:rFonts w:ascii="Arial" w:hAnsi="Arial" w:cs="Arial"/>
          <w:b/>
          <w:bCs/>
          <w:sz w:val="22"/>
          <w:szCs w:val="22"/>
        </w:rPr>
      </w:pPr>
    </w:p>
    <w:p w14:paraId="574FA37C" w14:textId="77777777" w:rsidR="007409B4" w:rsidRPr="00A52A99" w:rsidRDefault="007409B4" w:rsidP="005534F4">
      <w:pPr>
        <w:spacing w:line="360" w:lineRule="auto"/>
        <w:rPr>
          <w:rFonts w:ascii="Arial" w:hAnsi="Arial" w:cs="Arial"/>
          <w:b/>
          <w:bCs/>
          <w:sz w:val="22"/>
          <w:szCs w:val="22"/>
        </w:rPr>
      </w:pPr>
    </w:p>
    <w:p w14:paraId="1513CF6B" w14:textId="77777777" w:rsidR="007409B4" w:rsidRPr="00A52A99" w:rsidRDefault="007409B4" w:rsidP="005534F4">
      <w:pPr>
        <w:spacing w:line="360" w:lineRule="auto"/>
        <w:rPr>
          <w:rFonts w:ascii="Arial" w:hAnsi="Arial" w:cs="Arial"/>
          <w:b/>
          <w:bCs/>
          <w:sz w:val="22"/>
          <w:szCs w:val="22"/>
        </w:rPr>
      </w:pPr>
    </w:p>
    <w:p w14:paraId="324CE32A" w14:textId="253FA118"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Task 2: Essay</w:t>
      </w:r>
    </w:p>
    <w:p w14:paraId="6F2329BF" w14:textId="77777777" w:rsidR="00F26E19" w:rsidRPr="00A52A99" w:rsidRDefault="00F26E19" w:rsidP="005534F4">
      <w:pPr>
        <w:spacing w:line="360" w:lineRule="auto"/>
        <w:rPr>
          <w:rFonts w:ascii="Arial" w:hAnsi="Arial" w:cs="Arial"/>
          <w:b/>
          <w:bCs/>
          <w:sz w:val="22"/>
          <w:szCs w:val="22"/>
        </w:rPr>
      </w:pPr>
    </w:p>
    <w:p w14:paraId="37FD04D7" w14:textId="08D1AE94" w:rsidR="00F26E19"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Community Pharmacy in England: History, Functions and Impact on Quality of Life</w:t>
      </w:r>
    </w:p>
    <w:p w14:paraId="445D6A0C" w14:textId="77777777" w:rsidR="007532FE" w:rsidRPr="00A52A99" w:rsidRDefault="007532FE" w:rsidP="005534F4">
      <w:pPr>
        <w:spacing w:line="360" w:lineRule="auto"/>
        <w:rPr>
          <w:rFonts w:ascii="Arial" w:hAnsi="Arial" w:cs="Arial"/>
          <w:b/>
          <w:bCs/>
          <w:sz w:val="22"/>
          <w:szCs w:val="22"/>
        </w:rPr>
      </w:pPr>
    </w:p>
    <w:p w14:paraId="10E34B27" w14:textId="7EA96A3C"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Introduction</w:t>
      </w:r>
    </w:p>
    <w:p w14:paraId="3672F7F6" w14:textId="77777777" w:rsidR="00135FA3" w:rsidRPr="00A52A99" w:rsidRDefault="00135FA3" w:rsidP="005534F4">
      <w:pPr>
        <w:spacing w:line="360" w:lineRule="auto"/>
        <w:rPr>
          <w:rFonts w:ascii="Arial" w:hAnsi="Arial" w:cs="Arial"/>
          <w:sz w:val="22"/>
          <w:szCs w:val="22"/>
        </w:rPr>
      </w:pPr>
      <w:r w:rsidRPr="00A52A99">
        <w:rPr>
          <w:rFonts w:ascii="Arial" w:hAnsi="Arial" w:cs="Arial"/>
          <w:sz w:val="22"/>
          <w:szCs w:val="22"/>
        </w:rPr>
        <w:t>Community pharmacies are a vital part of the National Health Service (NHS). They hand out prescription medicines, give out health advice, and help patients manage different illnesses. Unlike other medical services, people can walk into a pharmacy and get advice from a professional without booking an appointment first. Over time, their job has grown from simply selling medicine to offering clinical treatments and supporting public health. However, funding pressures, staff shortages, and pharmacy closures are now making it harder for people to access these services. This essay looks at the history, current jobs, benefits, and limitations of community pharmacies in England, showing how they influence service users’ health. Better public advertising and closer links with local GP surgeries would help many more patients get the support they need to improve their overall health outcomes across the community.</w:t>
      </w:r>
    </w:p>
    <w:p w14:paraId="739F6252" w14:textId="77777777" w:rsidR="00135FA3" w:rsidRPr="00A52A99" w:rsidRDefault="00135FA3" w:rsidP="005534F4">
      <w:pPr>
        <w:spacing w:line="360" w:lineRule="auto"/>
        <w:rPr>
          <w:rFonts w:ascii="Arial" w:hAnsi="Arial" w:cs="Arial"/>
          <w:sz w:val="22"/>
          <w:szCs w:val="22"/>
        </w:rPr>
      </w:pPr>
    </w:p>
    <w:p w14:paraId="448BC858" w14:textId="77777777"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Historical Context and Current Function</w:t>
      </w:r>
    </w:p>
    <w:p w14:paraId="0C063365" w14:textId="61882F21" w:rsidR="00135FA3" w:rsidRPr="00A52A99" w:rsidRDefault="00135FA3" w:rsidP="005534F4">
      <w:pPr>
        <w:spacing w:line="360" w:lineRule="auto"/>
        <w:rPr>
          <w:rFonts w:ascii="Arial" w:hAnsi="Arial" w:cs="Arial"/>
          <w:sz w:val="22"/>
          <w:szCs w:val="22"/>
        </w:rPr>
      </w:pPr>
      <w:r w:rsidRPr="00A52A99">
        <w:rPr>
          <w:rFonts w:ascii="Arial" w:hAnsi="Arial" w:cs="Arial"/>
          <w:sz w:val="22"/>
          <w:szCs w:val="22"/>
        </w:rPr>
        <w:t>Community pharmacy has changed a lot over the years to keep up with public health needs. In the early days, apothecaries mixed and sold medicines before pharmacy became a properly regulated profession. In the 19th century, the Pharmaceutical Society of Great Britain was set up in 1841, and the Pharmacy Act 1868 followed to strengthen professional standards (Royal Pharmaceutical Society, n.d.). When the NHS started in 1948, the number of prescriptions increased significantly. Anderson (2007) notes that while 65 million prescriptions were filled in 1937, that number jumped to nearly 250 million by 1950</w:t>
      </w:r>
      <w:r w:rsidR="00FC6858" w:rsidRPr="00A52A99">
        <w:rPr>
          <w:rFonts w:ascii="Arial" w:hAnsi="Arial" w:cs="Arial"/>
          <w:sz w:val="22"/>
          <w:szCs w:val="22"/>
        </w:rPr>
        <w:t xml:space="preserve">. </w:t>
      </w:r>
      <w:r w:rsidR="00FC6858" w:rsidRPr="00A52A99">
        <w:rPr>
          <w:rFonts w:ascii="Arial" w:hAnsi="Arial" w:cs="Arial"/>
          <w:sz w:val="22"/>
          <w:szCs w:val="22"/>
        </w:rPr>
        <w:t>Later, a drug safety monitoring program was established in 1964 to make medicine safer by letting people submit notifications about potential adverse drug reactions (Medicines and Healthcare products Regulatory Agency, 2014).</w:t>
      </w:r>
      <w:r w:rsidRPr="00A52A99">
        <w:rPr>
          <w:rFonts w:ascii="Arial" w:hAnsi="Arial" w:cs="Arial"/>
          <w:sz w:val="22"/>
          <w:szCs w:val="22"/>
        </w:rPr>
        <w:t xml:space="preserve"> A new community pharmacy contract in 2005 helped pharmacies offer a wider range of NHS clinical services. More recently, the COVID-19 pandemic highlighted just how essential and accessible local pharmacies are. </w:t>
      </w:r>
      <w:r w:rsidRPr="00A52A99">
        <w:rPr>
          <w:rFonts w:ascii="Arial" w:hAnsi="Arial" w:cs="Arial"/>
          <w:sz w:val="22"/>
          <w:szCs w:val="22"/>
        </w:rPr>
        <w:lastRenderedPageBreak/>
        <w:t xml:space="preserve">Today, pharmacists do much more than just hand out medication and explain how to take it safely to avoid side effects. They also improve public health by giving vaccinations, running stop-smoking support, and helping patients manage long-term illnesses. </w:t>
      </w:r>
      <w:r w:rsidR="009229D7" w:rsidRPr="00A52A99">
        <w:rPr>
          <w:rFonts w:ascii="Arial" w:hAnsi="Arial" w:cs="Arial"/>
          <w:sz w:val="22"/>
          <w:szCs w:val="22"/>
        </w:rPr>
        <w:t>The Pharmacy First service, which was introduced in England in January 2024, enables pharmacists to evaluate patients for seven minor health issues, provide appropriate treatments, and refer patients to a doctor if necessary (NHS England, 2024).</w:t>
      </w:r>
      <w:r w:rsidR="009229D7" w:rsidRPr="00A52A99">
        <w:rPr>
          <w:rFonts w:ascii="Arial" w:hAnsi="Arial" w:cs="Arial"/>
          <w:sz w:val="22"/>
          <w:szCs w:val="22"/>
        </w:rPr>
        <w:t xml:space="preserve"> </w:t>
      </w:r>
      <w:r w:rsidRPr="00A52A99">
        <w:rPr>
          <w:rFonts w:ascii="Arial" w:hAnsi="Arial" w:cs="Arial"/>
          <w:sz w:val="22"/>
          <w:szCs w:val="22"/>
        </w:rPr>
        <w:t>This means patients can get suitable treatment straight from their pharmacy without waiting for a GP appointment.</w:t>
      </w:r>
    </w:p>
    <w:p w14:paraId="64EE5885" w14:textId="77777777" w:rsidR="00135FA3" w:rsidRPr="00A52A99" w:rsidRDefault="00135FA3" w:rsidP="005534F4">
      <w:pPr>
        <w:spacing w:line="360" w:lineRule="auto"/>
        <w:rPr>
          <w:rFonts w:ascii="Arial" w:hAnsi="Arial" w:cs="Arial"/>
          <w:sz w:val="22"/>
          <w:szCs w:val="22"/>
        </w:rPr>
      </w:pPr>
    </w:p>
    <w:p w14:paraId="26C6D450" w14:textId="77777777"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Critical Evaluation and Significance for Service Users</w:t>
      </w:r>
    </w:p>
    <w:p w14:paraId="099438DF" w14:textId="3C44604D" w:rsidR="00135FA3" w:rsidRPr="00A52A99" w:rsidRDefault="00A5171C" w:rsidP="005534F4">
      <w:pPr>
        <w:spacing w:line="360" w:lineRule="auto"/>
        <w:rPr>
          <w:rFonts w:ascii="Arial" w:hAnsi="Arial" w:cs="Arial"/>
          <w:sz w:val="22"/>
          <w:szCs w:val="22"/>
        </w:rPr>
      </w:pPr>
      <w:r w:rsidRPr="00A52A99">
        <w:rPr>
          <w:rFonts w:ascii="Arial" w:hAnsi="Arial" w:cs="Arial"/>
          <w:sz w:val="22"/>
          <w:szCs w:val="22"/>
        </w:rPr>
        <w:t xml:space="preserve">Local pharmacies have the potential to enhance a patient's well-being by </w:t>
      </w:r>
      <w:r w:rsidR="00AA5E2F" w:rsidRPr="00A52A99">
        <w:rPr>
          <w:rFonts w:ascii="Arial" w:hAnsi="Arial" w:cs="Arial"/>
          <w:sz w:val="22"/>
          <w:szCs w:val="22"/>
        </w:rPr>
        <w:t>making</w:t>
      </w:r>
      <w:r w:rsidRPr="00A52A99">
        <w:rPr>
          <w:rFonts w:ascii="Arial" w:hAnsi="Arial" w:cs="Arial"/>
          <w:sz w:val="22"/>
          <w:szCs w:val="22"/>
        </w:rPr>
        <w:t xml:space="preserve"> medical services easy to reach as well as assisting individuals to look after their conditions. Yuan et al.</w:t>
      </w:r>
      <w:r w:rsidR="00135FA3" w:rsidRPr="00A52A99">
        <w:rPr>
          <w:rFonts w:ascii="Arial" w:hAnsi="Arial" w:cs="Arial"/>
          <w:sz w:val="22"/>
          <w:szCs w:val="22"/>
        </w:rPr>
        <w:t xml:space="preserve"> (2019) reviewed 52 controlled studies, of which 47 reported positive clinical outcomes. Within their quantitative meta-analysis of 25 studies, specific targeted subsets demonstrated significant improvements in blood pressure and glycemic control</w:t>
      </w:r>
      <w:r w:rsidRPr="00A52A99">
        <w:rPr>
          <w:rFonts w:ascii="Arial" w:hAnsi="Arial" w:cs="Arial"/>
          <w:sz w:val="22"/>
          <w:szCs w:val="22"/>
        </w:rPr>
        <w:t xml:space="preserve">, respectively. </w:t>
      </w:r>
      <w:proofErr w:type="spellStart"/>
      <w:r w:rsidRPr="00A52A99">
        <w:rPr>
          <w:rFonts w:ascii="Arial" w:hAnsi="Arial" w:cs="Arial"/>
          <w:sz w:val="22"/>
          <w:szCs w:val="22"/>
        </w:rPr>
        <w:t>Dokbua</w:t>
      </w:r>
      <w:proofErr w:type="spellEnd"/>
      <w:r w:rsidRPr="00A52A99">
        <w:rPr>
          <w:rFonts w:ascii="Arial" w:hAnsi="Arial" w:cs="Arial"/>
          <w:sz w:val="22"/>
          <w:szCs w:val="22"/>
        </w:rPr>
        <w:t xml:space="preserve"> et al. (2018) also found that asthma care interventions delivered by </w:t>
      </w:r>
      <w:r w:rsidRPr="00A52A99">
        <w:rPr>
          <w:rFonts w:ascii="Arial" w:hAnsi="Arial" w:cs="Arial"/>
          <w:sz w:val="22"/>
          <w:szCs w:val="22"/>
        </w:rPr>
        <w:t>neighbourhood</w:t>
      </w:r>
      <w:r w:rsidRPr="00A52A99">
        <w:rPr>
          <w:rFonts w:ascii="Arial" w:hAnsi="Arial" w:cs="Arial"/>
          <w:sz w:val="22"/>
          <w:szCs w:val="22"/>
        </w:rPr>
        <w:t xml:space="preserve"> pharmacy practitioners have the potential to enhance patients' symptoms, well-being, and compliance with prescribed </w:t>
      </w:r>
      <w:r w:rsidR="00AA5E2F" w:rsidRPr="00A52A99">
        <w:rPr>
          <w:rFonts w:ascii="Arial" w:hAnsi="Arial" w:cs="Arial"/>
          <w:sz w:val="22"/>
          <w:szCs w:val="22"/>
        </w:rPr>
        <w:t>treatments. These</w:t>
      </w:r>
      <w:r w:rsidR="00135FA3" w:rsidRPr="00A52A99">
        <w:rPr>
          <w:rFonts w:ascii="Arial" w:hAnsi="Arial" w:cs="Arial"/>
          <w:sz w:val="22"/>
          <w:szCs w:val="22"/>
        </w:rPr>
        <w:t xml:space="preserve"> studies suggest that pharmacy services can help people with chronic illnesses manage their conditions and reduce health complications. However, these benefits are not identical for every single service offered. Yuan et al. (2019) noted limitations in the available evidence, including differences between studies and the limited clinical outcomes suitable for meta-analysis. This means further research is needed to understand which services work best. Being easy to visit is a massive benefit, but recent pharmacy closures put this at risk. </w:t>
      </w:r>
      <w:r w:rsidRPr="00A52A99">
        <w:rPr>
          <w:rFonts w:ascii="Arial" w:hAnsi="Arial" w:cs="Arial"/>
          <w:sz w:val="22"/>
          <w:szCs w:val="22"/>
        </w:rPr>
        <w:t>Balogun and Harker (2026) showed that the total count of pharmaceutical dispensaries across England decreased from 11,609 in February 2016 to 10,526 in February 2026.</w:t>
      </w:r>
      <w:r w:rsidR="00AA5E2F" w:rsidRPr="00A52A99">
        <w:rPr>
          <w:rFonts w:ascii="Arial" w:hAnsi="Arial" w:cs="Arial"/>
          <w:sz w:val="22"/>
          <w:szCs w:val="22"/>
        </w:rPr>
        <w:t xml:space="preserve"> </w:t>
      </w:r>
      <w:r w:rsidR="00135FA3" w:rsidRPr="00A52A99">
        <w:rPr>
          <w:rFonts w:ascii="Arial" w:hAnsi="Arial" w:cs="Arial"/>
          <w:sz w:val="22"/>
          <w:szCs w:val="22"/>
        </w:rPr>
        <w:t>This drop makes life much harder for people who cannot walk far or those living in areas where local pharmacies are closing. The same report found that 60% of pharmacy teams surveyed in June 2025 were short-staffed, and 81% said patients were waiting longer.</w:t>
      </w:r>
    </w:p>
    <w:p w14:paraId="165682EE" w14:textId="77777777" w:rsidR="00135FA3" w:rsidRPr="00A52A99" w:rsidRDefault="00135FA3" w:rsidP="005534F4">
      <w:pPr>
        <w:spacing w:line="360" w:lineRule="auto"/>
        <w:rPr>
          <w:rFonts w:ascii="Arial" w:hAnsi="Arial" w:cs="Arial"/>
          <w:sz w:val="22"/>
          <w:szCs w:val="22"/>
        </w:rPr>
      </w:pPr>
    </w:p>
    <w:p w14:paraId="0FE9959E" w14:textId="77777777" w:rsidR="00135FA3" w:rsidRPr="00A52A99" w:rsidRDefault="00135FA3" w:rsidP="005534F4">
      <w:pPr>
        <w:spacing w:line="360" w:lineRule="auto"/>
        <w:rPr>
          <w:rFonts w:ascii="Arial" w:hAnsi="Arial" w:cs="Arial"/>
          <w:b/>
          <w:bCs/>
          <w:sz w:val="22"/>
          <w:szCs w:val="22"/>
        </w:rPr>
      </w:pPr>
      <w:r w:rsidRPr="00A52A99">
        <w:rPr>
          <w:rFonts w:ascii="Arial" w:hAnsi="Arial" w:cs="Arial"/>
          <w:b/>
          <w:bCs/>
          <w:sz w:val="22"/>
          <w:szCs w:val="22"/>
        </w:rPr>
        <w:t>Conclusion</w:t>
      </w:r>
    </w:p>
    <w:p w14:paraId="7AF235B3" w14:textId="77777777" w:rsidR="00135FA3" w:rsidRPr="00A52A99" w:rsidRDefault="00135FA3" w:rsidP="005534F4">
      <w:pPr>
        <w:spacing w:line="360" w:lineRule="auto"/>
        <w:rPr>
          <w:rFonts w:ascii="Arial" w:hAnsi="Arial" w:cs="Arial"/>
          <w:sz w:val="22"/>
          <w:szCs w:val="22"/>
        </w:rPr>
      </w:pPr>
      <w:r w:rsidRPr="00A52A99">
        <w:rPr>
          <w:rFonts w:ascii="Arial" w:hAnsi="Arial" w:cs="Arial"/>
          <w:sz w:val="22"/>
          <w:szCs w:val="22"/>
        </w:rPr>
        <w:t xml:space="preserve">To conclude, community pharmacy has grown into a cornerstone of modern healthcare. Its current role was built through official professional rules, the birth of the NHS, and the growth of clinical services. Local pharmacies make healthcare easy to access, help people manage long-term conditions, and make medicine use safer. Even so, gaps in research evidence, </w:t>
      </w:r>
      <w:r w:rsidRPr="00A52A99">
        <w:rPr>
          <w:rFonts w:ascii="Arial" w:hAnsi="Arial" w:cs="Arial"/>
          <w:sz w:val="22"/>
          <w:szCs w:val="22"/>
        </w:rPr>
        <w:lastRenderedPageBreak/>
        <w:t>funding struggles, staffing shortages, and pharmacy closures could limit these advantages. Securing fair investment, teaching the public about available services, and building strong partnerships with other health professionals are vital to keeping care standards high and improving life for patients.</w:t>
      </w:r>
    </w:p>
    <w:p w14:paraId="3769F761" w14:textId="77777777" w:rsidR="00AB7046" w:rsidRPr="00A52A99" w:rsidRDefault="00AB7046" w:rsidP="005534F4">
      <w:pPr>
        <w:spacing w:line="360" w:lineRule="auto"/>
        <w:rPr>
          <w:rFonts w:ascii="Arial" w:hAnsi="Arial" w:cs="Arial"/>
          <w:sz w:val="22"/>
          <w:szCs w:val="22"/>
        </w:rPr>
      </w:pPr>
    </w:p>
    <w:p w14:paraId="48A9E71A" w14:textId="77777777" w:rsidR="00AB7046" w:rsidRPr="00A52A99" w:rsidRDefault="00AB7046" w:rsidP="005534F4">
      <w:pPr>
        <w:spacing w:line="360" w:lineRule="auto"/>
        <w:rPr>
          <w:rFonts w:ascii="Arial" w:hAnsi="Arial" w:cs="Arial"/>
          <w:b/>
          <w:bCs/>
          <w:sz w:val="22"/>
          <w:szCs w:val="22"/>
        </w:rPr>
      </w:pPr>
      <w:r w:rsidRPr="00A52A99">
        <w:rPr>
          <w:rFonts w:ascii="Arial" w:hAnsi="Arial" w:cs="Arial"/>
          <w:b/>
          <w:bCs/>
          <w:sz w:val="22"/>
          <w:szCs w:val="22"/>
        </w:rPr>
        <w:t>References</w:t>
      </w:r>
    </w:p>
    <w:p w14:paraId="454CE39A"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 xml:space="preserve">Anderson, S. (2007) ‘Community pharmacy and public health in Great Britain, 1936 to 2006: how a phoenix rose from the ashes’, </w:t>
      </w:r>
      <w:r w:rsidRPr="008632BD">
        <w:rPr>
          <w:rFonts w:ascii="Arial" w:hAnsi="Arial" w:cs="Arial"/>
          <w:i/>
          <w:iCs/>
          <w:sz w:val="22"/>
          <w:szCs w:val="22"/>
        </w:rPr>
        <w:t>Journal of Epidemiology and Community Health</w:t>
      </w:r>
      <w:r w:rsidRPr="00A52A99">
        <w:rPr>
          <w:rFonts w:ascii="Arial" w:hAnsi="Arial" w:cs="Arial"/>
          <w:sz w:val="22"/>
          <w:szCs w:val="22"/>
        </w:rPr>
        <w:t>, 61(10), pp. 844–848. Available at: https://doi.org/10.1136/jech.2006.055442 (Accessed: 3 October 2026).</w:t>
      </w:r>
    </w:p>
    <w:p w14:paraId="31C461A3" w14:textId="77777777" w:rsidR="00AB7046" w:rsidRPr="00A52A99" w:rsidRDefault="00AB7046" w:rsidP="005534F4">
      <w:pPr>
        <w:spacing w:line="360" w:lineRule="auto"/>
        <w:rPr>
          <w:rFonts w:ascii="Arial" w:hAnsi="Arial" w:cs="Arial"/>
          <w:sz w:val="22"/>
          <w:szCs w:val="22"/>
        </w:rPr>
      </w:pPr>
    </w:p>
    <w:p w14:paraId="55E28A1F"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 xml:space="preserve">Balogun, B. and Harker, R. (2026) </w:t>
      </w:r>
      <w:r w:rsidRPr="008632BD">
        <w:rPr>
          <w:rFonts w:ascii="Arial" w:hAnsi="Arial" w:cs="Arial"/>
          <w:i/>
          <w:iCs/>
          <w:sz w:val="22"/>
          <w:szCs w:val="22"/>
        </w:rPr>
        <w:t>Community pharmacy in England</w:t>
      </w:r>
      <w:r w:rsidRPr="00A52A99">
        <w:rPr>
          <w:rFonts w:ascii="Arial" w:hAnsi="Arial" w:cs="Arial"/>
          <w:sz w:val="22"/>
          <w:szCs w:val="22"/>
        </w:rPr>
        <w:t>. House of Commons Library Research Briefing CBP-9854. London: House of Commons Library. Available at: https://commonslibrary.parliament.uk/research-briefings/cbp-9854/ (Accessed: 9 October 2026).</w:t>
      </w:r>
    </w:p>
    <w:p w14:paraId="6ED9B448" w14:textId="77777777" w:rsidR="00AB7046" w:rsidRPr="00A52A99" w:rsidRDefault="00AB7046" w:rsidP="005534F4">
      <w:pPr>
        <w:spacing w:line="360" w:lineRule="auto"/>
        <w:rPr>
          <w:rFonts w:ascii="Arial" w:hAnsi="Arial" w:cs="Arial"/>
          <w:sz w:val="22"/>
          <w:szCs w:val="22"/>
        </w:rPr>
      </w:pPr>
    </w:p>
    <w:p w14:paraId="30E61303"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 xml:space="preserve">Birmingham City Council (2025) </w:t>
      </w:r>
      <w:r w:rsidRPr="008632BD">
        <w:rPr>
          <w:rFonts w:ascii="Arial" w:hAnsi="Arial" w:cs="Arial"/>
          <w:i/>
          <w:iCs/>
          <w:sz w:val="22"/>
          <w:szCs w:val="22"/>
        </w:rPr>
        <w:t>Market Position Statement 2025 – Home Support</w:t>
      </w:r>
      <w:r w:rsidRPr="008632BD">
        <w:rPr>
          <w:rFonts w:ascii="Arial" w:hAnsi="Arial" w:cs="Arial"/>
          <w:sz w:val="22"/>
          <w:szCs w:val="22"/>
        </w:rPr>
        <w:t>. Birmingham: Birmingham City Council</w:t>
      </w:r>
      <w:r w:rsidRPr="00A52A99">
        <w:rPr>
          <w:rFonts w:ascii="Arial" w:hAnsi="Arial" w:cs="Arial"/>
          <w:sz w:val="22"/>
          <w:szCs w:val="22"/>
        </w:rPr>
        <w:t>. Available at: https://www.birmingham.gov.uk/download/downloads/id/30893/home_support_-mps-_full_document.pdf (Accessed: 27 September 2026).</w:t>
      </w:r>
    </w:p>
    <w:p w14:paraId="05742074" w14:textId="77777777" w:rsidR="00AB7046" w:rsidRPr="00A52A99" w:rsidRDefault="00AB7046" w:rsidP="005534F4">
      <w:pPr>
        <w:spacing w:line="360" w:lineRule="auto"/>
        <w:rPr>
          <w:rFonts w:ascii="Arial" w:hAnsi="Arial" w:cs="Arial"/>
          <w:sz w:val="22"/>
          <w:szCs w:val="22"/>
        </w:rPr>
      </w:pPr>
    </w:p>
    <w:p w14:paraId="530DA4C2" w14:textId="77777777" w:rsidR="00AB7046" w:rsidRPr="00A52A99" w:rsidRDefault="00AB7046" w:rsidP="005534F4">
      <w:pPr>
        <w:spacing w:line="360" w:lineRule="auto"/>
        <w:rPr>
          <w:rFonts w:ascii="Arial" w:hAnsi="Arial" w:cs="Arial"/>
          <w:sz w:val="22"/>
          <w:szCs w:val="22"/>
        </w:rPr>
      </w:pPr>
      <w:r w:rsidRPr="008632BD">
        <w:rPr>
          <w:rFonts w:ascii="Arial" w:hAnsi="Arial" w:cs="Arial"/>
          <w:i/>
          <w:iCs/>
          <w:sz w:val="22"/>
          <w:szCs w:val="22"/>
        </w:rPr>
        <w:t>Care Act 2014</w:t>
      </w:r>
      <w:r w:rsidRPr="00A52A99">
        <w:rPr>
          <w:rFonts w:ascii="Arial" w:hAnsi="Arial" w:cs="Arial"/>
          <w:sz w:val="22"/>
          <w:szCs w:val="22"/>
        </w:rPr>
        <w:t>, c. 23. Available at: https://www.legislation.gov.uk/ukpga/2014/23/contents (Accessed: 29 September 2026).</w:t>
      </w:r>
    </w:p>
    <w:p w14:paraId="4D767D2B" w14:textId="77777777" w:rsidR="00AB7046" w:rsidRPr="00A52A99" w:rsidRDefault="00AB7046" w:rsidP="005534F4">
      <w:pPr>
        <w:spacing w:line="360" w:lineRule="auto"/>
        <w:rPr>
          <w:rFonts w:ascii="Arial" w:hAnsi="Arial" w:cs="Arial"/>
          <w:sz w:val="22"/>
          <w:szCs w:val="22"/>
        </w:rPr>
      </w:pPr>
    </w:p>
    <w:p w14:paraId="55ACBA87"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Care Quality Commission (2026</w:t>
      </w:r>
      <w:r w:rsidRPr="008632BD">
        <w:rPr>
          <w:rFonts w:ascii="Arial" w:hAnsi="Arial" w:cs="Arial"/>
          <w:i/>
          <w:iCs/>
          <w:sz w:val="22"/>
          <w:szCs w:val="22"/>
        </w:rPr>
        <w:t>) Birmingham City Council local authority assessment (May 2026)</w:t>
      </w:r>
      <w:r w:rsidRPr="00A52A99">
        <w:rPr>
          <w:rFonts w:ascii="Arial" w:hAnsi="Arial" w:cs="Arial"/>
          <w:sz w:val="22"/>
          <w:szCs w:val="22"/>
        </w:rPr>
        <w:t>. Available at: https://www.cqc.org.uk/care-services/local-authority-assessment-reports/birmingham-0526/summary (Accessed: 29 September 2026).</w:t>
      </w:r>
    </w:p>
    <w:p w14:paraId="5E7CBA10" w14:textId="77777777" w:rsidR="00AB7046" w:rsidRPr="00A52A99" w:rsidRDefault="00AB7046" w:rsidP="005534F4">
      <w:pPr>
        <w:spacing w:line="360" w:lineRule="auto"/>
        <w:rPr>
          <w:rFonts w:ascii="Arial" w:hAnsi="Arial" w:cs="Arial"/>
          <w:sz w:val="22"/>
          <w:szCs w:val="22"/>
        </w:rPr>
      </w:pPr>
    </w:p>
    <w:p w14:paraId="71FADCAA"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 xml:space="preserve">Department of Health and Social Care (2025a) </w:t>
      </w:r>
      <w:r w:rsidRPr="001E064A">
        <w:rPr>
          <w:rFonts w:ascii="Arial" w:hAnsi="Arial" w:cs="Arial"/>
          <w:i/>
          <w:iCs/>
          <w:sz w:val="22"/>
          <w:szCs w:val="22"/>
        </w:rPr>
        <w:t>Adult social care workforce survey: April 2025</w:t>
      </w:r>
      <w:r w:rsidRPr="00A52A99">
        <w:rPr>
          <w:rFonts w:ascii="Arial" w:hAnsi="Arial" w:cs="Arial"/>
          <w:sz w:val="22"/>
          <w:szCs w:val="22"/>
        </w:rPr>
        <w:t xml:space="preserve"> </w:t>
      </w:r>
      <w:r w:rsidRPr="001E064A">
        <w:rPr>
          <w:rFonts w:ascii="Arial" w:hAnsi="Arial" w:cs="Arial"/>
          <w:i/>
          <w:iCs/>
          <w:sz w:val="22"/>
          <w:szCs w:val="22"/>
        </w:rPr>
        <w:t>report</w:t>
      </w:r>
      <w:r w:rsidRPr="00A52A99">
        <w:rPr>
          <w:rFonts w:ascii="Arial" w:hAnsi="Arial" w:cs="Arial"/>
          <w:sz w:val="22"/>
          <w:szCs w:val="22"/>
        </w:rPr>
        <w:t xml:space="preserve">. London: Department of Health and Social Care. Available at: </w:t>
      </w:r>
      <w:r w:rsidRPr="00A52A99">
        <w:rPr>
          <w:rFonts w:ascii="Arial" w:hAnsi="Arial" w:cs="Arial"/>
          <w:sz w:val="22"/>
          <w:szCs w:val="22"/>
        </w:rPr>
        <w:lastRenderedPageBreak/>
        <w:t>https://www.gov.uk/government/statistics/adult-social-care-workforce-survey-april-2025/adult-social-care-workforce-survey-april-2025-report (Accessed: 28 September 2026).</w:t>
      </w:r>
    </w:p>
    <w:p w14:paraId="3FF05254" w14:textId="77777777" w:rsidR="00AB7046" w:rsidRPr="00A52A99" w:rsidRDefault="00AB7046" w:rsidP="005534F4">
      <w:pPr>
        <w:spacing w:line="360" w:lineRule="auto"/>
        <w:rPr>
          <w:rFonts w:ascii="Arial" w:hAnsi="Arial" w:cs="Arial"/>
          <w:sz w:val="22"/>
          <w:szCs w:val="22"/>
        </w:rPr>
      </w:pPr>
    </w:p>
    <w:p w14:paraId="01934200"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 xml:space="preserve">Department of Health and Social Care (2025b) </w:t>
      </w:r>
      <w:r w:rsidRPr="001E064A">
        <w:rPr>
          <w:rFonts w:ascii="Arial" w:hAnsi="Arial" w:cs="Arial"/>
          <w:i/>
          <w:iCs/>
          <w:sz w:val="22"/>
          <w:szCs w:val="22"/>
        </w:rPr>
        <w:t>Care and support statutory guidance</w:t>
      </w:r>
      <w:r w:rsidRPr="00A52A99">
        <w:rPr>
          <w:rFonts w:ascii="Arial" w:hAnsi="Arial" w:cs="Arial"/>
          <w:sz w:val="22"/>
          <w:szCs w:val="22"/>
        </w:rPr>
        <w:t>. London: Department of Health and Social Care. Available at: https://www.gov.uk/government/publications/care-act-statutory-guidance/care-and-support-statutory-guidance (Accessed: 28 September 2026).</w:t>
      </w:r>
    </w:p>
    <w:p w14:paraId="0957B98B" w14:textId="77777777" w:rsidR="00AB7046" w:rsidRPr="00A52A99" w:rsidRDefault="00AB7046" w:rsidP="005534F4">
      <w:pPr>
        <w:spacing w:line="360" w:lineRule="auto"/>
        <w:rPr>
          <w:rFonts w:ascii="Arial" w:hAnsi="Arial" w:cs="Arial"/>
          <w:sz w:val="22"/>
          <w:szCs w:val="22"/>
        </w:rPr>
      </w:pPr>
    </w:p>
    <w:p w14:paraId="0575BE2D" w14:textId="77777777" w:rsidR="00AB7046" w:rsidRPr="00A52A99" w:rsidRDefault="00AB7046" w:rsidP="005534F4">
      <w:pPr>
        <w:spacing w:line="360" w:lineRule="auto"/>
        <w:rPr>
          <w:rFonts w:ascii="Arial" w:hAnsi="Arial" w:cs="Arial"/>
          <w:sz w:val="22"/>
          <w:szCs w:val="22"/>
        </w:rPr>
      </w:pPr>
      <w:proofErr w:type="spellStart"/>
      <w:r w:rsidRPr="00A52A99">
        <w:rPr>
          <w:rFonts w:ascii="Arial" w:hAnsi="Arial" w:cs="Arial"/>
          <w:sz w:val="22"/>
          <w:szCs w:val="22"/>
        </w:rPr>
        <w:t>Dokbua</w:t>
      </w:r>
      <w:proofErr w:type="spellEnd"/>
      <w:r w:rsidRPr="00A52A99">
        <w:rPr>
          <w:rFonts w:ascii="Arial" w:hAnsi="Arial" w:cs="Arial"/>
          <w:sz w:val="22"/>
          <w:szCs w:val="22"/>
        </w:rPr>
        <w:t xml:space="preserve">, S., </w:t>
      </w:r>
      <w:proofErr w:type="spellStart"/>
      <w:r w:rsidRPr="00A52A99">
        <w:rPr>
          <w:rFonts w:ascii="Arial" w:hAnsi="Arial" w:cs="Arial"/>
          <w:sz w:val="22"/>
          <w:szCs w:val="22"/>
        </w:rPr>
        <w:t>Dilokthornsakul</w:t>
      </w:r>
      <w:proofErr w:type="spellEnd"/>
      <w:r w:rsidRPr="00A52A99">
        <w:rPr>
          <w:rFonts w:ascii="Arial" w:hAnsi="Arial" w:cs="Arial"/>
          <w:sz w:val="22"/>
          <w:szCs w:val="22"/>
        </w:rPr>
        <w:t xml:space="preserve">, P., </w:t>
      </w:r>
      <w:proofErr w:type="spellStart"/>
      <w:r w:rsidRPr="00A52A99">
        <w:rPr>
          <w:rFonts w:ascii="Arial" w:hAnsi="Arial" w:cs="Arial"/>
          <w:sz w:val="22"/>
          <w:szCs w:val="22"/>
        </w:rPr>
        <w:t>Chaiyakunapruk</w:t>
      </w:r>
      <w:proofErr w:type="spellEnd"/>
      <w:r w:rsidRPr="00A52A99">
        <w:rPr>
          <w:rFonts w:ascii="Arial" w:hAnsi="Arial" w:cs="Arial"/>
          <w:sz w:val="22"/>
          <w:szCs w:val="22"/>
        </w:rPr>
        <w:t xml:space="preserve">, N., Saini, B., Krass, I. and </w:t>
      </w:r>
      <w:proofErr w:type="spellStart"/>
      <w:r w:rsidRPr="00A52A99">
        <w:rPr>
          <w:rFonts w:ascii="Arial" w:hAnsi="Arial" w:cs="Arial"/>
          <w:sz w:val="22"/>
          <w:szCs w:val="22"/>
        </w:rPr>
        <w:t>Dhippayom</w:t>
      </w:r>
      <w:proofErr w:type="spellEnd"/>
      <w:r w:rsidRPr="00A52A99">
        <w:rPr>
          <w:rFonts w:ascii="Arial" w:hAnsi="Arial" w:cs="Arial"/>
          <w:sz w:val="22"/>
          <w:szCs w:val="22"/>
        </w:rPr>
        <w:t xml:space="preserve">, T. (2018) ‘Effects of an asthma self-management support service provided by community pharmacists: a systematic review and meta-analysis’, </w:t>
      </w:r>
      <w:r w:rsidRPr="001E064A">
        <w:rPr>
          <w:rFonts w:ascii="Arial" w:hAnsi="Arial" w:cs="Arial"/>
          <w:i/>
          <w:iCs/>
          <w:sz w:val="22"/>
          <w:szCs w:val="22"/>
        </w:rPr>
        <w:t>Journal of Managed Care &amp; Specialty Pharmacy</w:t>
      </w:r>
      <w:r w:rsidRPr="00A52A99">
        <w:rPr>
          <w:rFonts w:ascii="Arial" w:hAnsi="Arial" w:cs="Arial"/>
          <w:sz w:val="22"/>
          <w:szCs w:val="22"/>
        </w:rPr>
        <w:t>, 24(11), pp. 1184–1196. Available at: https://doi.org/10.18553/jmcp.2018.24.11.1184 (Accessed: 6 October 2026).</w:t>
      </w:r>
    </w:p>
    <w:p w14:paraId="110D7790" w14:textId="77777777" w:rsidR="00AB7046" w:rsidRPr="00A52A99" w:rsidRDefault="00AB7046" w:rsidP="005534F4">
      <w:pPr>
        <w:spacing w:line="360" w:lineRule="auto"/>
        <w:rPr>
          <w:rFonts w:ascii="Arial" w:hAnsi="Arial" w:cs="Arial"/>
          <w:sz w:val="22"/>
          <w:szCs w:val="22"/>
        </w:rPr>
      </w:pPr>
    </w:p>
    <w:p w14:paraId="4CB09BC7"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 xml:space="preserve">Medicines and Healthcare products Regulatory Agency (2014) </w:t>
      </w:r>
      <w:r w:rsidRPr="001E064A">
        <w:rPr>
          <w:rFonts w:ascii="Arial" w:hAnsi="Arial" w:cs="Arial"/>
          <w:i/>
          <w:iCs/>
          <w:sz w:val="22"/>
          <w:szCs w:val="22"/>
        </w:rPr>
        <w:t>Yellow Card Scheme: celebrating 50 years</w:t>
      </w:r>
      <w:r w:rsidRPr="00A52A99">
        <w:rPr>
          <w:rFonts w:ascii="Arial" w:hAnsi="Arial" w:cs="Arial"/>
          <w:sz w:val="22"/>
          <w:szCs w:val="22"/>
        </w:rPr>
        <w:t>. Available at: https://www.gov.uk/drug-safety-update/yellow-card-scheme-celebrating-50-years (Accessed: 4 October 2026).</w:t>
      </w:r>
    </w:p>
    <w:p w14:paraId="2E54F5ED" w14:textId="77777777" w:rsidR="00AB7046" w:rsidRPr="00A52A99" w:rsidRDefault="00AB7046" w:rsidP="005534F4">
      <w:pPr>
        <w:spacing w:line="360" w:lineRule="auto"/>
        <w:rPr>
          <w:rFonts w:ascii="Arial" w:hAnsi="Arial" w:cs="Arial"/>
          <w:sz w:val="22"/>
          <w:szCs w:val="22"/>
        </w:rPr>
      </w:pPr>
    </w:p>
    <w:p w14:paraId="0C6B51FA"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NHS England (2024) Pharmacy First. Available at: https://www.england.nhs.uk/primary-care/pharmacy/pharmacy-services/pharmacy-first/ (Accessed: 5 October 2026).</w:t>
      </w:r>
    </w:p>
    <w:p w14:paraId="0C34A53C" w14:textId="77777777" w:rsidR="00AB7046" w:rsidRPr="00A52A99" w:rsidRDefault="00AB7046" w:rsidP="005534F4">
      <w:pPr>
        <w:spacing w:line="360" w:lineRule="auto"/>
        <w:rPr>
          <w:rFonts w:ascii="Arial" w:hAnsi="Arial" w:cs="Arial"/>
          <w:sz w:val="22"/>
          <w:szCs w:val="22"/>
        </w:rPr>
      </w:pPr>
    </w:p>
    <w:p w14:paraId="5AB3B83A"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 xml:space="preserve">Royal Pharmaceutical Society (n.d.) </w:t>
      </w:r>
      <w:r w:rsidRPr="001E064A">
        <w:rPr>
          <w:rFonts w:ascii="Arial" w:hAnsi="Arial" w:cs="Arial"/>
          <w:i/>
          <w:iCs/>
          <w:sz w:val="22"/>
          <w:szCs w:val="22"/>
        </w:rPr>
        <w:t>History of the Royal Pharmaceutical Society</w:t>
      </w:r>
      <w:r w:rsidRPr="00A52A99">
        <w:rPr>
          <w:rFonts w:ascii="Arial" w:hAnsi="Arial" w:cs="Arial"/>
          <w:sz w:val="22"/>
          <w:szCs w:val="22"/>
        </w:rPr>
        <w:t>. Available at: https://www.rpharms.com/about-us/history-of-the-rps (Accessed: 3 October 2026).</w:t>
      </w:r>
    </w:p>
    <w:p w14:paraId="3BAF6336" w14:textId="77777777" w:rsidR="00AB7046" w:rsidRPr="00A52A99" w:rsidRDefault="00AB7046" w:rsidP="005534F4">
      <w:pPr>
        <w:spacing w:line="360" w:lineRule="auto"/>
        <w:rPr>
          <w:rFonts w:ascii="Arial" w:hAnsi="Arial" w:cs="Arial"/>
          <w:sz w:val="22"/>
          <w:szCs w:val="22"/>
        </w:rPr>
      </w:pPr>
    </w:p>
    <w:p w14:paraId="527DD5CC" w14:textId="77777777" w:rsidR="00AB7046" w:rsidRPr="00A52A99" w:rsidRDefault="00AB7046" w:rsidP="005534F4">
      <w:pPr>
        <w:spacing w:line="360" w:lineRule="auto"/>
        <w:rPr>
          <w:rFonts w:ascii="Arial" w:hAnsi="Arial" w:cs="Arial"/>
          <w:sz w:val="22"/>
          <w:szCs w:val="22"/>
        </w:rPr>
      </w:pPr>
      <w:r w:rsidRPr="00A52A99">
        <w:rPr>
          <w:rFonts w:ascii="Arial" w:hAnsi="Arial" w:cs="Arial"/>
          <w:sz w:val="22"/>
          <w:szCs w:val="22"/>
        </w:rPr>
        <w:t xml:space="preserve">Skills for Care (2025) </w:t>
      </w:r>
      <w:r w:rsidRPr="001E064A">
        <w:rPr>
          <w:rFonts w:ascii="Arial" w:hAnsi="Arial" w:cs="Arial"/>
          <w:i/>
          <w:iCs/>
          <w:sz w:val="22"/>
          <w:szCs w:val="22"/>
        </w:rPr>
        <w:t>The state of the adult social care sector and workforce in England, 2025</w:t>
      </w:r>
      <w:r w:rsidRPr="00A52A99">
        <w:rPr>
          <w:rFonts w:ascii="Arial" w:hAnsi="Arial" w:cs="Arial"/>
          <w:sz w:val="22"/>
          <w:szCs w:val="22"/>
        </w:rPr>
        <w:t>. Leeds: Skills for Care. Available at: https://www.skillsforcare.org.uk/Adult-Social-Care-Workforce-Data/workforceintelligence/resources/Reports/National/The-state-of-the-adult-social-care-sector-and-workforce-in-England-2025.pdf (Accessed: 23 September 2026).</w:t>
      </w:r>
    </w:p>
    <w:p w14:paraId="407FE261" w14:textId="77777777" w:rsidR="00AB7046" w:rsidRPr="00A52A99" w:rsidRDefault="00AB7046" w:rsidP="005534F4">
      <w:pPr>
        <w:spacing w:line="360" w:lineRule="auto"/>
        <w:rPr>
          <w:rFonts w:ascii="Arial" w:hAnsi="Arial" w:cs="Arial"/>
          <w:sz w:val="22"/>
          <w:szCs w:val="22"/>
        </w:rPr>
      </w:pPr>
    </w:p>
    <w:p w14:paraId="051C72F7" w14:textId="1CE1414E" w:rsidR="00AB7046" w:rsidRPr="00A52A99" w:rsidRDefault="00AB7046" w:rsidP="005534F4">
      <w:pPr>
        <w:spacing w:line="360" w:lineRule="auto"/>
        <w:rPr>
          <w:rFonts w:ascii="Arial" w:hAnsi="Arial" w:cs="Arial"/>
          <w:sz w:val="22"/>
          <w:szCs w:val="22"/>
        </w:rPr>
      </w:pPr>
      <w:proofErr w:type="spellStart"/>
      <w:r w:rsidRPr="00A52A99">
        <w:rPr>
          <w:rFonts w:ascii="Arial" w:hAnsi="Arial" w:cs="Arial"/>
          <w:sz w:val="22"/>
          <w:szCs w:val="22"/>
        </w:rPr>
        <w:lastRenderedPageBreak/>
        <w:t>Vadean</w:t>
      </w:r>
      <w:proofErr w:type="spellEnd"/>
      <w:r w:rsidRPr="00A52A99">
        <w:rPr>
          <w:rFonts w:ascii="Arial" w:hAnsi="Arial" w:cs="Arial"/>
          <w:sz w:val="22"/>
          <w:szCs w:val="22"/>
        </w:rPr>
        <w:t xml:space="preserve">, F. and </w:t>
      </w:r>
      <w:proofErr w:type="spellStart"/>
      <w:r w:rsidRPr="00A52A99">
        <w:rPr>
          <w:rFonts w:ascii="Arial" w:hAnsi="Arial" w:cs="Arial"/>
          <w:sz w:val="22"/>
          <w:szCs w:val="22"/>
        </w:rPr>
        <w:t>Saloniki</w:t>
      </w:r>
      <w:proofErr w:type="spellEnd"/>
      <w:r w:rsidRPr="00A52A99">
        <w:rPr>
          <w:rFonts w:ascii="Arial" w:hAnsi="Arial" w:cs="Arial"/>
          <w:sz w:val="22"/>
          <w:szCs w:val="22"/>
        </w:rPr>
        <w:t xml:space="preserve">, E.-C. (2023) ‘Job quality and job separation of direct care workers in England’, </w:t>
      </w:r>
      <w:r w:rsidRPr="001E064A">
        <w:rPr>
          <w:rFonts w:ascii="Arial" w:hAnsi="Arial" w:cs="Arial"/>
          <w:i/>
          <w:iCs/>
          <w:sz w:val="22"/>
          <w:szCs w:val="22"/>
        </w:rPr>
        <w:t xml:space="preserve">Innovation in </w:t>
      </w:r>
      <w:r w:rsidR="001E064A">
        <w:rPr>
          <w:rFonts w:ascii="Arial" w:hAnsi="Arial" w:cs="Arial"/>
          <w:i/>
          <w:iCs/>
          <w:sz w:val="22"/>
          <w:szCs w:val="22"/>
        </w:rPr>
        <w:t>Ageing</w:t>
      </w:r>
      <w:r w:rsidRPr="00A52A99">
        <w:rPr>
          <w:rFonts w:ascii="Arial" w:hAnsi="Arial" w:cs="Arial"/>
          <w:sz w:val="22"/>
          <w:szCs w:val="22"/>
        </w:rPr>
        <w:t>, 7(2), article igad009. Available at: https://doi.org/10.1093/geroni/igad009 (Accessed: 25 September 2026).</w:t>
      </w:r>
    </w:p>
    <w:p w14:paraId="2F732B66" w14:textId="77777777" w:rsidR="00AB7046" w:rsidRPr="00A52A99" w:rsidRDefault="00AB7046" w:rsidP="005534F4">
      <w:pPr>
        <w:spacing w:line="360" w:lineRule="auto"/>
        <w:rPr>
          <w:rFonts w:ascii="Arial" w:hAnsi="Arial" w:cs="Arial"/>
          <w:sz w:val="22"/>
          <w:szCs w:val="22"/>
        </w:rPr>
      </w:pPr>
    </w:p>
    <w:p w14:paraId="2F7EED3A" w14:textId="7054AE56" w:rsidR="00135FA3" w:rsidRPr="00A52A99" w:rsidRDefault="00AB7046" w:rsidP="005534F4">
      <w:pPr>
        <w:spacing w:line="360" w:lineRule="auto"/>
        <w:rPr>
          <w:rFonts w:ascii="Arial" w:hAnsi="Arial" w:cs="Arial"/>
          <w:sz w:val="22"/>
          <w:szCs w:val="22"/>
        </w:rPr>
      </w:pPr>
      <w:r w:rsidRPr="00A52A99">
        <w:rPr>
          <w:rFonts w:ascii="Arial" w:hAnsi="Arial" w:cs="Arial"/>
          <w:sz w:val="22"/>
          <w:szCs w:val="22"/>
        </w:rPr>
        <w:t xml:space="preserve">Yuan, C., Ding, Y., Zhou, K., Huang, Y. and Xi, X. (2019) ‘Clinical outcomes of community pharmacy services: a systematic review and meta-analysis’, </w:t>
      </w:r>
      <w:r w:rsidRPr="001E064A">
        <w:rPr>
          <w:rFonts w:ascii="Arial" w:hAnsi="Arial" w:cs="Arial"/>
          <w:i/>
          <w:iCs/>
          <w:sz w:val="22"/>
          <w:szCs w:val="22"/>
        </w:rPr>
        <w:t>Health &amp; Social Care in the Community</w:t>
      </w:r>
      <w:r w:rsidRPr="00A52A99">
        <w:rPr>
          <w:rFonts w:ascii="Arial" w:hAnsi="Arial" w:cs="Arial"/>
          <w:sz w:val="22"/>
          <w:szCs w:val="22"/>
        </w:rPr>
        <w:t>, 27(5), pp. e567–e587. Available at: https://doi.org/10.1111/hsc.12794 (Accessed: 9 October 2026).</w:t>
      </w:r>
    </w:p>
    <w:sectPr w:rsidR="00135FA3" w:rsidRPr="00A52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FA3"/>
    <w:rsid w:val="00135FA3"/>
    <w:rsid w:val="001A2FC3"/>
    <w:rsid w:val="001E064A"/>
    <w:rsid w:val="002A2021"/>
    <w:rsid w:val="002D47D3"/>
    <w:rsid w:val="002F4B63"/>
    <w:rsid w:val="00427306"/>
    <w:rsid w:val="004302A9"/>
    <w:rsid w:val="004A6B0B"/>
    <w:rsid w:val="005534F4"/>
    <w:rsid w:val="0061040C"/>
    <w:rsid w:val="007409B4"/>
    <w:rsid w:val="007532FE"/>
    <w:rsid w:val="0081222B"/>
    <w:rsid w:val="008632BD"/>
    <w:rsid w:val="00880EF9"/>
    <w:rsid w:val="008F0779"/>
    <w:rsid w:val="009229D7"/>
    <w:rsid w:val="00935EA9"/>
    <w:rsid w:val="0095176D"/>
    <w:rsid w:val="009E32CF"/>
    <w:rsid w:val="00A11656"/>
    <w:rsid w:val="00A5171C"/>
    <w:rsid w:val="00A52A99"/>
    <w:rsid w:val="00A55EEA"/>
    <w:rsid w:val="00AA5E2F"/>
    <w:rsid w:val="00AB7046"/>
    <w:rsid w:val="00B21C4B"/>
    <w:rsid w:val="00BB4748"/>
    <w:rsid w:val="00D323FB"/>
    <w:rsid w:val="00DE38A6"/>
    <w:rsid w:val="00F26E19"/>
    <w:rsid w:val="00FB59DF"/>
    <w:rsid w:val="00FC6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459C"/>
  <w15:chartTrackingRefBased/>
  <w15:docId w15:val="{B0C4ABBE-8B00-459C-A651-D0ABD91C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5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F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F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5F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F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FA3"/>
    <w:rPr>
      <w:rFonts w:eastAsiaTheme="majorEastAsia" w:cstheme="majorBidi"/>
      <w:color w:val="272727" w:themeColor="text1" w:themeTint="D8"/>
    </w:rPr>
  </w:style>
  <w:style w:type="paragraph" w:styleId="Title">
    <w:name w:val="Title"/>
    <w:basedOn w:val="Normal"/>
    <w:next w:val="Normal"/>
    <w:link w:val="TitleChar"/>
    <w:uiPriority w:val="10"/>
    <w:qFormat/>
    <w:rsid w:val="00135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F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F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F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FA3"/>
    <w:pPr>
      <w:spacing w:before="160"/>
      <w:jc w:val="center"/>
    </w:pPr>
    <w:rPr>
      <w:i/>
      <w:iCs/>
      <w:color w:val="404040" w:themeColor="text1" w:themeTint="BF"/>
    </w:rPr>
  </w:style>
  <w:style w:type="character" w:customStyle="1" w:styleId="QuoteChar">
    <w:name w:val="Quote Char"/>
    <w:basedOn w:val="DefaultParagraphFont"/>
    <w:link w:val="Quote"/>
    <w:uiPriority w:val="29"/>
    <w:rsid w:val="00135FA3"/>
    <w:rPr>
      <w:i/>
      <w:iCs/>
      <w:color w:val="404040" w:themeColor="text1" w:themeTint="BF"/>
    </w:rPr>
  </w:style>
  <w:style w:type="paragraph" w:styleId="ListParagraph">
    <w:name w:val="List Paragraph"/>
    <w:basedOn w:val="Normal"/>
    <w:uiPriority w:val="34"/>
    <w:qFormat/>
    <w:rsid w:val="00135FA3"/>
    <w:pPr>
      <w:ind w:left="720"/>
      <w:contextualSpacing/>
    </w:pPr>
  </w:style>
  <w:style w:type="character" w:styleId="IntenseEmphasis">
    <w:name w:val="Intense Emphasis"/>
    <w:basedOn w:val="DefaultParagraphFont"/>
    <w:uiPriority w:val="21"/>
    <w:qFormat/>
    <w:rsid w:val="00135FA3"/>
    <w:rPr>
      <w:i/>
      <w:iCs/>
      <w:color w:val="0F4761" w:themeColor="accent1" w:themeShade="BF"/>
    </w:rPr>
  </w:style>
  <w:style w:type="paragraph" w:styleId="IntenseQuote">
    <w:name w:val="Intense Quote"/>
    <w:basedOn w:val="Normal"/>
    <w:next w:val="Normal"/>
    <w:link w:val="IntenseQuoteChar"/>
    <w:uiPriority w:val="30"/>
    <w:qFormat/>
    <w:rsid w:val="00135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FA3"/>
    <w:rPr>
      <w:i/>
      <w:iCs/>
      <w:color w:val="0F4761" w:themeColor="accent1" w:themeShade="BF"/>
    </w:rPr>
  </w:style>
  <w:style w:type="character" w:styleId="IntenseReference">
    <w:name w:val="Intense Reference"/>
    <w:basedOn w:val="DefaultParagraphFont"/>
    <w:uiPriority w:val="32"/>
    <w:qFormat/>
    <w:rsid w:val="00135F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b75ee4b542f5ad118924ef78364ea18c">
  <xsd:schema xmlns:xsd="http://www.w3.org/2001/XMLSchema" xmlns:xs="http://www.w3.org/2001/XMLSchema" xmlns:p="http://schemas.microsoft.com/office/2006/metadata/properties" xmlns:ns3="936e02c4-a484-4998-a51a-c24e6dc61f3e" targetNamespace="http://schemas.microsoft.com/office/2006/metadata/properties" ma:root="true" ma:fieldsID="8e1e54e397945d006caca71f2823d38e"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Props1.xml><?xml version="1.0" encoding="utf-8"?>
<ds:datastoreItem xmlns:ds="http://schemas.openxmlformats.org/officeDocument/2006/customXml" ds:itemID="{49038B0C-CBB0-44A0-B428-49FDD22196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C4987E-F735-445C-B396-F27A6F770DAB}">
  <ds:schemaRefs>
    <ds:schemaRef ds:uri="http://schemas.microsoft.com/sharepoint/v3/contenttype/forms"/>
  </ds:schemaRefs>
</ds:datastoreItem>
</file>

<file path=customXml/itemProps3.xml><?xml version="1.0" encoding="utf-8"?>
<ds:datastoreItem xmlns:ds="http://schemas.openxmlformats.org/officeDocument/2006/customXml" ds:itemID="{F2596099-544C-4BCF-82D8-93B02E40650A}">
  <ds:schemaRefs>
    <ds:schemaRef ds:uri="http://schemas.microsoft.com/office/2006/metadata/properties"/>
    <ds:schemaRef ds:uri="http://schemas.microsoft.com/office/infopath/2007/PartnerControls"/>
    <ds:schemaRef ds:uri="936e02c4-a484-4998-a51a-c24e6dc61f3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2118</Words>
  <Characters>12079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Alazar Befikadu (2541000)</dc:creator>
  <cp:keywords/>
  <dc:description/>
  <cp:lastModifiedBy>Alazar Befikadu (2541000)</cp:lastModifiedBy>
  <cp:revision>2</cp:revision>
  <dcterms:created xsi:type="dcterms:W3CDTF">2026-10-18T23:08:00Z</dcterms:created>
  <dcterms:modified xsi:type="dcterms:W3CDTF">2026-10-18T23:08:00Z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0766e995-2a6c-4724-9aac-e609ab268e17</vt:lpwstr>
  </property>
  <property fmtid="{D5CDD505-2E9C-101B-9397-08002B2CF9AE}" pid="3" name="ContentTypeId">
    <vt:lpwstr>0x010100DA3F46C0B2A77F4AAB923CA00B36000F</vt:lpwstr>
  </property>
</Properties>
</file>