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F5FD430" w14:textId="6B9728EE" w:rsidR="000B247A" w:rsidRPr="00CF1AA6" w:rsidRDefault="000B247A" w:rsidP="00CF1AA6">
      <w:pPr>
        <w:pStyle w:val="NormalWeb"/>
        <w:spacing w:line="360" w:lineRule="auto"/>
        <w:jc w:val="center"/>
        <w:rPr>
          <w:rFonts w:ascii="AppleSystemUIFont" w:hAnsi="AppleSystemUIFont" w:cs="AppleSystemUIFont"/>
          <w:b/>
          <w:bCs/>
          <w:sz w:val="26"/>
          <w:szCs w:val="26"/>
        </w:rPr>
      </w:pPr>
      <w:r>
        <w:rPr>
          <w:rFonts w:ascii="AppleSystemUIFont" w:hAnsi="AppleSystemUIFont" w:cs="AppleSystemUIFont"/>
          <w:b/>
          <w:bCs/>
          <w:sz w:val="26"/>
          <w:szCs w:val="26"/>
        </w:rPr>
        <w:t>Enhancing Therapeutic Outcomes Through Motivational Interviewing</w:t>
      </w:r>
      <w:r>
        <w:rPr>
          <w:rFonts w:ascii="AppleSystemUIFont" w:hAnsi="AppleSystemUIFont" w:cs="AppleSystemUIFont"/>
          <w:b/>
          <w:bCs/>
          <w:sz w:val="26"/>
          <w:szCs w:val="26"/>
        </w:rPr>
        <w:br/>
      </w:r>
      <w:r>
        <w:rPr>
          <w:rFonts w:ascii="Arial" w:hAnsi="Arial" w:cs="Arial"/>
          <w:b/>
          <w:bCs/>
          <w:sz w:val="22"/>
          <w:szCs w:val="22"/>
        </w:rPr>
        <w:t xml:space="preserve">A critical case </w:t>
      </w:r>
      <w:r>
        <w:rPr>
          <w:rFonts w:ascii="Arial" w:hAnsi="Arial" w:cs="Arial"/>
          <w:b/>
          <w:bCs/>
          <w:sz w:val="22"/>
          <w:szCs w:val="22"/>
        </w:rPr>
        <w:t>study</w:t>
      </w:r>
    </w:p>
    <w:p w14:paraId="282D6044" w14:textId="6FD2CC58" w:rsidR="000B247A" w:rsidRDefault="000B247A" w:rsidP="00840C89"/>
    <w:p w14:paraId="1E65D129" w14:textId="77777777" w:rsidR="000B247A" w:rsidRDefault="000B247A" w:rsidP="00840C89"/>
    <w:p w14:paraId="4A26CD6D" w14:textId="225A1E01" w:rsidR="00840C89" w:rsidRDefault="00840C89" w:rsidP="00840C89">
      <w:r>
        <w:t xml:space="preserve">Motivational Interviewing (MI) represents a breakthrough in mental health </w:t>
      </w:r>
      <w:r w:rsidR="00CF1AA6">
        <w:t>counselling</w:t>
      </w:r>
      <w:r>
        <w:t>, providing an innovative client-</w:t>
      </w:r>
      <w:proofErr w:type="spellStart"/>
      <w:r>
        <w:t>cent</w:t>
      </w:r>
      <w:r w:rsidR="00CF1AA6">
        <w:t>er</w:t>
      </w:r>
      <w:r>
        <w:t>ed</w:t>
      </w:r>
      <w:proofErr w:type="spellEnd"/>
      <w:r>
        <w:t xml:space="preserve"> and directive approach designed to increase an individual's intrinsic motivation to change by carefully exploring and resolving ambivalence. Miller &amp; Rollnick (2013) have developed a method that emphasizes therapeutic change by engaging clients through empowerment and activation of personal motivation and resources. MI plays an integral part of mental health counselling; it serves as an effective tool to encourage meaningful behavioural change that impacts positively upon health and well-being (</w:t>
      </w:r>
      <w:proofErr w:type="spellStart"/>
      <w:r>
        <w:t>Hettema</w:t>
      </w:r>
      <w:proofErr w:type="spellEnd"/>
      <w:r>
        <w:t>, Steele &amp; Miller 2005).</w:t>
      </w:r>
    </w:p>
    <w:p w14:paraId="2632DC6D" w14:textId="77777777" w:rsidR="00CF1AA6" w:rsidRDefault="00CF1AA6" w:rsidP="00840C89"/>
    <w:p w14:paraId="4DA398A0" w14:textId="77777777" w:rsidR="00840C89" w:rsidRDefault="00840C89" w:rsidP="00840C89">
      <w:r>
        <w:t>At the core of MI is its client-</w:t>
      </w:r>
      <w:proofErr w:type="spellStart"/>
      <w:r>
        <w:t>centered</w:t>
      </w:r>
      <w:proofErr w:type="spellEnd"/>
      <w:r>
        <w:t xml:space="preserve"> approach, which places great emphasis on understanding a client's own perspective, forging an alliance founded in respect and empathy, and engaging in collaborative goal setting processes. This respects their autonomy and self-directed change abilities; making MI an approachable yet sensitive way of dealing with complex </w:t>
      </w:r>
      <w:proofErr w:type="spellStart"/>
      <w:r>
        <w:t>behavioral</w:t>
      </w:r>
      <w:proofErr w:type="spellEnd"/>
      <w:r>
        <w:t xml:space="preserve"> issues (</w:t>
      </w:r>
      <w:proofErr w:type="spellStart"/>
      <w:r>
        <w:t>Lundahl</w:t>
      </w:r>
      <w:proofErr w:type="spellEnd"/>
      <w:r>
        <w:t xml:space="preserve"> et al. 2013). Research has confirmed this emphasis - contributing significantly to its effectiveness across various settings (</w:t>
      </w:r>
      <w:proofErr w:type="spellStart"/>
      <w:r>
        <w:t>Lundahl</w:t>
      </w:r>
      <w:proofErr w:type="spellEnd"/>
      <w:r>
        <w:t xml:space="preserve"> et al. 2013).</w:t>
      </w:r>
    </w:p>
    <w:p w14:paraId="124C63D6" w14:textId="6274CB85" w:rsidR="008F771E" w:rsidRDefault="00840C89" w:rsidP="00840C89">
      <w:r>
        <w:t>MI has grown beyond its foundational principles to become an essential element of contemporary mental health practices, with it now featured as part of the curriculum for the BSc Mental Health Program. This affirmation highlights its applicability across various mental health issues from substance abuse to mood disorders - showing its versatility and effectiveness at improving psychological well-being. MI ties in well with current paradigms that prioritize personalized care and empowerment making it an invaluable tool in modern mental health professionals' arsenal (</w:t>
      </w:r>
      <w:proofErr w:type="spellStart"/>
      <w:r>
        <w:t>Soderlund</w:t>
      </w:r>
      <w:proofErr w:type="spellEnd"/>
      <w:r>
        <w:t xml:space="preserve"> et al. 2011; </w:t>
      </w:r>
      <w:proofErr w:type="spellStart"/>
      <w:r>
        <w:t>Rubak</w:t>
      </w:r>
      <w:proofErr w:type="spellEnd"/>
      <w:r>
        <w:t xml:space="preserve"> et al. 2005).</w:t>
      </w:r>
    </w:p>
    <w:p w14:paraId="35B08B0D" w14:textId="50D3547A" w:rsidR="00840C89" w:rsidRDefault="00840C89" w:rsidP="00840C89"/>
    <w:p w14:paraId="0F0E78DF" w14:textId="083F07A9" w:rsidR="00840C89" w:rsidRDefault="00840C89" w:rsidP="00840C89">
      <w:r>
        <w:t xml:space="preserve">Motivational Interviewing (MI) first made its debut in the 1980s and revolutionized </w:t>
      </w:r>
      <w:r w:rsidR="00CF1AA6">
        <w:t>counselling</w:t>
      </w:r>
      <w:r>
        <w:t xml:space="preserve"> and psychotherapy largely thanks to William R. Miller's pioneering efforts. Miller first proposed MI as a counselling style that could effectively address the ambivalence seen among those suffering from alcoholism (Miller, 1983). This innovative approach has attracted wide acclaim among psychologists for its client-</w:t>
      </w:r>
      <w:proofErr w:type="spellStart"/>
      <w:r>
        <w:t>cent</w:t>
      </w:r>
      <w:r w:rsidR="00CF1AA6">
        <w:t>ered</w:t>
      </w:r>
      <w:proofErr w:type="spellEnd"/>
      <w:r>
        <w:t xml:space="preserve"> nature and focus on inducing intrinsic motivation for change. Miller and Stephen Rollnick collaborated during the early 1990s to enhance and extend MI, culminating in their seminal work (Miller &amp; Rollnick, 1991) that solidified its theoretical basis while expanding its applicability beyond substance abuse to address a range of </w:t>
      </w:r>
      <w:r w:rsidR="00CF1AA6">
        <w:t>behavioural</w:t>
      </w:r>
      <w:r>
        <w:t xml:space="preserve"> and mental health concerns.</w:t>
      </w:r>
    </w:p>
    <w:p w14:paraId="75158B80" w14:textId="77777777" w:rsidR="00CF1AA6" w:rsidRDefault="00CF1AA6" w:rsidP="00840C89"/>
    <w:p w14:paraId="393FAFE5" w14:textId="77777777" w:rsidR="00840C89" w:rsidRDefault="00840C89" w:rsidP="00840C89">
      <w:r>
        <w:t>MI has proven itself adaptable and universal, expanding from its initial use for treating addictions to becoming widely implemented within mental health practices (Miller &amp; Rollnick 2013). Since its debut as a solution for addiction treatment to being widely implemented across diverse issues such as eating disorders, smoking cessation, medication adherence and mental health conditions such as depression and anxiety (Miller &amp; Rollnick 2013), its expansion speaks to its ability to address human behaviour changes across contexts and populations with ease.</w:t>
      </w:r>
    </w:p>
    <w:p w14:paraId="5B4BB676" w14:textId="1F6ACE25" w:rsidR="00840C89" w:rsidRDefault="00840C89" w:rsidP="00840C89">
      <w:r>
        <w:lastRenderedPageBreak/>
        <w:t xml:space="preserve">MI is built upon several key principles that define its effectiveness and uniqueness as a therapeutic approach. One such principle, empathic listening, encourages active and reflective listening from counsellors </w:t>
      </w:r>
      <w:r w:rsidR="00CF1AA6">
        <w:t>to</w:t>
      </w:r>
      <w:r>
        <w:t xml:space="preserve"> fully comprehend each client's point of view (Miller &amp; Rollnick 2013). Empathic stance allows clients to freely discuss any resistance towards change without feeling judged; discrepancy development helps clients recognize gaps between current </w:t>
      </w:r>
      <w:r w:rsidR="00CF1AA6">
        <w:t>behaviour</w:t>
      </w:r>
      <w:r>
        <w:t xml:space="preserve"> and broader life values or goals (Miller &amp; Rollnick 2013); </w:t>
      </w:r>
      <w:r w:rsidR="000832DF">
        <w:t>thus,</w:t>
      </w:r>
      <w:r>
        <w:t xml:space="preserve"> prompting change-motivating them towards action or any change process that might ensue.</w:t>
      </w:r>
    </w:p>
    <w:p w14:paraId="02A3B7A5" w14:textId="3EEEEBA0" w:rsidR="00840C89" w:rsidRDefault="00840C89" w:rsidP="00840C89">
      <w:r>
        <w:t xml:space="preserve">Rolling with resistance, as a third principle of MI therapy, highlights the necessity of avoiding direct confrontation with clients. Instead, MI counsellors are encouraged to accept and work within any resistance from clients, seeing it as part of the change process rather than an obstacle to be overcome (Miller &amp; Rollnick, 2013). In addition, supporting self-efficacy - or confidence in one's capacity to make lasting changes - is of utmost importance; counsellors aim to build this within </w:t>
      </w:r>
      <w:r>
        <w:t>clients,</w:t>
      </w:r>
      <w:r>
        <w:t xml:space="preserve"> so they take active steps toward their goals (Miller &amp; Rollnick, 2013).</w:t>
      </w:r>
    </w:p>
    <w:p w14:paraId="565CB598" w14:textId="227D23C7" w:rsidR="00840C89" w:rsidRDefault="00840C89" w:rsidP="00840C89">
      <w:r>
        <w:t xml:space="preserve">MI is renowned for its timeless value and adaptability as a counselling approach, evolving from its initial use primarily for addiction treatment into an all-inclusive technique for encouraging </w:t>
      </w:r>
      <w:r>
        <w:t>behavioural</w:t>
      </w:r>
      <w:r>
        <w:t xml:space="preserve"> change. MI's historical development exemplifies this enduring utility as an approach that addresses an array of mental health challenges.</w:t>
      </w:r>
    </w:p>
    <w:p w14:paraId="0A2AC9F8" w14:textId="2692D53C" w:rsidR="00840C89" w:rsidRDefault="00840C89" w:rsidP="00840C89"/>
    <w:p w14:paraId="3D5E5303" w14:textId="00A27A50" w:rsidR="00840C89" w:rsidRDefault="00840C89" w:rsidP="00840C89">
      <w:r>
        <w:t xml:space="preserve">Motivational Interviewing (MI) has proven its efficacy across numerous mental health conditions, showing its versatility and efficiency in different clinical environments. At the core of its application lies its versatility: this approach can address not only addiction but also depression, </w:t>
      </w:r>
      <w:r w:rsidR="00CF1AA6">
        <w:t>anxiety,</w:t>
      </w:r>
      <w:r>
        <w:t xml:space="preserve"> and other </w:t>
      </w:r>
      <w:r w:rsidR="00CF1AA6">
        <w:t>behavioural</w:t>
      </w:r>
      <w:r>
        <w:t xml:space="preserve"> health challenges. Research has proven the effectiveness of MI in helping facilitate </w:t>
      </w:r>
      <w:r w:rsidR="00CF1AA6">
        <w:t>behavioural</w:t>
      </w:r>
      <w:r>
        <w:t xml:space="preserve"> change, enhance patient </w:t>
      </w:r>
      <w:r w:rsidR="00CF1AA6">
        <w:t>engagement,</w:t>
      </w:r>
      <w:r>
        <w:t xml:space="preserve"> and increase treatment outcomes across these disorders. Studies have demonstrated the efficacy of MI in treating substance use disorders by increasing motivation to change and encouraging compliance with treatment plans (Miller &amp; Rollnick, 2013). MI has also proven its worth in managing depression; research suggests it helps patients engage more fully with treatment and adhere more readily to prescribed medication regimens (</w:t>
      </w:r>
      <w:proofErr w:type="spellStart"/>
      <w:r>
        <w:t>Hettema</w:t>
      </w:r>
      <w:proofErr w:type="spellEnd"/>
      <w:r>
        <w:t xml:space="preserve"> Steele Miller 2005).</w:t>
      </w:r>
    </w:p>
    <w:p w14:paraId="66A37A12" w14:textId="77777777" w:rsidR="00840C89" w:rsidRDefault="00840C89" w:rsidP="00840C89">
      <w:r>
        <w:t xml:space="preserve">MI can also help address eating disorders, gambling addiction and lifestyle changes associated with chronic health conditions (Bischof, Bischof &amp; </w:t>
      </w:r>
      <w:proofErr w:type="spellStart"/>
      <w:r>
        <w:t>Rumpf</w:t>
      </w:r>
      <w:proofErr w:type="spellEnd"/>
      <w:r>
        <w:t>, 2021). Furthermore, its emphasis on exploring and resolving ambivalence makes MI an invaluable tool in the arsenal of mental health professionals, enabling clinicians to tailor interventions specifically for each client they see.</w:t>
      </w:r>
    </w:p>
    <w:p w14:paraId="288EF888" w14:textId="77777777" w:rsidR="00840C89" w:rsidRDefault="00840C89" w:rsidP="00840C89">
      <w:r>
        <w:t>MI is distinguished by its flexibility when applied to different populations, with successful adaptation for cultural sensitivities and socioeconomic status being among its hallmarks of adaptability. Interventions tailored specifically to indigenous populations where traditional healing practices and community values play a prominent role have also been tailored specifically for MI use (</w:t>
      </w:r>
      <w:proofErr w:type="spellStart"/>
      <w:r>
        <w:t>Venner</w:t>
      </w:r>
      <w:proofErr w:type="spellEnd"/>
      <w:r>
        <w:t xml:space="preserve"> et al. 2012).</w:t>
      </w:r>
    </w:p>
    <w:p w14:paraId="0FE133C7" w14:textId="5B98DA83" w:rsidR="00840C89" w:rsidRDefault="00840C89" w:rsidP="00840C89">
      <w:r>
        <w:t xml:space="preserve">Socioeconomic status is also an essential consideration in adapting MI. Clinicians are trained to recognize and address the unique challenges encountered by clients from lower socioeconomic backgrounds, such as barriers to healthcare access, financial strain and environmental influences that influence health </w:t>
      </w:r>
      <w:r w:rsidR="00CF1AA6">
        <w:t>behaviours</w:t>
      </w:r>
      <w:r>
        <w:t xml:space="preserve"> (</w:t>
      </w:r>
      <w:proofErr w:type="spellStart"/>
      <w:r>
        <w:t>Smedslund</w:t>
      </w:r>
      <w:proofErr w:type="spellEnd"/>
      <w:r>
        <w:t xml:space="preserve"> et al., 2011). By tailoring MI to take these factors into account more effectively engage clients while supporting meaningful changes.</w:t>
      </w:r>
    </w:p>
    <w:p w14:paraId="6A0B23BB" w14:textId="072AB77D" w:rsidR="00840C89" w:rsidRDefault="00840C89" w:rsidP="00840C89">
      <w:r>
        <w:lastRenderedPageBreak/>
        <w:t>Overall, MI's wide application across an array of mental health issues and populations illustrates its adaptability and effectiveness as a therapeutic approach. Furthermore, its capability of being tailored for various cultural contexts and socioeconomic conditions further demonstrate its usefulness in meeting diverse client needs. By emphasizing client-</w:t>
      </w:r>
      <w:proofErr w:type="spellStart"/>
      <w:r>
        <w:t>centered</w:t>
      </w:r>
      <w:proofErr w:type="spellEnd"/>
      <w:r>
        <w:t xml:space="preserve"> care, MI provides individuals with an outlet to explore ambivalence towards change while creating an atmosphere conducive to personal development and </w:t>
      </w:r>
      <w:r w:rsidR="00CF1AA6">
        <w:t>behavioural</w:t>
      </w:r>
      <w:r>
        <w:t xml:space="preserve"> transformation (Miller &amp; Rollnick 2013; </w:t>
      </w:r>
      <w:proofErr w:type="spellStart"/>
      <w:r>
        <w:t>Hettema</w:t>
      </w:r>
      <w:proofErr w:type="spellEnd"/>
      <w:r>
        <w:t xml:space="preserve"> Steele Miller 2005 2021 Bischof </w:t>
      </w:r>
      <w:proofErr w:type="spellStart"/>
      <w:r>
        <w:t>Bischof</w:t>
      </w:r>
      <w:proofErr w:type="spellEnd"/>
      <w:r>
        <w:t xml:space="preserve"> </w:t>
      </w:r>
      <w:proofErr w:type="spellStart"/>
      <w:r>
        <w:t>Bischof</w:t>
      </w:r>
      <w:proofErr w:type="spellEnd"/>
      <w:r>
        <w:t xml:space="preserve"> </w:t>
      </w:r>
      <w:proofErr w:type="spellStart"/>
      <w:r>
        <w:t>Rumpf</w:t>
      </w:r>
      <w:proofErr w:type="spellEnd"/>
      <w:r>
        <w:t xml:space="preserve"> 2021 </w:t>
      </w:r>
      <w:proofErr w:type="spellStart"/>
      <w:r>
        <w:t>Venner</w:t>
      </w:r>
      <w:proofErr w:type="spellEnd"/>
      <w:r>
        <w:t xml:space="preserve"> et al 2012 </w:t>
      </w:r>
      <w:proofErr w:type="spellStart"/>
      <w:r>
        <w:t>Smedslund</w:t>
      </w:r>
      <w:proofErr w:type="spellEnd"/>
      <w:r>
        <w:t xml:space="preserve"> et al 2011).</w:t>
      </w:r>
    </w:p>
    <w:p w14:paraId="56567EAB" w14:textId="4F464727" w:rsidR="00840C89" w:rsidRDefault="00840C89" w:rsidP="00840C89"/>
    <w:p w14:paraId="32B6AF12" w14:textId="6DF3083B" w:rsidR="00840C89" w:rsidRDefault="00840C89" w:rsidP="00840C89">
      <w:r>
        <w:t xml:space="preserve">Motivational Interviewing (MI) has been widely researched and applied across numerous clinical settings, demonstrating its versatility and efficiency at helping facilitate </w:t>
      </w:r>
      <w:r w:rsidR="00CF1AA6">
        <w:t>behavioural</w:t>
      </w:r>
      <w:r>
        <w:t xml:space="preserve"> change and client empowerment. MI's strengths, including its client-</w:t>
      </w:r>
      <w:proofErr w:type="spellStart"/>
      <w:r>
        <w:t>centered</w:t>
      </w:r>
      <w:proofErr w:type="spellEnd"/>
      <w:r>
        <w:t xml:space="preserve"> approach and focus on resolving ambivalence, have long been acknowledged. This approach fits well with current understandings of therapeutic engagement, in which client autonomy and perspective play an integral part (Miller &amp; Rollnick 2013). MI is well suited to meeting many mental health challenges, from substance abuse and chronic disease management (</w:t>
      </w:r>
      <w:proofErr w:type="spellStart"/>
      <w:r>
        <w:t>Resnicow</w:t>
      </w:r>
      <w:proofErr w:type="spellEnd"/>
      <w:r>
        <w:t xml:space="preserve"> &amp; McMaster 2012; Bischof et al. 2021)</w:t>
      </w:r>
    </w:p>
    <w:p w14:paraId="5E2CBF13" w14:textId="77777777" w:rsidR="000832DF" w:rsidRDefault="00840C89" w:rsidP="00840C89">
      <w:r>
        <w:t xml:space="preserve">MI's emphasis on client empowerment is an especially strong point. </w:t>
      </w:r>
    </w:p>
    <w:p w14:paraId="41A71217" w14:textId="77777777" w:rsidR="000832DF" w:rsidRDefault="000832DF" w:rsidP="00840C89"/>
    <w:p w14:paraId="25671CD5" w14:textId="75AB2493" w:rsidR="00840C89" w:rsidRDefault="00840C89" w:rsidP="00840C89">
      <w:r>
        <w:t xml:space="preserve">MI can create an environment in which clients can discover their motivations and capacities for change; studies have demonstrated its efficacy with challenging client populations (Cooper et al., 2018) resulting in improved treatment adherence and more significant </w:t>
      </w:r>
      <w:r w:rsidR="00CF1AA6">
        <w:t>behavioural</w:t>
      </w:r>
      <w:r>
        <w:t xml:space="preserve"> changes; its versatility in application--ranging from brief interventions to extended therapeutic engagements--further underlines its applicability across treatment settings (Lim et al., 2019).</w:t>
      </w:r>
    </w:p>
    <w:p w14:paraId="7FC9E24E" w14:textId="416DCB68" w:rsidR="00840C89" w:rsidRDefault="00840C89" w:rsidP="00840C89">
      <w:r>
        <w:t>MI isn't without its drawbacks and challenges, however. A key drawback of MI is its variable results across different studies, which suggests it might work better for certain conditions or populations than others (</w:t>
      </w:r>
      <w:proofErr w:type="spellStart"/>
      <w:r>
        <w:t>Resnicow</w:t>
      </w:r>
      <w:proofErr w:type="spellEnd"/>
      <w:r>
        <w:t xml:space="preserve"> &amp; McMaster 2012). While MI has shown promise in addiction treatment, its efficacy across other areas such as weight loss or managing chronic diseases has been more variable; </w:t>
      </w:r>
      <w:r w:rsidR="00CF1AA6">
        <w:t>thus,</w:t>
      </w:r>
      <w:r>
        <w:t xml:space="preserve"> warranting further investigation to understand which factors impact MI's effectiveness across various contexts.</w:t>
      </w:r>
    </w:p>
    <w:p w14:paraId="2C212076" w14:textId="77777777" w:rsidR="000832DF" w:rsidRDefault="000832DF" w:rsidP="00840C89"/>
    <w:p w14:paraId="7EFBBCBF" w14:textId="77777777" w:rsidR="00840C89" w:rsidRDefault="00840C89" w:rsidP="00840C89">
      <w:r>
        <w:t>Another hurdle in successfully implementing MI is training requirements. Mastery of MI techniques requires substantial instruction and practice, with delivery quality having an impactful effect on outcomes; hence there have been discussions around effective training methodologies to train practitioners while upholding fidelity to MI approaches in clinical settings (Arbuckle et al. 2020; Lim et al. 2019).</w:t>
      </w:r>
    </w:p>
    <w:p w14:paraId="1A84F9AE" w14:textId="0DE713E1" w:rsidR="00840C89" w:rsidRDefault="00840C89" w:rsidP="00840C89">
      <w:r>
        <w:t>Controversies surrounding MI include debates over its comparative effectiveness versus other interventions. Some studies have examined if MI is significantly more effective than other therapeutic approaches for specific issues such as depression and anxiety (Cooper et al., 2018). Such discussions emphasize the significance of context and client characteristics when selecting an optimal therapy approach.</w:t>
      </w:r>
    </w:p>
    <w:p w14:paraId="74F25D60" w14:textId="77777777" w:rsidR="000832DF" w:rsidRDefault="000832DF" w:rsidP="00840C89"/>
    <w:p w14:paraId="5624859F" w14:textId="7E81A4BF" w:rsidR="00840C89" w:rsidRDefault="00840C89" w:rsidP="00840C89">
      <w:r>
        <w:t xml:space="preserve">Conclusion In summary, MI offers many strengths to its practitioners such as flexibility and client empowerment; however, its implementation comes with its own set of challenges that include training requirements and variable outcomes. With continuing research and </w:t>
      </w:r>
      <w:r>
        <w:lastRenderedPageBreak/>
        <w:t>discussion regarding its comparative effectiveness arising out of ongoing debate regarding its applications across clinical contexts.</w:t>
      </w:r>
    </w:p>
    <w:p w14:paraId="4E9A1DB6" w14:textId="09729F5E" w:rsidR="00840C89" w:rsidRDefault="00840C89" w:rsidP="00840C89"/>
    <w:p w14:paraId="50396F03" w14:textId="10F52663" w:rsidR="00840C89" w:rsidRDefault="00840C89" w:rsidP="00840C89">
      <w:r>
        <w:t xml:space="preserve">Motivational Interviewing (MI) interventions are adaptable and flexible, designed to engage clients in a collaborative process focused on strengthening their motivation for change. MI has proven its worth across various settings and health </w:t>
      </w:r>
      <w:r w:rsidR="00CF1AA6">
        <w:t>behaviours</w:t>
      </w:r>
      <w:r>
        <w:t xml:space="preserve"> from substance abuse and mental health conditions to lifestyle modifications for chronic disease management. Through MI techniques such as open-ended questions, affirmations, reflective listening, and summaries (OARS), clinicians </w:t>
      </w:r>
      <w:proofErr w:type="gramStart"/>
      <w:r>
        <w:t>are able to</w:t>
      </w:r>
      <w:proofErr w:type="gramEnd"/>
      <w:r>
        <w:t xml:space="preserve"> create an environment which supports clients to explore ambivalence while moving toward change (Miller &amp; Rollnick 2013).</w:t>
      </w:r>
    </w:p>
    <w:p w14:paraId="27CE56D8" w14:textId="77777777" w:rsidR="000832DF" w:rsidRDefault="000832DF" w:rsidP="00840C89"/>
    <w:p w14:paraId="4664A360" w14:textId="77777777" w:rsidR="00840C89" w:rsidRDefault="00840C89" w:rsidP="00840C89">
      <w:r>
        <w:t>One notable use of MI interventions in treating substance abuse disorders can be seen through case studies of clients ambivalent about cutting back on alcohol consumption. A clinician using MI techniques would engage this client in discussion regarding their mixed feelings towards drinking, gently leading the conversation toward articulate their reasons for wanting change without forcing their viewpoint or prescribing solutions (Miller &amp; Rollnick 2013).</w:t>
      </w:r>
    </w:p>
    <w:p w14:paraId="1DDC7930" w14:textId="31E65CC2" w:rsidR="00840C89" w:rsidRDefault="00840C89" w:rsidP="00840C89">
      <w:r>
        <w:t>MI can also help chronic disease patients make lifestyle changes, like diabetes. MI interventions focus on making patients aware of the importance of diet and exercise in managing their condition; affirmations can reinforce patient efforts while open-ended questions provide more intrinsic motivation to make healthier changes (</w:t>
      </w:r>
      <w:proofErr w:type="spellStart"/>
      <w:r>
        <w:t>Resnicow</w:t>
      </w:r>
      <w:proofErr w:type="spellEnd"/>
      <w:r>
        <w:t xml:space="preserve"> &amp; McMaster 2012).</w:t>
      </w:r>
    </w:p>
    <w:p w14:paraId="6D815278" w14:textId="77777777" w:rsidR="000832DF" w:rsidRDefault="000832DF" w:rsidP="00840C89"/>
    <w:p w14:paraId="2E21DBB7" w14:textId="77777777" w:rsidR="00840C89" w:rsidRDefault="00840C89" w:rsidP="00840C89">
      <w:r>
        <w:t>MI has also been applied in mental health settings to address depression and anxiety. A therapist might use MI to assist a client experiencing depression to explore any apprehension they have towards social engagement or employment opportunities; through MI sessions they're encouraged to discuss fears or hopes while the therapist uses summaries of expressed values and goals that highlight those values, leading them in the direction of action that support recovery (</w:t>
      </w:r>
      <w:proofErr w:type="spellStart"/>
      <w:r>
        <w:t>Arkowitz</w:t>
      </w:r>
      <w:proofErr w:type="spellEnd"/>
      <w:r>
        <w:t xml:space="preserve"> et al. 2008).</w:t>
      </w:r>
    </w:p>
    <w:p w14:paraId="63F6B493" w14:textId="1545B730" w:rsidR="00840C89" w:rsidRDefault="00840C89" w:rsidP="00840C89">
      <w:r>
        <w:t>MI interventions have also proven successful when used within group therapy settings, providing an innovative method for encouraging conversations around change. For example, during smoking cessation group therapy sessions using MI techniques might use these to elicit each group member's personal motivations to quit smoking - creating an atmosphere of support and understanding among group members which in turn fosters individual commitment towards change (Wagner &amp; Ingersoll 2013).</w:t>
      </w:r>
    </w:p>
    <w:p w14:paraId="2E916E00" w14:textId="77777777" w:rsidR="000832DF" w:rsidRDefault="000832DF" w:rsidP="00840C89"/>
    <w:p w14:paraId="0D58A13C" w14:textId="5213FADF" w:rsidR="00840C89" w:rsidRDefault="00840C89" w:rsidP="00840C89">
      <w:r>
        <w:t xml:space="preserve">These examples show the effectiveness and versatility of MI interventions in creating lasting change for an array of </w:t>
      </w:r>
      <w:r w:rsidR="00CF1AA6">
        <w:t>behaviours</w:t>
      </w:r>
      <w:r>
        <w:t xml:space="preserve"> and conditions. By emphasizing client motivations and drawing on therapeutic alliances, MI creates a space to explore ambivalence while foster lasting change.</w:t>
      </w:r>
    </w:p>
    <w:p w14:paraId="401F21F6" w14:textId="0566AFCA" w:rsidR="005C66B2" w:rsidRDefault="005C66B2" w:rsidP="00840C89"/>
    <w:p w14:paraId="43DBD14A" w14:textId="77777777" w:rsidR="000832DF" w:rsidRDefault="005C66B2" w:rsidP="005C66B2">
      <w:r>
        <w:t xml:space="preserve">Motivational Interviewing (MI) was officially acknowledged within </w:t>
      </w:r>
      <w:proofErr w:type="spellStart"/>
      <w:r>
        <w:t>Wales'</w:t>
      </w:r>
      <w:proofErr w:type="spellEnd"/>
      <w:r>
        <w:t xml:space="preserve"> Matrix for Psychological Therapies as an integral means to improving therapeutic outcomes across Wales, and its inclusion indicates a key milestone in that regard. Furthermore, its inclusion shows healthcare policies and practices must embrace MI's client-</w:t>
      </w:r>
      <w:proofErr w:type="spellStart"/>
      <w:r>
        <w:t>cent</w:t>
      </w:r>
      <w:r w:rsidR="00CF1AA6">
        <w:t>e</w:t>
      </w:r>
      <w:r>
        <w:t>red</w:t>
      </w:r>
      <w:proofErr w:type="spellEnd"/>
      <w:r>
        <w:t xml:space="preserve"> approach as an essential cornerstone for psychological interventions, to ensure therapeutic services meet principles that prioritize client autonomy and motivation to change (Miller &amp; Rollnick 2013).</w:t>
      </w:r>
    </w:p>
    <w:p w14:paraId="106ACC15" w14:textId="62F8EC1B" w:rsidR="005C66B2" w:rsidRDefault="005C66B2" w:rsidP="005C66B2">
      <w:r>
        <w:lastRenderedPageBreak/>
        <w:t>To successfully incorporate MI into practice, a multifaceted approach that includes training, supervision and ongoing support is key. Initial and advanced training programs should be created to equip practitioners with the fundamental techniques and principles of MI for use across clinical settings (Arbuckle et al., 2020). Regular supervision sessions provide practitioners with an opportunity to hone their MI skills, discuss any challenges encountered during practice and obtain feedback on how best to implement MI techniques. Finally, creating a supportive community of practice would foster ongoing learning and development among professionals while creating an atmosphere conducive to effective MI implementation (Lim et al. 2019).</w:t>
      </w:r>
    </w:p>
    <w:p w14:paraId="0286BB0D" w14:textId="77777777" w:rsidR="000832DF" w:rsidRDefault="000832DF" w:rsidP="005C66B2"/>
    <w:p w14:paraId="4F728E8E" w14:textId="39486C73" w:rsidR="005C66B2" w:rsidRDefault="005C66B2" w:rsidP="005C66B2">
      <w:r>
        <w:t>These recommendations aim to ensure that MI is not only integrated into the Welsh Matrix of Psychological Therapies but is also practiced effectively, improving client care and outcomes across Wales.</w:t>
      </w:r>
    </w:p>
    <w:p w14:paraId="2ADF3EAC" w14:textId="0BD05FCB" w:rsidR="005C66B2" w:rsidRDefault="005C66B2" w:rsidP="005C66B2"/>
    <w:p w14:paraId="78E48238" w14:textId="77777777" w:rsidR="000832DF" w:rsidRDefault="005C66B2" w:rsidP="005C66B2">
      <w:r>
        <w:t xml:space="preserve">Motivational Interviewing (MI) has long been recognized as a vital and transformative method in mental health </w:t>
      </w:r>
      <w:r w:rsidR="00CF1AA6">
        <w:t>counselling</w:t>
      </w:r>
      <w:r>
        <w:t xml:space="preserve">, emphasizing client-centric methodologies designed to increase intrinsic motivation for change through exploration and resolution of ambivalence. </w:t>
      </w:r>
    </w:p>
    <w:p w14:paraId="77ED9D9D" w14:textId="77777777" w:rsidR="000832DF" w:rsidRDefault="000832DF" w:rsidP="005C66B2"/>
    <w:p w14:paraId="6F31C14D" w14:textId="4263562C" w:rsidR="005C66B2" w:rsidRDefault="005C66B2" w:rsidP="005C66B2">
      <w:r>
        <w:t xml:space="preserve">MI's development from substance abuse treatment into covering various mental health conditions shows its adaptability and efficacy across clinical settings (Miller &amp; Rollnick 2013). MI's core principles - empathy, discrepancy resistance </w:t>
      </w:r>
      <w:r w:rsidR="00CF1AA6">
        <w:t>self-efficacy</w:t>
      </w:r>
      <w:r>
        <w:t xml:space="preserve"> </w:t>
      </w:r>
      <w:proofErr w:type="gramStart"/>
      <w:r>
        <w:t>are</w:t>
      </w:r>
      <w:proofErr w:type="gramEnd"/>
      <w:r>
        <w:t xml:space="preserve"> at its foundation - empower clients and facilitate meaningful change processes (</w:t>
      </w:r>
      <w:proofErr w:type="spellStart"/>
      <w:r>
        <w:t>Resnicow</w:t>
      </w:r>
      <w:proofErr w:type="spellEnd"/>
      <w:r>
        <w:t xml:space="preserve"> &amp; McMaster 2012).</w:t>
      </w:r>
    </w:p>
    <w:p w14:paraId="293F61B4" w14:textId="77777777" w:rsidR="000832DF" w:rsidRDefault="005C66B2" w:rsidP="005C66B2">
      <w:r>
        <w:t xml:space="preserve">MI has many strengths; however, its implementation remains challenging due to training requirements, variable </w:t>
      </w:r>
      <w:r w:rsidR="00CF1AA6">
        <w:t>outcomes,</w:t>
      </w:r>
      <w:r>
        <w:t xml:space="preserve"> and debates over its comparative effectiveness (Arbuckle et al. 2020; Lim et al. 2019). </w:t>
      </w:r>
    </w:p>
    <w:p w14:paraId="6E61F78D" w14:textId="77777777" w:rsidR="000832DF" w:rsidRDefault="000832DF" w:rsidP="005C66B2"/>
    <w:p w14:paraId="62D1896D" w14:textId="4CFA2700" w:rsidR="005C66B2" w:rsidRDefault="005C66B2" w:rsidP="005C66B2">
      <w:r>
        <w:t xml:space="preserve">These obstacles underscore the necessity of continuous research and refinement of training methodologies </w:t>
      </w:r>
      <w:proofErr w:type="gramStart"/>
      <w:r>
        <w:t>so as to</w:t>
      </w:r>
      <w:proofErr w:type="gramEnd"/>
      <w:r>
        <w:t xml:space="preserve"> ensure MI's effective use. With its incorporation within Welsh Matrix for Psychological Therapies as well as comprehensive training and support mechanisms underscoring its significance for improving therapeutic practices and outcomes (Miller &amp; Rollnick 2013), MI stands as a crucial way forward</w:t>
      </w:r>
      <w:r w:rsidR="000832DF">
        <w:t>.</w:t>
      </w:r>
    </w:p>
    <w:p w14:paraId="33B717F2" w14:textId="77777777" w:rsidR="000832DF" w:rsidRDefault="000832DF" w:rsidP="005C66B2"/>
    <w:p w14:paraId="53F7AC09" w14:textId="7B39DD13" w:rsidR="005C66B2" w:rsidRDefault="005C66B2" w:rsidP="005C66B2">
      <w:r>
        <w:t xml:space="preserve">MI is an effective tool for supporting </w:t>
      </w:r>
      <w:r w:rsidR="00CF1AA6">
        <w:t>behavioural</w:t>
      </w:r>
      <w:r>
        <w:t xml:space="preserve"> change; however, its application and effectiveness depend on practitioner skill level, context of use, client population characteristics, as well as understanding its strengths and limitations for maximum impact in mental health counselling and the larger field of psychological therapies. Acknowledging both strengths and limitations is necessary for optimizing its application in mental health counselling to ensure positive client outcomes and contributions within psychological therapies more broadly.</w:t>
      </w:r>
    </w:p>
    <w:p w14:paraId="2B989A45" w14:textId="186325D5" w:rsidR="00572E23" w:rsidRDefault="00572E23" w:rsidP="005C66B2"/>
    <w:p w14:paraId="2EAF0AE9" w14:textId="0C425EC5" w:rsidR="00572E23" w:rsidRDefault="00572E23" w:rsidP="005C66B2"/>
    <w:p w14:paraId="693A6209" w14:textId="7FCFF57E" w:rsidR="00572E23" w:rsidRDefault="00572E23" w:rsidP="005C66B2"/>
    <w:p w14:paraId="6809D723" w14:textId="5C8F3700" w:rsidR="00572E23" w:rsidRDefault="00572E23" w:rsidP="005C66B2"/>
    <w:p w14:paraId="7D3DDA4E" w14:textId="48ECE456" w:rsidR="00572E23" w:rsidRDefault="00572E23" w:rsidP="005C66B2"/>
    <w:p w14:paraId="430096C7" w14:textId="08A51A7A" w:rsidR="00572E23" w:rsidRDefault="00572E23" w:rsidP="005C66B2"/>
    <w:p w14:paraId="30C3D409" w14:textId="763DD185" w:rsidR="00572E23" w:rsidRDefault="00572E23" w:rsidP="005C66B2"/>
    <w:p w14:paraId="3C9BCE42" w14:textId="77777777" w:rsidR="00C04447" w:rsidRDefault="00C04447" w:rsidP="005C66B2"/>
    <w:p w14:paraId="0FB890E5" w14:textId="78299D0B" w:rsidR="00572E23" w:rsidRDefault="00572E23" w:rsidP="005C66B2">
      <w:r>
        <w:lastRenderedPageBreak/>
        <w:t>References</w:t>
      </w:r>
    </w:p>
    <w:p w14:paraId="6F7A9CD7" w14:textId="4DDFC909" w:rsidR="00572E23" w:rsidRDefault="00572E23" w:rsidP="005C66B2"/>
    <w:p w14:paraId="1D302B86" w14:textId="5C027192" w:rsidR="00572E23" w:rsidRDefault="00572E23" w:rsidP="005C66B2"/>
    <w:p w14:paraId="64CBC93A" w14:textId="3BDBD390" w:rsidR="00572E23" w:rsidRDefault="00572E23" w:rsidP="005C66B2">
      <w:pPr>
        <w:rPr>
          <w:rFonts w:ascii="Segoe UI" w:hAnsi="Segoe UI" w:cs="Segoe UI"/>
          <w:color w:val="212121"/>
          <w:shd w:val="clear" w:color="auto" w:fill="FFFFFF"/>
        </w:rPr>
      </w:pPr>
      <w:proofErr w:type="spellStart"/>
      <w:r>
        <w:rPr>
          <w:rFonts w:ascii="Segoe UI" w:hAnsi="Segoe UI" w:cs="Segoe UI"/>
          <w:color w:val="212121"/>
          <w:shd w:val="clear" w:color="auto" w:fill="FFFFFF"/>
        </w:rPr>
        <w:t>Hettema</w:t>
      </w:r>
      <w:proofErr w:type="spellEnd"/>
      <w:r>
        <w:rPr>
          <w:rFonts w:ascii="Segoe UI" w:hAnsi="Segoe UI" w:cs="Segoe UI"/>
          <w:color w:val="212121"/>
          <w:shd w:val="clear" w:color="auto" w:fill="FFFFFF"/>
        </w:rPr>
        <w:t>, J., Steele, J., &amp; Miller, W. R. (2005). Motivational interviewing.</w:t>
      </w:r>
      <w:r>
        <w:rPr>
          <w:rStyle w:val="apple-converted-space"/>
          <w:rFonts w:ascii="Segoe UI" w:hAnsi="Segoe UI" w:cs="Segoe UI"/>
          <w:color w:val="212121"/>
          <w:shd w:val="clear" w:color="auto" w:fill="FFFFFF"/>
        </w:rPr>
        <w:t> </w:t>
      </w:r>
      <w:r>
        <w:rPr>
          <w:rFonts w:ascii="Segoe UI" w:hAnsi="Segoe UI" w:cs="Segoe UI"/>
          <w:i/>
          <w:iCs/>
          <w:color w:val="212121"/>
        </w:rPr>
        <w:t>Annual review of clinical psychology</w:t>
      </w:r>
      <w:r>
        <w:rPr>
          <w:rFonts w:ascii="Segoe UI" w:hAnsi="Segoe UI" w:cs="Segoe UI"/>
          <w:color w:val="212121"/>
          <w:shd w:val="clear" w:color="auto" w:fill="FFFFFF"/>
        </w:rPr>
        <w:t>,</w:t>
      </w:r>
      <w:r>
        <w:rPr>
          <w:rStyle w:val="apple-converted-space"/>
          <w:rFonts w:ascii="Segoe UI" w:hAnsi="Segoe UI" w:cs="Segoe UI"/>
          <w:color w:val="212121"/>
          <w:shd w:val="clear" w:color="auto" w:fill="FFFFFF"/>
        </w:rPr>
        <w:t> </w:t>
      </w:r>
      <w:r>
        <w:rPr>
          <w:rFonts w:ascii="Segoe UI" w:hAnsi="Segoe UI" w:cs="Segoe UI"/>
          <w:i/>
          <w:iCs/>
          <w:color w:val="212121"/>
        </w:rPr>
        <w:t>1</w:t>
      </w:r>
      <w:r>
        <w:rPr>
          <w:rFonts w:ascii="Segoe UI" w:hAnsi="Segoe UI" w:cs="Segoe UI"/>
          <w:color w:val="212121"/>
          <w:shd w:val="clear" w:color="auto" w:fill="FFFFFF"/>
        </w:rPr>
        <w:t>, 91–111.</w:t>
      </w:r>
    </w:p>
    <w:p w14:paraId="7B500710" w14:textId="482BE327" w:rsidR="00572E23" w:rsidRDefault="00572E23" w:rsidP="005C66B2">
      <w:pPr>
        <w:rPr>
          <w:rFonts w:ascii="Segoe UI" w:hAnsi="Segoe UI" w:cs="Segoe UI"/>
          <w:color w:val="212121"/>
          <w:shd w:val="clear" w:color="auto" w:fill="FFFFFF"/>
        </w:rPr>
      </w:pPr>
    </w:p>
    <w:p w14:paraId="56B63033" w14:textId="6406EEF2" w:rsidR="00572E23" w:rsidRDefault="00572E23" w:rsidP="005C66B2">
      <w:pPr>
        <w:rPr>
          <w:rFonts w:ascii="AppleSystemUIFont" w:hAnsi="AppleSystemUIFont" w:cs="AppleSystemUIFont"/>
          <w:kern w:val="0"/>
          <w:sz w:val="26"/>
          <w:szCs w:val="26"/>
        </w:rPr>
      </w:pPr>
      <w:r>
        <w:rPr>
          <w:rFonts w:ascii="AppleSystemUIFont" w:hAnsi="AppleSystemUIFont" w:cs="AppleSystemUIFont"/>
          <w:kern w:val="0"/>
          <w:sz w:val="26"/>
          <w:szCs w:val="26"/>
        </w:rPr>
        <w:t xml:space="preserve">Miller, W. R., &amp; Rollnick, S. (2013). </w:t>
      </w:r>
      <w:r>
        <w:rPr>
          <w:rFonts w:ascii="AppleSystemUIFont" w:hAnsi="AppleSystemUIFont" w:cs="AppleSystemUIFont"/>
          <w:i/>
          <w:iCs/>
          <w:kern w:val="0"/>
          <w:sz w:val="26"/>
          <w:szCs w:val="26"/>
        </w:rPr>
        <w:t>Motivational interviewing: Helping people change</w:t>
      </w:r>
      <w:r>
        <w:rPr>
          <w:rFonts w:ascii="AppleSystemUIFont" w:hAnsi="AppleSystemUIFont" w:cs="AppleSystemUIFont"/>
          <w:kern w:val="0"/>
          <w:sz w:val="26"/>
          <w:szCs w:val="26"/>
        </w:rPr>
        <w:t xml:space="preserve"> (3rd ed.). Guilford Press.</w:t>
      </w:r>
    </w:p>
    <w:p w14:paraId="7909AC1A" w14:textId="031C5AC2" w:rsidR="00572E23" w:rsidRDefault="00572E23" w:rsidP="005C66B2">
      <w:pPr>
        <w:rPr>
          <w:rFonts w:ascii="AppleSystemUIFont" w:hAnsi="AppleSystemUIFont" w:cs="AppleSystemUIFont"/>
          <w:kern w:val="0"/>
          <w:sz w:val="26"/>
          <w:szCs w:val="26"/>
        </w:rPr>
      </w:pPr>
    </w:p>
    <w:p w14:paraId="71D27AF2" w14:textId="3927319C" w:rsidR="00572E23" w:rsidRDefault="00E21619" w:rsidP="005C66B2">
      <w:pPr>
        <w:rPr>
          <w:rFonts w:ascii="Segoe UI" w:hAnsi="Segoe UI" w:cs="Segoe UI"/>
          <w:color w:val="212121"/>
          <w:shd w:val="clear" w:color="auto" w:fill="FFFFFF"/>
        </w:rPr>
      </w:pPr>
      <w:proofErr w:type="spellStart"/>
      <w:r>
        <w:rPr>
          <w:rFonts w:ascii="Segoe UI" w:hAnsi="Segoe UI" w:cs="Segoe UI"/>
          <w:color w:val="212121"/>
          <w:shd w:val="clear" w:color="auto" w:fill="FFFFFF"/>
        </w:rPr>
        <w:t>Lundahl</w:t>
      </w:r>
      <w:proofErr w:type="spellEnd"/>
      <w:r>
        <w:rPr>
          <w:rFonts w:ascii="Segoe UI" w:hAnsi="Segoe UI" w:cs="Segoe UI"/>
          <w:color w:val="212121"/>
          <w:shd w:val="clear" w:color="auto" w:fill="FFFFFF"/>
        </w:rPr>
        <w:t xml:space="preserve">, B., </w:t>
      </w:r>
      <w:proofErr w:type="spellStart"/>
      <w:r>
        <w:rPr>
          <w:rFonts w:ascii="Segoe UI" w:hAnsi="Segoe UI" w:cs="Segoe UI"/>
          <w:color w:val="212121"/>
          <w:shd w:val="clear" w:color="auto" w:fill="FFFFFF"/>
        </w:rPr>
        <w:t>Moleni</w:t>
      </w:r>
      <w:proofErr w:type="spellEnd"/>
      <w:r>
        <w:rPr>
          <w:rFonts w:ascii="Segoe UI" w:hAnsi="Segoe UI" w:cs="Segoe UI"/>
          <w:color w:val="212121"/>
          <w:shd w:val="clear" w:color="auto" w:fill="FFFFFF"/>
        </w:rPr>
        <w:t>, T., Burke, B. L., Butters, R., Tollefson, D., Butler, C., &amp; Rollnick, S. (2013). Motivational interviewing in medical care settings: a systematic review and meta-analysis of randomized controlled trials.</w:t>
      </w:r>
      <w:r>
        <w:rPr>
          <w:rStyle w:val="apple-converted-space"/>
          <w:rFonts w:ascii="Segoe UI" w:hAnsi="Segoe UI" w:cs="Segoe UI"/>
          <w:color w:val="212121"/>
          <w:shd w:val="clear" w:color="auto" w:fill="FFFFFF"/>
        </w:rPr>
        <w:t> </w:t>
      </w:r>
      <w:r>
        <w:rPr>
          <w:rFonts w:ascii="Segoe UI" w:hAnsi="Segoe UI" w:cs="Segoe UI"/>
          <w:i/>
          <w:iCs/>
          <w:color w:val="212121"/>
        </w:rPr>
        <w:t xml:space="preserve">Patient education and </w:t>
      </w:r>
      <w:proofErr w:type="spellStart"/>
      <w:r>
        <w:rPr>
          <w:rFonts w:ascii="Segoe UI" w:hAnsi="Segoe UI" w:cs="Segoe UI"/>
          <w:i/>
          <w:iCs/>
          <w:color w:val="212121"/>
        </w:rPr>
        <w:t>counseling</w:t>
      </w:r>
      <w:proofErr w:type="spellEnd"/>
      <w:r>
        <w:rPr>
          <w:rFonts w:ascii="Segoe UI" w:hAnsi="Segoe UI" w:cs="Segoe UI"/>
          <w:color w:val="212121"/>
          <w:shd w:val="clear" w:color="auto" w:fill="FFFFFF"/>
        </w:rPr>
        <w:t>,</w:t>
      </w:r>
      <w:r>
        <w:rPr>
          <w:rStyle w:val="apple-converted-space"/>
          <w:rFonts w:ascii="Segoe UI" w:hAnsi="Segoe UI" w:cs="Segoe UI"/>
          <w:color w:val="212121"/>
          <w:shd w:val="clear" w:color="auto" w:fill="FFFFFF"/>
        </w:rPr>
        <w:t> </w:t>
      </w:r>
      <w:r>
        <w:rPr>
          <w:rFonts w:ascii="Segoe UI" w:hAnsi="Segoe UI" w:cs="Segoe UI"/>
          <w:i/>
          <w:iCs/>
          <w:color w:val="212121"/>
        </w:rPr>
        <w:t>93</w:t>
      </w:r>
      <w:r>
        <w:rPr>
          <w:rFonts w:ascii="Segoe UI" w:hAnsi="Segoe UI" w:cs="Segoe UI"/>
          <w:color w:val="212121"/>
          <w:shd w:val="clear" w:color="auto" w:fill="FFFFFF"/>
        </w:rPr>
        <w:t xml:space="preserve">(2), 157–168. </w:t>
      </w:r>
    </w:p>
    <w:p w14:paraId="2FA70DCE" w14:textId="2C520A31" w:rsidR="00E21619" w:rsidRDefault="00E21619" w:rsidP="005C66B2">
      <w:pPr>
        <w:rPr>
          <w:rFonts w:ascii="Segoe UI" w:hAnsi="Segoe UI" w:cs="Segoe UI"/>
          <w:color w:val="212121"/>
          <w:shd w:val="clear" w:color="auto" w:fill="FFFFFF"/>
        </w:rPr>
      </w:pPr>
    </w:p>
    <w:p w14:paraId="625DD0A4" w14:textId="4C736CD4" w:rsidR="00E21619" w:rsidRDefault="00E21619" w:rsidP="005C66B2">
      <w:pPr>
        <w:rPr>
          <w:rFonts w:ascii="AppleSystemUIFont" w:hAnsi="AppleSystemUIFont" w:cs="AppleSystemUIFont"/>
          <w:kern w:val="0"/>
          <w:sz w:val="26"/>
          <w:szCs w:val="26"/>
        </w:rPr>
      </w:pPr>
      <w:proofErr w:type="spellStart"/>
      <w:r>
        <w:rPr>
          <w:rFonts w:ascii="AppleSystemUIFont" w:hAnsi="AppleSystemUIFont" w:cs="AppleSystemUIFont"/>
          <w:kern w:val="0"/>
          <w:sz w:val="26"/>
          <w:szCs w:val="26"/>
        </w:rPr>
        <w:t>Rubak</w:t>
      </w:r>
      <w:proofErr w:type="spellEnd"/>
      <w:r>
        <w:rPr>
          <w:rFonts w:ascii="AppleSystemUIFont" w:hAnsi="AppleSystemUIFont" w:cs="AppleSystemUIFont"/>
          <w:kern w:val="0"/>
          <w:sz w:val="26"/>
          <w:szCs w:val="26"/>
        </w:rPr>
        <w:t xml:space="preserve">, S., </w:t>
      </w:r>
      <w:proofErr w:type="spellStart"/>
      <w:r>
        <w:rPr>
          <w:rFonts w:ascii="AppleSystemUIFont" w:hAnsi="AppleSystemUIFont" w:cs="AppleSystemUIFont"/>
          <w:kern w:val="0"/>
          <w:sz w:val="26"/>
          <w:szCs w:val="26"/>
        </w:rPr>
        <w:t>Sandbæk</w:t>
      </w:r>
      <w:proofErr w:type="spellEnd"/>
      <w:r>
        <w:rPr>
          <w:rFonts w:ascii="AppleSystemUIFont" w:hAnsi="AppleSystemUIFont" w:cs="AppleSystemUIFont"/>
          <w:kern w:val="0"/>
          <w:sz w:val="26"/>
          <w:szCs w:val="26"/>
        </w:rPr>
        <w:t xml:space="preserve">, A., Lauritzen, T., &amp; Christensen, B. (2005). Motivational interviewing: A systematic review and meta-analysis. </w:t>
      </w:r>
      <w:r>
        <w:rPr>
          <w:rFonts w:ascii="AppleSystemUIFont" w:hAnsi="AppleSystemUIFont" w:cs="AppleSystemUIFont"/>
          <w:i/>
          <w:iCs/>
          <w:kern w:val="0"/>
          <w:sz w:val="26"/>
          <w:szCs w:val="26"/>
        </w:rPr>
        <w:t>British Journal of General Practice, 55</w:t>
      </w:r>
      <w:r>
        <w:rPr>
          <w:rFonts w:ascii="AppleSystemUIFont" w:hAnsi="AppleSystemUIFont" w:cs="AppleSystemUIFont"/>
          <w:kern w:val="0"/>
          <w:sz w:val="26"/>
          <w:szCs w:val="26"/>
        </w:rPr>
        <w:t>(513), 305-312.</w:t>
      </w:r>
    </w:p>
    <w:p w14:paraId="0322DF94" w14:textId="6BE7ED15" w:rsidR="00E21619" w:rsidRDefault="00E21619" w:rsidP="005C66B2">
      <w:pPr>
        <w:rPr>
          <w:rFonts w:ascii="AppleSystemUIFont" w:hAnsi="AppleSystemUIFont" w:cs="AppleSystemUIFont"/>
          <w:kern w:val="0"/>
          <w:sz w:val="26"/>
          <w:szCs w:val="26"/>
        </w:rPr>
      </w:pPr>
    </w:p>
    <w:p w14:paraId="3B7F20F0" w14:textId="2BC170E8" w:rsidR="00E21619" w:rsidRDefault="00E21619" w:rsidP="005C66B2">
      <w:pPr>
        <w:rPr>
          <w:rFonts w:ascii="AppleSystemUIFont" w:hAnsi="AppleSystemUIFont" w:cs="AppleSystemUIFont"/>
          <w:kern w:val="0"/>
          <w:sz w:val="26"/>
          <w:szCs w:val="26"/>
        </w:rPr>
      </w:pPr>
      <w:proofErr w:type="spellStart"/>
      <w:r>
        <w:rPr>
          <w:rFonts w:ascii="AppleSystemUIFont" w:hAnsi="AppleSystemUIFont" w:cs="AppleSystemUIFont"/>
          <w:kern w:val="0"/>
          <w:sz w:val="26"/>
          <w:szCs w:val="26"/>
        </w:rPr>
        <w:t>Söderlund</w:t>
      </w:r>
      <w:proofErr w:type="spellEnd"/>
      <w:r>
        <w:rPr>
          <w:rFonts w:ascii="AppleSystemUIFont" w:hAnsi="AppleSystemUIFont" w:cs="AppleSystemUIFont"/>
          <w:kern w:val="0"/>
          <w:sz w:val="26"/>
          <w:szCs w:val="26"/>
        </w:rPr>
        <w:t xml:space="preserve">, L. L., </w:t>
      </w:r>
      <w:proofErr w:type="spellStart"/>
      <w:r>
        <w:rPr>
          <w:rFonts w:ascii="AppleSystemUIFont" w:hAnsi="AppleSystemUIFont" w:cs="AppleSystemUIFont"/>
          <w:kern w:val="0"/>
          <w:sz w:val="26"/>
          <w:szCs w:val="26"/>
        </w:rPr>
        <w:t>Madson</w:t>
      </w:r>
      <w:proofErr w:type="spellEnd"/>
      <w:r>
        <w:rPr>
          <w:rFonts w:ascii="AppleSystemUIFont" w:hAnsi="AppleSystemUIFont" w:cs="AppleSystemUIFont"/>
          <w:kern w:val="0"/>
          <w:sz w:val="26"/>
          <w:szCs w:val="26"/>
        </w:rPr>
        <w:t xml:space="preserve">, M. B., </w:t>
      </w:r>
      <w:proofErr w:type="spellStart"/>
      <w:r>
        <w:rPr>
          <w:rFonts w:ascii="AppleSystemUIFont" w:hAnsi="AppleSystemUIFont" w:cs="AppleSystemUIFont"/>
          <w:kern w:val="0"/>
          <w:sz w:val="26"/>
          <w:szCs w:val="26"/>
        </w:rPr>
        <w:t>Rubak</w:t>
      </w:r>
      <w:proofErr w:type="spellEnd"/>
      <w:r>
        <w:rPr>
          <w:rFonts w:ascii="AppleSystemUIFont" w:hAnsi="AppleSystemUIFont" w:cs="AppleSystemUIFont"/>
          <w:kern w:val="0"/>
          <w:sz w:val="26"/>
          <w:szCs w:val="26"/>
        </w:rPr>
        <w:t xml:space="preserve">, S., &amp; Nilsen, P. (2011). A systematic review of motivational interviewing training for general health care practitioners. </w:t>
      </w:r>
      <w:r>
        <w:rPr>
          <w:rFonts w:ascii="AppleSystemUIFont" w:hAnsi="AppleSystemUIFont" w:cs="AppleSystemUIFont"/>
          <w:i/>
          <w:iCs/>
          <w:kern w:val="0"/>
          <w:sz w:val="26"/>
          <w:szCs w:val="26"/>
        </w:rPr>
        <w:t xml:space="preserve">Patient Education and </w:t>
      </w:r>
      <w:proofErr w:type="spellStart"/>
      <w:r>
        <w:rPr>
          <w:rFonts w:ascii="AppleSystemUIFont" w:hAnsi="AppleSystemUIFont" w:cs="AppleSystemUIFont"/>
          <w:i/>
          <w:iCs/>
          <w:kern w:val="0"/>
          <w:sz w:val="26"/>
          <w:szCs w:val="26"/>
        </w:rPr>
        <w:t>Counseling</w:t>
      </w:r>
      <w:proofErr w:type="spellEnd"/>
      <w:r>
        <w:rPr>
          <w:rFonts w:ascii="AppleSystemUIFont" w:hAnsi="AppleSystemUIFont" w:cs="AppleSystemUIFont"/>
          <w:i/>
          <w:iCs/>
          <w:kern w:val="0"/>
          <w:sz w:val="26"/>
          <w:szCs w:val="26"/>
        </w:rPr>
        <w:t>, 84</w:t>
      </w:r>
      <w:r>
        <w:rPr>
          <w:rFonts w:ascii="AppleSystemUIFont" w:hAnsi="AppleSystemUIFont" w:cs="AppleSystemUIFont"/>
          <w:kern w:val="0"/>
          <w:sz w:val="26"/>
          <w:szCs w:val="26"/>
        </w:rPr>
        <w:t>(1), 16-26.</w:t>
      </w:r>
    </w:p>
    <w:p w14:paraId="3715432E" w14:textId="45BF1FD1" w:rsidR="00E21619" w:rsidRDefault="00E21619" w:rsidP="005C66B2">
      <w:pPr>
        <w:rPr>
          <w:rFonts w:ascii="AppleSystemUIFont" w:hAnsi="AppleSystemUIFont" w:cs="AppleSystemUIFont"/>
          <w:kern w:val="0"/>
          <w:sz w:val="26"/>
          <w:szCs w:val="26"/>
        </w:rPr>
      </w:pPr>
    </w:p>
    <w:p w14:paraId="5034622D" w14:textId="74A642B8" w:rsidR="00E21619" w:rsidRDefault="00E21619" w:rsidP="005C66B2">
      <w:pPr>
        <w:rPr>
          <w:rFonts w:ascii="AppleSystemUIFont" w:hAnsi="AppleSystemUIFont" w:cs="AppleSystemUIFont"/>
          <w:kern w:val="0"/>
          <w:sz w:val="26"/>
          <w:szCs w:val="26"/>
        </w:rPr>
      </w:pPr>
      <w:r>
        <w:rPr>
          <w:rFonts w:ascii="AppleSystemUIFont" w:hAnsi="AppleSystemUIFont" w:cs="AppleSystemUIFont"/>
          <w:kern w:val="0"/>
          <w:sz w:val="26"/>
          <w:szCs w:val="26"/>
        </w:rPr>
        <w:t xml:space="preserve">Arbuckle, M. R., Foster, F. P., Talley, R. M., Covell, N. H., &amp; </w:t>
      </w:r>
      <w:proofErr w:type="spellStart"/>
      <w:r>
        <w:rPr>
          <w:rFonts w:ascii="AppleSystemUIFont" w:hAnsi="AppleSystemUIFont" w:cs="AppleSystemUIFont"/>
          <w:kern w:val="0"/>
          <w:sz w:val="26"/>
          <w:szCs w:val="26"/>
        </w:rPr>
        <w:t>Essock</w:t>
      </w:r>
      <w:proofErr w:type="spellEnd"/>
      <w:r>
        <w:rPr>
          <w:rFonts w:ascii="AppleSystemUIFont" w:hAnsi="AppleSystemUIFont" w:cs="AppleSystemUIFont"/>
          <w:kern w:val="0"/>
          <w:sz w:val="26"/>
          <w:szCs w:val="26"/>
        </w:rPr>
        <w:t xml:space="preserve">, S. M. (2020). Applying motivational interviewing strategies to enhance organizational readiness and facilitate implementation efforts. </w:t>
      </w:r>
      <w:r>
        <w:rPr>
          <w:rFonts w:ascii="AppleSystemUIFont" w:hAnsi="AppleSystemUIFont" w:cs="AppleSystemUIFont"/>
          <w:i/>
          <w:iCs/>
          <w:kern w:val="0"/>
          <w:sz w:val="26"/>
          <w:szCs w:val="26"/>
        </w:rPr>
        <w:t>Quality Management in Health Care, 29</w:t>
      </w:r>
      <w:r>
        <w:rPr>
          <w:rFonts w:ascii="AppleSystemUIFont" w:hAnsi="AppleSystemUIFont" w:cs="AppleSystemUIFont"/>
          <w:kern w:val="0"/>
          <w:sz w:val="26"/>
          <w:szCs w:val="26"/>
        </w:rPr>
        <w:t>(1), 1–8.</w:t>
      </w:r>
    </w:p>
    <w:p w14:paraId="295A882D" w14:textId="1126FF97" w:rsidR="00E21619" w:rsidRDefault="00E21619" w:rsidP="005C66B2">
      <w:pPr>
        <w:rPr>
          <w:rFonts w:ascii="AppleSystemUIFont" w:hAnsi="AppleSystemUIFont" w:cs="AppleSystemUIFont"/>
          <w:kern w:val="0"/>
          <w:sz w:val="26"/>
          <w:szCs w:val="26"/>
        </w:rPr>
      </w:pPr>
    </w:p>
    <w:p w14:paraId="71433AEA" w14:textId="28FB0400" w:rsidR="00E21619" w:rsidRDefault="00E21619" w:rsidP="005C66B2">
      <w:pPr>
        <w:rPr>
          <w:rFonts w:ascii="AppleSystemUIFont" w:hAnsi="AppleSystemUIFont" w:cs="AppleSystemUIFont"/>
          <w:kern w:val="0"/>
          <w:sz w:val="26"/>
          <w:szCs w:val="26"/>
        </w:rPr>
      </w:pPr>
      <w:r>
        <w:rPr>
          <w:rFonts w:ascii="AppleSystemUIFont" w:hAnsi="AppleSystemUIFont" w:cs="AppleSystemUIFont"/>
          <w:kern w:val="0"/>
          <w:sz w:val="26"/>
          <w:szCs w:val="26"/>
        </w:rPr>
        <w:t xml:space="preserve">Lim, D., </w:t>
      </w:r>
      <w:proofErr w:type="spellStart"/>
      <w:r>
        <w:rPr>
          <w:rFonts w:ascii="AppleSystemUIFont" w:hAnsi="AppleSystemUIFont" w:cs="AppleSystemUIFont"/>
          <w:kern w:val="0"/>
          <w:sz w:val="26"/>
          <w:szCs w:val="26"/>
        </w:rPr>
        <w:t>Schoo</w:t>
      </w:r>
      <w:proofErr w:type="spellEnd"/>
      <w:r>
        <w:rPr>
          <w:rFonts w:ascii="AppleSystemUIFont" w:hAnsi="AppleSystemUIFont" w:cs="AppleSystemUIFont"/>
          <w:kern w:val="0"/>
          <w:sz w:val="26"/>
          <w:szCs w:val="26"/>
        </w:rPr>
        <w:t xml:space="preserve">, A., Lawn, S., </w:t>
      </w:r>
      <w:proofErr w:type="spellStart"/>
      <w:r>
        <w:rPr>
          <w:rFonts w:ascii="AppleSystemUIFont" w:hAnsi="AppleSystemUIFont" w:cs="AppleSystemUIFont"/>
          <w:kern w:val="0"/>
          <w:sz w:val="26"/>
          <w:szCs w:val="26"/>
        </w:rPr>
        <w:t>Litt</w:t>
      </w:r>
      <w:proofErr w:type="spellEnd"/>
      <w:r>
        <w:rPr>
          <w:rFonts w:ascii="AppleSystemUIFont" w:hAnsi="AppleSystemUIFont" w:cs="AppleSystemUIFont"/>
          <w:kern w:val="0"/>
          <w:sz w:val="26"/>
          <w:szCs w:val="26"/>
        </w:rPr>
        <w:t xml:space="preserve">, J., &amp; T. (2019). Embedding and sustaining motivational interviewing in clinical environments: A concurrent iterative mixed methods study. </w:t>
      </w:r>
      <w:r>
        <w:rPr>
          <w:rFonts w:ascii="AppleSystemUIFont" w:hAnsi="AppleSystemUIFont" w:cs="AppleSystemUIFont"/>
          <w:i/>
          <w:iCs/>
          <w:kern w:val="0"/>
          <w:sz w:val="26"/>
          <w:szCs w:val="26"/>
        </w:rPr>
        <w:t>BMC Medical Education, 19</w:t>
      </w:r>
      <w:r>
        <w:rPr>
          <w:rFonts w:ascii="AppleSystemUIFont" w:hAnsi="AppleSystemUIFont" w:cs="AppleSystemUIFont"/>
          <w:kern w:val="0"/>
          <w:sz w:val="26"/>
          <w:szCs w:val="26"/>
        </w:rPr>
        <w:t>, 164.</w:t>
      </w:r>
    </w:p>
    <w:p w14:paraId="40D5442C" w14:textId="50A53376" w:rsidR="00E21619" w:rsidRDefault="00E21619" w:rsidP="005C66B2">
      <w:pPr>
        <w:rPr>
          <w:rFonts w:ascii="AppleSystemUIFont" w:hAnsi="AppleSystemUIFont" w:cs="AppleSystemUIFont"/>
          <w:kern w:val="0"/>
          <w:sz w:val="26"/>
          <w:szCs w:val="26"/>
        </w:rPr>
      </w:pPr>
    </w:p>
    <w:p w14:paraId="6CB409C9" w14:textId="7D6AE834" w:rsidR="00E21619" w:rsidRDefault="00E21619" w:rsidP="005C66B2">
      <w:pPr>
        <w:rPr>
          <w:rFonts w:ascii="AppleSystemUIFont" w:hAnsi="AppleSystemUIFont" w:cs="AppleSystemUIFont"/>
          <w:kern w:val="0"/>
          <w:sz w:val="26"/>
          <w:szCs w:val="26"/>
        </w:rPr>
      </w:pPr>
      <w:proofErr w:type="spellStart"/>
      <w:r>
        <w:rPr>
          <w:rFonts w:ascii="AppleSystemUIFont" w:hAnsi="AppleSystemUIFont" w:cs="AppleSystemUIFont"/>
          <w:kern w:val="0"/>
          <w:sz w:val="26"/>
          <w:szCs w:val="26"/>
        </w:rPr>
        <w:t>Venner</w:t>
      </w:r>
      <w:proofErr w:type="spellEnd"/>
      <w:r>
        <w:rPr>
          <w:rFonts w:ascii="AppleSystemUIFont" w:hAnsi="AppleSystemUIFont" w:cs="AppleSystemUIFont"/>
          <w:kern w:val="0"/>
          <w:sz w:val="26"/>
          <w:szCs w:val="26"/>
        </w:rPr>
        <w:t xml:space="preserve">, K. L., Feldstein, S. W., &amp; Tafoya, N. (2007). Helping clients feel welcome: Principles of adapting treatment cross-culturally. </w:t>
      </w:r>
      <w:r>
        <w:rPr>
          <w:rFonts w:ascii="AppleSystemUIFont" w:hAnsi="AppleSystemUIFont" w:cs="AppleSystemUIFont"/>
          <w:i/>
          <w:iCs/>
          <w:kern w:val="0"/>
          <w:sz w:val="26"/>
          <w:szCs w:val="26"/>
        </w:rPr>
        <w:t>Alcoholism Treatment Quarterly, 25</w:t>
      </w:r>
      <w:r>
        <w:rPr>
          <w:rFonts w:ascii="AppleSystemUIFont" w:hAnsi="AppleSystemUIFont" w:cs="AppleSystemUIFont"/>
          <w:kern w:val="0"/>
          <w:sz w:val="26"/>
          <w:szCs w:val="26"/>
        </w:rPr>
        <w:t>(4), 11-30.</w:t>
      </w:r>
    </w:p>
    <w:p w14:paraId="095B162B" w14:textId="066E2C18" w:rsidR="00E21619" w:rsidRDefault="00E21619" w:rsidP="005C66B2">
      <w:pPr>
        <w:rPr>
          <w:rFonts w:ascii="AppleSystemUIFont" w:hAnsi="AppleSystemUIFont" w:cs="AppleSystemUIFont"/>
          <w:kern w:val="0"/>
          <w:sz w:val="26"/>
          <w:szCs w:val="26"/>
        </w:rPr>
      </w:pPr>
    </w:p>
    <w:p w14:paraId="4B9E383C" w14:textId="0D28A6E4" w:rsidR="00E21619" w:rsidRDefault="00CF1AA6" w:rsidP="005C66B2">
      <w:pPr>
        <w:rPr>
          <w:rFonts w:ascii="Segoe UI" w:hAnsi="Segoe UI" w:cs="Segoe UI"/>
          <w:color w:val="212121"/>
          <w:shd w:val="clear" w:color="auto" w:fill="FFFFFF"/>
        </w:rPr>
      </w:pPr>
      <w:proofErr w:type="spellStart"/>
      <w:r w:rsidRPr="00C04447">
        <w:rPr>
          <w:rFonts w:ascii="Segoe UI" w:hAnsi="Segoe UI" w:cs="Segoe UI"/>
          <w:color w:val="212121"/>
          <w:shd w:val="clear" w:color="auto" w:fill="FFFFFF"/>
        </w:rPr>
        <w:t>Smedslund</w:t>
      </w:r>
      <w:proofErr w:type="spellEnd"/>
      <w:r w:rsidRPr="00C04447">
        <w:rPr>
          <w:rFonts w:ascii="Segoe UI" w:hAnsi="Segoe UI" w:cs="Segoe UI"/>
          <w:color w:val="212121"/>
          <w:shd w:val="clear" w:color="auto" w:fill="FFFFFF"/>
        </w:rPr>
        <w:t>, G., Parker, A. G., Nilsen, W., &amp; Riper, H. (2011). Motivational interviewing for substance abuse. Cochrane Database of Systematic Reviews, Issue 5. Art. No.: CD008063.</w:t>
      </w:r>
    </w:p>
    <w:p w14:paraId="7D40A63F" w14:textId="680BC6CD" w:rsidR="00572E23" w:rsidRDefault="00572E23" w:rsidP="005C66B2">
      <w:pPr>
        <w:rPr>
          <w:rFonts w:ascii="Segoe UI" w:hAnsi="Segoe UI" w:cs="Segoe UI"/>
          <w:color w:val="212121"/>
          <w:shd w:val="clear" w:color="auto" w:fill="FFFFFF"/>
        </w:rPr>
      </w:pPr>
    </w:p>
    <w:p w14:paraId="26D68F86" w14:textId="104CD47C" w:rsidR="00572E23" w:rsidRDefault="00572E23" w:rsidP="005C66B2">
      <w:pPr>
        <w:rPr>
          <w:rFonts w:ascii="Segoe UI" w:hAnsi="Segoe UI" w:cs="Segoe UI"/>
          <w:color w:val="212121"/>
          <w:shd w:val="clear" w:color="auto" w:fill="FFFFFF"/>
        </w:rPr>
      </w:pPr>
    </w:p>
    <w:p w14:paraId="6E80537D" w14:textId="77777777" w:rsidR="00572E23" w:rsidRDefault="00572E23" w:rsidP="005C66B2"/>
    <w:sectPr w:rsidR="00572E2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pleSystemUIFont">
    <w:altName w:val="Calibri"/>
    <w:panose1 w:val="020B0604020202020204"/>
    <w:charset w:val="00"/>
    <w:family w:val="auto"/>
    <w:notTrueType/>
    <w:pitch w:val="default"/>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0C89"/>
    <w:rsid w:val="000832DF"/>
    <w:rsid w:val="000B247A"/>
    <w:rsid w:val="00146FFA"/>
    <w:rsid w:val="00572E23"/>
    <w:rsid w:val="005C66B2"/>
    <w:rsid w:val="00840C89"/>
    <w:rsid w:val="008F771E"/>
    <w:rsid w:val="00BD75FA"/>
    <w:rsid w:val="00C04447"/>
    <w:rsid w:val="00C64B72"/>
    <w:rsid w:val="00CF1AA6"/>
    <w:rsid w:val="00DC085E"/>
    <w:rsid w:val="00E216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04E3A84"/>
  <w15:chartTrackingRefBased/>
  <w15:docId w15:val="{63777C7F-9C75-754F-8377-68EFE6C4E2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0B247A"/>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572E23"/>
  </w:style>
  <w:style w:type="character" w:styleId="Hyperlink">
    <w:name w:val="Hyperlink"/>
    <w:basedOn w:val="DefaultParagraphFont"/>
    <w:uiPriority w:val="99"/>
    <w:unhideWhenUsed/>
    <w:rsid w:val="00572E23"/>
    <w:rPr>
      <w:color w:val="0563C1" w:themeColor="hyperlink"/>
      <w:u w:val="single"/>
    </w:rPr>
  </w:style>
  <w:style w:type="character" w:styleId="UnresolvedMention">
    <w:name w:val="Unresolved Mention"/>
    <w:basedOn w:val="DefaultParagraphFont"/>
    <w:uiPriority w:val="99"/>
    <w:semiHidden/>
    <w:unhideWhenUsed/>
    <w:rsid w:val="00572E2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55399312">
      <w:bodyDiv w:val="1"/>
      <w:marLeft w:val="0"/>
      <w:marRight w:val="0"/>
      <w:marTop w:val="0"/>
      <w:marBottom w:val="0"/>
      <w:divBdr>
        <w:top w:val="none" w:sz="0" w:space="0" w:color="auto"/>
        <w:left w:val="none" w:sz="0" w:space="0" w:color="auto"/>
        <w:bottom w:val="none" w:sz="0" w:space="0" w:color="auto"/>
        <w:right w:val="none" w:sz="0" w:space="0" w:color="auto"/>
      </w:divBdr>
      <w:divsChild>
        <w:div w:id="1414474201">
          <w:marLeft w:val="0"/>
          <w:marRight w:val="0"/>
          <w:marTop w:val="0"/>
          <w:marBottom w:val="0"/>
          <w:divBdr>
            <w:top w:val="none" w:sz="0" w:space="0" w:color="auto"/>
            <w:left w:val="none" w:sz="0" w:space="0" w:color="auto"/>
            <w:bottom w:val="none" w:sz="0" w:space="0" w:color="auto"/>
            <w:right w:val="none" w:sz="0" w:space="0" w:color="auto"/>
          </w:divBdr>
          <w:divsChild>
            <w:div w:id="945582594">
              <w:marLeft w:val="0"/>
              <w:marRight w:val="0"/>
              <w:marTop w:val="0"/>
              <w:marBottom w:val="0"/>
              <w:divBdr>
                <w:top w:val="none" w:sz="0" w:space="0" w:color="auto"/>
                <w:left w:val="none" w:sz="0" w:space="0" w:color="auto"/>
                <w:bottom w:val="none" w:sz="0" w:space="0" w:color="auto"/>
                <w:right w:val="none" w:sz="0" w:space="0" w:color="auto"/>
              </w:divBdr>
              <w:divsChild>
                <w:div w:id="2119445775">
                  <w:marLeft w:val="0"/>
                  <w:marRight w:val="0"/>
                  <w:marTop w:val="0"/>
                  <w:marBottom w:val="0"/>
                  <w:divBdr>
                    <w:top w:val="none" w:sz="0" w:space="0" w:color="auto"/>
                    <w:left w:val="none" w:sz="0" w:space="0" w:color="auto"/>
                    <w:bottom w:val="none" w:sz="0" w:space="0" w:color="auto"/>
                    <w:right w:val="none" w:sz="0" w:space="0" w:color="auto"/>
                  </w:divBdr>
                  <w:divsChild>
                    <w:div w:id="64931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35</TotalTime>
  <Pages>6</Pages>
  <Words>2735</Words>
  <Characters>15591</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Patrick Irakiza</dc:creator>
  <cp:keywords/>
  <dc:description/>
  <cp:lastModifiedBy>Patrick Irakiza</cp:lastModifiedBy>
  <cp:revision>2</cp:revision>
  <dcterms:created xsi:type="dcterms:W3CDTF">2024-02-26T22:15:00Z</dcterms:created>
  <dcterms:modified xsi:type="dcterms:W3CDTF">2024-02-26T23:42:00Z</dcterms:modified>
</cp:coreProperties>
</file>