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F0B74A" w14:textId="46C1115F" w:rsidR="00E8772C" w:rsidRDefault="00D90518">
      <w:r>
        <w:t>AC 1.1.</w:t>
      </w:r>
    </w:p>
    <w:p w14:paraId="3F55C57F" w14:textId="4E925BE7" w:rsidR="00D90518" w:rsidRDefault="00D90518">
      <w:r>
        <w:t xml:space="preserve">Evidence-Based Practice (EBP) is a structured approach to decision-making that integrates multiple sources of information to ensure informed, effective and justified outcomes. </w:t>
      </w:r>
      <w:r w:rsidR="004B5CE2">
        <w:t xml:space="preserve">Waite et al (2021) outlines </w:t>
      </w:r>
      <w:r>
        <w:t xml:space="preserve">four key elements: </w:t>
      </w:r>
    </w:p>
    <w:p w14:paraId="6360516C" w14:textId="529A9EE3" w:rsidR="00D90518" w:rsidRDefault="00D90518" w:rsidP="00D90518">
      <w:pPr>
        <w:pStyle w:val="ListParagraph"/>
        <w:numPr>
          <w:ilvl w:val="0"/>
          <w:numId w:val="1"/>
        </w:numPr>
      </w:pPr>
      <w:r>
        <w:t xml:space="preserve">Best available evidence – using data, research and proven practices to identify what works. </w:t>
      </w:r>
    </w:p>
    <w:p w14:paraId="54169665" w14:textId="7BB32A81" w:rsidR="00D90518" w:rsidRDefault="00D90518" w:rsidP="00D90518">
      <w:pPr>
        <w:pStyle w:val="ListParagraph"/>
        <w:numPr>
          <w:ilvl w:val="0"/>
          <w:numId w:val="1"/>
        </w:numPr>
      </w:pPr>
      <w:r>
        <w:t>Professional expertise - drawing on skills, experience and knowledge of practitioners.</w:t>
      </w:r>
    </w:p>
    <w:p w14:paraId="7D624132" w14:textId="245D2089" w:rsidR="00D90518" w:rsidRDefault="00D90518" w:rsidP="00D90518">
      <w:pPr>
        <w:pStyle w:val="ListParagraph"/>
        <w:numPr>
          <w:ilvl w:val="0"/>
          <w:numId w:val="1"/>
        </w:numPr>
      </w:pPr>
      <w:r>
        <w:t>Stakeholder input – considering the needs, insights and preferences of employees and leaders.</w:t>
      </w:r>
    </w:p>
    <w:p w14:paraId="1623E978" w14:textId="36A660E9" w:rsidR="00D90518" w:rsidRDefault="00D90518" w:rsidP="00D90518">
      <w:pPr>
        <w:pStyle w:val="ListParagraph"/>
        <w:numPr>
          <w:ilvl w:val="0"/>
          <w:numId w:val="1"/>
        </w:numPr>
      </w:pPr>
      <w:r>
        <w:t xml:space="preserve">Organisational context – aligning decisions with business priorities, culture and practical constraints. </w:t>
      </w:r>
    </w:p>
    <w:p w14:paraId="6F8EC0AA" w14:textId="3DA62E9A" w:rsidR="00D90518" w:rsidRDefault="00D90518" w:rsidP="00D90518">
      <w:r>
        <w:t xml:space="preserve">In context of an organisation, </w:t>
      </w:r>
      <w:r w:rsidR="00027AD3">
        <w:t xml:space="preserve">Taylor and Woodhams (2022) describe </w:t>
      </w:r>
      <w:r>
        <w:t>EBP can be applied in various ways:</w:t>
      </w:r>
    </w:p>
    <w:p w14:paraId="2E569781" w14:textId="3D4D20C7" w:rsidR="00D90518" w:rsidRDefault="00D90518" w:rsidP="00D90518">
      <w:pPr>
        <w:pStyle w:val="ListParagraph"/>
        <w:numPr>
          <w:ilvl w:val="0"/>
          <w:numId w:val="2"/>
        </w:numPr>
      </w:pPr>
      <w:r>
        <w:t>Recruitment and Selection: Using validated assessment tools and recruitment data to predict candidate success and reduce bias.</w:t>
      </w:r>
    </w:p>
    <w:p w14:paraId="36DFB43C" w14:textId="6A2ECC63" w:rsidR="00D90518" w:rsidRDefault="00D90518" w:rsidP="00D90518">
      <w:pPr>
        <w:pStyle w:val="ListParagraph"/>
        <w:numPr>
          <w:ilvl w:val="0"/>
          <w:numId w:val="2"/>
        </w:numPr>
      </w:pPr>
      <w:r>
        <w:t>Employee Engagement: Analysing survey results and qualitative feedback to identify factors influencing morale and productivity.</w:t>
      </w:r>
    </w:p>
    <w:p w14:paraId="3337EEE3" w14:textId="55EB494E" w:rsidR="00D90518" w:rsidRDefault="00D90518" w:rsidP="00D90518">
      <w:pPr>
        <w:pStyle w:val="ListParagraph"/>
        <w:numPr>
          <w:ilvl w:val="0"/>
          <w:numId w:val="2"/>
        </w:numPr>
      </w:pPr>
      <w:r>
        <w:t>Workforce Planning: Combining labour market trends, turnover rates and skill gap analyses to ensure the right talent is available at the right time.</w:t>
      </w:r>
    </w:p>
    <w:p w14:paraId="4627C40A" w14:textId="2CC1F7A2" w:rsidR="00D90518" w:rsidRDefault="00D90518" w:rsidP="00D90518">
      <w:pPr>
        <w:pStyle w:val="ListParagraph"/>
        <w:numPr>
          <w:ilvl w:val="0"/>
          <w:numId w:val="2"/>
        </w:numPr>
      </w:pPr>
      <w:r>
        <w:t>Learning and Development: Evaluating the effectiveness of training programs using metrics such as employee performance and return on investment.</w:t>
      </w:r>
    </w:p>
    <w:p w14:paraId="3462E81F" w14:textId="5F3497EA" w:rsidR="00D90518" w:rsidRDefault="00D90518" w:rsidP="00D90518">
      <w:r>
        <w:t xml:space="preserve">By combining reliable data, professional expertise and stakeholder feedback, EBP ensures that decisions are not based on assumptions or trends but on concrete, actionable evidence. This approach supports the people function in delivering sound, credible recommendations that drive business success while maintaining employee trust and satisfaction. This concise explanation will help new practitioners understand the value and application of EBP in their roles. </w:t>
      </w:r>
    </w:p>
    <w:p w14:paraId="4203F156" w14:textId="29BD4D3E" w:rsidR="00D90518" w:rsidRDefault="00D90518" w:rsidP="00D90518">
      <w:r>
        <w:t>AC 1.2</w:t>
      </w:r>
    </w:p>
    <w:p w14:paraId="34549D57" w14:textId="7DD7FE06" w:rsidR="00D90518" w:rsidRDefault="00D90518" w:rsidP="00D90518">
      <w:r>
        <w:t xml:space="preserve">Data is a critical asset for organisations, serving as the foundation for informed decision making. By leveraging data, businesses can identify patterns, trends and insights that enable them to solve problems, seize opportunities and achieve strategic goals. </w:t>
      </w:r>
      <w:r w:rsidR="00C7675D">
        <w:t>McCartney &amp; Fu (2022) state that i</w:t>
      </w:r>
      <w:r>
        <w:t>n the people function, data plays a key role in areas such as workforce planning, employee engagement, diversity and inclusion and performance management.</w:t>
      </w:r>
    </w:p>
    <w:p w14:paraId="6210CCC4" w14:textId="28316824" w:rsidR="00D90518" w:rsidRDefault="00D90518" w:rsidP="00D90518">
      <w:r>
        <w:t xml:space="preserve">Accurate data is particularly important when diagnosing problems and issues. Incorrect or incomplete data can lead to flawed conclusions, ineffective intervention and wasted </w:t>
      </w:r>
      <w:r>
        <w:lastRenderedPageBreak/>
        <w:t>resources. For example, relying on inaccurate turnover data could result in unnecessary recruitment drives or missed opportunities to address underlying retention problems. Similarly, faulty survey results might obscure critical issues in employee satisfaction, leading to misguided policies that fail to address real concerns.</w:t>
      </w:r>
    </w:p>
    <w:p w14:paraId="397F3FD2" w14:textId="794F8FDE" w:rsidR="00215439" w:rsidRDefault="00215439" w:rsidP="00D90518">
      <w:r>
        <w:t xml:space="preserve">Ensuring data accuracy involves validating its source, completeness and relevance. Reliable data allows organisations to confidently identify root causes, evaluate the success of initiatives and making sound predictions for the future. It also enhances credibility with stakeholders by demonstrating a commitment to evidence-based decision making. </w:t>
      </w:r>
    </w:p>
    <w:p w14:paraId="0275621B" w14:textId="7C501EA3" w:rsidR="00215439" w:rsidRDefault="00215439" w:rsidP="00D90518">
      <w:r>
        <w:t xml:space="preserve">Moreover, </w:t>
      </w:r>
      <w:r w:rsidR="008F383F">
        <w:t xml:space="preserve">Phillips &amp; Phillips (2009) state that </w:t>
      </w:r>
      <w:r>
        <w:t>accurate data supports fairness and transparency, reducing bias in critical decisions such as hiring, promotions or workforce restructuring. This fosters trust among employees and ensures compliance with ethical and legal standards.</w:t>
      </w:r>
    </w:p>
    <w:p w14:paraId="4CE101CD" w14:textId="1F22D5AA" w:rsidR="00215439" w:rsidRDefault="00215439" w:rsidP="00D90518">
      <w:r>
        <w:t xml:space="preserve">In summary, accurate data is essential for solving problems effectively, making sound business decisions and maintaining trust within the organisation. It ensures that decisions are grounded, driving better outcomes for both employees and the business. </w:t>
      </w:r>
    </w:p>
    <w:p w14:paraId="3813FBC5" w14:textId="7583690F" w:rsidR="00215439" w:rsidRDefault="00215439" w:rsidP="00D90518">
      <w:r>
        <w:t>AC 1.3.</w:t>
      </w:r>
    </w:p>
    <w:p w14:paraId="50830605" w14:textId="38EF43D5" w:rsidR="00215439" w:rsidRDefault="00215439" w:rsidP="00D90518">
      <w:r>
        <w:t>People professionals use various types of data measurements to analyse workforce trends, evaluate HR initiatives and support decision making. These measurements can be broadly categorised into qualitative and quantitative data.</w:t>
      </w:r>
      <w:r w:rsidR="007D032C">
        <w:t xml:space="preserve"> </w:t>
      </w:r>
      <w:r w:rsidR="007D032C" w:rsidRPr="008F383F">
        <w:t>Bhattacharyya</w:t>
      </w:r>
      <w:r w:rsidR="007D032C">
        <w:t xml:space="preserve"> (2018) explain quantitative data as following: </w:t>
      </w:r>
    </w:p>
    <w:p w14:paraId="748C3C22" w14:textId="28ABCA06" w:rsidR="00215439" w:rsidRDefault="00FD7F30" w:rsidP="00215439">
      <w:pPr>
        <w:pStyle w:val="ListParagraph"/>
        <w:numPr>
          <w:ilvl w:val="0"/>
          <w:numId w:val="3"/>
        </w:numPr>
      </w:pPr>
      <w:r>
        <w:t>Quantitative</w:t>
      </w:r>
      <w:r w:rsidR="00215439">
        <w:t xml:space="preserve"> Data – this type of data is numerical and can be measured objectively. It is useful for identifying patterns, benchmarking and tracking progress over time. Examples include:</w:t>
      </w:r>
    </w:p>
    <w:p w14:paraId="63105D68" w14:textId="6120521A" w:rsidR="00215439" w:rsidRDefault="00FD7F30" w:rsidP="00FD7F30">
      <w:pPr>
        <w:pStyle w:val="ListParagraph"/>
        <w:numPr>
          <w:ilvl w:val="0"/>
          <w:numId w:val="2"/>
        </w:numPr>
      </w:pPr>
      <w:r>
        <w:t>Descriptive Metrics: Basic statistics such as headcount, turnover rates and absenteeism figures.</w:t>
      </w:r>
    </w:p>
    <w:p w14:paraId="3C208848" w14:textId="22220870" w:rsidR="00FD7F30" w:rsidRDefault="00FD7F30" w:rsidP="00FD7F30">
      <w:pPr>
        <w:pStyle w:val="ListParagraph"/>
        <w:numPr>
          <w:ilvl w:val="0"/>
          <w:numId w:val="2"/>
        </w:numPr>
      </w:pPr>
      <w:r>
        <w:t xml:space="preserve">Performance Metrics: Productivity levels, sales target or KPIs tied to employee performance. </w:t>
      </w:r>
    </w:p>
    <w:p w14:paraId="3EEA7637" w14:textId="7D0CA86B" w:rsidR="00FD7F30" w:rsidRDefault="00FD7F30" w:rsidP="00FD7F30">
      <w:pPr>
        <w:pStyle w:val="ListParagraph"/>
        <w:numPr>
          <w:ilvl w:val="0"/>
          <w:numId w:val="2"/>
        </w:numPr>
      </w:pPr>
      <w:r>
        <w:t xml:space="preserve">Financial Metrics: Cost per hire, training investment per employee or return on investment (ROI) for HR initiatives. </w:t>
      </w:r>
    </w:p>
    <w:p w14:paraId="60025E8C" w14:textId="6222A2D1" w:rsidR="00FD7F30" w:rsidRDefault="00010378" w:rsidP="00FD7F30">
      <w:pPr>
        <w:ind w:left="360"/>
      </w:pPr>
      <w:r>
        <w:t>Quantitative</w:t>
      </w:r>
      <w:r w:rsidR="00FD7F30">
        <w:t xml:space="preserve"> data provides clear, actionable insights and is often used for forecasting comparisons and monitoring trends. </w:t>
      </w:r>
    </w:p>
    <w:p w14:paraId="5F90A47C" w14:textId="456DC41F" w:rsidR="00FD7F30" w:rsidRDefault="00FE39D6" w:rsidP="00FD7F30">
      <w:pPr>
        <w:pStyle w:val="ListParagraph"/>
        <w:numPr>
          <w:ilvl w:val="0"/>
          <w:numId w:val="3"/>
        </w:numPr>
      </w:pPr>
      <w:r>
        <w:t xml:space="preserve">Qualitative data – this type of data is non-numerical and focuses on understanding behaviours, opinions and motivations. </w:t>
      </w:r>
      <w:r w:rsidR="00010378">
        <w:t>(Catley et al 2017) list the following methods that qualitative data can be gathered through:</w:t>
      </w:r>
    </w:p>
    <w:p w14:paraId="134C1B43" w14:textId="478FCC79" w:rsidR="00FE39D6" w:rsidRDefault="00FE39D6" w:rsidP="00FE39D6">
      <w:pPr>
        <w:pStyle w:val="ListParagraph"/>
        <w:numPr>
          <w:ilvl w:val="0"/>
          <w:numId w:val="2"/>
        </w:numPr>
      </w:pPr>
      <w:r>
        <w:t>Employee Surveys and Feedback: Insights into engagement, job satisfaction and workplace culture.</w:t>
      </w:r>
    </w:p>
    <w:p w14:paraId="1EE95F7D" w14:textId="31D104EE" w:rsidR="00FE39D6" w:rsidRDefault="00FE39D6" w:rsidP="00FE39D6">
      <w:pPr>
        <w:pStyle w:val="ListParagraph"/>
        <w:numPr>
          <w:ilvl w:val="0"/>
          <w:numId w:val="2"/>
        </w:numPr>
      </w:pPr>
      <w:r>
        <w:lastRenderedPageBreak/>
        <w:t>Exit Interviews: Qualitative reasons behind turnover trends.</w:t>
      </w:r>
    </w:p>
    <w:p w14:paraId="1632CCBD" w14:textId="5A7BF9F0" w:rsidR="00FE39D6" w:rsidRDefault="00FE39D6" w:rsidP="00FE39D6">
      <w:pPr>
        <w:pStyle w:val="ListParagraph"/>
        <w:numPr>
          <w:ilvl w:val="0"/>
          <w:numId w:val="2"/>
        </w:numPr>
      </w:pPr>
      <w:r>
        <w:t>Focus Groups: In-depth exploration of employee experiences or reactions to initiatives.</w:t>
      </w:r>
    </w:p>
    <w:p w14:paraId="615393A8" w14:textId="77777777" w:rsidR="00FE39D6" w:rsidRDefault="00FE39D6" w:rsidP="00FE39D6"/>
    <w:p w14:paraId="6CE47DAF" w14:textId="4B575532" w:rsidR="00FE39D6" w:rsidRDefault="00FE39D6" w:rsidP="00FE39D6">
      <w:pPr>
        <w:pStyle w:val="ListParagraph"/>
        <w:numPr>
          <w:ilvl w:val="0"/>
          <w:numId w:val="3"/>
        </w:numPr>
      </w:pPr>
      <w:r>
        <w:t>Predictive and Advanced Analytics</w:t>
      </w:r>
    </w:p>
    <w:p w14:paraId="00D6E3EE" w14:textId="1C537E8D" w:rsidR="00FE39D6" w:rsidRDefault="00FE39D6" w:rsidP="00FE39D6">
      <w:r>
        <w:t xml:space="preserve">By combining historical data with algorithms, people professionals use predictive metrics to forecast future trends, such as identifying flight risks or skill gaps. </w:t>
      </w:r>
    </w:p>
    <w:p w14:paraId="64268107" w14:textId="259B27C4" w:rsidR="00FE39D6" w:rsidRDefault="00FE39D6" w:rsidP="00FE39D6">
      <w:r>
        <w:t xml:space="preserve">By leveraging both quantitative and qualitative data, people professionals gain a holistic view of the workforce. This enables them to make </w:t>
      </w:r>
      <w:r w:rsidR="00F27C19">
        <w:t>evidence-based</w:t>
      </w:r>
      <w:r>
        <w:t xml:space="preserve"> decisions that improve organisational performance and employee experience. </w:t>
      </w:r>
    </w:p>
    <w:p w14:paraId="657E3973" w14:textId="77777777" w:rsidR="00F27C19" w:rsidRDefault="00F27C19" w:rsidP="00FE39D6"/>
    <w:p w14:paraId="5376E009" w14:textId="65515FA4" w:rsidR="00F27C19" w:rsidRDefault="00F27C19" w:rsidP="00FE39D6">
      <w:r>
        <w:t>AC 1.6</w:t>
      </w:r>
    </w:p>
    <w:p w14:paraId="094E4F00" w14:textId="77F84BE0" w:rsidR="00F27C19" w:rsidRDefault="00F27C19" w:rsidP="00FE39D6">
      <w:r>
        <w:t>Agreed policies and procedures provide a structured framework for decision making within organisations. They outline consistent, fair and transparent approaches to handling workplace matters, ensuring that decisions align with legal requirements, organisational goals and ethical standards.</w:t>
      </w:r>
      <w:r w:rsidR="00953121">
        <w:t xml:space="preserve"> Lee &amp; Jung (2024) state policies need to adhere to the following: </w:t>
      </w:r>
    </w:p>
    <w:p w14:paraId="71E24DDD" w14:textId="3D74026B" w:rsidR="00F27C19" w:rsidRDefault="00F27C19" w:rsidP="00FE39D6">
      <w:r>
        <w:t>Consistency and Fairness</w:t>
      </w:r>
    </w:p>
    <w:p w14:paraId="1EB3E6F8" w14:textId="7563EB17" w:rsidR="00F27C19" w:rsidRDefault="00F27C19" w:rsidP="00FE39D6">
      <w:r>
        <w:t>Policies and procedures ensure that all employees are treated equally, reducing the risk of bias or favouritism. For instance, following a structured disciplinary policy helps managers handle issues fairly and uniformly, promoting trust and accountability. Similarly, recruitment policies ensure that hiring decisions are based on merit, supporting diversity and inclusion.</w:t>
      </w:r>
    </w:p>
    <w:p w14:paraId="235C6AE8" w14:textId="3306EB3B" w:rsidR="00F27C19" w:rsidRDefault="00F27C19" w:rsidP="00FE39D6">
      <w:r>
        <w:t>Legal Compliance</w:t>
      </w:r>
    </w:p>
    <w:p w14:paraId="29437517" w14:textId="75B424E1" w:rsidR="00F27C19" w:rsidRDefault="00FD386E" w:rsidP="00FE39D6">
      <w:r>
        <w:t>Adhering to policies ensures decisions comply with employment laws and regulations, mitigating risks of legal disputes. For example, robust grievance and whistleblowing procedures guide the organisation in addressing employee concerns effectively while maintaining compliance with legal standards.</w:t>
      </w:r>
    </w:p>
    <w:p w14:paraId="2FAB0A79" w14:textId="2C57DEB3" w:rsidR="00FD386E" w:rsidRDefault="00FD386E" w:rsidP="00FE39D6">
      <w:r>
        <w:t>Guidance for Complex Situations</w:t>
      </w:r>
    </w:p>
    <w:p w14:paraId="2A6B09B5" w14:textId="6C648E43" w:rsidR="00FD386E" w:rsidRDefault="00FD386E" w:rsidP="00FE39D6">
      <w:r>
        <w:t>Policies act as a roadmap for decision-making in complex scenarios. For example, when managing redundancies, a clear redundancy policy ensures the process is handled sensitively, ethically and in line with business needs.</w:t>
      </w:r>
    </w:p>
    <w:p w14:paraId="27ABE77C" w14:textId="2AABD07B" w:rsidR="00FD386E" w:rsidRDefault="00FD386E" w:rsidP="00FE39D6">
      <w:r>
        <w:t>Supports Evidence-Based Decisions</w:t>
      </w:r>
    </w:p>
    <w:p w14:paraId="1E912FD0" w14:textId="6972FFE2" w:rsidR="00FD386E" w:rsidRDefault="00FD386E" w:rsidP="00FE39D6">
      <w:r>
        <w:lastRenderedPageBreak/>
        <w:t xml:space="preserve">Policies and procedures provide the foundation for collecting and analysing consistent data. For instance, performance appraisal processes generate insights that inform decision on promotions, training or workforce planning. </w:t>
      </w:r>
    </w:p>
    <w:p w14:paraId="61642D3B" w14:textId="30E02051" w:rsidR="00FD386E" w:rsidRDefault="00FD386E" w:rsidP="00FE39D6">
      <w:r>
        <w:t xml:space="preserve">In summary, agreed policies and procedures provide clarity, consistency and a legal safety net for decision-making. By following them, organisations ensure fairness, maintain employee trust and support sound evidence-based decisions. </w:t>
      </w:r>
    </w:p>
    <w:p w14:paraId="61407600" w14:textId="597604CF" w:rsidR="00FD386E" w:rsidRDefault="00FD386E" w:rsidP="00FE39D6">
      <w:r>
        <w:t>AC 2.1</w:t>
      </w:r>
    </w:p>
    <w:p w14:paraId="5A44DAD1" w14:textId="38286169" w:rsidR="00FD386E" w:rsidRDefault="00FD386E" w:rsidP="00FE39D6">
      <w:r>
        <w:t xml:space="preserve">People professionals play a critical role in driving success by aligning workforce strategies </w:t>
      </w:r>
      <w:r w:rsidR="00BE3367">
        <w:t>with organisational goals and fostering positive experiences for employees and stakeholders. They create value in the following ways:</w:t>
      </w:r>
    </w:p>
    <w:p w14:paraId="792EFD47" w14:textId="5464BE0C" w:rsidR="00BE3367" w:rsidRDefault="00BE3367" w:rsidP="00FE39D6">
      <w:r>
        <w:t>For People</w:t>
      </w:r>
    </w:p>
    <w:p w14:paraId="02332927" w14:textId="6BDB3AB5" w:rsidR="00BE3367" w:rsidRDefault="00BE3367" w:rsidP="00FE39D6">
      <w:r>
        <w:t xml:space="preserve">People professionals champion employee wellbeing, engagement and development. They design initiatives such as training programs, career development opportunities and </w:t>
      </w:r>
      <w:proofErr w:type="spellStart"/>
      <w:r>
        <w:t>well being</w:t>
      </w:r>
      <w:proofErr w:type="spellEnd"/>
      <w:r>
        <w:t xml:space="preserve"> support that empower employees to thrive in their roles. By creating inclusive and supportive workplaces, they enhance job satisfaction, retention and productivity. They also act as advocates for fair treatment, ensuring employees feel valued and heard through effective policies and practices.</w:t>
      </w:r>
    </w:p>
    <w:p w14:paraId="3CCCF044" w14:textId="6E34617F" w:rsidR="00BE3367" w:rsidRDefault="00BE3367" w:rsidP="00FE39D6">
      <w:r>
        <w:t>For Organisations</w:t>
      </w:r>
    </w:p>
    <w:p w14:paraId="44B05A22" w14:textId="3F075CC6" w:rsidR="00BE3367" w:rsidRDefault="00BE3367" w:rsidP="00FE39D6">
      <w:r>
        <w:t xml:space="preserve">By aligning HR strategies with business objectives, people professionals contribute to organisational success. </w:t>
      </w:r>
      <w:r w:rsidR="00F01DA8">
        <w:t>Gibson (2021) suggests</w:t>
      </w:r>
      <w:r>
        <w:t xml:space="preserve"> us</w:t>
      </w:r>
      <w:r w:rsidR="00F01DA8">
        <w:t>ing</w:t>
      </w:r>
      <w:r>
        <w:t xml:space="preserve"> workforce planning, talent acquisition and performance management to ensure the organisation has the right people in the right roles. Evidence-based challenges and improve outcomes. Additionally, fostering a positive culture boosts brand reputation, aiding in attracting and retaining top talent.</w:t>
      </w:r>
    </w:p>
    <w:p w14:paraId="304CBE45" w14:textId="7F3155CF" w:rsidR="00BE3367" w:rsidRDefault="00BE3367" w:rsidP="00FE39D6">
      <w:r>
        <w:t>For Wider Stakeholders</w:t>
      </w:r>
    </w:p>
    <w:p w14:paraId="38014768" w14:textId="5C614679" w:rsidR="00BE3367" w:rsidRDefault="00BE3367" w:rsidP="00FE39D6">
      <w:r>
        <w:t>People professionals influence the broader ecosystem, including customers, investors and communities. By promoting diversity, equity and inclusion they help organisations reflect and serve diverse markets. Ethical practices and sustainable employment initiatives enhance corporate social responsibility, benefiting the community and strengthening stakeholder trust.</w:t>
      </w:r>
    </w:p>
    <w:p w14:paraId="25F55828" w14:textId="07E8BC2F" w:rsidR="00BE3367" w:rsidRDefault="00BE3367" w:rsidP="00FE39D6">
      <w:r>
        <w:t>In summary, people professionals create value by enabling employees to succeed, supporting organisational goals and fostering trust and collaboration with wider stakeholders. Their work drives both individual and collective success.</w:t>
      </w:r>
    </w:p>
    <w:p w14:paraId="7A6BECB0" w14:textId="77777777" w:rsidR="009058CE" w:rsidRDefault="009058CE" w:rsidP="00FE39D6"/>
    <w:p w14:paraId="2067647C" w14:textId="773D0168" w:rsidR="009058CE" w:rsidRDefault="009058CE" w:rsidP="00FE39D6">
      <w:r>
        <w:t>AC 2.2</w:t>
      </w:r>
    </w:p>
    <w:p w14:paraId="58A97010" w14:textId="3E6554FD" w:rsidR="009058CE" w:rsidRDefault="009058CE" w:rsidP="00FE39D6">
      <w:r>
        <w:lastRenderedPageBreak/>
        <w:t>Customer focus and adherence to high standards are essential for delivering exceptional service and achieving organisational success. In context as a people professional,</w:t>
      </w:r>
      <w:r w:rsidR="00F01DA8">
        <w:t xml:space="preserve"> Baker (2009) states to</w:t>
      </w:r>
      <w:r>
        <w:t xml:space="preserve"> prioritise these values in the following ways:</w:t>
      </w:r>
    </w:p>
    <w:p w14:paraId="7EF8AD00" w14:textId="4D181FA3" w:rsidR="009058CE" w:rsidRDefault="009058CE" w:rsidP="00FE39D6">
      <w:r>
        <w:t>Customer-Focused Approaches</w:t>
      </w:r>
    </w:p>
    <w:p w14:paraId="766A5E9A" w14:textId="09AF188C" w:rsidR="009058CE" w:rsidRDefault="009058CE" w:rsidP="009058CE">
      <w:pPr>
        <w:pStyle w:val="ListParagraph"/>
        <w:numPr>
          <w:ilvl w:val="0"/>
          <w:numId w:val="4"/>
        </w:numPr>
      </w:pPr>
      <w:r>
        <w:t>Understanding needs: Actively listening to employees, managers and stakeholders to identify their needs and expectations, ensuring that HR solutions are tailored to their requirements.</w:t>
      </w:r>
    </w:p>
    <w:p w14:paraId="40809EB4" w14:textId="45EF596E" w:rsidR="009058CE" w:rsidRDefault="009058CE" w:rsidP="009058CE">
      <w:pPr>
        <w:pStyle w:val="ListParagraph"/>
        <w:numPr>
          <w:ilvl w:val="0"/>
          <w:numId w:val="4"/>
        </w:numPr>
      </w:pPr>
      <w:r>
        <w:t>Proactive communication: Providing clear, timely and empathetic communication to address queries or concerns, building trust and rapport.</w:t>
      </w:r>
    </w:p>
    <w:p w14:paraId="53CE4F3F" w14:textId="590094A3" w:rsidR="009058CE" w:rsidRDefault="009058CE" w:rsidP="009058CE">
      <w:pPr>
        <w:pStyle w:val="ListParagraph"/>
        <w:numPr>
          <w:ilvl w:val="0"/>
          <w:numId w:val="4"/>
        </w:numPr>
      </w:pPr>
      <w:r>
        <w:t>Continuous Improvement: Seeking feedback from stakeholders to refine processes, policies and services, ensuring they remain relevant and effective.</w:t>
      </w:r>
    </w:p>
    <w:p w14:paraId="3F0939A6" w14:textId="5484A359" w:rsidR="009058CE" w:rsidRDefault="009058CE" w:rsidP="009058CE">
      <w:pPr>
        <w:pStyle w:val="ListParagraph"/>
        <w:numPr>
          <w:ilvl w:val="0"/>
          <w:numId w:val="4"/>
        </w:numPr>
      </w:pPr>
      <w:r>
        <w:t>Personalisation: Offering flexible and bespoke solutions, such as career development plans or well-being support to meet the unique needs of employees.</w:t>
      </w:r>
    </w:p>
    <w:p w14:paraId="3D4B87FC" w14:textId="33BCB70C" w:rsidR="009058CE" w:rsidRDefault="009058CE" w:rsidP="009058CE">
      <w:r>
        <w:t>Standard-Driven Practices</w:t>
      </w:r>
    </w:p>
    <w:p w14:paraId="149F923E" w14:textId="4B865038" w:rsidR="009058CE" w:rsidRDefault="009058CE" w:rsidP="009058CE">
      <w:pPr>
        <w:pStyle w:val="ListParagraph"/>
        <w:numPr>
          <w:ilvl w:val="0"/>
          <w:numId w:val="5"/>
        </w:numPr>
      </w:pPr>
      <w:r>
        <w:t xml:space="preserve">Compliance: Ensuring all processes align with legal and organisational policies to maintain fairness, transparency and ethical integrity. </w:t>
      </w:r>
    </w:p>
    <w:p w14:paraId="3E67740A" w14:textId="7928C892" w:rsidR="009058CE" w:rsidRDefault="009058CE" w:rsidP="009058CE">
      <w:pPr>
        <w:pStyle w:val="ListParagraph"/>
        <w:numPr>
          <w:ilvl w:val="0"/>
          <w:numId w:val="5"/>
        </w:numPr>
      </w:pPr>
      <w:r>
        <w:t xml:space="preserve">Consistency: Applying policies and procedures uniformly to across the organisation, fostering trust and accountability. </w:t>
      </w:r>
    </w:p>
    <w:p w14:paraId="1867A630" w14:textId="4DB900BC" w:rsidR="009058CE" w:rsidRDefault="009058CE" w:rsidP="009058CE">
      <w:pPr>
        <w:pStyle w:val="ListParagraph"/>
        <w:numPr>
          <w:ilvl w:val="0"/>
          <w:numId w:val="5"/>
        </w:numPr>
      </w:pPr>
      <w:r>
        <w:t>Quality Assurance: Regularly reviewing HR practices, such as recruitment or performance management to ensure they meet high professional and ethical standards.</w:t>
      </w:r>
    </w:p>
    <w:p w14:paraId="2D4EC52B" w14:textId="5CEA1C2B" w:rsidR="009058CE" w:rsidRDefault="009058CE" w:rsidP="009058CE">
      <w:pPr>
        <w:pStyle w:val="ListParagraph"/>
        <w:numPr>
          <w:ilvl w:val="0"/>
          <w:numId w:val="5"/>
        </w:numPr>
      </w:pPr>
      <w:r>
        <w:t xml:space="preserve">Professional Development: Continuously updating my own knowledge and skills to provide evidence-based, best in class solutions. </w:t>
      </w:r>
    </w:p>
    <w:p w14:paraId="1CA7F00B" w14:textId="77777777" w:rsidR="007B10AF" w:rsidRDefault="009058CE" w:rsidP="009058CE">
      <w:r>
        <w:t>By balancing a customer</w:t>
      </w:r>
      <w:r w:rsidR="00F54729">
        <w:t>-centred approach with rigorous adherence to standards, organisations can deliver meaningful support to employees and the organisation whilst maintaining trust, integrity and professionalism. This ensures long-term value for all</w:t>
      </w:r>
      <w:r w:rsidR="007B10AF">
        <w:t xml:space="preserve"> </w:t>
      </w:r>
      <w:r w:rsidR="00F54729">
        <w:t>stakeholders.</w:t>
      </w:r>
    </w:p>
    <w:p w14:paraId="1F769786" w14:textId="77777777" w:rsidR="007B10AF" w:rsidRDefault="007B10AF" w:rsidP="009058CE"/>
    <w:p w14:paraId="71060702" w14:textId="77777777" w:rsidR="007B10AF" w:rsidRDefault="007B10AF" w:rsidP="009058CE">
      <w:r>
        <w:t>AC 1.4</w:t>
      </w:r>
    </w:p>
    <w:p w14:paraId="3CAECEB3" w14:textId="254A4584" w:rsidR="007B10AF" w:rsidRDefault="007B10AF" w:rsidP="009058CE">
      <w:r>
        <w:t>Departmental Turnover Rates</w:t>
      </w:r>
    </w:p>
    <w:p w14:paraId="42D120AC" w14:textId="799BAB39" w:rsidR="007B10AF" w:rsidRDefault="007B10AF" w:rsidP="009058CE">
      <w:r>
        <w:rPr>
          <w:noProof/>
        </w:rPr>
        <w:lastRenderedPageBreak/>
        <w:drawing>
          <wp:inline distT="0" distB="0" distL="0" distR="0" wp14:anchorId="6404912E" wp14:editId="7986EAB2">
            <wp:extent cx="5440680" cy="2964180"/>
            <wp:effectExtent l="0" t="0" r="0" b="0"/>
            <wp:docPr id="821263624" name="Chart 1">
              <a:extLst xmlns:a="http://schemas.openxmlformats.org/drawingml/2006/main">
                <a:ext uri="{FF2B5EF4-FFF2-40B4-BE49-F238E27FC236}">
                  <a16:creationId xmlns:a16="http://schemas.microsoft.com/office/drawing/2014/main" id="{373819FA-4E96-BB3A-9C90-51BF3C7787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9649A15" w14:textId="2E28FC54" w:rsidR="007B10AF" w:rsidRDefault="007B10AF" w:rsidP="009058CE">
      <w:r>
        <w:rPr>
          <w:noProof/>
        </w:rPr>
        <w:drawing>
          <wp:anchor distT="0" distB="0" distL="114300" distR="114300" simplePos="0" relativeHeight="251658240" behindDoc="1" locked="0" layoutInCell="1" allowOverlap="1" wp14:anchorId="6523BD26" wp14:editId="0FCE8D57">
            <wp:simplePos x="0" y="0"/>
            <wp:positionH relativeFrom="column">
              <wp:posOffset>-38100</wp:posOffset>
            </wp:positionH>
            <wp:positionV relativeFrom="paragraph">
              <wp:posOffset>381000</wp:posOffset>
            </wp:positionV>
            <wp:extent cx="5608320" cy="2781300"/>
            <wp:effectExtent l="0" t="0" r="0" b="0"/>
            <wp:wrapTight wrapText="bothSides">
              <wp:wrapPolygon edited="0">
                <wp:start x="0" y="0"/>
                <wp:lineTo x="0" y="21452"/>
                <wp:lineTo x="21571" y="21452"/>
                <wp:lineTo x="21571" y="0"/>
                <wp:lineTo x="0" y="0"/>
              </wp:wrapPolygon>
            </wp:wrapTight>
            <wp:docPr id="1001076910" name="Chart 1">
              <a:extLst xmlns:a="http://schemas.openxmlformats.org/drawingml/2006/main">
                <a:ext uri="{FF2B5EF4-FFF2-40B4-BE49-F238E27FC236}">
                  <a16:creationId xmlns:a16="http://schemas.microsoft.com/office/drawing/2014/main" id="{EE7BFA98-4750-64B1-1A67-68E8232467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r>
        <w:t>Overall Turnover Rate</w:t>
      </w:r>
    </w:p>
    <w:p w14:paraId="622D193C" w14:textId="77777777" w:rsidR="007B10AF" w:rsidRDefault="007B10AF" w:rsidP="009058CE"/>
    <w:p w14:paraId="3BC18504" w14:textId="7FA32166" w:rsidR="007B10AF" w:rsidRDefault="007B10AF" w:rsidP="009058CE">
      <w:r>
        <w:t>AC 1.5</w:t>
      </w:r>
    </w:p>
    <w:p w14:paraId="66087F78" w14:textId="1FD679F5" w:rsidR="007B10AF" w:rsidRDefault="007B10AF" w:rsidP="009058CE">
      <w:r>
        <w:t>Key Issues Identifie</w:t>
      </w:r>
      <w:r w:rsidR="006E6C84">
        <w:t>d:</w:t>
      </w:r>
    </w:p>
    <w:p w14:paraId="39E42CCF" w14:textId="7B07AB78" w:rsidR="006E6C84" w:rsidRDefault="006E6C84" w:rsidP="009058CE">
      <w:r>
        <w:t xml:space="preserve">Firstly, the high turnover in Maintenance, Packing and Despatch. In 2020, the maintenance department had an exceptionally high turnover rate of 56% while packing and despatch peaked at 58%. In 2021 -2023, though both departments showed improvement, packing and despatch remained above average at 40% in 2021 and 50% in 2022 before reducing to 20% in 2023. Maintenance’s turnover reduced considerably but remained high at 14% in 2023. This can cause high physical </w:t>
      </w:r>
      <w:proofErr w:type="gramStart"/>
      <w:r>
        <w:t>demands,</w:t>
      </w:r>
      <w:proofErr w:type="gramEnd"/>
      <w:r>
        <w:t xml:space="preserve"> lack of recognition and limited career progression could be contributing factors.</w:t>
      </w:r>
    </w:p>
    <w:p w14:paraId="657FDB07" w14:textId="19B87EBD" w:rsidR="006E6C84" w:rsidRDefault="006E6C84" w:rsidP="009058CE">
      <w:r>
        <w:lastRenderedPageBreak/>
        <w:t xml:space="preserve">Secondly, the fluctuations in administration turnover. The administration department saw a significant spike from 18% in 2020 to 45% in 2022, before improving to 11% in 2023. This fluctuation suggests possible internal issues such as job dissatisfaction, management challenges or restructuring. This can cause a change in workloads, unclear role expectations or poor leadership. </w:t>
      </w:r>
    </w:p>
    <w:p w14:paraId="7B870C50" w14:textId="50712404" w:rsidR="006E6C84" w:rsidRDefault="006E6C84" w:rsidP="009058CE">
      <w:r>
        <w:t xml:space="preserve">Thirdly, the turnover in people team. In 2021, the people team reported no leavers but saw a dramatic increase to 50% in 2022 and 40% in 2023. Such high turnover within the team responsible for HR processes can signal deeper organisational issues. This can cause role misalignment, burnout or lack of engagement. </w:t>
      </w:r>
    </w:p>
    <w:p w14:paraId="7AB836F1" w14:textId="2C0072FC" w:rsidR="006E6C84" w:rsidRDefault="006E6C84" w:rsidP="009058CE">
      <w:r>
        <w:t xml:space="preserve">Another issue identified is the low or zero turnover in some departments. The finance, research and design experience 0% </w:t>
      </w:r>
      <w:r w:rsidR="0011555D">
        <w:t xml:space="preserve">turnover across several years, except for 25% in isolated cases. While stability is generally positive, it may also indicate limited growth opportunities or stagnant roles. This might cause lack of mobility and professional development. </w:t>
      </w:r>
    </w:p>
    <w:p w14:paraId="6AB85C05" w14:textId="3EA22C28" w:rsidR="0011555D" w:rsidRDefault="0011555D" w:rsidP="009058CE">
      <w:r>
        <w:t>The overall organisational turnover trends show that the total turnover rate dropped significantly from 34% in 2020 to 14% in 2023. This improvement reflects positive progress but highlights certain departments like maintenance, packing and despatch that still require focused efforts.</w:t>
      </w:r>
    </w:p>
    <w:p w14:paraId="7B12F851" w14:textId="4A88D1D2" w:rsidR="0011555D" w:rsidRDefault="0011555D" w:rsidP="009058CE">
      <w:r>
        <w:t>Proposed Solutions:</w:t>
      </w:r>
    </w:p>
    <w:p w14:paraId="06D1127D" w14:textId="2B41D301" w:rsidR="0011555D" w:rsidRDefault="0011555D" w:rsidP="0011555D">
      <w:pPr>
        <w:pStyle w:val="ListParagraph"/>
        <w:numPr>
          <w:ilvl w:val="0"/>
          <w:numId w:val="6"/>
        </w:numPr>
      </w:pPr>
      <w:r>
        <w:t>Addressing turnover in Maintenance and Packing and Despatch</w:t>
      </w:r>
    </w:p>
    <w:p w14:paraId="53C23513" w14:textId="77777777" w:rsidR="005C548F" w:rsidRDefault="005C548F" w:rsidP="005C548F">
      <w:pPr>
        <w:pStyle w:val="ListParagraph"/>
      </w:pPr>
    </w:p>
    <w:p w14:paraId="55FBED53" w14:textId="465D5DE2" w:rsidR="0011555D" w:rsidRDefault="0011555D" w:rsidP="0011555D">
      <w:pPr>
        <w:pStyle w:val="ListParagraph"/>
        <w:numPr>
          <w:ilvl w:val="0"/>
          <w:numId w:val="2"/>
        </w:numPr>
      </w:pPr>
      <w:r>
        <w:t>Conduct Employee Surveys: Implement regular surveys to identify pain points, including job satisfaction, working conditions and workload concerns.</w:t>
      </w:r>
    </w:p>
    <w:p w14:paraId="7AFCA733" w14:textId="6A012EDB" w:rsidR="0011555D" w:rsidRDefault="0011555D" w:rsidP="0011555D">
      <w:pPr>
        <w:pStyle w:val="ListParagraph"/>
        <w:numPr>
          <w:ilvl w:val="0"/>
          <w:numId w:val="2"/>
        </w:numPr>
      </w:pPr>
      <w:r>
        <w:t>Improve working conditions: Address health and safety concerns, provide better equipment and ensure fair workloads to reduce physical strain.</w:t>
      </w:r>
    </w:p>
    <w:p w14:paraId="32A9E1AB" w14:textId="57168B2A" w:rsidR="0011555D" w:rsidRDefault="0011555D" w:rsidP="0011555D">
      <w:pPr>
        <w:pStyle w:val="ListParagraph"/>
        <w:numPr>
          <w:ilvl w:val="0"/>
          <w:numId w:val="2"/>
        </w:numPr>
      </w:pPr>
      <w:r>
        <w:t>Introduce Career pathways: Create clear progression plans with training opportunities to enhance retention.</w:t>
      </w:r>
    </w:p>
    <w:p w14:paraId="03DD98DC" w14:textId="4E1C967B" w:rsidR="0011555D" w:rsidRDefault="0011555D" w:rsidP="0011555D">
      <w:pPr>
        <w:pStyle w:val="ListParagraph"/>
        <w:numPr>
          <w:ilvl w:val="0"/>
          <w:numId w:val="2"/>
        </w:numPr>
      </w:pPr>
      <w:r>
        <w:t xml:space="preserve">Recognition programs: Develop reward </w:t>
      </w:r>
      <w:r w:rsidR="005C548F">
        <w:t>and recognition schemes to improve employee morale.</w:t>
      </w:r>
    </w:p>
    <w:p w14:paraId="71C88695" w14:textId="47E8E308" w:rsidR="005C548F" w:rsidRDefault="005C548F" w:rsidP="005C548F">
      <w:pPr>
        <w:ind w:left="360"/>
      </w:pPr>
    </w:p>
    <w:p w14:paraId="151FDC73" w14:textId="02DC7EF9" w:rsidR="005C548F" w:rsidRDefault="005C548F" w:rsidP="005C548F">
      <w:pPr>
        <w:pStyle w:val="ListParagraph"/>
        <w:numPr>
          <w:ilvl w:val="0"/>
          <w:numId w:val="6"/>
        </w:numPr>
      </w:pPr>
      <w:r>
        <w:t>Reduce turnover in Administration and People Team</w:t>
      </w:r>
    </w:p>
    <w:p w14:paraId="08C77084" w14:textId="77777777" w:rsidR="005C548F" w:rsidRDefault="005C548F" w:rsidP="005C548F">
      <w:pPr>
        <w:pStyle w:val="ListParagraph"/>
      </w:pPr>
    </w:p>
    <w:p w14:paraId="7196D725" w14:textId="71EFF029" w:rsidR="005C548F" w:rsidRDefault="005C548F" w:rsidP="005C548F">
      <w:pPr>
        <w:pStyle w:val="ListParagraph"/>
        <w:numPr>
          <w:ilvl w:val="0"/>
          <w:numId w:val="2"/>
        </w:numPr>
      </w:pPr>
      <w:r>
        <w:t>Training and Development: Offer tailored training for managers to address leadership gaps and enhance people management skills.</w:t>
      </w:r>
    </w:p>
    <w:p w14:paraId="7307E6F6" w14:textId="2685F1CD" w:rsidR="005C548F" w:rsidRDefault="005C548F" w:rsidP="005C548F">
      <w:pPr>
        <w:pStyle w:val="ListParagraph"/>
        <w:numPr>
          <w:ilvl w:val="0"/>
          <w:numId w:val="2"/>
        </w:numPr>
      </w:pPr>
      <w:r>
        <w:t>Workload Balancing: Monitor workload distribution and ensure job roles are realistic to reduce stress.</w:t>
      </w:r>
    </w:p>
    <w:p w14:paraId="627C540F" w14:textId="7F99A5C6" w:rsidR="005C548F" w:rsidRDefault="005C548F" w:rsidP="005C548F">
      <w:pPr>
        <w:pStyle w:val="ListParagraph"/>
        <w:numPr>
          <w:ilvl w:val="0"/>
          <w:numId w:val="2"/>
        </w:numPr>
      </w:pPr>
      <w:r>
        <w:lastRenderedPageBreak/>
        <w:t>Employee Engagement: Improve communication and involve employees in decision-making processes to boost their sense of value.</w:t>
      </w:r>
    </w:p>
    <w:p w14:paraId="7A928B35" w14:textId="77777777" w:rsidR="005C548F" w:rsidRDefault="005C548F" w:rsidP="005C548F"/>
    <w:p w14:paraId="080CA29F" w14:textId="09B12148" w:rsidR="005C548F" w:rsidRDefault="005C548F" w:rsidP="005C548F">
      <w:pPr>
        <w:pStyle w:val="ListParagraph"/>
        <w:numPr>
          <w:ilvl w:val="0"/>
          <w:numId w:val="6"/>
        </w:numPr>
      </w:pPr>
      <w:r>
        <w:t>Encourage growth in Departments with low turnover</w:t>
      </w:r>
    </w:p>
    <w:p w14:paraId="1AE2B6E5" w14:textId="77777777" w:rsidR="005C548F" w:rsidRDefault="005C548F" w:rsidP="005C548F">
      <w:pPr>
        <w:pStyle w:val="ListParagraph"/>
      </w:pPr>
    </w:p>
    <w:p w14:paraId="70F5FBA6" w14:textId="5B16D0F7" w:rsidR="005C548F" w:rsidRDefault="005C548F" w:rsidP="005C548F">
      <w:pPr>
        <w:pStyle w:val="ListParagraph"/>
        <w:numPr>
          <w:ilvl w:val="0"/>
          <w:numId w:val="2"/>
        </w:numPr>
      </w:pPr>
      <w:r>
        <w:t xml:space="preserve">Professional Development: Provide opportunities for upskilling, cross-departmental projects and mentoring to keep employees engaged. </w:t>
      </w:r>
    </w:p>
    <w:p w14:paraId="70BDBDBE" w14:textId="41EF478A" w:rsidR="005C548F" w:rsidRDefault="005C548F" w:rsidP="005C548F">
      <w:pPr>
        <w:pStyle w:val="ListParagraph"/>
        <w:numPr>
          <w:ilvl w:val="0"/>
          <w:numId w:val="2"/>
        </w:numPr>
      </w:pPr>
      <w:r>
        <w:t>Role Reviews: Conduct regular performance reviews to ensure employees remain challenged and motivated.</w:t>
      </w:r>
    </w:p>
    <w:p w14:paraId="54D0D658" w14:textId="5BF37D93" w:rsidR="005C548F" w:rsidRDefault="005C548F" w:rsidP="005C548F">
      <w:pPr>
        <w:pStyle w:val="ListParagraph"/>
        <w:numPr>
          <w:ilvl w:val="0"/>
          <w:numId w:val="2"/>
        </w:numPr>
      </w:pPr>
      <w:r>
        <w:t>Succession Planning: Create development plans to prepare employees for leadership roles, ensuring long-term retention.</w:t>
      </w:r>
    </w:p>
    <w:p w14:paraId="5E362BD4" w14:textId="77777777" w:rsidR="005C548F" w:rsidRDefault="005C548F" w:rsidP="005C548F"/>
    <w:p w14:paraId="007DD076" w14:textId="52B71AF9" w:rsidR="005C548F" w:rsidRDefault="005C548F" w:rsidP="005C548F">
      <w:pPr>
        <w:pStyle w:val="ListParagraph"/>
        <w:numPr>
          <w:ilvl w:val="0"/>
          <w:numId w:val="6"/>
        </w:numPr>
      </w:pPr>
      <w:r>
        <w:t>Monitor organisational turnover trends</w:t>
      </w:r>
    </w:p>
    <w:p w14:paraId="778AFE5C" w14:textId="5D31C07C" w:rsidR="005C548F" w:rsidRDefault="005C548F" w:rsidP="005C548F">
      <w:pPr>
        <w:pStyle w:val="ListParagraph"/>
        <w:numPr>
          <w:ilvl w:val="0"/>
          <w:numId w:val="2"/>
        </w:numPr>
      </w:pPr>
      <w:r>
        <w:t>Regular Reporting: Use data dashboards to track turnover rates and identify trends early.</w:t>
      </w:r>
    </w:p>
    <w:p w14:paraId="473C0672" w14:textId="5B3146A0" w:rsidR="005C548F" w:rsidRDefault="005C548F" w:rsidP="005C548F">
      <w:pPr>
        <w:pStyle w:val="ListParagraph"/>
        <w:numPr>
          <w:ilvl w:val="0"/>
          <w:numId w:val="2"/>
        </w:numPr>
      </w:pPr>
      <w:r>
        <w:t>Exit Interviews: Conduct structured exit interviews to gather insights into why employees leave.</w:t>
      </w:r>
    </w:p>
    <w:p w14:paraId="27E2BD1F" w14:textId="01887D0F" w:rsidR="005C548F" w:rsidRDefault="005C548F" w:rsidP="005C548F">
      <w:pPr>
        <w:pStyle w:val="ListParagraph"/>
        <w:numPr>
          <w:ilvl w:val="0"/>
          <w:numId w:val="2"/>
        </w:numPr>
      </w:pPr>
      <w:r>
        <w:t>Proactive Interventions: Develop department-specific retention strategies for areas with consistently high turnover rates such as Maintenance and Packing and Despatch.</w:t>
      </w:r>
    </w:p>
    <w:p w14:paraId="62F9B1A1" w14:textId="77777777" w:rsidR="005C548F" w:rsidRDefault="005C548F" w:rsidP="005C548F"/>
    <w:p w14:paraId="632E4292" w14:textId="0747A7B6" w:rsidR="005C548F" w:rsidRDefault="005C548F" w:rsidP="005C548F">
      <w:r>
        <w:t>Conclusion</w:t>
      </w:r>
    </w:p>
    <w:p w14:paraId="217B03A5" w14:textId="57624492" w:rsidR="005C548F" w:rsidRDefault="005C548F" w:rsidP="005C548F">
      <w:r>
        <w:t>The data highlights a significant improvement in overall turnover from 34% in 2020 to 14% in 2023, showcasing effective retention strategies. However, issues persist in high-turnover departments like Maintenance, Packing and Despatch and Administration. Targeted interventions such as improving working conditions, enhancing leadership skills and offering career development opportunities will help address these challenges. By using ongoing data analysis and implementing employee-focused solutions, the organisation can sustain progress and ensure a stable, engaged workforce.</w:t>
      </w:r>
    </w:p>
    <w:p w14:paraId="7FEBB2B4" w14:textId="77777777" w:rsidR="00694E83" w:rsidRDefault="00694E83" w:rsidP="005C548F"/>
    <w:p w14:paraId="0FBFA483" w14:textId="77777777" w:rsidR="00953121" w:rsidRDefault="00953121" w:rsidP="005C548F"/>
    <w:p w14:paraId="24CAB5FD" w14:textId="77777777" w:rsidR="00694E83" w:rsidRDefault="00694E83" w:rsidP="005C548F"/>
    <w:p w14:paraId="19E87BD9" w14:textId="77777777" w:rsidR="00694E83" w:rsidRDefault="00694E83" w:rsidP="005C548F"/>
    <w:p w14:paraId="3BEF87EC" w14:textId="77777777" w:rsidR="00694E83" w:rsidRDefault="00694E83" w:rsidP="005C548F"/>
    <w:p w14:paraId="424AB60D" w14:textId="766BE9C6" w:rsidR="00694E83" w:rsidRDefault="00694E83" w:rsidP="005C548F">
      <w:r>
        <w:lastRenderedPageBreak/>
        <w:t>References</w:t>
      </w:r>
    </w:p>
    <w:p w14:paraId="59CBDC2F" w14:textId="6AC4C09A" w:rsidR="00953121" w:rsidRDefault="00953121" w:rsidP="005C548F">
      <w:r w:rsidRPr="00953121">
        <w:t>Baker, T. (2002) ‘Customer</w:t>
      </w:r>
      <w:r w:rsidRPr="00953121">
        <w:rPr>
          <w:rFonts w:ascii="Cambria Math" w:hAnsi="Cambria Math" w:cs="Cambria Math"/>
        </w:rPr>
        <w:t>‐</w:t>
      </w:r>
      <w:r w:rsidRPr="00953121">
        <w:t>focused organisations: Challenges for managers, workers and HR practitioners</w:t>
      </w:r>
      <w:r w:rsidRPr="00953121">
        <w:rPr>
          <w:rFonts w:ascii="Aptos" w:hAnsi="Aptos" w:cs="Aptos"/>
        </w:rPr>
        <w:t>’</w:t>
      </w:r>
      <w:r w:rsidRPr="00953121">
        <w:t xml:space="preserve">, </w:t>
      </w:r>
      <w:r w:rsidRPr="00953121">
        <w:rPr>
          <w:i/>
          <w:iCs/>
        </w:rPr>
        <w:t>The Journal of management development</w:t>
      </w:r>
      <w:r w:rsidRPr="00953121">
        <w:t xml:space="preserve">, 21(4), pp. 306–314. Available at: </w:t>
      </w:r>
      <w:hyperlink r:id="rId7" w:history="1">
        <w:r w:rsidRPr="00953121">
          <w:rPr>
            <w:rStyle w:val="Hyperlink"/>
          </w:rPr>
          <w:t>https://doi.org/10.1108/02621710210423892</w:t>
        </w:r>
      </w:hyperlink>
      <w:r w:rsidRPr="00953121">
        <w:t>.</w:t>
      </w:r>
      <w:r>
        <w:t xml:space="preserve"> (Accessed 9</w:t>
      </w:r>
      <w:r w:rsidRPr="00953121">
        <w:rPr>
          <w:vertAlign w:val="superscript"/>
        </w:rPr>
        <w:t>th</w:t>
      </w:r>
      <w:r>
        <w:t xml:space="preserve"> December 2024)</w:t>
      </w:r>
    </w:p>
    <w:p w14:paraId="7B59E56F" w14:textId="0B83C93D" w:rsidR="00C7675D" w:rsidRDefault="008F383F" w:rsidP="005C548F">
      <w:r w:rsidRPr="008F383F">
        <w:t xml:space="preserve">Bhattacharyya, D.K. (2018) </w:t>
      </w:r>
      <w:r w:rsidRPr="008F383F">
        <w:rPr>
          <w:i/>
          <w:iCs/>
        </w:rPr>
        <w:t>Statistical tools and analysis in human resources management</w:t>
      </w:r>
      <w:r w:rsidRPr="008F383F">
        <w:t xml:space="preserve">. Hershey, Pennsylvania: IGI Global. </w:t>
      </w:r>
    </w:p>
    <w:p w14:paraId="774B5F51" w14:textId="1F09AF35" w:rsidR="007D032C" w:rsidRDefault="007D032C" w:rsidP="005C548F">
      <w:r w:rsidRPr="007D032C">
        <w:t xml:space="preserve">Catley, B. </w:t>
      </w:r>
      <w:r w:rsidRPr="007D032C">
        <w:rPr>
          <w:i/>
          <w:iCs/>
        </w:rPr>
        <w:t>et al.</w:t>
      </w:r>
      <w:r w:rsidRPr="007D032C">
        <w:t xml:space="preserve"> (2017) ‘Workplace bullying complaints: lessons for “good HR practice”’, </w:t>
      </w:r>
      <w:r w:rsidRPr="007D032C">
        <w:rPr>
          <w:i/>
          <w:iCs/>
        </w:rPr>
        <w:t>Personnel review</w:t>
      </w:r>
      <w:r w:rsidRPr="007D032C">
        <w:t xml:space="preserve">, 46(1), pp. 100–114. Available at: </w:t>
      </w:r>
      <w:hyperlink r:id="rId8" w:history="1">
        <w:r w:rsidRPr="007D032C">
          <w:rPr>
            <w:rStyle w:val="Hyperlink"/>
          </w:rPr>
          <w:t>https://doi.org/10.1108/PR-04-2015-0107</w:t>
        </w:r>
      </w:hyperlink>
      <w:r w:rsidRPr="007D032C">
        <w:t>.</w:t>
      </w:r>
      <w:r>
        <w:t xml:space="preserve"> (Accessed 06</w:t>
      </w:r>
      <w:r w:rsidRPr="007D032C">
        <w:rPr>
          <w:vertAlign w:val="superscript"/>
        </w:rPr>
        <w:t>th</w:t>
      </w:r>
      <w:r>
        <w:t xml:space="preserve"> December)</w:t>
      </w:r>
    </w:p>
    <w:p w14:paraId="7F8C71FE" w14:textId="16D6349F" w:rsidR="00F01DA8" w:rsidRDefault="00F01DA8" w:rsidP="005C548F">
      <w:r w:rsidRPr="00F01DA8">
        <w:t xml:space="preserve">Gibson, A. (2021) </w:t>
      </w:r>
      <w:r w:rsidRPr="00F01DA8">
        <w:rPr>
          <w:i/>
          <w:iCs/>
        </w:rPr>
        <w:t xml:space="preserve">Agile workforce </w:t>
      </w:r>
      <w:proofErr w:type="gramStart"/>
      <w:r w:rsidRPr="00F01DA8">
        <w:rPr>
          <w:i/>
          <w:iCs/>
        </w:rPr>
        <w:t>planning</w:t>
      </w:r>
      <w:r w:rsidRPr="00F01DA8">
        <w:rPr>
          <w:rFonts w:ascii="Arial" w:hAnsi="Arial" w:cs="Arial"/>
          <w:i/>
          <w:iCs/>
        </w:rPr>
        <w:t> </w:t>
      </w:r>
      <w:r w:rsidRPr="00F01DA8">
        <w:rPr>
          <w:i/>
          <w:iCs/>
        </w:rPr>
        <w:t>:</w:t>
      </w:r>
      <w:proofErr w:type="gramEnd"/>
      <w:r w:rsidRPr="00F01DA8">
        <w:rPr>
          <w:i/>
          <w:iCs/>
        </w:rPr>
        <w:t xml:space="preserve"> how to align people with organizational strategy for improved performance</w:t>
      </w:r>
      <w:r w:rsidRPr="00F01DA8">
        <w:t>. New York, New York: Kogan Page.</w:t>
      </w:r>
    </w:p>
    <w:p w14:paraId="30B15C5B" w14:textId="0D3AE8E5" w:rsidR="00953121" w:rsidRPr="008F383F" w:rsidRDefault="00953121" w:rsidP="005C548F">
      <w:r w:rsidRPr="00953121">
        <w:t xml:space="preserve">Lee, S.-T. and Jung, S.-M. (2024) ‘From Equality to Excellence: Exploring the Relationship between Gender Equality HR Policies and R&amp;D Intensity’, </w:t>
      </w:r>
      <w:r w:rsidRPr="00953121">
        <w:rPr>
          <w:i/>
          <w:iCs/>
        </w:rPr>
        <w:t>Sustainability</w:t>
      </w:r>
      <w:r w:rsidRPr="00953121">
        <w:t xml:space="preserve">, 16(15), pp. 6394-. Available at: </w:t>
      </w:r>
      <w:hyperlink r:id="rId9" w:history="1">
        <w:r w:rsidRPr="00953121">
          <w:rPr>
            <w:rStyle w:val="Hyperlink"/>
          </w:rPr>
          <w:t>https://doi.org/10.3390/su16156394</w:t>
        </w:r>
      </w:hyperlink>
      <w:r w:rsidRPr="00953121">
        <w:t>.</w:t>
      </w:r>
      <w:r>
        <w:t xml:space="preserve"> (Accessed 08</w:t>
      </w:r>
      <w:r w:rsidRPr="00953121">
        <w:rPr>
          <w:vertAlign w:val="superscript"/>
        </w:rPr>
        <w:t>th</w:t>
      </w:r>
      <w:r>
        <w:t xml:space="preserve"> December 2024)</w:t>
      </w:r>
    </w:p>
    <w:p w14:paraId="4869BEAC" w14:textId="03F1F943" w:rsidR="00694E83" w:rsidRDefault="00C7675D" w:rsidP="005C548F">
      <w:r w:rsidRPr="00C7675D">
        <w:t xml:space="preserve">McCartney, S. and Fu, N. (2022) </w:t>
      </w:r>
      <w:r w:rsidRPr="00C7675D">
        <w:rPr>
          <w:i/>
          <w:iCs/>
        </w:rPr>
        <w:t>‘Bridging the gap: why, how and when HR analytics can impact organizational performance’</w:t>
      </w:r>
      <w:r w:rsidRPr="00C7675D">
        <w:t xml:space="preserve">, </w:t>
      </w:r>
      <w:r w:rsidRPr="00C7675D">
        <w:rPr>
          <w:i/>
          <w:iCs/>
        </w:rPr>
        <w:t>Management decision</w:t>
      </w:r>
      <w:r w:rsidRPr="00C7675D">
        <w:t xml:space="preserve">, 60(13), pp. 25–47. Available at: </w:t>
      </w:r>
      <w:hyperlink r:id="rId10" w:history="1">
        <w:r w:rsidRPr="00C7675D">
          <w:rPr>
            <w:rStyle w:val="Hyperlink"/>
          </w:rPr>
          <w:t>https://doi.org/10.1108/MD-12-2020-1581</w:t>
        </w:r>
      </w:hyperlink>
      <w:r w:rsidRPr="00C7675D">
        <w:t>.</w:t>
      </w:r>
      <w:r>
        <w:t xml:space="preserve"> </w:t>
      </w:r>
      <w:r w:rsidR="008F383F">
        <w:t>(Accessed 06</w:t>
      </w:r>
      <w:r w:rsidR="008F383F" w:rsidRPr="008F383F">
        <w:rPr>
          <w:vertAlign w:val="superscript"/>
        </w:rPr>
        <w:t>th</w:t>
      </w:r>
      <w:r w:rsidR="008F383F">
        <w:t xml:space="preserve"> December 2024)</w:t>
      </w:r>
    </w:p>
    <w:p w14:paraId="457C35FE" w14:textId="16967E5B" w:rsidR="008F383F" w:rsidRDefault="008F383F" w:rsidP="005C548F">
      <w:r w:rsidRPr="008F383F">
        <w:t xml:space="preserve">Phillips, J. and Phillips, P. (2009) ‘Measuring return on investment in HR’, </w:t>
      </w:r>
      <w:r w:rsidRPr="008F383F">
        <w:rPr>
          <w:i/>
          <w:iCs/>
        </w:rPr>
        <w:t>Strategic HR review</w:t>
      </w:r>
      <w:r w:rsidRPr="008F383F">
        <w:t xml:space="preserve">, 8(6), pp. 12–19. Available at: </w:t>
      </w:r>
      <w:hyperlink r:id="rId11" w:history="1">
        <w:r w:rsidRPr="008F383F">
          <w:rPr>
            <w:rStyle w:val="Hyperlink"/>
          </w:rPr>
          <w:t>https://doi.org/10.1108/14754390910990946</w:t>
        </w:r>
      </w:hyperlink>
      <w:r w:rsidRPr="008F383F">
        <w:t>.</w:t>
      </w:r>
      <w:r>
        <w:t xml:space="preserve"> (Accessed 06</w:t>
      </w:r>
      <w:r w:rsidRPr="008F383F">
        <w:rPr>
          <w:vertAlign w:val="superscript"/>
        </w:rPr>
        <w:t>th</w:t>
      </w:r>
      <w:r>
        <w:t xml:space="preserve"> December 2024)</w:t>
      </w:r>
    </w:p>
    <w:p w14:paraId="6269ED1B" w14:textId="1447FFD1" w:rsidR="00694E83" w:rsidRDefault="00694E83" w:rsidP="005C548F">
      <w:r w:rsidRPr="00694E83">
        <w:t>Taylor, S.</w:t>
      </w:r>
      <w:r>
        <w:t xml:space="preserve"> and Woodhams, C.</w:t>
      </w:r>
      <w:r w:rsidRPr="00694E83">
        <w:t xml:space="preserve"> (2022) </w:t>
      </w:r>
      <w:r w:rsidRPr="00694E83">
        <w:rPr>
          <w:i/>
          <w:iCs/>
        </w:rPr>
        <w:t xml:space="preserve">Studying human resource </w:t>
      </w:r>
      <w:proofErr w:type="gramStart"/>
      <w:r w:rsidRPr="00694E83">
        <w:rPr>
          <w:i/>
          <w:iCs/>
        </w:rPr>
        <w:t>management</w:t>
      </w:r>
      <w:r w:rsidRPr="00694E83">
        <w:rPr>
          <w:rFonts w:ascii="Arial" w:hAnsi="Arial" w:cs="Arial"/>
          <w:i/>
          <w:iCs/>
        </w:rPr>
        <w:t> </w:t>
      </w:r>
      <w:r w:rsidRPr="00694E83">
        <w:rPr>
          <w:i/>
          <w:iCs/>
        </w:rPr>
        <w:t>:</w:t>
      </w:r>
      <w:proofErr w:type="gramEnd"/>
      <w:r w:rsidRPr="00694E83">
        <w:rPr>
          <w:i/>
          <w:iCs/>
        </w:rPr>
        <w:t xml:space="preserve"> a guide to the study, context and practice of HR</w:t>
      </w:r>
      <w:r w:rsidRPr="00694E83">
        <w:t xml:space="preserve">. London: </w:t>
      </w:r>
      <w:proofErr w:type="spellStart"/>
      <w:r w:rsidRPr="00694E83">
        <w:t>KoganPage</w:t>
      </w:r>
      <w:proofErr w:type="spellEnd"/>
      <w:r w:rsidRPr="00694E83">
        <w:t>.</w:t>
      </w:r>
    </w:p>
    <w:p w14:paraId="5FC86359" w14:textId="77777777" w:rsidR="00694E83" w:rsidRPr="00F97C75" w:rsidRDefault="00694E83" w:rsidP="00694E83">
      <w:pPr>
        <w:spacing w:before="240" w:after="240" w:line="254" w:lineRule="auto"/>
        <w:rPr>
          <w:rFonts w:eastAsia="Arial" w:cs="Arial"/>
          <w:color w:val="000000" w:themeColor="text1"/>
        </w:rPr>
      </w:pPr>
      <w:r w:rsidRPr="00F97C75">
        <w:rPr>
          <w:rFonts w:eastAsia="Arial" w:cs="Arial"/>
          <w:color w:val="000000" w:themeColor="text1"/>
        </w:rPr>
        <w:t xml:space="preserve">Waite, K., Beevers, K., Small, N., Tomlinson, K. and Hussain, S. (2021) </w:t>
      </w:r>
      <w:r w:rsidRPr="00F97C75">
        <w:rPr>
          <w:rFonts w:eastAsia="Arial" w:cs="Arial"/>
          <w:i/>
          <w:iCs/>
          <w:color w:val="000000" w:themeColor="text1"/>
        </w:rPr>
        <w:t>People Practice: A Complete Guide</w:t>
      </w:r>
      <w:r w:rsidRPr="00F97C75">
        <w:rPr>
          <w:rFonts w:eastAsia="Arial" w:cs="Arial"/>
          <w:color w:val="000000" w:themeColor="text1"/>
        </w:rPr>
        <w:t>. London: CIPD Kogan Page</w:t>
      </w:r>
    </w:p>
    <w:p w14:paraId="11E02A6D" w14:textId="77777777" w:rsidR="00694E83" w:rsidRDefault="00694E83" w:rsidP="005C548F"/>
    <w:sectPr w:rsidR="00694E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B7F4C"/>
    <w:multiLevelType w:val="hybridMultilevel"/>
    <w:tmpl w:val="BCA475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5213A0"/>
    <w:multiLevelType w:val="hybridMultilevel"/>
    <w:tmpl w:val="1AE66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ED38C5"/>
    <w:multiLevelType w:val="hybridMultilevel"/>
    <w:tmpl w:val="F86AA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F08597B"/>
    <w:multiLevelType w:val="hybridMultilevel"/>
    <w:tmpl w:val="9350FB8A"/>
    <w:lvl w:ilvl="0" w:tplc="F0EAC83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A3247B"/>
    <w:multiLevelType w:val="hybridMultilevel"/>
    <w:tmpl w:val="A45E2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700275"/>
    <w:multiLevelType w:val="hybridMultilevel"/>
    <w:tmpl w:val="626E9B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01976">
    <w:abstractNumId w:val="2"/>
  </w:num>
  <w:num w:numId="2" w16cid:durableId="228000607">
    <w:abstractNumId w:val="3"/>
  </w:num>
  <w:num w:numId="3" w16cid:durableId="1704016661">
    <w:abstractNumId w:val="0"/>
  </w:num>
  <w:num w:numId="4" w16cid:durableId="937250884">
    <w:abstractNumId w:val="1"/>
  </w:num>
  <w:num w:numId="5" w16cid:durableId="1501308298">
    <w:abstractNumId w:val="4"/>
  </w:num>
  <w:num w:numId="6" w16cid:durableId="164747255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518"/>
    <w:rsid w:val="00010378"/>
    <w:rsid w:val="00027AD3"/>
    <w:rsid w:val="0011555D"/>
    <w:rsid w:val="00140A96"/>
    <w:rsid w:val="001910A9"/>
    <w:rsid w:val="00215439"/>
    <w:rsid w:val="004B5CE2"/>
    <w:rsid w:val="005C548F"/>
    <w:rsid w:val="00694E83"/>
    <w:rsid w:val="006E6C84"/>
    <w:rsid w:val="007B10AF"/>
    <w:rsid w:val="007D032C"/>
    <w:rsid w:val="008F383F"/>
    <w:rsid w:val="009058CE"/>
    <w:rsid w:val="00953121"/>
    <w:rsid w:val="00BE3367"/>
    <w:rsid w:val="00C7675D"/>
    <w:rsid w:val="00D90518"/>
    <w:rsid w:val="00E8772C"/>
    <w:rsid w:val="00F01DA8"/>
    <w:rsid w:val="00F27C19"/>
    <w:rsid w:val="00F54729"/>
    <w:rsid w:val="00FD386E"/>
    <w:rsid w:val="00FD7F30"/>
    <w:rsid w:val="00FE39D6"/>
    <w:rsid w:val="00FF0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41B72"/>
  <w15:chartTrackingRefBased/>
  <w15:docId w15:val="{EFB549B4-EF7B-435B-BEDF-93E2F14B66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5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5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5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5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5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5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5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5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5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5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5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5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5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5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5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5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5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518"/>
    <w:rPr>
      <w:rFonts w:eastAsiaTheme="majorEastAsia" w:cstheme="majorBidi"/>
      <w:color w:val="272727" w:themeColor="text1" w:themeTint="D8"/>
    </w:rPr>
  </w:style>
  <w:style w:type="paragraph" w:styleId="Title">
    <w:name w:val="Title"/>
    <w:basedOn w:val="Normal"/>
    <w:next w:val="Normal"/>
    <w:link w:val="TitleChar"/>
    <w:uiPriority w:val="10"/>
    <w:qFormat/>
    <w:rsid w:val="00D905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5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5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5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518"/>
    <w:pPr>
      <w:spacing w:before="160"/>
      <w:jc w:val="center"/>
    </w:pPr>
    <w:rPr>
      <w:i/>
      <w:iCs/>
      <w:color w:val="404040" w:themeColor="text1" w:themeTint="BF"/>
    </w:rPr>
  </w:style>
  <w:style w:type="character" w:customStyle="1" w:styleId="QuoteChar">
    <w:name w:val="Quote Char"/>
    <w:basedOn w:val="DefaultParagraphFont"/>
    <w:link w:val="Quote"/>
    <w:uiPriority w:val="29"/>
    <w:rsid w:val="00D90518"/>
    <w:rPr>
      <w:i/>
      <w:iCs/>
      <w:color w:val="404040" w:themeColor="text1" w:themeTint="BF"/>
    </w:rPr>
  </w:style>
  <w:style w:type="paragraph" w:styleId="ListParagraph">
    <w:name w:val="List Paragraph"/>
    <w:basedOn w:val="Normal"/>
    <w:uiPriority w:val="34"/>
    <w:qFormat/>
    <w:rsid w:val="00D90518"/>
    <w:pPr>
      <w:ind w:left="720"/>
      <w:contextualSpacing/>
    </w:pPr>
  </w:style>
  <w:style w:type="character" w:styleId="IntenseEmphasis">
    <w:name w:val="Intense Emphasis"/>
    <w:basedOn w:val="DefaultParagraphFont"/>
    <w:uiPriority w:val="21"/>
    <w:qFormat/>
    <w:rsid w:val="00D90518"/>
    <w:rPr>
      <w:i/>
      <w:iCs/>
      <w:color w:val="0F4761" w:themeColor="accent1" w:themeShade="BF"/>
    </w:rPr>
  </w:style>
  <w:style w:type="paragraph" w:styleId="IntenseQuote">
    <w:name w:val="Intense Quote"/>
    <w:basedOn w:val="Normal"/>
    <w:next w:val="Normal"/>
    <w:link w:val="IntenseQuoteChar"/>
    <w:uiPriority w:val="30"/>
    <w:qFormat/>
    <w:rsid w:val="00D905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518"/>
    <w:rPr>
      <w:i/>
      <w:iCs/>
      <w:color w:val="0F4761" w:themeColor="accent1" w:themeShade="BF"/>
    </w:rPr>
  </w:style>
  <w:style w:type="character" w:styleId="IntenseReference">
    <w:name w:val="Intense Reference"/>
    <w:basedOn w:val="DefaultParagraphFont"/>
    <w:uiPriority w:val="32"/>
    <w:qFormat/>
    <w:rsid w:val="00D90518"/>
    <w:rPr>
      <w:b/>
      <w:bCs/>
      <w:smallCaps/>
      <w:color w:val="0F4761" w:themeColor="accent1" w:themeShade="BF"/>
      <w:spacing w:val="5"/>
    </w:rPr>
  </w:style>
  <w:style w:type="character" w:styleId="Hyperlink">
    <w:name w:val="Hyperlink"/>
    <w:basedOn w:val="DefaultParagraphFont"/>
    <w:uiPriority w:val="99"/>
    <w:unhideWhenUsed/>
    <w:rsid w:val="00C7675D"/>
    <w:rPr>
      <w:color w:val="467886" w:themeColor="hyperlink"/>
      <w:u w:val="single"/>
    </w:rPr>
  </w:style>
  <w:style w:type="character" w:styleId="UnresolvedMention">
    <w:name w:val="Unresolved Mention"/>
    <w:basedOn w:val="DefaultParagraphFont"/>
    <w:uiPriority w:val="99"/>
    <w:semiHidden/>
    <w:unhideWhenUsed/>
    <w:rsid w:val="00C76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52940">
      <w:bodyDiv w:val="1"/>
      <w:marLeft w:val="0"/>
      <w:marRight w:val="0"/>
      <w:marTop w:val="0"/>
      <w:marBottom w:val="0"/>
      <w:divBdr>
        <w:top w:val="none" w:sz="0" w:space="0" w:color="auto"/>
        <w:left w:val="none" w:sz="0" w:space="0" w:color="auto"/>
        <w:bottom w:val="none" w:sz="0" w:space="0" w:color="auto"/>
        <w:right w:val="none" w:sz="0" w:space="0" w:color="auto"/>
      </w:divBdr>
      <w:divsChild>
        <w:div w:id="879393117">
          <w:marLeft w:val="0"/>
          <w:marRight w:val="0"/>
          <w:marTop w:val="0"/>
          <w:marBottom w:val="0"/>
          <w:divBdr>
            <w:top w:val="none" w:sz="0" w:space="0" w:color="auto"/>
            <w:left w:val="none" w:sz="0" w:space="0" w:color="auto"/>
            <w:bottom w:val="none" w:sz="0" w:space="0" w:color="auto"/>
            <w:right w:val="none" w:sz="0" w:space="0" w:color="auto"/>
          </w:divBdr>
          <w:divsChild>
            <w:div w:id="184827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54776">
      <w:bodyDiv w:val="1"/>
      <w:marLeft w:val="0"/>
      <w:marRight w:val="0"/>
      <w:marTop w:val="0"/>
      <w:marBottom w:val="0"/>
      <w:divBdr>
        <w:top w:val="none" w:sz="0" w:space="0" w:color="auto"/>
        <w:left w:val="none" w:sz="0" w:space="0" w:color="auto"/>
        <w:bottom w:val="none" w:sz="0" w:space="0" w:color="auto"/>
        <w:right w:val="none" w:sz="0" w:space="0" w:color="auto"/>
      </w:divBdr>
      <w:divsChild>
        <w:div w:id="1994603144">
          <w:marLeft w:val="0"/>
          <w:marRight w:val="0"/>
          <w:marTop w:val="0"/>
          <w:marBottom w:val="0"/>
          <w:divBdr>
            <w:top w:val="none" w:sz="0" w:space="0" w:color="auto"/>
            <w:left w:val="none" w:sz="0" w:space="0" w:color="auto"/>
            <w:bottom w:val="none" w:sz="0" w:space="0" w:color="auto"/>
            <w:right w:val="none" w:sz="0" w:space="0" w:color="auto"/>
          </w:divBdr>
          <w:divsChild>
            <w:div w:id="66043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602845">
      <w:bodyDiv w:val="1"/>
      <w:marLeft w:val="0"/>
      <w:marRight w:val="0"/>
      <w:marTop w:val="0"/>
      <w:marBottom w:val="0"/>
      <w:divBdr>
        <w:top w:val="none" w:sz="0" w:space="0" w:color="auto"/>
        <w:left w:val="none" w:sz="0" w:space="0" w:color="auto"/>
        <w:bottom w:val="none" w:sz="0" w:space="0" w:color="auto"/>
        <w:right w:val="none" w:sz="0" w:space="0" w:color="auto"/>
      </w:divBdr>
      <w:divsChild>
        <w:div w:id="859782019">
          <w:marLeft w:val="0"/>
          <w:marRight w:val="0"/>
          <w:marTop w:val="0"/>
          <w:marBottom w:val="0"/>
          <w:divBdr>
            <w:top w:val="none" w:sz="0" w:space="0" w:color="auto"/>
            <w:left w:val="none" w:sz="0" w:space="0" w:color="auto"/>
            <w:bottom w:val="none" w:sz="0" w:space="0" w:color="auto"/>
            <w:right w:val="none" w:sz="0" w:space="0" w:color="auto"/>
          </w:divBdr>
          <w:divsChild>
            <w:div w:id="128373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853278">
      <w:bodyDiv w:val="1"/>
      <w:marLeft w:val="0"/>
      <w:marRight w:val="0"/>
      <w:marTop w:val="0"/>
      <w:marBottom w:val="0"/>
      <w:divBdr>
        <w:top w:val="none" w:sz="0" w:space="0" w:color="auto"/>
        <w:left w:val="none" w:sz="0" w:space="0" w:color="auto"/>
        <w:bottom w:val="none" w:sz="0" w:space="0" w:color="auto"/>
        <w:right w:val="none" w:sz="0" w:space="0" w:color="auto"/>
      </w:divBdr>
      <w:divsChild>
        <w:div w:id="1744791687">
          <w:marLeft w:val="0"/>
          <w:marRight w:val="0"/>
          <w:marTop w:val="0"/>
          <w:marBottom w:val="0"/>
          <w:divBdr>
            <w:top w:val="none" w:sz="0" w:space="0" w:color="auto"/>
            <w:left w:val="none" w:sz="0" w:space="0" w:color="auto"/>
            <w:bottom w:val="none" w:sz="0" w:space="0" w:color="auto"/>
            <w:right w:val="none" w:sz="0" w:space="0" w:color="auto"/>
          </w:divBdr>
          <w:divsChild>
            <w:div w:id="1989167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976631">
      <w:bodyDiv w:val="1"/>
      <w:marLeft w:val="0"/>
      <w:marRight w:val="0"/>
      <w:marTop w:val="0"/>
      <w:marBottom w:val="0"/>
      <w:divBdr>
        <w:top w:val="none" w:sz="0" w:space="0" w:color="auto"/>
        <w:left w:val="none" w:sz="0" w:space="0" w:color="auto"/>
        <w:bottom w:val="none" w:sz="0" w:space="0" w:color="auto"/>
        <w:right w:val="none" w:sz="0" w:space="0" w:color="auto"/>
      </w:divBdr>
      <w:divsChild>
        <w:div w:id="179857719">
          <w:marLeft w:val="0"/>
          <w:marRight w:val="0"/>
          <w:marTop w:val="0"/>
          <w:marBottom w:val="0"/>
          <w:divBdr>
            <w:top w:val="none" w:sz="0" w:space="0" w:color="auto"/>
            <w:left w:val="none" w:sz="0" w:space="0" w:color="auto"/>
            <w:bottom w:val="none" w:sz="0" w:space="0" w:color="auto"/>
            <w:right w:val="none" w:sz="0" w:space="0" w:color="auto"/>
          </w:divBdr>
          <w:divsChild>
            <w:div w:id="164334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444369">
      <w:bodyDiv w:val="1"/>
      <w:marLeft w:val="0"/>
      <w:marRight w:val="0"/>
      <w:marTop w:val="0"/>
      <w:marBottom w:val="0"/>
      <w:divBdr>
        <w:top w:val="none" w:sz="0" w:space="0" w:color="auto"/>
        <w:left w:val="none" w:sz="0" w:space="0" w:color="auto"/>
        <w:bottom w:val="none" w:sz="0" w:space="0" w:color="auto"/>
        <w:right w:val="none" w:sz="0" w:space="0" w:color="auto"/>
      </w:divBdr>
      <w:divsChild>
        <w:div w:id="1407265512">
          <w:marLeft w:val="0"/>
          <w:marRight w:val="0"/>
          <w:marTop w:val="0"/>
          <w:marBottom w:val="0"/>
          <w:divBdr>
            <w:top w:val="none" w:sz="0" w:space="0" w:color="auto"/>
            <w:left w:val="none" w:sz="0" w:space="0" w:color="auto"/>
            <w:bottom w:val="none" w:sz="0" w:space="0" w:color="auto"/>
            <w:right w:val="none" w:sz="0" w:space="0" w:color="auto"/>
          </w:divBdr>
          <w:divsChild>
            <w:div w:id="1063066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201874">
      <w:bodyDiv w:val="1"/>
      <w:marLeft w:val="0"/>
      <w:marRight w:val="0"/>
      <w:marTop w:val="0"/>
      <w:marBottom w:val="0"/>
      <w:divBdr>
        <w:top w:val="none" w:sz="0" w:space="0" w:color="auto"/>
        <w:left w:val="none" w:sz="0" w:space="0" w:color="auto"/>
        <w:bottom w:val="none" w:sz="0" w:space="0" w:color="auto"/>
        <w:right w:val="none" w:sz="0" w:space="0" w:color="auto"/>
      </w:divBdr>
      <w:divsChild>
        <w:div w:id="131598251">
          <w:marLeft w:val="0"/>
          <w:marRight w:val="0"/>
          <w:marTop w:val="0"/>
          <w:marBottom w:val="0"/>
          <w:divBdr>
            <w:top w:val="none" w:sz="0" w:space="0" w:color="auto"/>
            <w:left w:val="none" w:sz="0" w:space="0" w:color="auto"/>
            <w:bottom w:val="none" w:sz="0" w:space="0" w:color="auto"/>
            <w:right w:val="none" w:sz="0" w:space="0" w:color="auto"/>
          </w:divBdr>
          <w:divsChild>
            <w:div w:id="27875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117092">
      <w:bodyDiv w:val="1"/>
      <w:marLeft w:val="0"/>
      <w:marRight w:val="0"/>
      <w:marTop w:val="0"/>
      <w:marBottom w:val="0"/>
      <w:divBdr>
        <w:top w:val="none" w:sz="0" w:space="0" w:color="auto"/>
        <w:left w:val="none" w:sz="0" w:space="0" w:color="auto"/>
        <w:bottom w:val="none" w:sz="0" w:space="0" w:color="auto"/>
        <w:right w:val="none" w:sz="0" w:space="0" w:color="auto"/>
      </w:divBdr>
      <w:divsChild>
        <w:div w:id="1744063868">
          <w:marLeft w:val="0"/>
          <w:marRight w:val="0"/>
          <w:marTop w:val="0"/>
          <w:marBottom w:val="0"/>
          <w:divBdr>
            <w:top w:val="none" w:sz="0" w:space="0" w:color="auto"/>
            <w:left w:val="none" w:sz="0" w:space="0" w:color="auto"/>
            <w:bottom w:val="none" w:sz="0" w:space="0" w:color="auto"/>
            <w:right w:val="none" w:sz="0" w:space="0" w:color="auto"/>
          </w:divBdr>
          <w:divsChild>
            <w:div w:id="151692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212109">
      <w:bodyDiv w:val="1"/>
      <w:marLeft w:val="0"/>
      <w:marRight w:val="0"/>
      <w:marTop w:val="0"/>
      <w:marBottom w:val="0"/>
      <w:divBdr>
        <w:top w:val="none" w:sz="0" w:space="0" w:color="auto"/>
        <w:left w:val="none" w:sz="0" w:space="0" w:color="auto"/>
        <w:bottom w:val="none" w:sz="0" w:space="0" w:color="auto"/>
        <w:right w:val="none" w:sz="0" w:space="0" w:color="auto"/>
      </w:divBdr>
      <w:divsChild>
        <w:div w:id="543829480">
          <w:marLeft w:val="0"/>
          <w:marRight w:val="0"/>
          <w:marTop w:val="0"/>
          <w:marBottom w:val="0"/>
          <w:divBdr>
            <w:top w:val="none" w:sz="0" w:space="0" w:color="auto"/>
            <w:left w:val="none" w:sz="0" w:space="0" w:color="auto"/>
            <w:bottom w:val="none" w:sz="0" w:space="0" w:color="auto"/>
            <w:right w:val="none" w:sz="0" w:space="0" w:color="auto"/>
          </w:divBdr>
          <w:divsChild>
            <w:div w:id="207770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630867">
      <w:bodyDiv w:val="1"/>
      <w:marLeft w:val="0"/>
      <w:marRight w:val="0"/>
      <w:marTop w:val="0"/>
      <w:marBottom w:val="0"/>
      <w:divBdr>
        <w:top w:val="none" w:sz="0" w:space="0" w:color="auto"/>
        <w:left w:val="none" w:sz="0" w:space="0" w:color="auto"/>
        <w:bottom w:val="none" w:sz="0" w:space="0" w:color="auto"/>
        <w:right w:val="none" w:sz="0" w:space="0" w:color="auto"/>
      </w:divBdr>
      <w:divsChild>
        <w:div w:id="526260938">
          <w:marLeft w:val="0"/>
          <w:marRight w:val="0"/>
          <w:marTop w:val="0"/>
          <w:marBottom w:val="0"/>
          <w:divBdr>
            <w:top w:val="none" w:sz="0" w:space="0" w:color="auto"/>
            <w:left w:val="none" w:sz="0" w:space="0" w:color="auto"/>
            <w:bottom w:val="none" w:sz="0" w:space="0" w:color="auto"/>
            <w:right w:val="none" w:sz="0" w:space="0" w:color="auto"/>
          </w:divBdr>
          <w:divsChild>
            <w:div w:id="12720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110829">
      <w:bodyDiv w:val="1"/>
      <w:marLeft w:val="0"/>
      <w:marRight w:val="0"/>
      <w:marTop w:val="0"/>
      <w:marBottom w:val="0"/>
      <w:divBdr>
        <w:top w:val="none" w:sz="0" w:space="0" w:color="auto"/>
        <w:left w:val="none" w:sz="0" w:space="0" w:color="auto"/>
        <w:bottom w:val="none" w:sz="0" w:space="0" w:color="auto"/>
        <w:right w:val="none" w:sz="0" w:space="0" w:color="auto"/>
      </w:divBdr>
    </w:div>
    <w:div w:id="1469711698">
      <w:bodyDiv w:val="1"/>
      <w:marLeft w:val="0"/>
      <w:marRight w:val="0"/>
      <w:marTop w:val="0"/>
      <w:marBottom w:val="0"/>
      <w:divBdr>
        <w:top w:val="none" w:sz="0" w:space="0" w:color="auto"/>
        <w:left w:val="none" w:sz="0" w:space="0" w:color="auto"/>
        <w:bottom w:val="none" w:sz="0" w:space="0" w:color="auto"/>
        <w:right w:val="none" w:sz="0" w:space="0" w:color="auto"/>
      </w:divBdr>
      <w:divsChild>
        <w:div w:id="750587520">
          <w:marLeft w:val="0"/>
          <w:marRight w:val="0"/>
          <w:marTop w:val="0"/>
          <w:marBottom w:val="0"/>
          <w:divBdr>
            <w:top w:val="none" w:sz="0" w:space="0" w:color="auto"/>
            <w:left w:val="none" w:sz="0" w:space="0" w:color="auto"/>
            <w:bottom w:val="none" w:sz="0" w:space="0" w:color="auto"/>
            <w:right w:val="none" w:sz="0" w:space="0" w:color="auto"/>
          </w:divBdr>
          <w:divsChild>
            <w:div w:id="39744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840882">
      <w:bodyDiv w:val="1"/>
      <w:marLeft w:val="0"/>
      <w:marRight w:val="0"/>
      <w:marTop w:val="0"/>
      <w:marBottom w:val="0"/>
      <w:divBdr>
        <w:top w:val="none" w:sz="0" w:space="0" w:color="auto"/>
        <w:left w:val="none" w:sz="0" w:space="0" w:color="auto"/>
        <w:bottom w:val="none" w:sz="0" w:space="0" w:color="auto"/>
        <w:right w:val="none" w:sz="0" w:space="0" w:color="auto"/>
      </w:divBdr>
    </w:div>
    <w:div w:id="1975984153">
      <w:bodyDiv w:val="1"/>
      <w:marLeft w:val="0"/>
      <w:marRight w:val="0"/>
      <w:marTop w:val="0"/>
      <w:marBottom w:val="0"/>
      <w:divBdr>
        <w:top w:val="none" w:sz="0" w:space="0" w:color="auto"/>
        <w:left w:val="none" w:sz="0" w:space="0" w:color="auto"/>
        <w:bottom w:val="none" w:sz="0" w:space="0" w:color="auto"/>
        <w:right w:val="none" w:sz="0" w:space="0" w:color="auto"/>
      </w:divBdr>
      <w:divsChild>
        <w:div w:id="2022003407">
          <w:marLeft w:val="0"/>
          <w:marRight w:val="0"/>
          <w:marTop w:val="0"/>
          <w:marBottom w:val="0"/>
          <w:divBdr>
            <w:top w:val="none" w:sz="0" w:space="0" w:color="auto"/>
            <w:left w:val="none" w:sz="0" w:space="0" w:color="auto"/>
            <w:bottom w:val="none" w:sz="0" w:space="0" w:color="auto"/>
            <w:right w:val="none" w:sz="0" w:space="0" w:color="auto"/>
          </w:divBdr>
          <w:divsChild>
            <w:div w:id="211355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205382">
      <w:bodyDiv w:val="1"/>
      <w:marLeft w:val="0"/>
      <w:marRight w:val="0"/>
      <w:marTop w:val="0"/>
      <w:marBottom w:val="0"/>
      <w:divBdr>
        <w:top w:val="none" w:sz="0" w:space="0" w:color="auto"/>
        <w:left w:val="none" w:sz="0" w:space="0" w:color="auto"/>
        <w:bottom w:val="none" w:sz="0" w:space="0" w:color="auto"/>
        <w:right w:val="none" w:sz="0" w:space="0" w:color="auto"/>
      </w:divBdr>
      <w:divsChild>
        <w:div w:id="1811827660">
          <w:marLeft w:val="0"/>
          <w:marRight w:val="0"/>
          <w:marTop w:val="0"/>
          <w:marBottom w:val="0"/>
          <w:divBdr>
            <w:top w:val="none" w:sz="0" w:space="0" w:color="auto"/>
            <w:left w:val="none" w:sz="0" w:space="0" w:color="auto"/>
            <w:bottom w:val="none" w:sz="0" w:space="0" w:color="auto"/>
            <w:right w:val="none" w:sz="0" w:space="0" w:color="auto"/>
          </w:divBdr>
          <w:divsChild>
            <w:div w:id="67550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2410612">
      <w:bodyDiv w:val="1"/>
      <w:marLeft w:val="0"/>
      <w:marRight w:val="0"/>
      <w:marTop w:val="0"/>
      <w:marBottom w:val="0"/>
      <w:divBdr>
        <w:top w:val="none" w:sz="0" w:space="0" w:color="auto"/>
        <w:left w:val="none" w:sz="0" w:space="0" w:color="auto"/>
        <w:bottom w:val="none" w:sz="0" w:space="0" w:color="auto"/>
        <w:right w:val="none" w:sz="0" w:space="0" w:color="auto"/>
      </w:divBdr>
      <w:divsChild>
        <w:div w:id="1367637908">
          <w:marLeft w:val="0"/>
          <w:marRight w:val="0"/>
          <w:marTop w:val="0"/>
          <w:marBottom w:val="0"/>
          <w:divBdr>
            <w:top w:val="none" w:sz="0" w:space="0" w:color="auto"/>
            <w:left w:val="none" w:sz="0" w:space="0" w:color="auto"/>
            <w:bottom w:val="none" w:sz="0" w:space="0" w:color="auto"/>
            <w:right w:val="none" w:sz="0" w:space="0" w:color="auto"/>
          </w:divBdr>
          <w:divsChild>
            <w:div w:id="1254701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884180">
      <w:bodyDiv w:val="1"/>
      <w:marLeft w:val="0"/>
      <w:marRight w:val="0"/>
      <w:marTop w:val="0"/>
      <w:marBottom w:val="0"/>
      <w:divBdr>
        <w:top w:val="none" w:sz="0" w:space="0" w:color="auto"/>
        <w:left w:val="none" w:sz="0" w:space="0" w:color="auto"/>
        <w:bottom w:val="none" w:sz="0" w:space="0" w:color="auto"/>
        <w:right w:val="none" w:sz="0" w:space="0" w:color="auto"/>
      </w:divBdr>
      <w:divsChild>
        <w:div w:id="1965118139">
          <w:marLeft w:val="0"/>
          <w:marRight w:val="0"/>
          <w:marTop w:val="0"/>
          <w:marBottom w:val="0"/>
          <w:divBdr>
            <w:top w:val="none" w:sz="0" w:space="0" w:color="auto"/>
            <w:left w:val="none" w:sz="0" w:space="0" w:color="auto"/>
            <w:bottom w:val="none" w:sz="0" w:space="0" w:color="auto"/>
            <w:right w:val="none" w:sz="0" w:space="0" w:color="auto"/>
          </w:divBdr>
          <w:divsChild>
            <w:div w:id="112080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950264">
      <w:bodyDiv w:val="1"/>
      <w:marLeft w:val="0"/>
      <w:marRight w:val="0"/>
      <w:marTop w:val="0"/>
      <w:marBottom w:val="0"/>
      <w:divBdr>
        <w:top w:val="none" w:sz="0" w:space="0" w:color="auto"/>
        <w:left w:val="none" w:sz="0" w:space="0" w:color="auto"/>
        <w:bottom w:val="none" w:sz="0" w:space="0" w:color="auto"/>
        <w:right w:val="none" w:sz="0" w:space="0" w:color="auto"/>
      </w:divBdr>
      <w:divsChild>
        <w:div w:id="941231331">
          <w:marLeft w:val="0"/>
          <w:marRight w:val="0"/>
          <w:marTop w:val="0"/>
          <w:marBottom w:val="0"/>
          <w:divBdr>
            <w:top w:val="none" w:sz="0" w:space="0" w:color="auto"/>
            <w:left w:val="none" w:sz="0" w:space="0" w:color="auto"/>
            <w:bottom w:val="none" w:sz="0" w:space="0" w:color="auto"/>
            <w:right w:val="none" w:sz="0" w:space="0" w:color="auto"/>
          </w:divBdr>
          <w:divsChild>
            <w:div w:id="68479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PR-04-2015-010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08/0262171021042389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doi.org/10.1108/14754390910990946" TargetMode="External"/><Relationship Id="rId5" Type="http://schemas.openxmlformats.org/officeDocument/2006/relationships/chart" Target="charts/chart1.xml"/><Relationship Id="rId10" Type="http://schemas.openxmlformats.org/officeDocument/2006/relationships/hyperlink" Target="https://doi.org/10.1108/MD-12-2020-1581" TargetMode="External"/><Relationship Id="rId4" Type="http://schemas.openxmlformats.org/officeDocument/2006/relationships/webSettings" Target="webSettings.xml"/><Relationship Id="rId9" Type="http://schemas.openxmlformats.org/officeDocument/2006/relationships/hyperlink" Target="https://doi.org/10.3390/su1615639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Rebecca.Kidd.HQ\Downloads\June%202024%20-%203CO02%20Principles%20of%20analytics.docx!_1795541724"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ebecca.Kidd.HQ\Downloads\June%202024%20-%203CO02%20Principles%20of%20analytics.docx!_1795541724"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Departmental Turnover Rates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'[Worksheet in C  Users Rebecca.Kidd.HQ Downloads June 2024 - 3CO02 Principles of analytics.docx]Fictional leaver data - April t'!$B$26:$B$28</c:f>
              <c:strCache>
                <c:ptCount val="3"/>
                <c:pt idx="0">
                  <c:v>2020</c:v>
                </c:pt>
                <c:pt idx="1">
                  <c:v>% Turnover</c:v>
                </c:pt>
              </c:strCache>
            </c:strRef>
          </c:tx>
          <c:spPr>
            <a:solidFill>
              <a:schemeClr val="accent1"/>
            </a:solidFill>
            <a:ln>
              <a:noFill/>
            </a:ln>
            <a:effectLst/>
          </c:spPr>
          <c:invertIfNegative val="0"/>
          <c:cat>
            <c:strRef>
              <c:f>'[Worksheet in C  Users Rebecca.Kidd.HQ Downloads June 2024 - 3CO02 Principles of analytics.docx]Fictional leaver data - April t'!$A$29:$A$45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Rebecca.Kidd.HQ Downloads June 2024 - 3CO02 Principles of analytics.docx]Fictional leaver data - April t'!$B$29:$B$45</c:f>
              <c:numCache>
                <c:formatCode>General</c:formatCode>
                <c:ptCount val="17"/>
                <c:pt idx="0" formatCode="0%">
                  <c:v>0.18</c:v>
                </c:pt>
                <c:pt idx="2" formatCode="0%">
                  <c:v>0.56000000000000005</c:v>
                </c:pt>
                <c:pt idx="4">
                  <c:v>0</c:v>
                </c:pt>
                <c:pt idx="6" formatCode="0%">
                  <c:v>0.3</c:v>
                </c:pt>
                <c:pt idx="8" formatCode="0%">
                  <c:v>0.17</c:v>
                </c:pt>
                <c:pt idx="10" formatCode="0%">
                  <c:v>0.25</c:v>
                </c:pt>
                <c:pt idx="12" formatCode="0%">
                  <c:v>0.45</c:v>
                </c:pt>
                <c:pt idx="14" formatCode="0%">
                  <c:v>0.57999999999999996</c:v>
                </c:pt>
                <c:pt idx="16" formatCode="0%">
                  <c:v>0.4</c:v>
                </c:pt>
              </c:numCache>
            </c:numRef>
          </c:val>
          <c:extLst>
            <c:ext xmlns:c16="http://schemas.microsoft.com/office/drawing/2014/chart" uri="{C3380CC4-5D6E-409C-BE32-E72D297353CC}">
              <c16:uniqueId val="{00000000-07D6-4CDC-B45F-CE10443EF533}"/>
            </c:ext>
          </c:extLst>
        </c:ser>
        <c:ser>
          <c:idx val="1"/>
          <c:order val="1"/>
          <c:tx>
            <c:strRef>
              <c:f>'[Worksheet in C  Users Rebecca.Kidd.HQ Downloads June 2024 - 3CO02 Principles of analytics.docx]Fictional leaver data - April t'!$C$26:$C$28</c:f>
              <c:strCache>
                <c:ptCount val="3"/>
                <c:pt idx="0">
                  <c:v>2021</c:v>
                </c:pt>
                <c:pt idx="1">
                  <c:v>% Turnover</c:v>
                </c:pt>
              </c:strCache>
            </c:strRef>
          </c:tx>
          <c:spPr>
            <a:solidFill>
              <a:schemeClr val="accent2"/>
            </a:solidFill>
            <a:ln>
              <a:noFill/>
            </a:ln>
            <a:effectLst/>
          </c:spPr>
          <c:invertIfNegative val="0"/>
          <c:cat>
            <c:strRef>
              <c:f>'[Worksheet in C  Users Rebecca.Kidd.HQ Downloads June 2024 - 3CO02 Principles of analytics.docx]Fictional leaver data - April t'!$A$29:$A$45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Rebecca.Kidd.HQ Downloads June 2024 - 3CO02 Principles of analytics.docx]Fictional leaver data - April t'!$C$29:$C$45</c:f>
              <c:numCache>
                <c:formatCode>General</c:formatCode>
                <c:ptCount val="17"/>
                <c:pt idx="0" formatCode="0%">
                  <c:v>0.4</c:v>
                </c:pt>
                <c:pt idx="2" formatCode="0%">
                  <c:v>0.33</c:v>
                </c:pt>
                <c:pt idx="4">
                  <c:v>0</c:v>
                </c:pt>
                <c:pt idx="6" formatCode="0%">
                  <c:v>0.16</c:v>
                </c:pt>
                <c:pt idx="8">
                  <c:v>0</c:v>
                </c:pt>
                <c:pt idx="10">
                  <c:v>0</c:v>
                </c:pt>
                <c:pt idx="12" formatCode="0%">
                  <c:v>0.09</c:v>
                </c:pt>
                <c:pt idx="14" formatCode="0%">
                  <c:v>0.4</c:v>
                </c:pt>
                <c:pt idx="16">
                  <c:v>0</c:v>
                </c:pt>
              </c:numCache>
            </c:numRef>
          </c:val>
          <c:extLst>
            <c:ext xmlns:c16="http://schemas.microsoft.com/office/drawing/2014/chart" uri="{C3380CC4-5D6E-409C-BE32-E72D297353CC}">
              <c16:uniqueId val="{00000001-07D6-4CDC-B45F-CE10443EF533}"/>
            </c:ext>
          </c:extLst>
        </c:ser>
        <c:ser>
          <c:idx val="2"/>
          <c:order val="2"/>
          <c:tx>
            <c:strRef>
              <c:f>'[Worksheet in C  Users Rebecca.Kidd.HQ Downloads June 2024 - 3CO02 Principles of analytics.docx]Fictional leaver data - April t'!$D$26:$D$28</c:f>
              <c:strCache>
                <c:ptCount val="3"/>
                <c:pt idx="0">
                  <c:v>2022</c:v>
                </c:pt>
                <c:pt idx="1">
                  <c:v>% Turnover</c:v>
                </c:pt>
              </c:strCache>
            </c:strRef>
          </c:tx>
          <c:spPr>
            <a:solidFill>
              <a:schemeClr val="accent3"/>
            </a:solidFill>
            <a:ln>
              <a:noFill/>
            </a:ln>
            <a:effectLst/>
          </c:spPr>
          <c:invertIfNegative val="0"/>
          <c:cat>
            <c:strRef>
              <c:f>'[Worksheet in C  Users Rebecca.Kidd.HQ Downloads June 2024 - 3CO02 Principles of analytics.docx]Fictional leaver data - April t'!$A$29:$A$45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Rebecca.Kidd.HQ Downloads June 2024 - 3CO02 Principles of analytics.docx]Fictional leaver data - April t'!$D$29:$D$45</c:f>
              <c:numCache>
                <c:formatCode>General</c:formatCode>
                <c:ptCount val="17"/>
                <c:pt idx="0" formatCode="0%">
                  <c:v>0.45</c:v>
                </c:pt>
                <c:pt idx="2" formatCode="0%">
                  <c:v>0.38</c:v>
                </c:pt>
                <c:pt idx="4" formatCode="0%">
                  <c:v>0.25</c:v>
                </c:pt>
                <c:pt idx="6" formatCode="0%">
                  <c:v>0.21</c:v>
                </c:pt>
                <c:pt idx="8" formatCode="0%">
                  <c:v>0.5</c:v>
                </c:pt>
                <c:pt idx="10">
                  <c:v>0</c:v>
                </c:pt>
                <c:pt idx="12">
                  <c:v>0</c:v>
                </c:pt>
                <c:pt idx="14" formatCode="0%">
                  <c:v>0.5</c:v>
                </c:pt>
                <c:pt idx="16">
                  <c:v>0</c:v>
                </c:pt>
              </c:numCache>
            </c:numRef>
          </c:val>
          <c:extLst>
            <c:ext xmlns:c16="http://schemas.microsoft.com/office/drawing/2014/chart" uri="{C3380CC4-5D6E-409C-BE32-E72D297353CC}">
              <c16:uniqueId val="{00000002-07D6-4CDC-B45F-CE10443EF533}"/>
            </c:ext>
          </c:extLst>
        </c:ser>
        <c:ser>
          <c:idx val="3"/>
          <c:order val="3"/>
          <c:tx>
            <c:strRef>
              <c:f>'[Worksheet in C  Users Rebecca.Kidd.HQ Downloads June 2024 - 3CO02 Principles of analytics.docx]Fictional leaver data - April t'!$E$26:$E$28</c:f>
              <c:strCache>
                <c:ptCount val="3"/>
                <c:pt idx="0">
                  <c:v>2023</c:v>
                </c:pt>
                <c:pt idx="1">
                  <c:v>% Turnover</c:v>
                </c:pt>
              </c:strCache>
            </c:strRef>
          </c:tx>
          <c:spPr>
            <a:solidFill>
              <a:schemeClr val="accent4"/>
            </a:solidFill>
            <a:ln>
              <a:noFill/>
            </a:ln>
            <a:effectLst/>
          </c:spPr>
          <c:invertIfNegative val="0"/>
          <c:cat>
            <c:strRef>
              <c:f>'[Worksheet in C  Users Rebecca.Kidd.HQ Downloads June 2024 - 3CO02 Principles of analytics.docx]Fictional leaver data - April t'!$A$29:$A$45</c:f>
              <c:strCache>
                <c:ptCount val="17"/>
                <c:pt idx="0">
                  <c:v>Administration </c:v>
                </c:pt>
                <c:pt idx="2">
                  <c:v>Maintenance </c:v>
                </c:pt>
                <c:pt idx="4">
                  <c:v>Marketing </c:v>
                </c:pt>
                <c:pt idx="6">
                  <c:v>Production</c:v>
                </c:pt>
                <c:pt idx="8">
                  <c:v>People team</c:v>
                </c:pt>
                <c:pt idx="10">
                  <c:v>Research &amp; Design </c:v>
                </c:pt>
                <c:pt idx="12">
                  <c:v>Sales</c:v>
                </c:pt>
                <c:pt idx="14">
                  <c:v>Packing and despatch</c:v>
                </c:pt>
                <c:pt idx="16">
                  <c:v>Finance </c:v>
                </c:pt>
              </c:strCache>
            </c:strRef>
          </c:cat>
          <c:val>
            <c:numRef>
              <c:f>'[Worksheet in C  Users Rebecca.Kidd.HQ Downloads June 2024 - 3CO02 Principles of analytics.docx]Fictional leaver data - April t'!$E$29:$E$45</c:f>
              <c:numCache>
                <c:formatCode>General</c:formatCode>
                <c:ptCount val="17"/>
                <c:pt idx="0" formatCode="0%">
                  <c:v>0.11</c:v>
                </c:pt>
                <c:pt idx="2" formatCode="0%">
                  <c:v>0.14000000000000001</c:v>
                </c:pt>
                <c:pt idx="4">
                  <c:v>0</c:v>
                </c:pt>
                <c:pt idx="6" formatCode="0%">
                  <c:v>0.16</c:v>
                </c:pt>
                <c:pt idx="8" formatCode="0%">
                  <c:v>0.4</c:v>
                </c:pt>
                <c:pt idx="10" formatCode="0%">
                  <c:v>0.25</c:v>
                </c:pt>
                <c:pt idx="12" formatCode="0%">
                  <c:v>0.04</c:v>
                </c:pt>
                <c:pt idx="14" formatCode="0%">
                  <c:v>0.2</c:v>
                </c:pt>
                <c:pt idx="16">
                  <c:v>0</c:v>
                </c:pt>
              </c:numCache>
            </c:numRef>
          </c:val>
          <c:extLst>
            <c:ext xmlns:c16="http://schemas.microsoft.com/office/drawing/2014/chart" uri="{C3380CC4-5D6E-409C-BE32-E72D297353CC}">
              <c16:uniqueId val="{00000003-07D6-4CDC-B45F-CE10443EF533}"/>
            </c:ext>
          </c:extLst>
        </c:ser>
        <c:dLbls>
          <c:showLegendKey val="0"/>
          <c:showVal val="0"/>
          <c:showCatName val="0"/>
          <c:showSerName val="0"/>
          <c:showPercent val="0"/>
          <c:showBubbleSize val="0"/>
        </c:dLbls>
        <c:gapWidth val="219"/>
        <c:overlap val="-27"/>
        <c:axId val="842990144"/>
        <c:axId val="842987264"/>
      </c:barChart>
      <c:catAx>
        <c:axId val="842990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87264"/>
        <c:crosses val="autoZero"/>
        <c:auto val="1"/>
        <c:lblAlgn val="ctr"/>
        <c:lblOffset val="100"/>
        <c:noMultiLvlLbl val="0"/>
      </c:catAx>
      <c:valAx>
        <c:axId val="8429872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990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Overall Turnover Rate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'[Worksheet in C  Users Rebecca.Kidd.HQ Downloads June 2024 - 3CO02 Principles of analytics.docx]Fictional leaver data - April t'!$B$48</c:f>
              <c:strCache>
                <c:ptCount val="1"/>
                <c:pt idx="0">
                  <c:v>Turnover Rate</c:v>
                </c:pt>
              </c:strCache>
            </c:strRef>
          </c:tx>
          <c:spPr>
            <a:ln w="28575" cap="rnd">
              <a:solidFill>
                <a:schemeClr val="accent1"/>
              </a:solidFill>
              <a:round/>
            </a:ln>
            <a:effectLst/>
          </c:spPr>
          <c:marker>
            <c:symbol val="none"/>
          </c:marker>
          <c:cat>
            <c:numRef>
              <c:f>'[Worksheet in C  Users Rebecca.Kidd.HQ Downloads June 2024 - 3CO02 Principles of analytics.docx]Fictional leaver data - April t'!$A$49:$A$52</c:f>
              <c:numCache>
                <c:formatCode>General</c:formatCode>
                <c:ptCount val="4"/>
                <c:pt idx="0">
                  <c:v>2020</c:v>
                </c:pt>
                <c:pt idx="1">
                  <c:v>2021</c:v>
                </c:pt>
                <c:pt idx="2">
                  <c:v>2022</c:v>
                </c:pt>
                <c:pt idx="3">
                  <c:v>2023</c:v>
                </c:pt>
              </c:numCache>
            </c:numRef>
          </c:cat>
          <c:val>
            <c:numRef>
              <c:f>'[Worksheet in C  Users Rebecca.Kidd.HQ Downloads June 2024 - 3CO02 Principles of analytics.docx]Fictional leaver data - April t'!$B$49:$B$52</c:f>
              <c:numCache>
                <c:formatCode>0%</c:formatCode>
                <c:ptCount val="4"/>
                <c:pt idx="0">
                  <c:v>0.34</c:v>
                </c:pt>
                <c:pt idx="1">
                  <c:v>0.18</c:v>
                </c:pt>
                <c:pt idx="2">
                  <c:v>0.22</c:v>
                </c:pt>
                <c:pt idx="3">
                  <c:v>0.14000000000000001</c:v>
                </c:pt>
              </c:numCache>
            </c:numRef>
          </c:val>
          <c:smooth val="0"/>
          <c:extLst>
            <c:ext xmlns:c16="http://schemas.microsoft.com/office/drawing/2014/chart" uri="{C3380CC4-5D6E-409C-BE32-E72D297353CC}">
              <c16:uniqueId val="{00000000-E7AE-4CAF-AA81-99F2F778ED95}"/>
            </c:ext>
          </c:extLst>
        </c:ser>
        <c:dLbls>
          <c:showLegendKey val="0"/>
          <c:showVal val="0"/>
          <c:showCatName val="0"/>
          <c:showSerName val="0"/>
          <c:showPercent val="0"/>
          <c:showBubbleSize val="0"/>
        </c:dLbls>
        <c:smooth val="0"/>
        <c:axId val="47633424"/>
        <c:axId val="47632464"/>
      </c:lineChart>
      <c:catAx>
        <c:axId val="47633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32464"/>
        <c:crosses val="autoZero"/>
        <c:auto val="1"/>
        <c:lblAlgn val="ctr"/>
        <c:lblOffset val="100"/>
        <c:noMultiLvlLbl val="0"/>
      </c:catAx>
      <c:valAx>
        <c:axId val="4763246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633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1145</TotalTime>
  <Pages>9</Pages>
  <Words>2552</Words>
  <Characters>14551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Kidd</dc:creator>
  <cp:keywords/>
  <dc:description/>
  <cp:lastModifiedBy>Rebecca Kidd</cp:lastModifiedBy>
  <cp:revision>1</cp:revision>
  <dcterms:created xsi:type="dcterms:W3CDTF">2024-12-12T19:15:00Z</dcterms:created>
  <dcterms:modified xsi:type="dcterms:W3CDTF">2024-12-16T15:53:00Z</dcterms:modified>
</cp:coreProperties>
</file>