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12D2B" w14:textId="77777777" w:rsidR="008635AA" w:rsidRPr="008635AA" w:rsidRDefault="008635AA" w:rsidP="008635AA">
      <w:pPr>
        <w:spacing w:line="360" w:lineRule="auto"/>
        <w:jc w:val="center"/>
        <w:rPr>
          <w:rFonts w:ascii="Arial" w:hAnsi="Arial" w:cs="Arial"/>
          <w:b/>
          <w:bCs/>
          <w:sz w:val="32"/>
          <w:szCs w:val="32"/>
          <w:lang w:val="en-KE"/>
        </w:rPr>
      </w:pPr>
      <w:r w:rsidRPr="008635AA">
        <w:rPr>
          <w:rFonts w:ascii="Arial" w:hAnsi="Arial" w:cs="Arial"/>
          <w:b/>
          <w:bCs/>
          <w:sz w:val="32"/>
          <w:szCs w:val="32"/>
          <w:lang w:val="en-KE"/>
        </w:rPr>
        <w:t>STRATEGY FORMULATION PLAN FOR TESLA, INC.</w:t>
      </w:r>
      <w:r w:rsidRPr="008635AA">
        <w:rPr>
          <w:rFonts w:ascii="Arial" w:hAnsi="Arial" w:cs="Arial"/>
          <w:b/>
          <w:bCs/>
          <w:sz w:val="32"/>
          <w:szCs w:val="32"/>
          <w:lang w:val="en-KE"/>
        </w:rPr>
        <w:br/>
        <w:t>IN THE GLOBAL AUTOMOTIVE INDUSTRY</w:t>
      </w:r>
    </w:p>
    <w:p w14:paraId="4C2E9E9E" w14:textId="77777777" w:rsidR="008635AA" w:rsidRPr="008635AA" w:rsidRDefault="008635AA" w:rsidP="008635AA">
      <w:pPr>
        <w:spacing w:line="360" w:lineRule="auto"/>
        <w:jc w:val="center"/>
        <w:rPr>
          <w:rFonts w:ascii="Arial" w:hAnsi="Arial" w:cs="Arial"/>
          <w:b/>
          <w:bCs/>
          <w:sz w:val="32"/>
          <w:szCs w:val="32"/>
          <w:lang w:val="en-KE"/>
        </w:rPr>
      </w:pPr>
      <w:r w:rsidRPr="008635AA">
        <w:rPr>
          <w:rFonts w:ascii="Arial" w:hAnsi="Arial" w:cs="Arial"/>
          <w:b/>
          <w:bCs/>
          <w:sz w:val="32"/>
          <w:szCs w:val="32"/>
          <w:lang w:val="en-KE"/>
        </w:rPr>
        <w:t>Component 2: Coursework Written Report</w:t>
      </w:r>
    </w:p>
    <w:p w14:paraId="7E74880C" w14:textId="77777777" w:rsidR="008635AA" w:rsidRPr="008635AA" w:rsidRDefault="008635AA" w:rsidP="008635AA">
      <w:pPr>
        <w:spacing w:line="360" w:lineRule="auto"/>
        <w:jc w:val="center"/>
        <w:rPr>
          <w:rFonts w:ascii="Arial" w:hAnsi="Arial" w:cs="Arial"/>
          <w:b/>
          <w:bCs/>
          <w:sz w:val="32"/>
          <w:szCs w:val="32"/>
          <w:lang w:val="en-KE"/>
        </w:rPr>
      </w:pPr>
      <w:r w:rsidRPr="008635AA">
        <w:rPr>
          <w:rFonts w:ascii="Arial" w:hAnsi="Arial" w:cs="Arial"/>
          <w:b/>
          <w:bCs/>
          <w:sz w:val="32"/>
          <w:szCs w:val="32"/>
          <w:lang w:val="en-KE"/>
        </w:rPr>
        <w:t>Module Code: LCBB6015</w:t>
      </w:r>
      <w:r w:rsidRPr="008635AA">
        <w:rPr>
          <w:rFonts w:ascii="Arial" w:hAnsi="Arial" w:cs="Arial"/>
          <w:b/>
          <w:bCs/>
          <w:sz w:val="32"/>
          <w:szCs w:val="32"/>
          <w:lang w:val="en-KE"/>
        </w:rPr>
        <w:br/>
        <w:t>Module Title: Strategic Management and Sustainability</w:t>
      </w:r>
    </w:p>
    <w:p w14:paraId="474D1E0C" w14:textId="77777777" w:rsidR="00703985" w:rsidRPr="008635AA" w:rsidRDefault="00703985" w:rsidP="008635AA">
      <w:pPr>
        <w:spacing w:line="360" w:lineRule="auto"/>
        <w:rPr>
          <w:rFonts w:ascii="Arial" w:hAnsi="Arial" w:cs="Arial"/>
          <w:b/>
          <w:bCs/>
        </w:rPr>
      </w:pPr>
      <w:r w:rsidRPr="008635AA">
        <w:rPr>
          <w:rFonts w:ascii="Arial" w:hAnsi="Arial" w:cs="Arial"/>
          <w:b/>
          <w:bCs/>
        </w:rPr>
        <w:br w:type="page"/>
      </w:r>
    </w:p>
    <w:p w14:paraId="128665FB" w14:textId="3995EA5F" w:rsidR="00703985" w:rsidRPr="008635AA" w:rsidRDefault="00703985" w:rsidP="008635AA">
      <w:pPr>
        <w:pStyle w:val="Heading1"/>
        <w:spacing w:line="360" w:lineRule="auto"/>
        <w:rPr>
          <w:rFonts w:ascii="Arial" w:hAnsi="Arial" w:cs="Arial"/>
          <w:sz w:val="24"/>
          <w:szCs w:val="24"/>
        </w:rPr>
      </w:pPr>
      <w:bookmarkStart w:id="0" w:name="_Toc237728549"/>
      <w:r w:rsidRPr="008635AA">
        <w:rPr>
          <w:rFonts w:ascii="Arial" w:hAnsi="Arial" w:cs="Arial"/>
          <w:sz w:val="24"/>
          <w:szCs w:val="24"/>
        </w:rPr>
        <w:lastRenderedPageBreak/>
        <w:t>Executive Summary</w:t>
      </w:r>
      <w:bookmarkEnd w:id="0"/>
    </w:p>
    <w:p w14:paraId="1657800E" w14:textId="77777777" w:rsidR="00703985" w:rsidRPr="008635AA" w:rsidRDefault="00703985" w:rsidP="008635AA">
      <w:pPr>
        <w:spacing w:line="360" w:lineRule="auto"/>
        <w:rPr>
          <w:rFonts w:ascii="Arial" w:hAnsi="Arial" w:cs="Arial"/>
        </w:rPr>
      </w:pPr>
      <w:r w:rsidRPr="008635AA">
        <w:rPr>
          <w:rFonts w:ascii="Arial" w:hAnsi="Arial" w:cs="Arial"/>
        </w:rPr>
        <w:t xml:space="preserve">This report provides a strategy formulation plan for Tesla, which involves </w:t>
      </w:r>
      <w:proofErr w:type="spellStart"/>
      <w:r w:rsidRPr="008635AA">
        <w:rPr>
          <w:rFonts w:ascii="Arial" w:hAnsi="Arial" w:cs="Arial"/>
        </w:rPr>
        <w:t>analyzing</w:t>
      </w:r>
      <w:proofErr w:type="spellEnd"/>
      <w:r w:rsidRPr="008635AA">
        <w:rPr>
          <w:rFonts w:ascii="Arial" w:hAnsi="Arial" w:cs="Arial"/>
        </w:rPr>
        <w:t xml:space="preserve"> the strategic intent, the performance of the company, the competitive landscape and its internal resources and capabilities to identify a strategy to align the company with future growth. Tesla's sustainability strategy continues to be connected to the global shift towards electric mobility. In terms of 2025 performance, however, it points to increasing strategic stress due to its automotive revenue decline, delivery of fewer vehicles and declining profitability, despite the continued growth of its global electric vehicle market (Tesla Investor Relations, 2025 Annual Report, 2025).</w:t>
      </w:r>
    </w:p>
    <w:p w14:paraId="4A39B13A" w14:textId="77777777" w:rsidR="00703985" w:rsidRPr="008635AA" w:rsidRDefault="00703985" w:rsidP="008635AA">
      <w:pPr>
        <w:spacing w:line="360" w:lineRule="auto"/>
        <w:rPr>
          <w:rFonts w:ascii="Arial" w:hAnsi="Arial" w:cs="Arial"/>
        </w:rPr>
      </w:pPr>
      <w:r w:rsidRPr="008635AA">
        <w:rPr>
          <w:rFonts w:ascii="Arial" w:hAnsi="Arial" w:cs="Arial"/>
        </w:rPr>
        <w:t>An external analysis highlights the growing competitive pressure, the choice and affordability of buyers as key challenges, while the continued growth of EV adoption offers significant growth opportunities (IEA 2025). Integrated product architecture, technological competences and vertical integration are internal resources that give Tesla an advantage, but that's not enough to maintain it as other innovative models become more competitive (Harryson and Lorange, 2024).</w:t>
      </w:r>
    </w:p>
    <w:p w14:paraId="7B143616" w14:textId="77777777" w:rsidR="00703985" w:rsidRPr="008635AA" w:rsidRDefault="00703985" w:rsidP="008635AA">
      <w:pPr>
        <w:spacing w:line="360" w:lineRule="auto"/>
        <w:rPr>
          <w:rFonts w:ascii="Arial" w:hAnsi="Arial" w:cs="Arial"/>
        </w:rPr>
      </w:pPr>
      <w:r w:rsidRPr="008635AA">
        <w:rPr>
          <w:rFonts w:ascii="Arial" w:hAnsi="Arial" w:cs="Arial"/>
        </w:rPr>
        <w:t xml:space="preserve">The report thus suggests a relatively </w:t>
      </w:r>
      <w:r w:rsidRPr="008635AA">
        <w:rPr>
          <w:rFonts w:ascii="Arial" w:hAnsi="Arial" w:cs="Arial"/>
        </w:rPr>
        <w:t>low-cost</w:t>
      </w:r>
      <w:r w:rsidRPr="008635AA">
        <w:rPr>
          <w:rFonts w:ascii="Arial" w:hAnsi="Arial" w:cs="Arial"/>
        </w:rPr>
        <w:t xml:space="preserve"> approach of achieving technology differentiation through selective integration. The company expects to leverage its manufacturing and technology prowess to drive down costs, increase accessibility of the vehicles and preserve differentiation and profitability. Implementation should focus on reducing costs of its structure, strategic external collaboration, and further investment in strategically important technologies. Monitoring should be implemented via vehicle deliveries, automotive margins, production costs and market performance to ensure that a renewed growth also ensures sustainable profitability.</w:t>
      </w:r>
    </w:p>
    <w:p w14:paraId="325AE50D" w14:textId="77777777" w:rsidR="00703985" w:rsidRPr="008635AA" w:rsidRDefault="00703985" w:rsidP="008635AA">
      <w:pPr>
        <w:spacing w:line="360" w:lineRule="auto"/>
        <w:rPr>
          <w:rFonts w:ascii="Arial" w:hAnsi="Arial" w:cs="Arial"/>
        </w:rPr>
      </w:pPr>
      <w:r w:rsidRPr="008635AA">
        <w:rPr>
          <w:rFonts w:ascii="Arial" w:hAnsi="Arial" w:cs="Arial"/>
        </w:rPr>
        <w:br w:type="page"/>
      </w:r>
    </w:p>
    <w:sdt>
      <w:sdtPr>
        <w:id w:val="150131665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798D0F8" w14:textId="3BF01A15" w:rsidR="008635AA" w:rsidRDefault="008635AA">
          <w:pPr>
            <w:pStyle w:val="TOCHeading"/>
          </w:pPr>
          <w:r>
            <w:t>Table of Contents</w:t>
          </w:r>
        </w:p>
        <w:p w14:paraId="7682827B" w14:textId="328BA940" w:rsidR="008635AA" w:rsidRDefault="008635AA">
          <w:pPr>
            <w:pStyle w:val="TOC1"/>
            <w:tabs>
              <w:tab w:val="right" w:leader="dot" w:pos="9016"/>
            </w:tabs>
            <w:rPr>
              <w:noProof/>
            </w:rPr>
          </w:pPr>
          <w:r>
            <w:fldChar w:fldCharType="begin"/>
          </w:r>
          <w:r>
            <w:instrText xml:space="preserve"> TOC \o "1-3" \h \z \u </w:instrText>
          </w:r>
          <w:r>
            <w:fldChar w:fldCharType="separate"/>
          </w:r>
          <w:hyperlink w:anchor="_Toc237728549" w:history="1">
            <w:r w:rsidRPr="006A011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_Toc237728549 \h </w:instrText>
            </w:r>
            <w:r>
              <w:rPr>
                <w:noProof/>
                <w:webHidden/>
              </w:rPr>
            </w:r>
            <w:r>
              <w:rPr>
                <w:noProof/>
                <w:webHidden/>
              </w:rPr>
              <w:fldChar w:fldCharType="separate"/>
            </w:r>
            <w:r>
              <w:rPr>
                <w:noProof/>
                <w:webHidden/>
              </w:rPr>
              <w:t>2</w:t>
            </w:r>
            <w:r>
              <w:rPr>
                <w:noProof/>
                <w:webHidden/>
              </w:rPr>
              <w:fldChar w:fldCharType="end"/>
            </w:r>
          </w:hyperlink>
        </w:p>
        <w:p w14:paraId="07D49F60" w14:textId="2A24D99F" w:rsidR="008635AA" w:rsidRDefault="008635AA">
          <w:pPr>
            <w:pStyle w:val="TOC1"/>
            <w:tabs>
              <w:tab w:val="right" w:leader="dot" w:pos="9016"/>
            </w:tabs>
            <w:rPr>
              <w:noProof/>
            </w:rPr>
          </w:pPr>
          <w:hyperlink w:anchor="_Toc237728550" w:history="1">
            <w:r w:rsidRPr="006A0113">
              <w:rPr>
                <w:rStyle w:val="Hyperlink"/>
                <w:rFonts w:ascii="Arial" w:hAnsi="Arial" w:cs="Arial"/>
                <w:noProof/>
              </w:rPr>
              <w:t>1.0 Introduction to the Strategy</w:t>
            </w:r>
            <w:r>
              <w:rPr>
                <w:noProof/>
                <w:webHidden/>
              </w:rPr>
              <w:tab/>
            </w:r>
            <w:r>
              <w:rPr>
                <w:noProof/>
                <w:webHidden/>
              </w:rPr>
              <w:fldChar w:fldCharType="begin"/>
            </w:r>
            <w:r>
              <w:rPr>
                <w:noProof/>
                <w:webHidden/>
              </w:rPr>
              <w:instrText xml:space="preserve"> PAGEREF _Toc237728550 \h </w:instrText>
            </w:r>
            <w:r>
              <w:rPr>
                <w:noProof/>
                <w:webHidden/>
              </w:rPr>
            </w:r>
            <w:r>
              <w:rPr>
                <w:noProof/>
                <w:webHidden/>
              </w:rPr>
              <w:fldChar w:fldCharType="separate"/>
            </w:r>
            <w:r>
              <w:rPr>
                <w:noProof/>
                <w:webHidden/>
              </w:rPr>
              <w:t>4</w:t>
            </w:r>
            <w:r>
              <w:rPr>
                <w:noProof/>
                <w:webHidden/>
              </w:rPr>
              <w:fldChar w:fldCharType="end"/>
            </w:r>
          </w:hyperlink>
        </w:p>
        <w:p w14:paraId="02F2CE91" w14:textId="1B50BF3B" w:rsidR="008635AA" w:rsidRDefault="008635AA">
          <w:pPr>
            <w:pStyle w:val="TOC1"/>
            <w:tabs>
              <w:tab w:val="right" w:leader="dot" w:pos="9016"/>
            </w:tabs>
            <w:rPr>
              <w:noProof/>
            </w:rPr>
          </w:pPr>
          <w:hyperlink w:anchor="_Toc237728551" w:history="1">
            <w:r w:rsidRPr="006A0113">
              <w:rPr>
                <w:rStyle w:val="Hyperlink"/>
                <w:rFonts w:ascii="Arial" w:hAnsi="Arial" w:cs="Arial"/>
                <w:noProof/>
              </w:rPr>
              <w:t>2.0 Overview of Tesla</w:t>
            </w:r>
            <w:r>
              <w:rPr>
                <w:noProof/>
                <w:webHidden/>
              </w:rPr>
              <w:tab/>
            </w:r>
            <w:r>
              <w:rPr>
                <w:noProof/>
                <w:webHidden/>
              </w:rPr>
              <w:fldChar w:fldCharType="begin"/>
            </w:r>
            <w:r>
              <w:rPr>
                <w:noProof/>
                <w:webHidden/>
              </w:rPr>
              <w:instrText xml:space="preserve"> PAGEREF _Toc237728551 \h </w:instrText>
            </w:r>
            <w:r>
              <w:rPr>
                <w:noProof/>
                <w:webHidden/>
              </w:rPr>
            </w:r>
            <w:r>
              <w:rPr>
                <w:noProof/>
                <w:webHidden/>
              </w:rPr>
              <w:fldChar w:fldCharType="separate"/>
            </w:r>
            <w:r>
              <w:rPr>
                <w:noProof/>
                <w:webHidden/>
              </w:rPr>
              <w:t>4</w:t>
            </w:r>
            <w:r>
              <w:rPr>
                <w:noProof/>
                <w:webHidden/>
              </w:rPr>
              <w:fldChar w:fldCharType="end"/>
            </w:r>
          </w:hyperlink>
        </w:p>
        <w:p w14:paraId="37EB35FE" w14:textId="38BC0938" w:rsidR="008635AA" w:rsidRDefault="008635AA">
          <w:pPr>
            <w:pStyle w:val="TOC1"/>
            <w:tabs>
              <w:tab w:val="right" w:leader="dot" w:pos="9016"/>
            </w:tabs>
            <w:rPr>
              <w:noProof/>
            </w:rPr>
          </w:pPr>
          <w:hyperlink w:anchor="_Toc237728552" w:history="1">
            <w:r w:rsidRPr="006A0113">
              <w:rPr>
                <w:rStyle w:val="Hyperlink"/>
                <w:rFonts w:ascii="Arial" w:hAnsi="Arial" w:cs="Arial"/>
                <w:noProof/>
              </w:rPr>
              <w:t>3.0 Strategic Intent</w:t>
            </w:r>
            <w:r>
              <w:rPr>
                <w:noProof/>
                <w:webHidden/>
              </w:rPr>
              <w:tab/>
            </w:r>
            <w:r>
              <w:rPr>
                <w:noProof/>
                <w:webHidden/>
              </w:rPr>
              <w:fldChar w:fldCharType="begin"/>
            </w:r>
            <w:r>
              <w:rPr>
                <w:noProof/>
                <w:webHidden/>
              </w:rPr>
              <w:instrText xml:space="preserve"> PAGEREF _Toc237728552 \h </w:instrText>
            </w:r>
            <w:r>
              <w:rPr>
                <w:noProof/>
                <w:webHidden/>
              </w:rPr>
            </w:r>
            <w:r>
              <w:rPr>
                <w:noProof/>
                <w:webHidden/>
              </w:rPr>
              <w:fldChar w:fldCharType="separate"/>
            </w:r>
            <w:r>
              <w:rPr>
                <w:noProof/>
                <w:webHidden/>
              </w:rPr>
              <w:t>4</w:t>
            </w:r>
            <w:r>
              <w:rPr>
                <w:noProof/>
                <w:webHidden/>
              </w:rPr>
              <w:fldChar w:fldCharType="end"/>
            </w:r>
          </w:hyperlink>
        </w:p>
        <w:p w14:paraId="55831649" w14:textId="2A95BE4C" w:rsidR="008635AA" w:rsidRDefault="008635AA">
          <w:pPr>
            <w:pStyle w:val="TOC1"/>
            <w:tabs>
              <w:tab w:val="right" w:leader="dot" w:pos="9016"/>
            </w:tabs>
            <w:rPr>
              <w:noProof/>
            </w:rPr>
          </w:pPr>
          <w:hyperlink w:anchor="_Toc237728553" w:history="1">
            <w:r w:rsidRPr="006A0113">
              <w:rPr>
                <w:rStyle w:val="Hyperlink"/>
                <w:rFonts w:ascii="Arial" w:hAnsi="Arial" w:cs="Arial"/>
                <w:noProof/>
              </w:rPr>
              <w:t>4.0 The Company’s Current Performance</w:t>
            </w:r>
            <w:r>
              <w:rPr>
                <w:noProof/>
                <w:webHidden/>
              </w:rPr>
              <w:tab/>
            </w:r>
            <w:r>
              <w:rPr>
                <w:noProof/>
                <w:webHidden/>
              </w:rPr>
              <w:fldChar w:fldCharType="begin"/>
            </w:r>
            <w:r>
              <w:rPr>
                <w:noProof/>
                <w:webHidden/>
              </w:rPr>
              <w:instrText xml:space="preserve"> PAGEREF _Toc237728553 \h </w:instrText>
            </w:r>
            <w:r>
              <w:rPr>
                <w:noProof/>
                <w:webHidden/>
              </w:rPr>
            </w:r>
            <w:r>
              <w:rPr>
                <w:noProof/>
                <w:webHidden/>
              </w:rPr>
              <w:fldChar w:fldCharType="separate"/>
            </w:r>
            <w:r>
              <w:rPr>
                <w:noProof/>
                <w:webHidden/>
              </w:rPr>
              <w:t>5</w:t>
            </w:r>
            <w:r>
              <w:rPr>
                <w:noProof/>
                <w:webHidden/>
              </w:rPr>
              <w:fldChar w:fldCharType="end"/>
            </w:r>
          </w:hyperlink>
        </w:p>
        <w:p w14:paraId="20FAC42A" w14:textId="46F870CF" w:rsidR="008635AA" w:rsidRDefault="008635AA">
          <w:pPr>
            <w:pStyle w:val="TOC1"/>
            <w:tabs>
              <w:tab w:val="right" w:leader="dot" w:pos="9016"/>
            </w:tabs>
            <w:rPr>
              <w:noProof/>
            </w:rPr>
          </w:pPr>
          <w:hyperlink w:anchor="_Toc237728554" w:history="1">
            <w:r w:rsidRPr="006A0113">
              <w:rPr>
                <w:rStyle w:val="Hyperlink"/>
                <w:rFonts w:ascii="Arial" w:eastAsia="Times New Roman" w:hAnsi="Arial" w:cs="Arial"/>
                <w:noProof/>
                <w:lang w:eastAsia="en-KE"/>
              </w:rPr>
              <w:t>5.0 Strategy Analysis</w:t>
            </w:r>
            <w:r>
              <w:rPr>
                <w:noProof/>
                <w:webHidden/>
              </w:rPr>
              <w:tab/>
            </w:r>
            <w:r>
              <w:rPr>
                <w:noProof/>
                <w:webHidden/>
              </w:rPr>
              <w:fldChar w:fldCharType="begin"/>
            </w:r>
            <w:r>
              <w:rPr>
                <w:noProof/>
                <w:webHidden/>
              </w:rPr>
              <w:instrText xml:space="preserve"> PAGEREF _Toc237728554 \h </w:instrText>
            </w:r>
            <w:r>
              <w:rPr>
                <w:noProof/>
                <w:webHidden/>
              </w:rPr>
            </w:r>
            <w:r>
              <w:rPr>
                <w:noProof/>
                <w:webHidden/>
              </w:rPr>
              <w:fldChar w:fldCharType="separate"/>
            </w:r>
            <w:r>
              <w:rPr>
                <w:noProof/>
                <w:webHidden/>
              </w:rPr>
              <w:t>5</w:t>
            </w:r>
            <w:r>
              <w:rPr>
                <w:noProof/>
                <w:webHidden/>
              </w:rPr>
              <w:fldChar w:fldCharType="end"/>
            </w:r>
          </w:hyperlink>
        </w:p>
        <w:p w14:paraId="4F444A56" w14:textId="2FE3EF4C" w:rsidR="008635AA" w:rsidRDefault="008635AA">
          <w:pPr>
            <w:pStyle w:val="TOC2"/>
            <w:tabs>
              <w:tab w:val="right" w:leader="dot" w:pos="9016"/>
            </w:tabs>
            <w:rPr>
              <w:noProof/>
            </w:rPr>
          </w:pPr>
          <w:hyperlink w:anchor="_Toc237728555" w:history="1">
            <w:r w:rsidRPr="006A0113">
              <w:rPr>
                <w:rStyle w:val="Hyperlink"/>
                <w:rFonts w:ascii="Arial" w:eastAsia="Times New Roman" w:hAnsi="Arial" w:cs="Arial"/>
                <w:noProof/>
                <w:lang w:eastAsia="en-KE"/>
              </w:rPr>
              <w:t>5.1 External Environmental Audit: PESTEL</w:t>
            </w:r>
            <w:r>
              <w:rPr>
                <w:noProof/>
                <w:webHidden/>
              </w:rPr>
              <w:tab/>
            </w:r>
            <w:r>
              <w:rPr>
                <w:noProof/>
                <w:webHidden/>
              </w:rPr>
              <w:fldChar w:fldCharType="begin"/>
            </w:r>
            <w:r>
              <w:rPr>
                <w:noProof/>
                <w:webHidden/>
              </w:rPr>
              <w:instrText xml:space="preserve"> PAGEREF _Toc237728555 \h </w:instrText>
            </w:r>
            <w:r>
              <w:rPr>
                <w:noProof/>
                <w:webHidden/>
              </w:rPr>
            </w:r>
            <w:r>
              <w:rPr>
                <w:noProof/>
                <w:webHidden/>
              </w:rPr>
              <w:fldChar w:fldCharType="separate"/>
            </w:r>
            <w:r>
              <w:rPr>
                <w:noProof/>
                <w:webHidden/>
              </w:rPr>
              <w:t>6</w:t>
            </w:r>
            <w:r>
              <w:rPr>
                <w:noProof/>
                <w:webHidden/>
              </w:rPr>
              <w:fldChar w:fldCharType="end"/>
            </w:r>
          </w:hyperlink>
        </w:p>
        <w:p w14:paraId="09E49F3C" w14:textId="3F133590" w:rsidR="008635AA" w:rsidRDefault="008635AA">
          <w:pPr>
            <w:pStyle w:val="TOC2"/>
            <w:tabs>
              <w:tab w:val="right" w:leader="dot" w:pos="9016"/>
            </w:tabs>
            <w:rPr>
              <w:noProof/>
            </w:rPr>
          </w:pPr>
          <w:hyperlink w:anchor="_Toc237728556" w:history="1">
            <w:r w:rsidRPr="006A0113">
              <w:rPr>
                <w:rStyle w:val="Hyperlink"/>
                <w:rFonts w:ascii="Arial" w:eastAsia="Times New Roman" w:hAnsi="Arial" w:cs="Arial"/>
                <w:noProof/>
                <w:lang w:eastAsia="en-KE"/>
              </w:rPr>
              <w:t>5.2 External Environmental Audit: Porter’s Five Forces</w:t>
            </w:r>
            <w:r>
              <w:rPr>
                <w:noProof/>
                <w:webHidden/>
              </w:rPr>
              <w:tab/>
            </w:r>
            <w:r>
              <w:rPr>
                <w:noProof/>
                <w:webHidden/>
              </w:rPr>
              <w:fldChar w:fldCharType="begin"/>
            </w:r>
            <w:r>
              <w:rPr>
                <w:noProof/>
                <w:webHidden/>
              </w:rPr>
              <w:instrText xml:space="preserve"> PAGEREF _Toc237728556 \h </w:instrText>
            </w:r>
            <w:r>
              <w:rPr>
                <w:noProof/>
                <w:webHidden/>
              </w:rPr>
            </w:r>
            <w:r>
              <w:rPr>
                <w:noProof/>
                <w:webHidden/>
              </w:rPr>
              <w:fldChar w:fldCharType="separate"/>
            </w:r>
            <w:r>
              <w:rPr>
                <w:noProof/>
                <w:webHidden/>
              </w:rPr>
              <w:t>7</w:t>
            </w:r>
            <w:r>
              <w:rPr>
                <w:noProof/>
                <w:webHidden/>
              </w:rPr>
              <w:fldChar w:fldCharType="end"/>
            </w:r>
          </w:hyperlink>
        </w:p>
        <w:p w14:paraId="22BD7A0B" w14:textId="4EDF8237" w:rsidR="008635AA" w:rsidRDefault="008635AA">
          <w:pPr>
            <w:pStyle w:val="TOC2"/>
            <w:tabs>
              <w:tab w:val="right" w:leader="dot" w:pos="9016"/>
            </w:tabs>
            <w:rPr>
              <w:noProof/>
            </w:rPr>
          </w:pPr>
          <w:hyperlink w:anchor="_Toc237728557" w:history="1">
            <w:r w:rsidRPr="006A0113">
              <w:rPr>
                <w:rStyle w:val="Hyperlink"/>
                <w:rFonts w:ascii="Arial" w:eastAsia="Times New Roman" w:hAnsi="Arial" w:cs="Arial"/>
                <w:noProof/>
                <w:lang w:eastAsia="en-KE"/>
              </w:rPr>
              <w:t>5.3 Internal Environmental Audit: SWOT</w:t>
            </w:r>
            <w:r>
              <w:rPr>
                <w:noProof/>
                <w:webHidden/>
              </w:rPr>
              <w:tab/>
            </w:r>
            <w:r>
              <w:rPr>
                <w:noProof/>
                <w:webHidden/>
              </w:rPr>
              <w:fldChar w:fldCharType="begin"/>
            </w:r>
            <w:r>
              <w:rPr>
                <w:noProof/>
                <w:webHidden/>
              </w:rPr>
              <w:instrText xml:space="preserve"> PAGEREF _Toc237728557 \h </w:instrText>
            </w:r>
            <w:r>
              <w:rPr>
                <w:noProof/>
                <w:webHidden/>
              </w:rPr>
            </w:r>
            <w:r>
              <w:rPr>
                <w:noProof/>
                <w:webHidden/>
              </w:rPr>
              <w:fldChar w:fldCharType="separate"/>
            </w:r>
            <w:r>
              <w:rPr>
                <w:noProof/>
                <w:webHidden/>
              </w:rPr>
              <w:t>7</w:t>
            </w:r>
            <w:r>
              <w:rPr>
                <w:noProof/>
                <w:webHidden/>
              </w:rPr>
              <w:fldChar w:fldCharType="end"/>
            </w:r>
          </w:hyperlink>
        </w:p>
        <w:p w14:paraId="59FFC924" w14:textId="01E794C4" w:rsidR="008635AA" w:rsidRDefault="008635AA">
          <w:pPr>
            <w:pStyle w:val="TOC2"/>
            <w:tabs>
              <w:tab w:val="right" w:leader="dot" w:pos="9016"/>
            </w:tabs>
            <w:rPr>
              <w:noProof/>
            </w:rPr>
          </w:pPr>
          <w:hyperlink w:anchor="_Toc237728558" w:history="1">
            <w:r w:rsidRPr="006A0113">
              <w:rPr>
                <w:rStyle w:val="Hyperlink"/>
                <w:rFonts w:ascii="Arial" w:eastAsia="Times New Roman" w:hAnsi="Arial" w:cs="Arial"/>
                <w:noProof/>
                <w:lang w:eastAsia="en-KE"/>
              </w:rPr>
              <w:t>5.4 Internal Environmental Audit: VRIO</w:t>
            </w:r>
            <w:r>
              <w:rPr>
                <w:noProof/>
                <w:webHidden/>
              </w:rPr>
              <w:tab/>
            </w:r>
            <w:r>
              <w:rPr>
                <w:noProof/>
                <w:webHidden/>
              </w:rPr>
              <w:fldChar w:fldCharType="begin"/>
            </w:r>
            <w:r>
              <w:rPr>
                <w:noProof/>
                <w:webHidden/>
              </w:rPr>
              <w:instrText xml:space="preserve"> PAGEREF _Toc237728558 \h </w:instrText>
            </w:r>
            <w:r>
              <w:rPr>
                <w:noProof/>
                <w:webHidden/>
              </w:rPr>
            </w:r>
            <w:r>
              <w:rPr>
                <w:noProof/>
                <w:webHidden/>
              </w:rPr>
              <w:fldChar w:fldCharType="separate"/>
            </w:r>
            <w:r>
              <w:rPr>
                <w:noProof/>
                <w:webHidden/>
              </w:rPr>
              <w:t>8</w:t>
            </w:r>
            <w:r>
              <w:rPr>
                <w:noProof/>
                <w:webHidden/>
              </w:rPr>
              <w:fldChar w:fldCharType="end"/>
            </w:r>
          </w:hyperlink>
        </w:p>
        <w:p w14:paraId="44D45F6A" w14:textId="1C241806" w:rsidR="008635AA" w:rsidRDefault="008635AA">
          <w:pPr>
            <w:pStyle w:val="TOC2"/>
            <w:tabs>
              <w:tab w:val="right" w:leader="dot" w:pos="9016"/>
            </w:tabs>
            <w:rPr>
              <w:noProof/>
            </w:rPr>
          </w:pPr>
          <w:hyperlink w:anchor="_Toc237728559" w:history="1">
            <w:r w:rsidRPr="006A0113">
              <w:rPr>
                <w:rStyle w:val="Hyperlink"/>
                <w:rFonts w:ascii="Arial" w:hAnsi="Arial" w:cs="Arial"/>
                <w:noProof/>
              </w:rPr>
              <w:t>5.5 Internal Environmental Audit: BCG Matrix</w:t>
            </w:r>
            <w:r>
              <w:rPr>
                <w:noProof/>
                <w:webHidden/>
              </w:rPr>
              <w:tab/>
            </w:r>
            <w:r>
              <w:rPr>
                <w:noProof/>
                <w:webHidden/>
              </w:rPr>
              <w:fldChar w:fldCharType="begin"/>
            </w:r>
            <w:r>
              <w:rPr>
                <w:noProof/>
                <w:webHidden/>
              </w:rPr>
              <w:instrText xml:space="preserve"> PAGEREF _Toc237728559 \h </w:instrText>
            </w:r>
            <w:r>
              <w:rPr>
                <w:noProof/>
                <w:webHidden/>
              </w:rPr>
            </w:r>
            <w:r>
              <w:rPr>
                <w:noProof/>
                <w:webHidden/>
              </w:rPr>
              <w:fldChar w:fldCharType="separate"/>
            </w:r>
            <w:r>
              <w:rPr>
                <w:noProof/>
                <w:webHidden/>
              </w:rPr>
              <w:t>9</w:t>
            </w:r>
            <w:r>
              <w:rPr>
                <w:noProof/>
                <w:webHidden/>
              </w:rPr>
              <w:fldChar w:fldCharType="end"/>
            </w:r>
          </w:hyperlink>
        </w:p>
        <w:p w14:paraId="225D5095" w14:textId="1D1A2655" w:rsidR="008635AA" w:rsidRDefault="008635AA">
          <w:pPr>
            <w:pStyle w:val="TOC2"/>
            <w:tabs>
              <w:tab w:val="right" w:leader="dot" w:pos="9016"/>
            </w:tabs>
            <w:rPr>
              <w:noProof/>
            </w:rPr>
          </w:pPr>
          <w:hyperlink w:anchor="_Toc237728560" w:history="1">
            <w:r w:rsidRPr="006A0113">
              <w:rPr>
                <w:rStyle w:val="Hyperlink"/>
                <w:rFonts w:ascii="Arial" w:hAnsi="Arial" w:cs="Arial"/>
                <w:noProof/>
              </w:rPr>
              <w:t>5.6 Internal Environmental Audit: Value Chain</w:t>
            </w:r>
            <w:r>
              <w:rPr>
                <w:noProof/>
                <w:webHidden/>
              </w:rPr>
              <w:tab/>
            </w:r>
            <w:r>
              <w:rPr>
                <w:noProof/>
                <w:webHidden/>
              </w:rPr>
              <w:fldChar w:fldCharType="begin"/>
            </w:r>
            <w:r>
              <w:rPr>
                <w:noProof/>
                <w:webHidden/>
              </w:rPr>
              <w:instrText xml:space="preserve"> PAGEREF _Toc237728560 \h </w:instrText>
            </w:r>
            <w:r>
              <w:rPr>
                <w:noProof/>
                <w:webHidden/>
              </w:rPr>
            </w:r>
            <w:r>
              <w:rPr>
                <w:noProof/>
                <w:webHidden/>
              </w:rPr>
              <w:fldChar w:fldCharType="separate"/>
            </w:r>
            <w:r>
              <w:rPr>
                <w:noProof/>
                <w:webHidden/>
              </w:rPr>
              <w:t>9</w:t>
            </w:r>
            <w:r>
              <w:rPr>
                <w:noProof/>
                <w:webHidden/>
              </w:rPr>
              <w:fldChar w:fldCharType="end"/>
            </w:r>
          </w:hyperlink>
        </w:p>
        <w:p w14:paraId="70E92D42" w14:textId="3B3A9E7B" w:rsidR="008635AA" w:rsidRDefault="008635AA">
          <w:pPr>
            <w:pStyle w:val="TOC2"/>
            <w:tabs>
              <w:tab w:val="right" w:leader="dot" w:pos="9016"/>
            </w:tabs>
            <w:rPr>
              <w:noProof/>
            </w:rPr>
          </w:pPr>
          <w:hyperlink w:anchor="_Toc237728561" w:history="1">
            <w:r w:rsidRPr="006A0113">
              <w:rPr>
                <w:rStyle w:val="Hyperlink"/>
                <w:rFonts w:ascii="Arial" w:hAnsi="Arial" w:cs="Arial"/>
                <w:noProof/>
              </w:rPr>
              <w:t>5.7 Key Strategic Findings</w:t>
            </w:r>
            <w:r>
              <w:rPr>
                <w:noProof/>
                <w:webHidden/>
              </w:rPr>
              <w:tab/>
            </w:r>
            <w:r>
              <w:rPr>
                <w:noProof/>
                <w:webHidden/>
              </w:rPr>
              <w:fldChar w:fldCharType="begin"/>
            </w:r>
            <w:r>
              <w:rPr>
                <w:noProof/>
                <w:webHidden/>
              </w:rPr>
              <w:instrText xml:space="preserve"> PAGEREF _Toc237728561 \h </w:instrText>
            </w:r>
            <w:r>
              <w:rPr>
                <w:noProof/>
                <w:webHidden/>
              </w:rPr>
            </w:r>
            <w:r>
              <w:rPr>
                <w:noProof/>
                <w:webHidden/>
              </w:rPr>
              <w:fldChar w:fldCharType="separate"/>
            </w:r>
            <w:r>
              <w:rPr>
                <w:noProof/>
                <w:webHidden/>
              </w:rPr>
              <w:t>9</w:t>
            </w:r>
            <w:r>
              <w:rPr>
                <w:noProof/>
                <w:webHidden/>
              </w:rPr>
              <w:fldChar w:fldCharType="end"/>
            </w:r>
          </w:hyperlink>
        </w:p>
        <w:p w14:paraId="3C7A219B" w14:textId="4472757F" w:rsidR="008635AA" w:rsidRDefault="008635AA">
          <w:pPr>
            <w:pStyle w:val="TOC1"/>
            <w:tabs>
              <w:tab w:val="right" w:leader="dot" w:pos="9016"/>
            </w:tabs>
            <w:rPr>
              <w:noProof/>
            </w:rPr>
          </w:pPr>
          <w:hyperlink w:anchor="_Toc237728562" w:history="1">
            <w:r w:rsidRPr="006A0113">
              <w:rPr>
                <w:rStyle w:val="Hyperlink"/>
                <w:rFonts w:ascii="Arial" w:hAnsi="Arial" w:cs="Arial"/>
                <w:noProof/>
              </w:rPr>
              <w:t>6.0 Strategy Formulation</w:t>
            </w:r>
            <w:r>
              <w:rPr>
                <w:noProof/>
                <w:webHidden/>
              </w:rPr>
              <w:tab/>
            </w:r>
            <w:r>
              <w:rPr>
                <w:noProof/>
                <w:webHidden/>
              </w:rPr>
              <w:fldChar w:fldCharType="begin"/>
            </w:r>
            <w:r>
              <w:rPr>
                <w:noProof/>
                <w:webHidden/>
              </w:rPr>
              <w:instrText xml:space="preserve"> PAGEREF _Toc237728562 \h </w:instrText>
            </w:r>
            <w:r>
              <w:rPr>
                <w:noProof/>
                <w:webHidden/>
              </w:rPr>
            </w:r>
            <w:r>
              <w:rPr>
                <w:noProof/>
                <w:webHidden/>
              </w:rPr>
              <w:fldChar w:fldCharType="separate"/>
            </w:r>
            <w:r>
              <w:rPr>
                <w:noProof/>
                <w:webHidden/>
              </w:rPr>
              <w:t>10</w:t>
            </w:r>
            <w:r>
              <w:rPr>
                <w:noProof/>
                <w:webHidden/>
              </w:rPr>
              <w:fldChar w:fldCharType="end"/>
            </w:r>
          </w:hyperlink>
        </w:p>
        <w:p w14:paraId="34680F0D" w14:textId="3C1DEEF7" w:rsidR="008635AA" w:rsidRDefault="008635AA">
          <w:pPr>
            <w:pStyle w:val="TOC2"/>
            <w:tabs>
              <w:tab w:val="right" w:leader="dot" w:pos="9016"/>
            </w:tabs>
            <w:rPr>
              <w:noProof/>
            </w:rPr>
          </w:pPr>
          <w:hyperlink w:anchor="_Toc237728563" w:history="1">
            <w:r w:rsidRPr="006A0113">
              <w:rPr>
                <w:rStyle w:val="Hyperlink"/>
                <w:rFonts w:ascii="Arial" w:hAnsi="Arial" w:cs="Arial"/>
                <w:noProof/>
              </w:rPr>
              <w:t>6.1 Strategic Issue</w:t>
            </w:r>
            <w:r>
              <w:rPr>
                <w:noProof/>
                <w:webHidden/>
              </w:rPr>
              <w:tab/>
            </w:r>
            <w:r>
              <w:rPr>
                <w:noProof/>
                <w:webHidden/>
              </w:rPr>
              <w:fldChar w:fldCharType="begin"/>
            </w:r>
            <w:r>
              <w:rPr>
                <w:noProof/>
                <w:webHidden/>
              </w:rPr>
              <w:instrText xml:space="preserve"> PAGEREF _Toc237728563 \h </w:instrText>
            </w:r>
            <w:r>
              <w:rPr>
                <w:noProof/>
                <w:webHidden/>
              </w:rPr>
            </w:r>
            <w:r>
              <w:rPr>
                <w:noProof/>
                <w:webHidden/>
              </w:rPr>
              <w:fldChar w:fldCharType="separate"/>
            </w:r>
            <w:r>
              <w:rPr>
                <w:noProof/>
                <w:webHidden/>
              </w:rPr>
              <w:t>10</w:t>
            </w:r>
            <w:r>
              <w:rPr>
                <w:noProof/>
                <w:webHidden/>
              </w:rPr>
              <w:fldChar w:fldCharType="end"/>
            </w:r>
          </w:hyperlink>
        </w:p>
        <w:p w14:paraId="1716341A" w14:textId="3FF0A8F9" w:rsidR="008635AA" w:rsidRDefault="008635AA">
          <w:pPr>
            <w:pStyle w:val="TOC2"/>
            <w:tabs>
              <w:tab w:val="right" w:leader="dot" w:pos="9016"/>
            </w:tabs>
            <w:rPr>
              <w:noProof/>
            </w:rPr>
          </w:pPr>
          <w:hyperlink w:anchor="_Toc237728564" w:history="1">
            <w:r w:rsidRPr="006A0113">
              <w:rPr>
                <w:rStyle w:val="Hyperlink"/>
                <w:rFonts w:ascii="Arial" w:hAnsi="Arial" w:cs="Arial"/>
                <w:noProof/>
              </w:rPr>
              <w:t>6.2 Strategic Choices</w:t>
            </w:r>
            <w:r>
              <w:rPr>
                <w:noProof/>
                <w:webHidden/>
              </w:rPr>
              <w:tab/>
            </w:r>
            <w:r>
              <w:rPr>
                <w:noProof/>
                <w:webHidden/>
              </w:rPr>
              <w:fldChar w:fldCharType="begin"/>
            </w:r>
            <w:r>
              <w:rPr>
                <w:noProof/>
                <w:webHidden/>
              </w:rPr>
              <w:instrText xml:space="preserve"> PAGEREF _Toc237728564 \h </w:instrText>
            </w:r>
            <w:r>
              <w:rPr>
                <w:noProof/>
                <w:webHidden/>
              </w:rPr>
            </w:r>
            <w:r>
              <w:rPr>
                <w:noProof/>
                <w:webHidden/>
              </w:rPr>
              <w:fldChar w:fldCharType="separate"/>
            </w:r>
            <w:r>
              <w:rPr>
                <w:noProof/>
                <w:webHidden/>
              </w:rPr>
              <w:t>10</w:t>
            </w:r>
            <w:r>
              <w:rPr>
                <w:noProof/>
                <w:webHidden/>
              </w:rPr>
              <w:fldChar w:fldCharType="end"/>
            </w:r>
          </w:hyperlink>
        </w:p>
        <w:p w14:paraId="49D97CC5" w14:textId="249AF587" w:rsidR="008635AA" w:rsidRDefault="008635AA">
          <w:pPr>
            <w:pStyle w:val="TOC2"/>
            <w:tabs>
              <w:tab w:val="right" w:leader="dot" w:pos="9016"/>
            </w:tabs>
            <w:rPr>
              <w:noProof/>
            </w:rPr>
          </w:pPr>
          <w:hyperlink w:anchor="_Toc237728565" w:history="1">
            <w:r w:rsidRPr="006A0113">
              <w:rPr>
                <w:rStyle w:val="Hyperlink"/>
                <w:rFonts w:ascii="Arial" w:hAnsi="Arial" w:cs="Arial"/>
                <w:noProof/>
              </w:rPr>
              <w:t>6.3 Critical evaluation of strategic choices</w:t>
            </w:r>
            <w:r>
              <w:rPr>
                <w:noProof/>
                <w:webHidden/>
              </w:rPr>
              <w:tab/>
            </w:r>
            <w:r>
              <w:rPr>
                <w:noProof/>
                <w:webHidden/>
              </w:rPr>
              <w:fldChar w:fldCharType="begin"/>
            </w:r>
            <w:r>
              <w:rPr>
                <w:noProof/>
                <w:webHidden/>
              </w:rPr>
              <w:instrText xml:space="preserve"> PAGEREF _Toc237728565 \h </w:instrText>
            </w:r>
            <w:r>
              <w:rPr>
                <w:noProof/>
                <w:webHidden/>
              </w:rPr>
            </w:r>
            <w:r>
              <w:rPr>
                <w:noProof/>
                <w:webHidden/>
              </w:rPr>
              <w:fldChar w:fldCharType="separate"/>
            </w:r>
            <w:r>
              <w:rPr>
                <w:noProof/>
                <w:webHidden/>
              </w:rPr>
              <w:t>10</w:t>
            </w:r>
            <w:r>
              <w:rPr>
                <w:noProof/>
                <w:webHidden/>
              </w:rPr>
              <w:fldChar w:fldCharType="end"/>
            </w:r>
          </w:hyperlink>
        </w:p>
        <w:p w14:paraId="37947BAA" w14:textId="4BA2B435" w:rsidR="008635AA" w:rsidRDefault="008635AA">
          <w:pPr>
            <w:pStyle w:val="TOC2"/>
            <w:tabs>
              <w:tab w:val="right" w:leader="dot" w:pos="9016"/>
            </w:tabs>
            <w:rPr>
              <w:noProof/>
            </w:rPr>
          </w:pPr>
          <w:hyperlink w:anchor="_Toc237728566" w:history="1">
            <w:r w:rsidRPr="006A0113">
              <w:rPr>
                <w:rStyle w:val="Hyperlink"/>
                <w:rFonts w:ascii="Arial" w:hAnsi="Arial" w:cs="Arial"/>
                <w:noProof/>
              </w:rPr>
              <w:t>6.4 Proposed New Strategy</w:t>
            </w:r>
            <w:r>
              <w:rPr>
                <w:noProof/>
                <w:webHidden/>
              </w:rPr>
              <w:tab/>
            </w:r>
            <w:r>
              <w:rPr>
                <w:noProof/>
                <w:webHidden/>
              </w:rPr>
              <w:fldChar w:fldCharType="begin"/>
            </w:r>
            <w:r>
              <w:rPr>
                <w:noProof/>
                <w:webHidden/>
              </w:rPr>
              <w:instrText xml:space="preserve"> PAGEREF _Toc237728566 \h </w:instrText>
            </w:r>
            <w:r>
              <w:rPr>
                <w:noProof/>
                <w:webHidden/>
              </w:rPr>
            </w:r>
            <w:r>
              <w:rPr>
                <w:noProof/>
                <w:webHidden/>
              </w:rPr>
              <w:fldChar w:fldCharType="separate"/>
            </w:r>
            <w:r>
              <w:rPr>
                <w:noProof/>
                <w:webHidden/>
              </w:rPr>
              <w:t>11</w:t>
            </w:r>
            <w:r>
              <w:rPr>
                <w:noProof/>
                <w:webHidden/>
              </w:rPr>
              <w:fldChar w:fldCharType="end"/>
            </w:r>
          </w:hyperlink>
        </w:p>
        <w:p w14:paraId="56590A63" w14:textId="57D06174" w:rsidR="008635AA" w:rsidRDefault="008635AA">
          <w:pPr>
            <w:pStyle w:val="TOC1"/>
            <w:tabs>
              <w:tab w:val="right" w:leader="dot" w:pos="9016"/>
            </w:tabs>
            <w:rPr>
              <w:noProof/>
            </w:rPr>
          </w:pPr>
          <w:hyperlink w:anchor="_Toc237728567" w:history="1">
            <w:r w:rsidRPr="006A0113">
              <w:rPr>
                <w:rStyle w:val="Hyperlink"/>
                <w:rFonts w:ascii="Arial" w:hAnsi="Arial" w:cs="Arial"/>
                <w:noProof/>
              </w:rPr>
              <w:t>7.0 Conclusion and Recommendations</w:t>
            </w:r>
            <w:r>
              <w:rPr>
                <w:noProof/>
                <w:webHidden/>
              </w:rPr>
              <w:tab/>
            </w:r>
            <w:r>
              <w:rPr>
                <w:noProof/>
                <w:webHidden/>
              </w:rPr>
              <w:fldChar w:fldCharType="begin"/>
            </w:r>
            <w:r>
              <w:rPr>
                <w:noProof/>
                <w:webHidden/>
              </w:rPr>
              <w:instrText xml:space="preserve"> PAGEREF _Toc237728567 \h </w:instrText>
            </w:r>
            <w:r>
              <w:rPr>
                <w:noProof/>
                <w:webHidden/>
              </w:rPr>
            </w:r>
            <w:r>
              <w:rPr>
                <w:noProof/>
                <w:webHidden/>
              </w:rPr>
              <w:fldChar w:fldCharType="separate"/>
            </w:r>
            <w:r>
              <w:rPr>
                <w:noProof/>
                <w:webHidden/>
              </w:rPr>
              <w:t>11</w:t>
            </w:r>
            <w:r>
              <w:rPr>
                <w:noProof/>
                <w:webHidden/>
              </w:rPr>
              <w:fldChar w:fldCharType="end"/>
            </w:r>
          </w:hyperlink>
        </w:p>
        <w:p w14:paraId="30F06BCE" w14:textId="1FAC92DE" w:rsidR="008635AA" w:rsidRDefault="008635AA">
          <w:pPr>
            <w:pStyle w:val="TOC2"/>
            <w:tabs>
              <w:tab w:val="right" w:leader="dot" w:pos="9016"/>
            </w:tabs>
            <w:rPr>
              <w:noProof/>
            </w:rPr>
          </w:pPr>
          <w:hyperlink w:anchor="_Toc237728568" w:history="1">
            <w:r w:rsidRPr="006A0113">
              <w:rPr>
                <w:rStyle w:val="Hyperlink"/>
                <w:rFonts w:ascii="Arial" w:hAnsi="Arial" w:cs="Arial"/>
                <w:noProof/>
              </w:rPr>
              <w:t>7.1 Conclusion</w:t>
            </w:r>
            <w:r>
              <w:rPr>
                <w:noProof/>
                <w:webHidden/>
              </w:rPr>
              <w:tab/>
            </w:r>
            <w:r>
              <w:rPr>
                <w:noProof/>
                <w:webHidden/>
              </w:rPr>
              <w:fldChar w:fldCharType="begin"/>
            </w:r>
            <w:r>
              <w:rPr>
                <w:noProof/>
                <w:webHidden/>
              </w:rPr>
              <w:instrText xml:space="preserve"> PAGEREF _Toc237728568 \h </w:instrText>
            </w:r>
            <w:r>
              <w:rPr>
                <w:noProof/>
                <w:webHidden/>
              </w:rPr>
            </w:r>
            <w:r>
              <w:rPr>
                <w:noProof/>
                <w:webHidden/>
              </w:rPr>
              <w:fldChar w:fldCharType="separate"/>
            </w:r>
            <w:r>
              <w:rPr>
                <w:noProof/>
                <w:webHidden/>
              </w:rPr>
              <w:t>11</w:t>
            </w:r>
            <w:r>
              <w:rPr>
                <w:noProof/>
                <w:webHidden/>
              </w:rPr>
              <w:fldChar w:fldCharType="end"/>
            </w:r>
          </w:hyperlink>
        </w:p>
        <w:p w14:paraId="126490A3" w14:textId="067DA205" w:rsidR="008635AA" w:rsidRDefault="008635AA">
          <w:pPr>
            <w:pStyle w:val="TOC2"/>
            <w:tabs>
              <w:tab w:val="right" w:leader="dot" w:pos="9016"/>
            </w:tabs>
            <w:rPr>
              <w:noProof/>
            </w:rPr>
          </w:pPr>
          <w:hyperlink w:anchor="_Toc237728569" w:history="1">
            <w:r w:rsidRPr="006A0113">
              <w:rPr>
                <w:rStyle w:val="Hyperlink"/>
                <w:rFonts w:ascii="Arial" w:hAnsi="Arial" w:cs="Arial"/>
                <w:noProof/>
              </w:rPr>
              <w:t>7.2 Recommendations</w:t>
            </w:r>
            <w:r>
              <w:rPr>
                <w:noProof/>
                <w:webHidden/>
              </w:rPr>
              <w:tab/>
            </w:r>
            <w:r>
              <w:rPr>
                <w:noProof/>
                <w:webHidden/>
              </w:rPr>
              <w:fldChar w:fldCharType="begin"/>
            </w:r>
            <w:r>
              <w:rPr>
                <w:noProof/>
                <w:webHidden/>
              </w:rPr>
              <w:instrText xml:space="preserve"> PAGEREF _Toc237728569 \h </w:instrText>
            </w:r>
            <w:r>
              <w:rPr>
                <w:noProof/>
                <w:webHidden/>
              </w:rPr>
            </w:r>
            <w:r>
              <w:rPr>
                <w:noProof/>
                <w:webHidden/>
              </w:rPr>
              <w:fldChar w:fldCharType="separate"/>
            </w:r>
            <w:r>
              <w:rPr>
                <w:noProof/>
                <w:webHidden/>
              </w:rPr>
              <w:t>11</w:t>
            </w:r>
            <w:r>
              <w:rPr>
                <w:noProof/>
                <w:webHidden/>
              </w:rPr>
              <w:fldChar w:fldCharType="end"/>
            </w:r>
          </w:hyperlink>
        </w:p>
        <w:p w14:paraId="370D65AD" w14:textId="23BE59C4" w:rsidR="008635AA" w:rsidRDefault="008635AA">
          <w:pPr>
            <w:pStyle w:val="TOC1"/>
            <w:tabs>
              <w:tab w:val="right" w:leader="dot" w:pos="9016"/>
            </w:tabs>
            <w:rPr>
              <w:noProof/>
            </w:rPr>
          </w:pPr>
          <w:hyperlink w:anchor="_Toc237728570" w:history="1">
            <w:r w:rsidRPr="006A0113">
              <w:rPr>
                <w:rStyle w:val="Hyperlink"/>
                <w:rFonts w:ascii="Arial" w:eastAsia="Times New Roman" w:hAnsi="Arial" w:cs="Arial"/>
                <w:noProof/>
                <w:lang w:val="en-KE" w:eastAsia="en-KE"/>
              </w:rPr>
              <w:t>Reference List</w:t>
            </w:r>
            <w:r>
              <w:rPr>
                <w:noProof/>
                <w:webHidden/>
              </w:rPr>
              <w:tab/>
            </w:r>
            <w:r>
              <w:rPr>
                <w:noProof/>
                <w:webHidden/>
              </w:rPr>
              <w:fldChar w:fldCharType="begin"/>
            </w:r>
            <w:r>
              <w:rPr>
                <w:noProof/>
                <w:webHidden/>
              </w:rPr>
              <w:instrText xml:space="preserve"> PAGEREF _Toc237728570 \h </w:instrText>
            </w:r>
            <w:r>
              <w:rPr>
                <w:noProof/>
                <w:webHidden/>
              </w:rPr>
            </w:r>
            <w:r>
              <w:rPr>
                <w:noProof/>
                <w:webHidden/>
              </w:rPr>
              <w:fldChar w:fldCharType="separate"/>
            </w:r>
            <w:r>
              <w:rPr>
                <w:noProof/>
                <w:webHidden/>
              </w:rPr>
              <w:t>13</w:t>
            </w:r>
            <w:r>
              <w:rPr>
                <w:noProof/>
                <w:webHidden/>
              </w:rPr>
              <w:fldChar w:fldCharType="end"/>
            </w:r>
          </w:hyperlink>
        </w:p>
        <w:p w14:paraId="3C95AA86" w14:textId="588686D9" w:rsidR="008635AA" w:rsidRDefault="008635AA">
          <w:r>
            <w:rPr>
              <w:b/>
              <w:bCs/>
              <w:noProof/>
            </w:rPr>
            <w:fldChar w:fldCharType="end"/>
          </w:r>
        </w:p>
      </w:sdtContent>
    </w:sdt>
    <w:p w14:paraId="6A60F8D1" w14:textId="516BDF1B" w:rsidR="00F54147" w:rsidRPr="008635AA" w:rsidRDefault="00F54147" w:rsidP="008635AA">
      <w:pPr>
        <w:spacing w:line="360" w:lineRule="auto"/>
        <w:rPr>
          <w:rFonts w:ascii="Arial" w:hAnsi="Arial" w:cs="Arial"/>
        </w:rPr>
      </w:pPr>
      <w:r w:rsidRPr="008635AA">
        <w:rPr>
          <w:rFonts w:ascii="Arial" w:hAnsi="Arial" w:cs="Arial"/>
        </w:rPr>
        <w:br w:type="page"/>
      </w:r>
    </w:p>
    <w:p w14:paraId="318FB06A" w14:textId="77777777" w:rsidR="00CD15BA" w:rsidRPr="008635AA" w:rsidRDefault="00CD15BA" w:rsidP="008635AA">
      <w:pPr>
        <w:pStyle w:val="Heading1"/>
        <w:spacing w:line="360" w:lineRule="auto"/>
        <w:rPr>
          <w:rFonts w:ascii="Arial" w:hAnsi="Arial" w:cs="Arial"/>
          <w:sz w:val="24"/>
          <w:szCs w:val="24"/>
        </w:rPr>
      </w:pPr>
      <w:bookmarkStart w:id="1" w:name="_Toc237728550"/>
      <w:r w:rsidRPr="008635AA">
        <w:rPr>
          <w:rFonts w:ascii="Arial" w:hAnsi="Arial" w:cs="Arial"/>
          <w:sz w:val="24"/>
          <w:szCs w:val="24"/>
        </w:rPr>
        <w:lastRenderedPageBreak/>
        <w:t>1.0 Introduction to the Strategy</w:t>
      </w:r>
      <w:bookmarkEnd w:id="1"/>
    </w:p>
    <w:p w14:paraId="706F8E86" w14:textId="31ED5F7A" w:rsidR="00CD15BA" w:rsidRPr="008635AA" w:rsidRDefault="00CD15BA" w:rsidP="008635AA">
      <w:pPr>
        <w:spacing w:line="360" w:lineRule="auto"/>
        <w:rPr>
          <w:rFonts w:ascii="Arial" w:hAnsi="Arial" w:cs="Arial"/>
        </w:rPr>
      </w:pPr>
      <w:r w:rsidRPr="008635AA">
        <w:rPr>
          <w:rFonts w:ascii="Arial" w:hAnsi="Arial" w:cs="Arial"/>
        </w:rPr>
        <w:t xml:space="preserve">Strategic management is an activity that involves </w:t>
      </w:r>
      <w:r w:rsidR="00703985" w:rsidRPr="008635AA">
        <w:rPr>
          <w:rFonts w:ascii="Arial" w:hAnsi="Arial" w:cs="Arial"/>
        </w:rPr>
        <w:t>analysing</w:t>
      </w:r>
      <w:r w:rsidRPr="008635AA">
        <w:rPr>
          <w:rFonts w:ascii="Arial" w:hAnsi="Arial" w:cs="Arial"/>
        </w:rPr>
        <w:t xml:space="preserve"> the environment in which the organization functions and deciding on the allocation of resources to meet long-term goals (Johnson and Whittington, 2019). The development of valuable internal resources and capabilities (Barney and Hesterly, 2015) is also a key element of the competitive advantage. This is particularly important in the EV industry, where technological disruption and changing customer expectations require strategic adaptation (</w:t>
      </w:r>
      <w:proofErr w:type="spellStart"/>
      <w:r w:rsidRPr="008635AA">
        <w:rPr>
          <w:rFonts w:ascii="Arial" w:hAnsi="Arial" w:cs="Arial"/>
        </w:rPr>
        <w:t>Benzidia</w:t>
      </w:r>
      <w:proofErr w:type="spellEnd"/>
      <w:r w:rsidRPr="008635AA">
        <w:rPr>
          <w:rFonts w:ascii="Arial" w:hAnsi="Arial" w:cs="Arial"/>
        </w:rPr>
        <w:t>, Luca and Boiko, 2020). Other factors influencing competition are regulation, sustainability pressures and changing global demand (IEA, 2025). This report analyses Tesla's Strategic Intent, Performance, External and Internal Environments before evaluating strategic choices, propose a new strategy and suggest implementation actions (Johnson &amp; Whittington, 2019).</w:t>
      </w:r>
    </w:p>
    <w:p w14:paraId="02BB977B" w14:textId="77777777" w:rsidR="00CD15BA" w:rsidRPr="008635AA" w:rsidRDefault="00CD15BA" w:rsidP="008635AA">
      <w:pPr>
        <w:pStyle w:val="Heading1"/>
        <w:spacing w:line="360" w:lineRule="auto"/>
        <w:rPr>
          <w:rFonts w:ascii="Arial" w:hAnsi="Arial" w:cs="Arial"/>
          <w:sz w:val="24"/>
          <w:szCs w:val="24"/>
        </w:rPr>
      </w:pPr>
      <w:bookmarkStart w:id="2" w:name="_Toc237728551"/>
      <w:r w:rsidRPr="008635AA">
        <w:rPr>
          <w:rFonts w:ascii="Arial" w:hAnsi="Arial" w:cs="Arial"/>
          <w:sz w:val="24"/>
          <w:szCs w:val="24"/>
        </w:rPr>
        <w:t>2.0 Overview of Tesla</w:t>
      </w:r>
      <w:bookmarkEnd w:id="2"/>
    </w:p>
    <w:p w14:paraId="71AEF344" w14:textId="77777777" w:rsidR="00CD15BA" w:rsidRPr="008635AA" w:rsidRDefault="00CD15BA" w:rsidP="008635AA">
      <w:pPr>
        <w:spacing w:line="360" w:lineRule="auto"/>
        <w:rPr>
          <w:rFonts w:ascii="Arial" w:hAnsi="Arial" w:cs="Arial"/>
        </w:rPr>
      </w:pPr>
      <w:r w:rsidRPr="008635AA">
        <w:rPr>
          <w:rFonts w:ascii="Arial" w:hAnsi="Arial" w:cs="Arial"/>
        </w:rPr>
        <w:t xml:space="preserve">Tesla, Inc. has a presence in North America, Europe and Asia, which encompasses key auto market regions and proximity to manufacturing demand centres (Tesla Investor Relations, 2025 Annual Report, 2025). It operates an automotive business with the design to manufacture and sell battery electric vehicles (BEV), along with charging, software and energy activities that leverages its offering beyond its vehicle manufacturing business (Tesla, 2025). Tesla's key market is the growing battery electric vehicle (BEV) segment, where the shift towards electric vehicles is transforming industry competition (IEA, 2025). By strategy, Tesla has been targeting high dollar market segments and then expanding into the market (Thomas and Maine, 2019). Its product architecture is very integrated, which also makes its organisational approach different from traditional automotive organisations (Chen, Chowdhury and </w:t>
      </w:r>
      <w:proofErr w:type="spellStart"/>
      <w:r w:rsidRPr="008635AA">
        <w:rPr>
          <w:rFonts w:ascii="Arial" w:hAnsi="Arial" w:cs="Arial"/>
        </w:rPr>
        <w:t>Donada</w:t>
      </w:r>
      <w:proofErr w:type="spellEnd"/>
      <w:r w:rsidRPr="008635AA">
        <w:rPr>
          <w:rFonts w:ascii="Arial" w:hAnsi="Arial" w:cs="Arial"/>
        </w:rPr>
        <w:t>, 2019).</w:t>
      </w:r>
    </w:p>
    <w:p w14:paraId="5FB770A3" w14:textId="77777777" w:rsidR="00CD15BA" w:rsidRPr="008635AA" w:rsidRDefault="00CD15BA" w:rsidP="008635AA">
      <w:pPr>
        <w:pStyle w:val="Heading1"/>
        <w:spacing w:line="360" w:lineRule="auto"/>
        <w:rPr>
          <w:rFonts w:ascii="Arial" w:hAnsi="Arial" w:cs="Arial"/>
          <w:sz w:val="24"/>
          <w:szCs w:val="24"/>
        </w:rPr>
      </w:pPr>
      <w:bookmarkStart w:id="3" w:name="_Toc237728552"/>
      <w:r w:rsidRPr="008635AA">
        <w:rPr>
          <w:rFonts w:ascii="Arial" w:hAnsi="Arial" w:cs="Arial"/>
          <w:sz w:val="24"/>
          <w:szCs w:val="24"/>
        </w:rPr>
        <w:t>3.0 Strategic Intent</w:t>
      </w:r>
      <w:bookmarkEnd w:id="3"/>
    </w:p>
    <w:p w14:paraId="1B691494" w14:textId="77777777" w:rsidR="00CD15BA" w:rsidRPr="008635AA" w:rsidRDefault="00CD15BA" w:rsidP="008635AA">
      <w:pPr>
        <w:spacing w:line="360" w:lineRule="auto"/>
        <w:rPr>
          <w:rFonts w:ascii="Arial" w:hAnsi="Arial" w:cs="Arial"/>
        </w:rPr>
      </w:pPr>
      <w:r w:rsidRPr="008635AA">
        <w:rPr>
          <w:rFonts w:ascii="Arial" w:hAnsi="Arial" w:cs="Arial"/>
        </w:rPr>
        <w:t xml:space="preserve">Tesla's purpose of accelerating the world's transition to sustainable energy situates its business of cars in a larger perspective of sustainability (Tesla, 2024). Its key priorities involve growing the vehicle production, cost reduction and advancing in AI and autonomous technologies (Tesla Investor Relations, 2025 Annual Report, 2025). These ambitions are consistent with ongoing global transport electrification (IEA, </w:t>
      </w:r>
      <w:r w:rsidRPr="008635AA">
        <w:rPr>
          <w:rFonts w:ascii="Arial" w:hAnsi="Arial" w:cs="Arial"/>
        </w:rPr>
        <w:lastRenderedPageBreak/>
        <w:t>2025). Yet EV uptake is also reliant on the affordability of EVs, infrastructure and policy that is consumer-centred, indicating that environmental goals cannot drive market-based growth alone (</w:t>
      </w:r>
      <w:proofErr w:type="spellStart"/>
      <w:r w:rsidRPr="008635AA">
        <w:rPr>
          <w:rFonts w:ascii="Arial" w:hAnsi="Arial" w:cs="Arial"/>
        </w:rPr>
        <w:t>Breschi</w:t>
      </w:r>
      <w:proofErr w:type="spellEnd"/>
      <w:r w:rsidRPr="008635AA">
        <w:rPr>
          <w:rFonts w:ascii="Arial" w:hAnsi="Arial" w:cs="Arial"/>
        </w:rPr>
        <w:t xml:space="preserve"> et al., 2023). Tesla's strategic goal is thus aligned with the trajectory of change in the industry, but the challenge is to realise its ambitions in a way that provides value for the customer and is commercially viable.</w:t>
      </w:r>
    </w:p>
    <w:p w14:paraId="6BDBF13A" w14:textId="77777777" w:rsidR="00F54147" w:rsidRPr="008635AA" w:rsidRDefault="00F54147" w:rsidP="008635AA">
      <w:pPr>
        <w:pStyle w:val="Heading1"/>
        <w:spacing w:line="360" w:lineRule="auto"/>
        <w:rPr>
          <w:rFonts w:ascii="Arial" w:hAnsi="Arial" w:cs="Arial"/>
          <w:sz w:val="24"/>
          <w:szCs w:val="24"/>
        </w:rPr>
      </w:pPr>
      <w:bookmarkStart w:id="4" w:name="_Toc237728553"/>
      <w:r w:rsidRPr="008635AA">
        <w:rPr>
          <w:rFonts w:ascii="Arial" w:hAnsi="Arial" w:cs="Arial"/>
          <w:sz w:val="24"/>
          <w:szCs w:val="24"/>
        </w:rPr>
        <w:t>4.0 The Company’s Current Performance</w:t>
      </w:r>
      <w:bookmarkEnd w:id="4"/>
    </w:p>
    <w:p w14:paraId="6FC23B46" w14:textId="77777777" w:rsidR="00F54147" w:rsidRPr="008635AA" w:rsidRDefault="00F54147" w:rsidP="008635AA">
      <w:pPr>
        <w:spacing w:line="360" w:lineRule="auto"/>
        <w:rPr>
          <w:rFonts w:ascii="Arial" w:hAnsi="Arial" w:cs="Arial"/>
        </w:rPr>
      </w:pPr>
      <w:r w:rsidRPr="008635AA">
        <w:rPr>
          <w:rFonts w:ascii="Arial" w:hAnsi="Arial" w:cs="Arial"/>
        </w:rPr>
        <w:t>Tesla's financial results declined for 2025. Total revenue dropped by $97.69 billion in 2024 to $94.83 billion and automotive revenue also declined by $77.07 billion to $69.53 billion. Turning to profitability, more significantly, operating income dropped from $7.08 billion to $4.36 billion, while net income attributable to common stockholders went down from $7.09 billion to $3.79 billion. Despite a drop in earnings, however, R&amp;D spending rose from $4.54 billion to $6.41 billion (Tesla Investor Relations, 2025 Annual Report, 2025).</w:t>
      </w:r>
    </w:p>
    <w:p w14:paraId="0968DA5A" w14:textId="77777777" w:rsidR="00F54147" w:rsidRPr="008635AA" w:rsidRDefault="00F54147" w:rsidP="008635AA">
      <w:pPr>
        <w:spacing w:line="360" w:lineRule="auto"/>
        <w:rPr>
          <w:rFonts w:ascii="Arial" w:hAnsi="Arial" w:cs="Arial"/>
        </w:rPr>
      </w:pPr>
      <w:r w:rsidRPr="008635AA">
        <w:rPr>
          <w:rFonts w:ascii="Arial" w:hAnsi="Arial" w:cs="Arial"/>
        </w:rPr>
        <w:t>This is a concern that is supported by the operational performance. In 2025, the car delivery dropped by 9% from 1.79 million to 1.64 million, while production saw a 7% decline to 1.65 million cars (Tesla, 2025). The lower automotive sales revenue was a result of lower average selling prices due to sales mix and customer incentives, as well as an average 8% decrease in cash deliveries (Tesla Investor Relations, 2025 Annual Report, 2025).</w:t>
      </w:r>
    </w:p>
    <w:p w14:paraId="168D7428" w14:textId="613DF76C" w:rsidR="00F54147" w:rsidRPr="008635AA" w:rsidRDefault="00F54147" w:rsidP="008635AA">
      <w:pPr>
        <w:spacing w:line="360" w:lineRule="auto"/>
        <w:rPr>
          <w:rFonts w:ascii="Arial" w:hAnsi="Arial" w:cs="Arial"/>
        </w:rPr>
      </w:pPr>
      <w:r w:rsidRPr="008635AA">
        <w:rPr>
          <w:rFonts w:ascii="Arial" w:hAnsi="Arial" w:cs="Arial"/>
        </w:rPr>
        <w:t xml:space="preserve">This drop </w:t>
      </w:r>
      <w:r w:rsidR="00CD15BA" w:rsidRPr="008635AA">
        <w:rPr>
          <w:rFonts w:ascii="Arial" w:hAnsi="Arial" w:cs="Arial"/>
        </w:rPr>
        <w:t>contrasts with</w:t>
      </w:r>
      <w:r w:rsidRPr="008635AA">
        <w:rPr>
          <w:rFonts w:ascii="Arial" w:hAnsi="Arial" w:cs="Arial"/>
        </w:rPr>
        <w:t xml:space="preserve"> the broader EV industry. Global electric-car sales rose more than 25% to 17 million in 2024, with sales projected to reach over 20 million in 2025 (IEA, 2025). The underlying market data thus suggest ongoing growth in global EV demand instead of the overall sector decline (Global EV Outlook 2025 - Data Product - IEA, 2025).</w:t>
      </w:r>
    </w:p>
    <w:p w14:paraId="32004917" w14:textId="4BADE49E" w:rsidR="007509C9" w:rsidRPr="008635AA" w:rsidRDefault="00F54147" w:rsidP="008635AA">
      <w:pPr>
        <w:spacing w:line="360" w:lineRule="auto"/>
        <w:rPr>
          <w:rFonts w:ascii="Arial" w:hAnsi="Arial" w:cs="Arial"/>
        </w:rPr>
      </w:pPr>
      <w:r w:rsidRPr="008635AA">
        <w:rPr>
          <w:rFonts w:ascii="Arial" w:hAnsi="Arial" w:cs="Arial"/>
        </w:rPr>
        <w:t>In conclusion, Tesla opened 2026 in low gear with regards to its automotive growth and profitability despite its growing EV market. This gap implies that it is becoming more of a competition challenge than a demand challenge (IEA, 2025).</w:t>
      </w:r>
    </w:p>
    <w:p w14:paraId="5EDF59C7" w14:textId="77777777" w:rsidR="00F54147" w:rsidRPr="008635AA" w:rsidRDefault="00F54147" w:rsidP="008635AA">
      <w:pPr>
        <w:pStyle w:val="Heading1"/>
        <w:spacing w:line="360" w:lineRule="auto"/>
        <w:rPr>
          <w:rFonts w:ascii="Arial" w:eastAsia="Times New Roman" w:hAnsi="Arial" w:cs="Arial"/>
          <w:sz w:val="24"/>
          <w:szCs w:val="24"/>
          <w:lang w:eastAsia="en-KE"/>
        </w:rPr>
      </w:pPr>
      <w:bookmarkStart w:id="5" w:name="_Toc237728554"/>
      <w:r w:rsidRPr="008635AA">
        <w:rPr>
          <w:rFonts w:ascii="Arial" w:eastAsia="Times New Roman" w:hAnsi="Arial" w:cs="Arial"/>
          <w:sz w:val="24"/>
          <w:szCs w:val="24"/>
          <w:lang w:eastAsia="en-KE"/>
        </w:rPr>
        <w:t>5.0 Strategy Analysis</w:t>
      </w:r>
      <w:bookmarkEnd w:id="5"/>
    </w:p>
    <w:p w14:paraId="69AC4D7A" w14:textId="503641F1" w:rsidR="00F54147" w:rsidRPr="008635AA" w:rsidRDefault="00F54147" w:rsidP="008635AA">
      <w:pPr>
        <w:spacing w:line="360" w:lineRule="auto"/>
        <w:rPr>
          <w:rFonts w:ascii="Arial" w:hAnsi="Arial" w:cs="Arial"/>
        </w:rPr>
      </w:pPr>
      <w:r w:rsidRPr="008635AA">
        <w:rPr>
          <w:rFonts w:ascii="Arial" w:hAnsi="Arial" w:cs="Arial"/>
        </w:rPr>
        <w:t xml:space="preserve">The strategic position </w:t>
      </w:r>
      <w:r w:rsidRPr="008635AA">
        <w:rPr>
          <w:rFonts w:ascii="Arial" w:hAnsi="Arial" w:cs="Arial"/>
        </w:rPr>
        <w:t>reflects</w:t>
      </w:r>
      <w:r w:rsidRPr="008635AA">
        <w:rPr>
          <w:rFonts w:ascii="Arial" w:hAnsi="Arial" w:cs="Arial"/>
        </w:rPr>
        <w:t xml:space="preserve"> the central contradiction of the global EV market: it's growing, but recent automotive performance has dropped. The below external and </w:t>
      </w:r>
      <w:r w:rsidRPr="008635AA">
        <w:rPr>
          <w:rFonts w:ascii="Arial" w:hAnsi="Arial" w:cs="Arial"/>
        </w:rPr>
        <w:lastRenderedPageBreak/>
        <w:t xml:space="preserve">internal audits determine if Tesla </w:t>
      </w:r>
      <w:r w:rsidRPr="008635AA">
        <w:rPr>
          <w:rFonts w:ascii="Arial" w:hAnsi="Arial" w:cs="Arial"/>
        </w:rPr>
        <w:t>could</w:t>
      </w:r>
      <w:r w:rsidRPr="008635AA">
        <w:rPr>
          <w:rFonts w:ascii="Arial" w:hAnsi="Arial" w:cs="Arial"/>
        </w:rPr>
        <w:t xml:space="preserve"> leverage industry growth into renewed competitive advantage.</w:t>
      </w:r>
    </w:p>
    <w:p w14:paraId="1C4297F4" w14:textId="77777777" w:rsidR="00F54147" w:rsidRPr="008635AA" w:rsidRDefault="00F54147" w:rsidP="008635AA">
      <w:pPr>
        <w:pStyle w:val="Heading2"/>
        <w:spacing w:line="360" w:lineRule="auto"/>
        <w:rPr>
          <w:rFonts w:ascii="Arial" w:eastAsia="Times New Roman" w:hAnsi="Arial" w:cs="Arial"/>
          <w:sz w:val="24"/>
          <w:szCs w:val="24"/>
          <w:lang w:eastAsia="en-KE"/>
        </w:rPr>
      </w:pPr>
      <w:bookmarkStart w:id="6" w:name="_Toc237728555"/>
      <w:r w:rsidRPr="008635AA">
        <w:rPr>
          <w:rFonts w:ascii="Arial" w:eastAsia="Times New Roman" w:hAnsi="Arial" w:cs="Arial"/>
          <w:sz w:val="24"/>
          <w:szCs w:val="24"/>
          <w:lang w:eastAsia="en-KE"/>
        </w:rPr>
        <w:t>5.1 External Environmental Audit: PESTEL</w:t>
      </w:r>
      <w:bookmarkEnd w:id="6"/>
    </w:p>
    <w:tbl>
      <w:tblPr>
        <w:tblStyle w:val="TableGridLight"/>
        <w:tblW w:w="0" w:type="auto"/>
        <w:tblLook w:val="04A0" w:firstRow="1" w:lastRow="0" w:firstColumn="1" w:lastColumn="0" w:noHBand="0" w:noVBand="1"/>
      </w:tblPr>
      <w:tblGrid>
        <w:gridCol w:w="1883"/>
        <w:gridCol w:w="3569"/>
        <w:gridCol w:w="3564"/>
      </w:tblGrid>
      <w:tr w:rsidR="00F54147" w:rsidRPr="008635AA" w14:paraId="65E91B6C" w14:textId="77777777" w:rsidTr="003E03AF">
        <w:tc>
          <w:tcPr>
            <w:tcW w:w="0" w:type="auto"/>
            <w:hideMark/>
          </w:tcPr>
          <w:p w14:paraId="41CC1AC5"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Factor</w:t>
            </w:r>
          </w:p>
        </w:tc>
        <w:tc>
          <w:tcPr>
            <w:tcW w:w="0" w:type="auto"/>
            <w:hideMark/>
          </w:tcPr>
          <w:p w14:paraId="4E2BDB12"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Critical analysis</w:t>
            </w:r>
          </w:p>
        </w:tc>
        <w:tc>
          <w:tcPr>
            <w:tcW w:w="0" w:type="auto"/>
            <w:hideMark/>
          </w:tcPr>
          <w:p w14:paraId="038023C6"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Strategic implication</w:t>
            </w:r>
          </w:p>
        </w:tc>
      </w:tr>
      <w:tr w:rsidR="00F54147" w:rsidRPr="008635AA" w14:paraId="18BBCF54" w14:textId="77777777" w:rsidTr="003E03AF">
        <w:tc>
          <w:tcPr>
            <w:tcW w:w="0" w:type="auto"/>
            <w:hideMark/>
          </w:tcPr>
          <w:p w14:paraId="3ACDFCCA"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Political/Legal</w:t>
            </w:r>
          </w:p>
        </w:tc>
        <w:tc>
          <w:tcPr>
            <w:tcW w:w="0" w:type="auto"/>
            <w:hideMark/>
          </w:tcPr>
          <w:p w14:paraId="0B67A335"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Government policy continues to influence EV adoption through regulation and incentives, although support varies across markets (IEA, 2025).</w:t>
            </w:r>
          </w:p>
        </w:tc>
        <w:tc>
          <w:tcPr>
            <w:tcW w:w="0" w:type="auto"/>
            <w:hideMark/>
          </w:tcPr>
          <w:p w14:paraId="21ECE938"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Opportunity/Threat:</w:t>
            </w:r>
            <w:r w:rsidRPr="008635AA">
              <w:rPr>
                <w:rFonts w:ascii="Arial" w:eastAsia="Times New Roman" w:hAnsi="Arial" w:cs="Arial"/>
                <w:kern w:val="0"/>
                <w:lang w:eastAsia="en-KE"/>
                <w14:ligatures w14:val="none"/>
              </w:rPr>
              <w:t xml:space="preserve"> Electrification supports demand, but dependence on favourable policy creates uncertainty.</w:t>
            </w:r>
          </w:p>
        </w:tc>
      </w:tr>
      <w:tr w:rsidR="00F54147" w:rsidRPr="008635AA" w14:paraId="7301C048" w14:textId="77777777" w:rsidTr="003E03AF">
        <w:tc>
          <w:tcPr>
            <w:tcW w:w="0" w:type="auto"/>
            <w:hideMark/>
          </w:tcPr>
          <w:p w14:paraId="780D9604"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Economic</w:t>
            </w:r>
          </w:p>
        </w:tc>
        <w:tc>
          <w:tcPr>
            <w:tcW w:w="0" w:type="auto"/>
            <w:hideMark/>
          </w:tcPr>
          <w:p w14:paraId="3C4102C0"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EV markets continue to expand, while affordability is becoming increasingly important to consumer adoption (IEA, 2025).</w:t>
            </w:r>
          </w:p>
        </w:tc>
        <w:tc>
          <w:tcPr>
            <w:tcW w:w="0" w:type="auto"/>
            <w:hideMark/>
          </w:tcPr>
          <w:p w14:paraId="25135DC9"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Threat:</w:t>
            </w:r>
            <w:r w:rsidRPr="008635AA">
              <w:rPr>
                <w:rFonts w:ascii="Arial" w:eastAsia="Times New Roman" w:hAnsi="Arial" w:cs="Arial"/>
                <w:kern w:val="0"/>
                <w:lang w:eastAsia="en-KE"/>
                <w14:ligatures w14:val="none"/>
              </w:rPr>
              <w:t xml:space="preserve"> Tesla must balance competitive pricing with restoring profitability.</w:t>
            </w:r>
          </w:p>
        </w:tc>
      </w:tr>
      <w:tr w:rsidR="00F54147" w:rsidRPr="008635AA" w14:paraId="6657D672" w14:textId="77777777" w:rsidTr="003E03AF">
        <w:tc>
          <w:tcPr>
            <w:tcW w:w="0" w:type="auto"/>
            <w:hideMark/>
          </w:tcPr>
          <w:p w14:paraId="253A8950"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Social</w:t>
            </w:r>
          </w:p>
        </w:tc>
        <w:tc>
          <w:tcPr>
            <w:tcW w:w="0" w:type="auto"/>
            <w:hideMark/>
          </w:tcPr>
          <w:p w14:paraId="51B27EFA"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Adoption depends on affordability, charging accessibility and consumer-centred conditions rather than environmental benefits alone (</w:t>
            </w:r>
            <w:proofErr w:type="spellStart"/>
            <w:r w:rsidRPr="008635AA">
              <w:rPr>
                <w:rFonts w:ascii="Arial" w:eastAsia="Times New Roman" w:hAnsi="Arial" w:cs="Arial"/>
                <w:kern w:val="0"/>
                <w:lang w:eastAsia="en-KE"/>
                <w14:ligatures w14:val="none"/>
              </w:rPr>
              <w:t>Breschi</w:t>
            </w:r>
            <w:proofErr w:type="spellEnd"/>
            <w:r w:rsidRPr="008635AA">
              <w:rPr>
                <w:rFonts w:ascii="Arial" w:eastAsia="Times New Roman" w:hAnsi="Arial" w:cs="Arial"/>
                <w:kern w:val="0"/>
                <w:lang w:eastAsia="en-KE"/>
                <w14:ligatures w14:val="none"/>
              </w:rPr>
              <w:t xml:space="preserve"> et al., 2023).</w:t>
            </w:r>
          </w:p>
        </w:tc>
        <w:tc>
          <w:tcPr>
            <w:tcW w:w="0" w:type="auto"/>
            <w:hideMark/>
          </w:tcPr>
          <w:p w14:paraId="47BE3082"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Threat:</w:t>
            </w:r>
            <w:r w:rsidRPr="008635AA">
              <w:rPr>
                <w:rFonts w:ascii="Arial" w:eastAsia="Times New Roman" w:hAnsi="Arial" w:cs="Arial"/>
                <w:kern w:val="0"/>
                <w:lang w:eastAsia="en-KE"/>
                <w14:ligatures w14:val="none"/>
              </w:rPr>
              <w:t xml:space="preserve"> Technological superiority alone may not secure demand without accessible customer value.</w:t>
            </w:r>
          </w:p>
        </w:tc>
      </w:tr>
      <w:tr w:rsidR="00F54147" w:rsidRPr="008635AA" w14:paraId="42A9362F" w14:textId="77777777" w:rsidTr="003E03AF">
        <w:tc>
          <w:tcPr>
            <w:tcW w:w="0" w:type="auto"/>
            <w:hideMark/>
          </w:tcPr>
          <w:p w14:paraId="52CAD0D8"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Technological</w:t>
            </w:r>
          </w:p>
        </w:tc>
        <w:tc>
          <w:tcPr>
            <w:tcW w:w="0" w:type="auto"/>
            <w:hideMark/>
          </w:tcPr>
          <w:p w14:paraId="49BACADB"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EV competition increasingly extends beyond vehicles towards new business models and complementary services (Ziegler and Abdelkafi, 2021).</w:t>
            </w:r>
          </w:p>
        </w:tc>
        <w:tc>
          <w:tcPr>
            <w:tcW w:w="0" w:type="auto"/>
            <w:hideMark/>
          </w:tcPr>
          <w:p w14:paraId="1E050BFA"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Opportunity:</w:t>
            </w:r>
            <w:r w:rsidRPr="008635AA">
              <w:rPr>
                <w:rFonts w:ascii="Arial" w:eastAsia="Times New Roman" w:hAnsi="Arial" w:cs="Arial"/>
                <w:kern w:val="0"/>
                <w:lang w:eastAsia="en-KE"/>
                <w14:ligatures w14:val="none"/>
              </w:rPr>
              <w:t xml:space="preserve"> Tesla can differentiate through its wider technology ecosystem.</w:t>
            </w:r>
          </w:p>
        </w:tc>
      </w:tr>
      <w:tr w:rsidR="00F54147" w:rsidRPr="008635AA" w14:paraId="7FA02D27" w14:textId="77777777" w:rsidTr="003E03AF">
        <w:tc>
          <w:tcPr>
            <w:tcW w:w="0" w:type="auto"/>
            <w:hideMark/>
          </w:tcPr>
          <w:p w14:paraId="70908409"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Environmental</w:t>
            </w:r>
          </w:p>
        </w:tc>
        <w:tc>
          <w:tcPr>
            <w:tcW w:w="0" w:type="auto"/>
            <w:hideMark/>
          </w:tcPr>
          <w:p w14:paraId="73263ABD"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Continued transport electrification supports wider decarbonisation objectives (IEA, 2025).</w:t>
            </w:r>
          </w:p>
        </w:tc>
        <w:tc>
          <w:tcPr>
            <w:tcW w:w="0" w:type="auto"/>
            <w:hideMark/>
          </w:tcPr>
          <w:p w14:paraId="1CA84D0A"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Opportunity:</w:t>
            </w:r>
            <w:r w:rsidRPr="008635AA">
              <w:rPr>
                <w:rFonts w:ascii="Arial" w:eastAsia="Times New Roman" w:hAnsi="Arial" w:cs="Arial"/>
                <w:kern w:val="0"/>
                <w:lang w:eastAsia="en-KE"/>
                <w14:ligatures w14:val="none"/>
              </w:rPr>
              <w:t xml:space="preserve"> Tesla’s sustainability orientation remains aligned with structural industry change.</w:t>
            </w:r>
          </w:p>
        </w:tc>
      </w:tr>
    </w:tbl>
    <w:p w14:paraId="4ABAB441" w14:textId="77777777" w:rsidR="00F54147" w:rsidRPr="008635AA" w:rsidRDefault="00F54147" w:rsidP="008635AA">
      <w:pPr>
        <w:spacing w:line="360" w:lineRule="auto"/>
        <w:rPr>
          <w:rFonts w:ascii="Arial" w:hAnsi="Arial" w:cs="Arial"/>
        </w:rPr>
      </w:pPr>
      <w:r w:rsidRPr="008635AA">
        <w:rPr>
          <w:rFonts w:ascii="Arial" w:hAnsi="Arial" w:cs="Arial"/>
        </w:rPr>
        <w:t>Overall, the macro-environment is still positive for EV growth, however, if market expansion is to be achieved, it cannot be guaranteed that Tesla will follow suit due to varying policy and affordability.</w:t>
      </w:r>
    </w:p>
    <w:p w14:paraId="47E5A554" w14:textId="77777777" w:rsidR="00F54147" w:rsidRPr="008635AA" w:rsidRDefault="00F54147" w:rsidP="008635AA">
      <w:pPr>
        <w:pStyle w:val="Heading2"/>
        <w:spacing w:line="360" w:lineRule="auto"/>
        <w:rPr>
          <w:rFonts w:ascii="Arial" w:eastAsia="Times New Roman" w:hAnsi="Arial" w:cs="Arial"/>
          <w:sz w:val="24"/>
          <w:szCs w:val="24"/>
          <w:lang w:eastAsia="en-KE"/>
        </w:rPr>
      </w:pPr>
      <w:bookmarkStart w:id="7" w:name="_Toc237728556"/>
      <w:r w:rsidRPr="008635AA">
        <w:rPr>
          <w:rFonts w:ascii="Arial" w:eastAsia="Times New Roman" w:hAnsi="Arial" w:cs="Arial"/>
          <w:sz w:val="24"/>
          <w:szCs w:val="24"/>
          <w:lang w:eastAsia="en-KE"/>
        </w:rPr>
        <w:lastRenderedPageBreak/>
        <w:t>5.2 External Environmental Audit: Porter’s Five Forces</w:t>
      </w:r>
      <w:bookmarkEnd w:id="7"/>
    </w:p>
    <w:tbl>
      <w:tblPr>
        <w:tblStyle w:val="TableGridLight"/>
        <w:tblW w:w="0" w:type="auto"/>
        <w:tblLook w:val="04A0" w:firstRow="1" w:lastRow="0" w:firstColumn="1" w:lastColumn="0" w:noHBand="0" w:noVBand="1"/>
      </w:tblPr>
      <w:tblGrid>
        <w:gridCol w:w="1736"/>
        <w:gridCol w:w="4168"/>
        <w:gridCol w:w="3112"/>
      </w:tblGrid>
      <w:tr w:rsidR="00F54147" w:rsidRPr="008635AA" w14:paraId="3BFC9925" w14:textId="77777777" w:rsidTr="003E03AF">
        <w:tc>
          <w:tcPr>
            <w:tcW w:w="0" w:type="auto"/>
            <w:hideMark/>
          </w:tcPr>
          <w:p w14:paraId="50045AFC"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Force</w:t>
            </w:r>
          </w:p>
        </w:tc>
        <w:tc>
          <w:tcPr>
            <w:tcW w:w="0" w:type="auto"/>
            <w:hideMark/>
          </w:tcPr>
          <w:p w14:paraId="52235CB9"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Assessment</w:t>
            </w:r>
          </w:p>
        </w:tc>
        <w:tc>
          <w:tcPr>
            <w:tcW w:w="0" w:type="auto"/>
            <w:hideMark/>
          </w:tcPr>
          <w:p w14:paraId="31A9039E"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Strategic implication</w:t>
            </w:r>
          </w:p>
        </w:tc>
      </w:tr>
      <w:tr w:rsidR="00F54147" w:rsidRPr="008635AA" w14:paraId="18A2D469" w14:textId="77777777" w:rsidTr="003E03AF">
        <w:tc>
          <w:tcPr>
            <w:tcW w:w="0" w:type="auto"/>
            <w:hideMark/>
          </w:tcPr>
          <w:p w14:paraId="648BE4A0"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Competitive rivalry</w:t>
            </w:r>
          </w:p>
        </w:tc>
        <w:tc>
          <w:tcPr>
            <w:tcW w:w="0" w:type="auto"/>
            <w:hideMark/>
          </w:tcPr>
          <w:p w14:paraId="65CEB334"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High:</w:t>
            </w:r>
            <w:r w:rsidRPr="008635AA">
              <w:rPr>
                <w:rFonts w:ascii="Arial" w:eastAsia="Times New Roman" w:hAnsi="Arial" w:cs="Arial"/>
                <w:kern w:val="0"/>
                <w:lang w:eastAsia="en-KE"/>
                <w14:ligatures w14:val="none"/>
              </w:rPr>
              <w:t xml:space="preserve"> expanding EV markets have increased competitive participation and customer choice (IEA, 2025).</w:t>
            </w:r>
          </w:p>
        </w:tc>
        <w:tc>
          <w:tcPr>
            <w:tcW w:w="0" w:type="auto"/>
            <w:hideMark/>
          </w:tcPr>
          <w:p w14:paraId="45BDAD01"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Tesla faces greater pressure to differentiate while remaining price competitive.</w:t>
            </w:r>
          </w:p>
        </w:tc>
      </w:tr>
      <w:tr w:rsidR="00F54147" w:rsidRPr="008635AA" w14:paraId="3AF5B689" w14:textId="77777777" w:rsidTr="003E03AF">
        <w:tc>
          <w:tcPr>
            <w:tcW w:w="0" w:type="auto"/>
            <w:hideMark/>
          </w:tcPr>
          <w:p w14:paraId="39BB79D7"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Buyer power</w:t>
            </w:r>
          </w:p>
        </w:tc>
        <w:tc>
          <w:tcPr>
            <w:tcW w:w="0" w:type="auto"/>
            <w:hideMark/>
          </w:tcPr>
          <w:p w14:paraId="683E01B3"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Increasing:</w:t>
            </w:r>
            <w:r w:rsidRPr="008635AA">
              <w:rPr>
                <w:rFonts w:ascii="Arial" w:eastAsia="Times New Roman" w:hAnsi="Arial" w:cs="Arial"/>
                <w:kern w:val="0"/>
                <w:lang w:eastAsia="en-KE"/>
                <w14:ligatures w14:val="none"/>
              </w:rPr>
              <w:t xml:space="preserve"> competing EV technologies and value propositions broaden customer alternatives (</w:t>
            </w:r>
            <w:proofErr w:type="spellStart"/>
            <w:r w:rsidRPr="008635AA">
              <w:rPr>
                <w:rFonts w:ascii="Arial" w:eastAsia="Times New Roman" w:hAnsi="Arial" w:cs="Arial"/>
                <w:kern w:val="0"/>
                <w:lang w:eastAsia="en-KE"/>
                <w14:ligatures w14:val="none"/>
              </w:rPr>
              <w:t>Benzidia</w:t>
            </w:r>
            <w:proofErr w:type="spellEnd"/>
            <w:r w:rsidRPr="008635AA">
              <w:rPr>
                <w:rFonts w:ascii="Arial" w:eastAsia="Times New Roman" w:hAnsi="Arial" w:cs="Arial"/>
                <w:kern w:val="0"/>
                <w:lang w:eastAsia="en-KE"/>
                <w14:ligatures w14:val="none"/>
              </w:rPr>
              <w:t>, Luca and Boiko, 2020).</w:t>
            </w:r>
          </w:p>
        </w:tc>
        <w:tc>
          <w:tcPr>
            <w:tcW w:w="0" w:type="auto"/>
            <w:hideMark/>
          </w:tcPr>
          <w:p w14:paraId="2DD40CA4"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Customers can demand stronger combinations of price, technology and functionality.</w:t>
            </w:r>
          </w:p>
        </w:tc>
      </w:tr>
      <w:tr w:rsidR="00F54147" w:rsidRPr="008635AA" w14:paraId="0B96AAF1" w14:textId="77777777" w:rsidTr="003E03AF">
        <w:tc>
          <w:tcPr>
            <w:tcW w:w="0" w:type="auto"/>
            <w:hideMark/>
          </w:tcPr>
          <w:p w14:paraId="7F688021"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Supplier power</w:t>
            </w:r>
          </w:p>
        </w:tc>
        <w:tc>
          <w:tcPr>
            <w:tcW w:w="0" w:type="auto"/>
            <w:hideMark/>
          </w:tcPr>
          <w:p w14:paraId="67087470"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Moderate:</w:t>
            </w:r>
            <w:r w:rsidRPr="008635AA">
              <w:rPr>
                <w:rFonts w:ascii="Arial" w:eastAsia="Times New Roman" w:hAnsi="Arial" w:cs="Arial"/>
                <w:kern w:val="0"/>
                <w:lang w:eastAsia="en-KE"/>
                <w14:ligatures w14:val="none"/>
              </w:rPr>
              <w:t xml:space="preserve"> vertical integration across batteries, vehicles and charging reduces some external dependence (Naor, Coman and </w:t>
            </w:r>
            <w:proofErr w:type="spellStart"/>
            <w:r w:rsidRPr="008635AA">
              <w:rPr>
                <w:rFonts w:ascii="Arial" w:eastAsia="Times New Roman" w:hAnsi="Arial" w:cs="Arial"/>
                <w:kern w:val="0"/>
                <w:lang w:eastAsia="en-KE"/>
                <w14:ligatures w14:val="none"/>
              </w:rPr>
              <w:t>Wiznizer</w:t>
            </w:r>
            <w:proofErr w:type="spellEnd"/>
            <w:r w:rsidRPr="008635AA">
              <w:rPr>
                <w:rFonts w:ascii="Arial" w:eastAsia="Times New Roman" w:hAnsi="Arial" w:cs="Arial"/>
                <w:kern w:val="0"/>
                <w:lang w:eastAsia="en-KE"/>
                <w14:ligatures w14:val="none"/>
              </w:rPr>
              <w:t>, 2021).</w:t>
            </w:r>
          </w:p>
        </w:tc>
        <w:tc>
          <w:tcPr>
            <w:tcW w:w="0" w:type="auto"/>
            <w:hideMark/>
          </w:tcPr>
          <w:p w14:paraId="4A67CFAB"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Greater control improves resilience but transfers complexity internally.</w:t>
            </w:r>
          </w:p>
        </w:tc>
      </w:tr>
      <w:tr w:rsidR="00F54147" w:rsidRPr="008635AA" w14:paraId="2CB7C693" w14:textId="77777777" w:rsidTr="003E03AF">
        <w:tc>
          <w:tcPr>
            <w:tcW w:w="0" w:type="auto"/>
            <w:hideMark/>
          </w:tcPr>
          <w:p w14:paraId="2E288E88"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New entrants</w:t>
            </w:r>
          </w:p>
        </w:tc>
        <w:tc>
          <w:tcPr>
            <w:tcW w:w="0" w:type="auto"/>
            <w:hideMark/>
          </w:tcPr>
          <w:p w14:paraId="64F0CCF9"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Moderate:</w:t>
            </w:r>
            <w:r w:rsidRPr="008635AA">
              <w:rPr>
                <w:rFonts w:ascii="Arial" w:eastAsia="Times New Roman" w:hAnsi="Arial" w:cs="Arial"/>
                <w:kern w:val="0"/>
                <w:lang w:eastAsia="en-KE"/>
                <w14:ligatures w14:val="none"/>
              </w:rPr>
              <w:t xml:space="preserve"> automotive entry requires significant technological and commercial capabilities (Thomas and Maine, 2019).</w:t>
            </w:r>
          </w:p>
        </w:tc>
        <w:tc>
          <w:tcPr>
            <w:tcW w:w="0" w:type="auto"/>
            <w:hideMark/>
          </w:tcPr>
          <w:p w14:paraId="04F456EF"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Entry barriers provide protection but do not prevent competitive disruption.</w:t>
            </w:r>
          </w:p>
        </w:tc>
      </w:tr>
      <w:tr w:rsidR="00F54147" w:rsidRPr="008635AA" w14:paraId="3376DE98" w14:textId="77777777" w:rsidTr="003E03AF">
        <w:tc>
          <w:tcPr>
            <w:tcW w:w="0" w:type="auto"/>
            <w:hideMark/>
          </w:tcPr>
          <w:p w14:paraId="2149AE46"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Substitutes</w:t>
            </w:r>
          </w:p>
        </w:tc>
        <w:tc>
          <w:tcPr>
            <w:tcW w:w="0" w:type="auto"/>
            <w:hideMark/>
          </w:tcPr>
          <w:p w14:paraId="22AF881A"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Moderate:</w:t>
            </w:r>
            <w:r w:rsidRPr="008635AA">
              <w:rPr>
                <w:rFonts w:ascii="Arial" w:eastAsia="Times New Roman" w:hAnsi="Arial" w:cs="Arial"/>
                <w:kern w:val="0"/>
                <w:lang w:eastAsia="en-KE"/>
                <w14:ligatures w14:val="none"/>
              </w:rPr>
              <w:t xml:space="preserve"> alternative EV business models compete through different customer value propositions (Ziegler and Abdelkafi, 2021).</w:t>
            </w:r>
          </w:p>
        </w:tc>
        <w:tc>
          <w:tcPr>
            <w:tcW w:w="0" w:type="auto"/>
            <w:hideMark/>
          </w:tcPr>
          <w:p w14:paraId="43050AA9"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Electrification alone is insufficient for differentiation.</w:t>
            </w:r>
          </w:p>
        </w:tc>
      </w:tr>
    </w:tbl>
    <w:p w14:paraId="53249B8D" w14:textId="77777777" w:rsidR="00F54147" w:rsidRPr="008635AA" w:rsidRDefault="00F54147" w:rsidP="008635AA">
      <w:pPr>
        <w:spacing w:line="360" w:lineRule="auto"/>
        <w:rPr>
          <w:rFonts w:ascii="Arial" w:hAnsi="Arial" w:cs="Arial"/>
        </w:rPr>
      </w:pPr>
      <w:r w:rsidRPr="008635AA">
        <w:rPr>
          <w:rFonts w:ascii="Arial" w:hAnsi="Arial" w:cs="Arial"/>
        </w:rPr>
        <w:t>Rivalry and the increasing power of the buyer therefore is the most powerful pressure. Tesla is competing in a lucrative growth industry, but it gets harder to grow the business every day.</w:t>
      </w:r>
    </w:p>
    <w:p w14:paraId="0D435A93" w14:textId="77777777" w:rsidR="00F54147" w:rsidRPr="008635AA" w:rsidRDefault="00F54147" w:rsidP="008635AA">
      <w:pPr>
        <w:pStyle w:val="Heading2"/>
        <w:spacing w:line="360" w:lineRule="auto"/>
        <w:rPr>
          <w:rFonts w:ascii="Arial" w:eastAsia="Times New Roman" w:hAnsi="Arial" w:cs="Arial"/>
          <w:sz w:val="24"/>
          <w:szCs w:val="24"/>
          <w:lang w:eastAsia="en-KE"/>
        </w:rPr>
      </w:pPr>
      <w:bookmarkStart w:id="8" w:name="_Toc237728557"/>
      <w:r w:rsidRPr="008635AA">
        <w:rPr>
          <w:rFonts w:ascii="Arial" w:eastAsia="Times New Roman" w:hAnsi="Arial" w:cs="Arial"/>
          <w:sz w:val="24"/>
          <w:szCs w:val="24"/>
          <w:lang w:eastAsia="en-KE"/>
        </w:rPr>
        <w:t>5.3 Internal Environmental Audit: SWOT</w:t>
      </w:r>
      <w:bookmarkEnd w:id="8"/>
    </w:p>
    <w:tbl>
      <w:tblPr>
        <w:tblStyle w:val="TableGridLight"/>
        <w:tblW w:w="0" w:type="auto"/>
        <w:tblLook w:val="04A0" w:firstRow="1" w:lastRow="0" w:firstColumn="1" w:lastColumn="0" w:noHBand="0" w:noVBand="1"/>
      </w:tblPr>
      <w:tblGrid>
        <w:gridCol w:w="4375"/>
        <w:gridCol w:w="4641"/>
      </w:tblGrid>
      <w:tr w:rsidR="00F54147" w:rsidRPr="008635AA" w14:paraId="2FC2474E" w14:textId="77777777" w:rsidTr="003E03AF">
        <w:tc>
          <w:tcPr>
            <w:tcW w:w="0" w:type="auto"/>
            <w:hideMark/>
          </w:tcPr>
          <w:p w14:paraId="6BF6617D"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Strengths</w:t>
            </w:r>
          </w:p>
        </w:tc>
        <w:tc>
          <w:tcPr>
            <w:tcW w:w="0" w:type="auto"/>
            <w:hideMark/>
          </w:tcPr>
          <w:p w14:paraId="6606D911"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Weaknesses</w:t>
            </w:r>
          </w:p>
        </w:tc>
      </w:tr>
      <w:tr w:rsidR="00F54147" w:rsidRPr="008635AA" w14:paraId="7442E3EE" w14:textId="77777777" w:rsidTr="003E03AF">
        <w:tc>
          <w:tcPr>
            <w:tcW w:w="0" w:type="auto"/>
            <w:hideMark/>
          </w:tcPr>
          <w:p w14:paraId="4B3644EA"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 xml:space="preserve">Integrated product architecture enables coordination across technologically interdependent components (Chen, Chowdhury and </w:t>
            </w:r>
            <w:proofErr w:type="spellStart"/>
            <w:r w:rsidRPr="008635AA">
              <w:rPr>
                <w:rFonts w:ascii="Arial" w:eastAsia="Times New Roman" w:hAnsi="Arial" w:cs="Arial"/>
                <w:kern w:val="0"/>
                <w:lang w:eastAsia="en-KE"/>
                <w14:ligatures w14:val="none"/>
              </w:rPr>
              <w:t>Donada</w:t>
            </w:r>
            <w:proofErr w:type="spellEnd"/>
            <w:r w:rsidRPr="008635AA">
              <w:rPr>
                <w:rFonts w:ascii="Arial" w:eastAsia="Times New Roman" w:hAnsi="Arial" w:cs="Arial"/>
                <w:kern w:val="0"/>
                <w:lang w:eastAsia="en-KE"/>
                <w14:ligatures w14:val="none"/>
              </w:rPr>
              <w:t>, 2019).</w:t>
            </w:r>
          </w:p>
        </w:tc>
        <w:tc>
          <w:tcPr>
            <w:tcW w:w="0" w:type="auto"/>
            <w:hideMark/>
          </w:tcPr>
          <w:p w14:paraId="7BFEAD14"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Declining 2025 automotive revenue, deliveries and profitability indicate weakening commercial performance (Tesla Investor Relations, 2025 Annual Report, 2025).</w:t>
            </w:r>
          </w:p>
        </w:tc>
      </w:tr>
      <w:tr w:rsidR="00F54147" w:rsidRPr="008635AA" w14:paraId="582004D6" w14:textId="77777777" w:rsidTr="003E03AF">
        <w:tc>
          <w:tcPr>
            <w:tcW w:w="0" w:type="auto"/>
            <w:hideMark/>
          </w:tcPr>
          <w:p w14:paraId="452F117B"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lastRenderedPageBreak/>
              <w:t xml:space="preserve">Vertical integration strengthens control across important EV value-chain activities (Naor, Coman and </w:t>
            </w:r>
            <w:proofErr w:type="spellStart"/>
            <w:r w:rsidRPr="008635AA">
              <w:rPr>
                <w:rFonts w:ascii="Arial" w:eastAsia="Times New Roman" w:hAnsi="Arial" w:cs="Arial"/>
                <w:kern w:val="0"/>
                <w:lang w:eastAsia="en-KE"/>
                <w14:ligatures w14:val="none"/>
              </w:rPr>
              <w:t>Wiznizer</w:t>
            </w:r>
            <w:proofErr w:type="spellEnd"/>
            <w:r w:rsidRPr="008635AA">
              <w:rPr>
                <w:rFonts w:ascii="Arial" w:eastAsia="Times New Roman" w:hAnsi="Arial" w:cs="Arial"/>
                <w:kern w:val="0"/>
                <w:lang w:eastAsia="en-KE"/>
                <w14:ligatures w14:val="none"/>
              </w:rPr>
              <w:t>, 2021).</w:t>
            </w:r>
          </w:p>
        </w:tc>
        <w:tc>
          <w:tcPr>
            <w:tcW w:w="0" w:type="auto"/>
            <w:hideMark/>
          </w:tcPr>
          <w:p w14:paraId="39BE6471"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Extensive internalisation may reduce flexibility where external innovation provides superior capabilities (Harryson and Lorange, 2024).</w:t>
            </w:r>
          </w:p>
        </w:tc>
      </w:tr>
    </w:tbl>
    <w:p w14:paraId="5F667203" w14:textId="77777777" w:rsidR="00F54147" w:rsidRPr="008635AA" w:rsidRDefault="00F54147" w:rsidP="008635AA">
      <w:pPr>
        <w:spacing w:after="0" w:line="360" w:lineRule="auto"/>
        <w:rPr>
          <w:rFonts w:ascii="Arial" w:eastAsia="Times New Roman" w:hAnsi="Arial" w:cs="Arial"/>
          <w:vanish/>
          <w:kern w:val="0"/>
          <w:lang w:eastAsia="en-KE"/>
          <w14:ligatures w14:val="none"/>
        </w:rPr>
      </w:pPr>
    </w:p>
    <w:tbl>
      <w:tblPr>
        <w:tblStyle w:val="TableGridLight"/>
        <w:tblW w:w="0" w:type="auto"/>
        <w:tblLook w:val="04A0" w:firstRow="1" w:lastRow="0" w:firstColumn="1" w:lastColumn="0" w:noHBand="0" w:noVBand="1"/>
      </w:tblPr>
      <w:tblGrid>
        <w:gridCol w:w="4234"/>
        <w:gridCol w:w="4782"/>
      </w:tblGrid>
      <w:tr w:rsidR="00F54147" w:rsidRPr="008635AA" w14:paraId="1CFD9378" w14:textId="77777777" w:rsidTr="003E03AF">
        <w:tc>
          <w:tcPr>
            <w:tcW w:w="0" w:type="auto"/>
            <w:hideMark/>
          </w:tcPr>
          <w:p w14:paraId="7830C8FC"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Opportunities</w:t>
            </w:r>
          </w:p>
        </w:tc>
        <w:tc>
          <w:tcPr>
            <w:tcW w:w="0" w:type="auto"/>
            <w:hideMark/>
          </w:tcPr>
          <w:p w14:paraId="029B5AF8"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Threats</w:t>
            </w:r>
          </w:p>
        </w:tc>
      </w:tr>
      <w:tr w:rsidR="00F54147" w:rsidRPr="008635AA" w14:paraId="5B93DC4B" w14:textId="77777777" w:rsidTr="003E03AF">
        <w:tc>
          <w:tcPr>
            <w:tcW w:w="0" w:type="auto"/>
            <w:hideMark/>
          </w:tcPr>
          <w:p w14:paraId="470F1EFD"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Continued global EV expansion creates potential for renewed automotive growth (IEA, 2025).</w:t>
            </w:r>
          </w:p>
        </w:tc>
        <w:tc>
          <w:tcPr>
            <w:tcW w:w="0" w:type="auto"/>
            <w:hideMark/>
          </w:tcPr>
          <w:p w14:paraId="2A24A9D3"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Greater market choice means EV-sector growth need not produce equivalent growth for Tesla (Global EV Outlook 2025 - Data Product - IEA, 2025).</w:t>
            </w:r>
          </w:p>
        </w:tc>
      </w:tr>
      <w:tr w:rsidR="00F54147" w:rsidRPr="008635AA" w14:paraId="672FFBD1" w14:textId="77777777" w:rsidTr="003E03AF">
        <w:tc>
          <w:tcPr>
            <w:tcW w:w="0" w:type="auto"/>
            <w:hideMark/>
          </w:tcPr>
          <w:p w14:paraId="5276FE84"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Evolving EV business models provide opportunities to capture value beyond vehicle sales (Ziegler and Abdelkafi, 2021).</w:t>
            </w:r>
          </w:p>
        </w:tc>
        <w:tc>
          <w:tcPr>
            <w:tcW w:w="0" w:type="auto"/>
            <w:hideMark/>
          </w:tcPr>
          <w:p w14:paraId="3A0EDC8E"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Intensifying competition increases pressure on affordability and differentiation (IEA, 2025).</w:t>
            </w:r>
          </w:p>
        </w:tc>
      </w:tr>
    </w:tbl>
    <w:p w14:paraId="6E630D9A" w14:textId="77777777" w:rsidR="00F54147" w:rsidRPr="008635AA" w:rsidRDefault="00F54147" w:rsidP="008635AA">
      <w:pPr>
        <w:spacing w:line="360" w:lineRule="auto"/>
        <w:rPr>
          <w:rFonts w:ascii="Arial" w:hAnsi="Arial" w:cs="Arial"/>
        </w:rPr>
      </w:pPr>
      <w:r w:rsidRPr="008635AA">
        <w:rPr>
          <w:rFonts w:ascii="Arial" w:hAnsi="Arial" w:cs="Arial"/>
        </w:rPr>
        <w:t>The main conflict is therefore between the high level of integration and deteriorating commercial results. Tesla has some things that are relevant to the growth of EVs, but they need to be translated into better value to the customer.</w:t>
      </w:r>
    </w:p>
    <w:p w14:paraId="3F285C27" w14:textId="77777777" w:rsidR="00F54147" w:rsidRPr="008635AA" w:rsidRDefault="00F54147" w:rsidP="008635AA">
      <w:pPr>
        <w:pStyle w:val="Heading2"/>
        <w:rPr>
          <w:rFonts w:ascii="Arial" w:eastAsia="Times New Roman" w:hAnsi="Arial" w:cs="Arial"/>
          <w:sz w:val="24"/>
          <w:szCs w:val="24"/>
          <w:lang w:eastAsia="en-KE"/>
        </w:rPr>
      </w:pPr>
      <w:bookmarkStart w:id="9" w:name="_Toc237728558"/>
      <w:r w:rsidRPr="008635AA">
        <w:rPr>
          <w:rFonts w:ascii="Arial" w:eastAsia="Times New Roman" w:hAnsi="Arial" w:cs="Arial"/>
          <w:sz w:val="24"/>
          <w:szCs w:val="24"/>
          <w:lang w:eastAsia="en-KE"/>
        </w:rPr>
        <w:t>5.4 Internal Environmental Audit: VRIO</w:t>
      </w:r>
      <w:bookmarkEnd w:id="9"/>
    </w:p>
    <w:tbl>
      <w:tblPr>
        <w:tblStyle w:val="TableGridLight"/>
        <w:tblW w:w="0" w:type="auto"/>
        <w:tblLook w:val="04A0" w:firstRow="1" w:lastRow="0" w:firstColumn="1" w:lastColumn="0" w:noHBand="0" w:noVBand="1"/>
      </w:tblPr>
      <w:tblGrid>
        <w:gridCol w:w="2319"/>
        <w:gridCol w:w="1132"/>
        <w:gridCol w:w="847"/>
        <w:gridCol w:w="1045"/>
        <w:gridCol w:w="1317"/>
        <w:gridCol w:w="2356"/>
      </w:tblGrid>
      <w:tr w:rsidR="00F54147" w:rsidRPr="008635AA" w14:paraId="1837E72E" w14:textId="77777777" w:rsidTr="003E03AF">
        <w:tc>
          <w:tcPr>
            <w:tcW w:w="0" w:type="auto"/>
            <w:hideMark/>
          </w:tcPr>
          <w:p w14:paraId="0A640715"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Resource/capability</w:t>
            </w:r>
          </w:p>
        </w:tc>
        <w:tc>
          <w:tcPr>
            <w:tcW w:w="0" w:type="auto"/>
            <w:hideMark/>
          </w:tcPr>
          <w:p w14:paraId="3A706BF9"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Valuable</w:t>
            </w:r>
          </w:p>
        </w:tc>
        <w:tc>
          <w:tcPr>
            <w:tcW w:w="0" w:type="auto"/>
            <w:hideMark/>
          </w:tcPr>
          <w:p w14:paraId="05EB03E8"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Rare</w:t>
            </w:r>
          </w:p>
        </w:tc>
        <w:tc>
          <w:tcPr>
            <w:tcW w:w="0" w:type="auto"/>
            <w:hideMark/>
          </w:tcPr>
          <w:p w14:paraId="24018398"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Difficult to imitate</w:t>
            </w:r>
          </w:p>
        </w:tc>
        <w:tc>
          <w:tcPr>
            <w:tcW w:w="0" w:type="auto"/>
            <w:hideMark/>
          </w:tcPr>
          <w:p w14:paraId="69222D6A"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Organised</w:t>
            </w:r>
          </w:p>
        </w:tc>
        <w:tc>
          <w:tcPr>
            <w:tcW w:w="0" w:type="auto"/>
            <w:hideMark/>
          </w:tcPr>
          <w:p w14:paraId="5F353B7C" w14:textId="77777777" w:rsidR="00F54147" w:rsidRPr="008635AA" w:rsidRDefault="00F54147" w:rsidP="008635AA">
            <w:pPr>
              <w:spacing w:line="360" w:lineRule="auto"/>
              <w:jc w:val="center"/>
              <w:rPr>
                <w:rFonts w:ascii="Arial" w:eastAsia="Times New Roman" w:hAnsi="Arial" w:cs="Arial"/>
                <w:b/>
                <w:bCs/>
                <w:kern w:val="0"/>
                <w:lang w:eastAsia="en-KE"/>
                <w14:ligatures w14:val="none"/>
              </w:rPr>
            </w:pPr>
            <w:r w:rsidRPr="008635AA">
              <w:rPr>
                <w:rFonts w:ascii="Arial" w:eastAsia="Times New Roman" w:hAnsi="Arial" w:cs="Arial"/>
                <w:b/>
                <w:bCs/>
                <w:kern w:val="0"/>
                <w:lang w:eastAsia="en-KE"/>
                <w14:ligatures w14:val="none"/>
              </w:rPr>
              <w:t>Competitive implication</w:t>
            </w:r>
          </w:p>
        </w:tc>
      </w:tr>
      <w:tr w:rsidR="00F54147" w:rsidRPr="008635AA" w14:paraId="3C16307E" w14:textId="77777777" w:rsidTr="003E03AF">
        <w:tc>
          <w:tcPr>
            <w:tcW w:w="0" w:type="auto"/>
            <w:hideMark/>
          </w:tcPr>
          <w:p w14:paraId="33AC8F1A"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Integrated product architecture</w:t>
            </w:r>
          </w:p>
        </w:tc>
        <w:tc>
          <w:tcPr>
            <w:tcW w:w="0" w:type="auto"/>
            <w:hideMark/>
          </w:tcPr>
          <w:p w14:paraId="7DFAA58B"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Segoe UI Symbol" w:eastAsia="Times New Roman" w:hAnsi="Segoe UI Symbol" w:cs="Segoe UI Symbol"/>
                <w:kern w:val="0"/>
                <w:lang w:eastAsia="en-KE"/>
                <w14:ligatures w14:val="none"/>
              </w:rPr>
              <w:t>✓</w:t>
            </w:r>
          </w:p>
        </w:tc>
        <w:tc>
          <w:tcPr>
            <w:tcW w:w="0" w:type="auto"/>
            <w:hideMark/>
          </w:tcPr>
          <w:p w14:paraId="13ADC22E"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Segoe UI Symbol" w:eastAsia="Times New Roman" w:hAnsi="Segoe UI Symbol" w:cs="Segoe UI Symbol"/>
                <w:kern w:val="0"/>
                <w:lang w:eastAsia="en-KE"/>
                <w14:ligatures w14:val="none"/>
              </w:rPr>
              <w:t>✓</w:t>
            </w:r>
          </w:p>
        </w:tc>
        <w:tc>
          <w:tcPr>
            <w:tcW w:w="0" w:type="auto"/>
            <w:hideMark/>
          </w:tcPr>
          <w:p w14:paraId="0BFF1BC8"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Partial</w:t>
            </w:r>
          </w:p>
        </w:tc>
        <w:tc>
          <w:tcPr>
            <w:tcW w:w="0" w:type="auto"/>
            <w:hideMark/>
          </w:tcPr>
          <w:p w14:paraId="54D97C8E"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Segoe UI Symbol" w:eastAsia="Times New Roman" w:hAnsi="Segoe UI Symbol" w:cs="Segoe UI Symbol"/>
                <w:kern w:val="0"/>
                <w:lang w:eastAsia="en-KE"/>
                <w14:ligatures w14:val="none"/>
              </w:rPr>
              <w:t>✓</w:t>
            </w:r>
          </w:p>
        </w:tc>
        <w:tc>
          <w:tcPr>
            <w:tcW w:w="0" w:type="auto"/>
            <w:hideMark/>
          </w:tcPr>
          <w:p w14:paraId="368C3691"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Temporary/potential sustained advantage</w:t>
            </w:r>
          </w:p>
        </w:tc>
      </w:tr>
      <w:tr w:rsidR="00F54147" w:rsidRPr="008635AA" w14:paraId="1CB1D151" w14:textId="77777777" w:rsidTr="003E03AF">
        <w:tc>
          <w:tcPr>
            <w:tcW w:w="0" w:type="auto"/>
            <w:hideMark/>
          </w:tcPr>
          <w:p w14:paraId="3A4F271E"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Vertical integration</w:t>
            </w:r>
          </w:p>
        </w:tc>
        <w:tc>
          <w:tcPr>
            <w:tcW w:w="0" w:type="auto"/>
            <w:hideMark/>
          </w:tcPr>
          <w:p w14:paraId="099C7F78"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Segoe UI Symbol" w:eastAsia="Times New Roman" w:hAnsi="Segoe UI Symbol" w:cs="Segoe UI Symbol"/>
                <w:kern w:val="0"/>
                <w:lang w:eastAsia="en-KE"/>
                <w14:ligatures w14:val="none"/>
              </w:rPr>
              <w:t>✓</w:t>
            </w:r>
          </w:p>
        </w:tc>
        <w:tc>
          <w:tcPr>
            <w:tcW w:w="0" w:type="auto"/>
            <w:hideMark/>
          </w:tcPr>
          <w:p w14:paraId="53D2E2B4"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Partial</w:t>
            </w:r>
          </w:p>
        </w:tc>
        <w:tc>
          <w:tcPr>
            <w:tcW w:w="0" w:type="auto"/>
            <w:hideMark/>
          </w:tcPr>
          <w:p w14:paraId="5C4FF180"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Partial</w:t>
            </w:r>
          </w:p>
        </w:tc>
        <w:tc>
          <w:tcPr>
            <w:tcW w:w="0" w:type="auto"/>
            <w:hideMark/>
          </w:tcPr>
          <w:p w14:paraId="01F09ABD"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Segoe UI Symbol" w:eastAsia="Times New Roman" w:hAnsi="Segoe UI Symbol" w:cs="Segoe UI Symbol"/>
                <w:kern w:val="0"/>
                <w:lang w:eastAsia="en-KE"/>
                <w14:ligatures w14:val="none"/>
              </w:rPr>
              <w:t>✓</w:t>
            </w:r>
          </w:p>
        </w:tc>
        <w:tc>
          <w:tcPr>
            <w:tcW w:w="0" w:type="auto"/>
            <w:hideMark/>
          </w:tcPr>
          <w:p w14:paraId="066CF2F8"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Temporary advantage</w:t>
            </w:r>
          </w:p>
        </w:tc>
      </w:tr>
      <w:tr w:rsidR="00F54147" w:rsidRPr="008635AA" w14:paraId="578F4D5A" w14:textId="77777777" w:rsidTr="003E03AF">
        <w:tc>
          <w:tcPr>
            <w:tcW w:w="0" w:type="auto"/>
            <w:hideMark/>
          </w:tcPr>
          <w:p w14:paraId="6CB7C3E4"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Manufacturing and technological capability</w:t>
            </w:r>
          </w:p>
        </w:tc>
        <w:tc>
          <w:tcPr>
            <w:tcW w:w="0" w:type="auto"/>
            <w:hideMark/>
          </w:tcPr>
          <w:p w14:paraId="60E2EA9D"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Segoe UI Symbol" w:eastAsia="Times New Roman" w:hAnsi="Segoe UI Symbol" w:cs="Segoe UI Symbol"/>
                <w:kern w:val="0"/>
                <w:lang w:eastAsia="en-KE"/>
                <w14:ligatures w14:val="none"/>
              </w:rPr>
              <w:t>✓</w:t>
            </w:r>
          </w:p>
        </w:tc>
        <w:tc>
          <w:tcPr>
            <w:tcW w:w="0" w:type="auto"/>
            <w:hideMark/>
          </w:tcPr>
          <w:p w14:paraId="7C4F771A"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Partial</w:t>
            </w:r>
          </w:p>
        </w:tc>
        <w:tc>
          <w:tcPr>
            <w:tcW w:w="0" w:type="auto"/>
            <w:hideMark/>
          </w:tcPr>
          <w:p w14:paraId="0F991A22"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Arial" w:eastAsia="Times New Roman" w:hAnsi="Arial" w:cs="Arial"/>
                <w:kern w:val="0"/>
                <w:lang w:eastAsia="en-KE"/>
                <w14:ligatures w14:val="none"/>
              </w:rPr>
              <w:t>Partial</w:t>
            </w:r>
          </w:p>
        </w:tc>
        <w:tc>
          <w:tcPr>
            <w:tcW w:w="0" w:type="auto"/>
            <w:hideMark/>
          </w:tcPr>
          <w:p w14:paraId="7F8C3D39" w14:textId="77777777" w:rsidR="00F54147" w:rsidRPr="008635AA" w:rsidRDefault="00F54147" w:rsidP="008635AA">
            <w:pPr>
              <w:spacing w:line="360" w:lineRule="auto"/>
              <w:jc w:val="center"/>
              <w:rPr>
                <w:rFonts w:ascii="Arial" w:eastAsia="Times New Roman" w:hAnsi="Arial" w:cs="Arial"/>
                <w:kern w:val="0"/>
                <w:lang w:eastAsia="en-KE"/>
                <w14:ligatures w14:val="none"/>
              </w:rPr>
            </w:pPr>
            <w:r w:rsidRPr="008635AA">
              <w:rPr>
                <w:rFonts w:ascii="Segoe UI Symbol" w:eastAsia="Times New Roman" w:hAnsi="Segoe UI Symbol" w:cs="Segoe UI Symbol"/>
                <w:kern w:val="0"/>
                <w:lang w:eastAsia="en-KE"/>
                <w14:ligatures w14:val="none"/>
              </w:rPr>
              <w:t>✓</w:t>
            </w:r>
          </w:p>
        </w:tc>
        <w:tc>
          <w:tcPr>
            <w:tcW w:w="0" w:type="auto"/>
            <w:hideMark/>
          </w:tcPr>
          <w:p w14:paraId="4215C0B9" w14:textId="77777777" w:rsidR="00F54147" w:rsidRPr="008635AA" w:rsidRDefault="00F54147" w:rsidP="008635AA">
            <w:pPr>
              <w:spacing w:line="360" w:lineRule="auto"/>
              <w:rPr>
                <w:rFonts w:ascii="Arial" w:eastAsia="Times New Roman" w:hAnsi="Arial" w:cs="Arial"/>
                <w:kern w:val="0"/>
                <w:lang w:eastAsia="en-KE"/>
                <w14:ligatures w14:val="none"/>
              </w:rPr>
            </w:pPr>
            <w:r w:rsidRPr="008635AA">
              <w:rPr>
                <w:rFonts w:ascii="Arial" w:eastAsia="Times New Roman" w:hAnsi="Arial" w:cs="Arial"/>
                <w:b/>
                <w:bCs/>
                <w:kern w:val="0"/>
                <w:lang w:eastAsia="en-KE"/>
                <w14:ligatures w14:val="none"/>
              </w:rPr>
              <w:t>Competitive strength</w:t>
            </w:r>
          </w:p>
        </w:tc>
      </w:tr>
    </w:tbl>
    <w:p w14:paraId="3BF6061F" w14:textId="752EFFAF" w:rsidR="00F54147" w:rsidRPr="008635AA" w:rsidRDefault="00F54147" w:rsidP="008635AA">
      <w:pPr>
        <w:spacing w:line="360" w:lineRule="auto"/>
        <w:rPr>
          <w:rFonts w:ascii="Arial" w:hAnsi="Arial" w:cs="Arial"/>
        </w:rPr>
      </w:pPr>
      <w:r w:rsidRPr="008635AA">
        <w:rPr>
          <w:rFonts w:ascii="Arial" w:hAnsi="Arial" w:cs="Arial"/>
        </w:rPr>
        <w:t xml:space="preserve">Sustained advantage is about resources that fulfil all four VRIO conditions, and not just about creating value (Barney and Hesterly, 2015). Tesla's integrated architecture has the potential to enhance coordination between integrated and interdependent technologies (Chen, Chowdhury and </w:t>
      </w:r>
      <w:proofErr w:type="spellStart"/>
      <w:r w:rsidRPr="008635AA">
        <w:rPr>
          <w:rFonts w:ascii="Arial" w:hAnsi="Arial" w:cs="Arial"/>
        </w:rPr>
        <w:t>Donada</w:t>
      </w:r>
      <w:proofErr w:type="spellEnd"/>
      <w:r w:rsidRPr="008635AA">
        <w:rPr>
          <w:rFonts w:ascii="Arial" w:hAnsi="Arial" w:cs="Arial"/>
        </w:rPr>
        <w:t xml:space="preserve">, 2019). Vertical integration is not necessarily rare and impossible to imitate, however, because there are alternative </w:t>
      </w:r>
      <w:r w:rsidRPr="008635AA">
        <w:rPr>
          <w:rFonts w:ascii="Arial" w:hAnsi="Arial" w:cs="Arial"/>
        </w:rPr>
        <w:lastRenderedPageBreak/>
        <w:t xml:space="preserve">routes to value creation through open innovation (Harryson and Lorange, 2024). What really matters is that the results of the integration are not easily replicable, not </w:t>
      </w:r>
      <w:r w:rsidR="00CD15BA" w:rsidRPr="008635AA">
        <w:rPr>
          <w:rFonts w:ascii="Arial" w:hAnsi="Arial" w:cs="Arial"/>
        </w:rPr>
        <w:t>integration. It’s</w:t>
      </w:r>
      <w:r w:rsidRPr="008635AA">
        <w:rPr>
          <w:rFonts w:ascii="Arial" w:hAnsi="Arial" w:cs="Arial"/>
        </w:rPr>
        <w:t xml:space="preserve"> not integration, it's the results of integration, that's where Tesla gets its edge.</w:t>
      </w:r>
    </w:p>
    <w:p w14:paraId="43E5D90A" w14:textId="77777777" w:rsidR="00CD15BA" w:rsidRPr="008635AA" w:rsidRDefault="00CD15BA" w:rsidP="008635AA">
      <w:pPr>
        <w:pStyle w:val="Heading2"/>
        <w:rPr>
          <w:rFonts w:ascii="Arial" w:hAnsi="Arial" w:cs="Arial"/>
          <w:sz w:val="24"/>
          <w:szCs w:val="24"/>
        </w:rPr>
      </w:pPr>
      <w:bookmarkStart w:id="10" w:name="_Toc237728559"/>
      <w:r w:rsidRPr="008635AA">
        <w:rPr>
          <w:rFonts w:ascii="Arial" w:hAnsi="Arial" w:cs="Arial"/>
          <w:sz w:val="24"/>
          <w:szCs w:val="24"/>
        </w:rPr>
        <w:t>5.5 Internal Environmental Audit: BCG Matrix</w:t>
      </w:r>
      <w:bookmarkEnd w:id="10"/>
    </w:p>
    <w:p w14:paraId="63C43D88" w14:textId="679ADF1E" w:rsidR="00CD15BA" w:rsidRPr="008635AA" w:rsidRDefault="00CD15BA" w:rsidP="008635AA">
      <w:pPr>
        <w:spacing w:line="360" w:lineRule="auto"/>
        <w:rPr>
          <w:rFonts w:ascii="Arial" w:hAnsi="Arial" w:cs="Arial"/>
        </w:rPr>
      </w:pPr>
      <w:r w:rsidRPr="008635AA">
        <w:rPr>
          <w:rFonts w:ascii="Arial" w:hAnsi="Arial" w:cs="Arial"/>
        </w:rPr>
        <w:t xml:space="preserve">While Tesla's automotive business is gaining market share in the growing EV market, company deliveries have dropped in 2025 (Tesla Investor Relations, 2025 Annual Report, 2025). However, the long-term attractiveness of the market remains strong, thanks to the continued growth of global EVs (IEA, 2025). This means there is a significant market growth difference from Tesla growth. A </w:t>
      </w:r>
      <w:r w:rsidRPr="008635AA">
        <w:rPr>
          <w:rFonts w:ascii="Arial" w:hAnsi="Arial" w:cs="Arial"/>
        </w:rPr>
        <w:t>favourable</w:t>
      </w:r>
      <w:r w:rsidRPr="008635AA">
        <w:rPr>
          <w:rFonts w:ascii="Arial" w:hAnsi="Arial" w:cs="Arial"/>
        </w:rPr>
        <w:t xml:space="preserve"> placement in a company's portfolio should be based on the allocation of resources to automotive offerings that can restore competitive growth and profitability, rather than a take no </w:t>
      </w:r>
      <w:r w:rsidRPr="008635AA">
        <w:rPr>
          <w:rFonts w:ascii="Arial" w:hAnsi="Arial" w:cs="Arial"/>
        </w:rPr>
        <w:t>prisoner’s</w:t>
      </w:r>
      <w:r w:rsidRPr="008635AA">
        <w:rPr>
          <w:rFonts w:ascii="Arial" w:hAnsi="Arial" w:cs="Arial"/>
        </w:rPr>
        <w:t xml:space="preserve"> attitude.</w:t>
      </w:r>
    </w:p>
    <w:p w14:paraId="7A796FA2" w14:textId="77777777" w:rsidR="00CD15BA" w:rsidRPr="008635AA" w:rsidRDefault="00CD15BA" w:rsidP="008635AA">
      <w:pPr>
        <w:spacing w:line="360" w:lineRule="auto"/>
        <w:rPr>
          <w:rFonts w:ascii="Arial" w:hAnsi="Arial" w:cs="Arial"/>
        </w:rPr>
      </w:pPr>
      <w:r w:rsidRPr="008635AA">
        <w:rPr>
          <w:rFonts w:ascii="Arial" w:hAnsi="Arial" w:cs="Arial"/>
        </w:rPr>
        <w:t>A more precise BCG classification is not used as the available evidence, while important, does not give sufficiently comparable relative market-share data. This restriction is to prohibit an unsupported classification.</w:t>
      </w:r>
    </w:p>
    <w:p w14:paraId="1FBC82E7" w14:textId="77777777" w:rsidR="00CD15BA" w:rsidRPr="008635AA" w:rsidRDefault="00CD15BA" w:rsidP="008635AA">
      <w:pPr>
        <w:pStyle w:val="Heading2"/>
        <w:rPr>
          <w:rFonts w:ascii="Arial" w:hAnsi="Arial" w:cs="Arial"/>
          <w:sz w:val="24"/>
          <w:szCs w:val="24"/>
        </w:rPr>
      </w:pPr>
      <w:bookmarkStart w:id="11" w:name="_Toc237728560"/>
      <w:r w:rsidRPr="008635AA">
        <w:rPr>
          <w:rFonts w:ascii="Arial" w:hAnsi="Arial" w:cs="Arial"/>
          <w:sz w:val="24"/>
          <w:szCs w:val="24"/>
        </w:rPr>
        <w:t>5.6 Internal Environmental Audit: Value Chain</w:t>
      </w:r>
      <w:bookmarkEnd w:id="11"/>
    </w:p>
    <w:p w14:paraId="1DF6A4DF" w14:textId="1CC82C9B" w:rsidR="00CD15BA" w:rsidRPr="008635AA" w:rsidRDefault="00CD15BA" w:rsidP="008635AA">
      <w:pPr>
        <w:spacing w:line="360" w:lineRule="auto"/>
        <w:rPr>
          <w:rFonts w:ascii="Arial" w:hAnsi="Arial" w:cs="Arial"/>
        </w:rPr>
      </w:pPr>
      <w:r w:rsidRPr="008635AA">
        <w:rPr>
          <w:rFonts w:ascii="Arial" w:hAnsi="Arial" w:cs="Arial"/>
        </w:rPr>
        <w:t xml:space="preserve">Tesla's vertical integration involves its batteries, cars and charging stations, all of which give control over strategically important value-chain activities (Naor, Coman and </w:t>
      </w:r>
      <w:proofErr w:type="spellStart"/>
      <w:r w:rsidRPr="008635AA">
        <w:rPr>
          <w:rFonts w:ascii="Arial" w:hAnsi="Arial" w:cs="Arial"/>
        </w:rPr>
        <w:t>Wiznizer</w:t>
      </w:r>
      <w:proofErr w:type="spellEnd"/>
      <w:r w:rsidRPr="008635AA">
        <w:rPr>
          <w:rFonts w:ascii="Arial" w:hAnsi="Arial" w:cs="Arial"/>
        </w:rPr>
        <w:t xml:space="preserve">, 2021). It can enhance coordination when technologies are very interdependent (Chen, Chowdhury and </w:t>
      </w:r>
      <w:proofErr w:type="spellStart"/>
      <w:r w:rsidRPr="008635AA">
        <w:rPr>
          <w:rFonts w:ascii="Arial" w:hAnsi="Arial" w:cs="Arial"/>
        </w:rPr>
        <w:t>Donada</w:t>
      </w:r>
      <w:proofErr w:type="spellEnd"/>
      <w:r w:rsidRPr="008635AA">
        <w:rPr>
          <w:rFonts w:ascii="Arial" w:hAnsi="Arial" w:cs="Arial"/>
        </w:rPr>
        <w:t>, 2019). However, it is not always better as extensive internal control may be achieved through open innovation, which brings external knowledge and capabilities to the open innovation system (Harryson and Lorange, 2024). In the case of Tesla, integration must remain a strategy to enhance differentiation, and collaboration, a strategy to enhance flexibility, innovation or efficiency of capabilities. The basis for future value creation is selective integration and not maximum integration.</w:t>
      </w:r>
    </w:p>
    <w:p w14:paraId="1A1FC765" w14:textId="77777777" w:rsidR="00CD15BA" w:rsidRPr="008635AA" w:rsidRDefault="00CD15BA" w:rsidP="008635AA">
      <w:pPr>
        <w:pStyle w:val="Heading2"/>
        <w:rPr>
          <w:rFonts w:ascii="Arial" w:hAnsi="Arial" w:cs="Arial"/>
          <w:sz w:val="24"/>
          <w:szCs w:val="24"/>
        </w:rPr>
      </w:pPr>
      <w:bookmarkStart w:id="12" w:name="_Toc237728561"/>
      <w:r w:rsidRPr="008635AA">
        <w:rPr>
          <w:rFonts w:ascii="Arial" w:hAnsi="Arial" w:cs="Arial"/>
          <w:sz w:val="24"/>
          <w:szCs w:val="24"/>
        </w:rPr>
        <w:t>5.7 Key Strategic Findings</w:t>
      </w:r>
      <w:bookmarkEnd w:id="12"/>
    </w:p>
    <w:p w14:paraId="50313300" w14:textId="5C113FC4" w:rsidR="00CD15BA" w:rsidRPr="008635AA" w:rsidRDefault="00CD15BA" w:rsidP="008635AA">
      <w:pPr>
        <w:spacing w:line="360" w:lineRule="auto"/>
        <w:rPr>
          <w:rFonts w:ascii="Arial" w:hAnsi="Arial" w:cs="Arial"/>
        </w:rPr>
      </w:pPr>
      <w:r w:rsidRPr="008635AA">
        <w:rPr>
          <w:rFonts w:ascii="Arial" w:hAnsi="Arial" w:cs="Arial"/>
        </w:rPr>
        <w:t xml:space="preserve">The analyses show a strategic imbalance Tesla has valuable integrated strengths, and is in a dynamic growth market, but the performance of the auto-products market suggests that the former is not being adequately translated into market success. This is growing in significance as competition and buyer choice increase. Therefore, a key </w:t>
      </w:r>
      <w:r w:rsidRPr="008635AA">
        <w:rPr>
          <w:rFonts w:ascii="Arial" w:hAnsi="Arial" w:cs="Arial"/>
        </w:rPr>
        <w:lastRenderedPageBreak/>
        <w:t>industry challenge for Tesla should be to translate its technological and organisational assets into improved customer value, re-acceleration of automotive growth and sustainable profitability.</w:t>
      </w:r>
    </w:p>
    <w:p w14:paraId="0A7E6184" w14:textId="77777777" w:rsidR="00CD15BA" w:rsidRPr="008635AA" w:rsidRDefault="00CD15BA" w:rsidP="008635AA">
      <w:pPr>
        <w:pStyle w:val="Heading1"/>
        <w:rPr>
          <w:rFonts w:ascii="Arial" w:hAnsi="Arial" w:cs="Arial"/>
          <w:sz w:val="24"/>
          <w:szCs w:val="24"/>
        </w:rPr>
      </w:pPr>
      <w:bookmarkStart w:id="13" w:name="_Toc237728562"/>
      <w:r w:rsidRPr="008635AA">
        <w:rPr>
          <w:rFonts w:ascii="Arial" w:hAnsi="Arial" w:cs="Arial"/>
          <w:sz w:val="24"/>
          <w:szCs w:val="24"/>
        </w:rPr>
        <w:t>6.0 Strategy Formulation</w:t>
      </w:r>
      <w:bookmarkEnd w:id="13"/>
    </w:p>
    <w:p w14:paraId="2D6FC89D" w14:textId="77777777" w:rsidR="00CD15BA" w:rsidRPr="008635AA" w:rsidRDefault="00CD15BA" w:rsidP="008635AA">
      <w:pPr>
        <w:pStyle w:val="Heading2"/>
        <w:rPr>
          <w:rFonts w:ascii="Arial" w:hAnsi="Arial" w:cs="Arial"/>
          <w:sz w:val="24"/>
          <w:szCs w:val="24"/>
        </w:rPr>
      </w:pPr>
      <w:bookmarkStart w:id="14" w:name="_Toc237728563"/>
      <w:r w:rsidRPr="008635AA">
        <w:rPr>
          <w:rFonts w:ascii="Arial" w:hAnsi="Arial" w:cs="Arial"/>
          <w:sz w:val="24"/>
          <w:szCs w:val="24"/>
        </w:rPr>
        <w:t>6.1 Strategic Issue</w:t>
      </w:r>
      <w:bookmarkEnd w:id="14"/>
    </w:p>
    <w:p w14:paraId="347009B3" w14:textId="77777777" w:rsidR="00CD15BA" w:rsidRPr="008635AA" w:rsidRDefault="00CD15BA" w:rsidP="008635AA">
      <w:pPr>
        <w:spacing w:line="360" w:lineRule="auto"/>
        <w:rPr>
          <w:rFonts w:ascii="Arial" w:hAnsi="Arial" w:cs="Arial"/>
        </w:rPr>
      </w:pPr>
      <w:r w:rsidRPr="008635AA">
        <w:rPr>
          <w:rFonts w:ascii="Arial" w:hAnsi="Arial" w:cs="Arial"/>
        </w:rPr>
        <w:t>However, Tesla is experiencing a strategic mismatch in the growth of the EV market and a decay of automotive performance. Its built-in technological features continue to be useful, but as competition is increasing and the buyers' choice is growing, their business value has been reduced (IEA, 2025). It's not enough, then, to grow further, but to turn these capabilities into increased customer value and profitable growth.</w:t>
      </w:r>
    </w:p>
    <w:p w14:paraId="4930E9A0" w14:textId="77777777" w:rsidR="00CD15BA" w:rsidRPr="008635AA" w:rsidRDefault="00CD15BA" w:rsidP="008635AA">
      <w:pPr>
        <w:pStyle w:val="Heading2"/>
        <w:spacing w:line="360" w:lineRule="auto"/>
        <w:rPr>
          <w:rFonts w:ascii="Arial" w:hAnsi="Arial" w:cs="Arial"/>
          <w:sz w:val="24"/>
          <w:szCs w:val="24"/>
        </w:rPr>
      </w:pPr>
      <w:bookmarkStart w:id="15" w:name="_Toc237728564"/>
      <w:r w:rsidRPr="008635AA">
        <w:rPr>
          <w:rFonts w:ascii="Arial" w:hAnsi="Arial" w:cs="Arial"/>
          <w:sz w:val="24"/>
          <w:szCs w:val="24"/>
        </w:rPr>
        <w:t>6.2 Strategic Choices</w:t>
      </w:r>
      <w:bookmarkEnd w:id="15"/>
    </w:p>
    <w:p w14:paraId="747F718B" w14:textId="7DD0927D" w:rsidR="00CD15BA" w:rsidRPr="008635AA" w:rsidRDefault="00CD15BA" w:rsidP="008635AA">
      <w:pPr>
        <w:spacing w:line="360" w:lineRule="auto"/>
        <w:rPr>
          <w:rFonts w:ascii="Arial" w:hAnsi="Arial" w:cs="Arial"/>
        </w:rPr>
      </w:pPr>
      <w:r w:rsidRPr="008635AA">
        <w:rPr>
          <w:rFonts w:ascii="Arial" w:hAnsi="Arial" w:cs="Arial"/>
        </w:rPr>
        <w:t xml:space="preserve">From the analysis 3 plausible options arise. As price becomes more of a factor in EV adoption, the IEA projects that penetration will grow as the EV becomes more </w:t>
      </w:r>
      <w:r w:rsidRPr="008635AA">
        <w:rPr>
          <w:rFonts w:ascii="Arial" w:hAnsi="Arial" w:cs="Arial"/>
        </w:rPr>
        <w:t>affordable. Price</w:t>
      </w:r>
      <w:r w:rsidRPr="008635AA">
        <w:rPr>
          <w:rFonts w:ascii="Arial" w:hAnsi="Arial" w:cs="Arial"/>
        </w:rPr>
        <w:t xml:space="preserve"> is an increasing factor in EV adoption, and the IEA projects that market penetration will increase as Tesla's price becomes more competitive. </w:t>
      </w:r>
      <w:r w:rsidRPr="008635AA">
        <w:rPr>
          <w:rFonts w:ascii="Arial" w:hAnsi="Arial" w:cs="Arial"/>
        </w:rPr>
        <w:t>But</w:t>
      </w:r>
      <w:r w:rsidRPr="008635AA">
        <w:rPr>
          <w:rFonts w:ascii="Arial" w:hAnsi="Arial" w:cs="Arial"/>
        </w:rPr>
        <w:t xml:space="preserve"> it is a risky strategy to compete on price alone, as this can further aggravate current profitability pressures. Technology differentiation would be using the features of the product at the heart of Tesla</w:t>
      </w:r>
      <w:r w:rsidRPr="008635AA">
        <w:rPr>
          <w:rFonts w:ascii="Arial" w:hAnsi="Arial" w:cs="Arial"/>
        </w:rPr>
        <w:t xml:space="preserve"> </w:t>
      </w:r>
      <w:r w:rsidRPr="008635AA">
        <w:rPr>
          <w:rFonts w:ascii="Arial" w:hAnsi="Arial" w:cs="Arial"/>
        </w:rPr>
        <w:t>such as its integrated product architecture</w:t>
      </w:r>
      <w:r w:rsidRPr="008635AA">
        <w:rPr>
          <w:rFonts w:ascii="Arial" w:hAnsi="Arial" w:cs="Arial"/>
        </w:rPr>
        <w:t xml:space="preserve"> </w:t>
      </w:r>
      <w:r w:rsidRPr="008635AA">
        <w:rPr>
          <w:rFonts w:ascii="Arial" w:hAnsi="Arial" w:cs="Arial"/>
        </w:rPr>
        <w:t xml:space="preserve">to create customer value through unique features of the vehicle and software (Chen, Chowdhury and </w:t>
      </w:r>
      <w:proofErr w:type="spellStart"/>
      <w:r w:rsidRPr="008635AA">
        <w:rPr>
          <w:rFonts w:ascii="Arial" w:hAnsi="Arial" w:cs="Arial"/>
        </w:rPr>
        <w:t>Donada</w:t>
      </w:r>
      <w:proofErr w:type="spellEnd"/>
      <w:r w:rsidRPr="008635AA">
        <w:rPr>
          <w:rFonts w:ascii="Arial" w:hAnsi="Arial" w:cs="Arial"/>
        </w:rPr>
        <w:t>, 2019). Selective open innovation, on the other hand, could allow to keep control of strategically significant technologies while tapping into external competences when this leverage enhances innovation efficiency and flexibility (Harryson and Lorange, 2024).</w:t>
      </w:r>
    </w:p>
    <w:p w14:paraId="5833DA34" w14:textId="77777777" w:rsidR="00CD15BA" w:rsidRPr="008635AA" w:rsidRDefault="00CD15BA" w:rsidP="008635AA">
      <w:pPr>
        <w:pStyle w:val="Heading2"/>
        <w:rPr>
          <w:rFonts w:ascii="Arial" w:hAnsi="Arial" w:cs="Arial"/>
          <w:sz w:val="24"/>
          <w:szCs w:val="24"/>
        </w:rPr>
      </w:pPr>
      <w:bookmarkStart w:id="16" w:name="_Toc237728565"/>
      <w:r w:rsidRPr="008635AA">
        <w:rPr>
          <w:rFonts w:ascii="Arial" w:hAnsi="Arial" w:cs="Arial"/>
          <w:sz w:val="24"/>
          <w:szCs w:val="24"/>
        </w:rPr>
        <w:t>6.3 Critical evaluation of strategic choices</w:t>
      </w:r>
      <w:bookmarkEnd w:id="16"/>
    </w:p>
    <w:p w14:paraId="5846EEB5" w14:textId="77777777" w:rsidR="00CD15BA" w:rsidRPr="008635AA" w:rsidRDefault="00CD15BA" w:rsidP="008635AA">
      <w:pPr>
        <w:spacing w:line="360" w:lineRule="auto"/>
        <w:rPr>
          <w:rFonts w:ascii="Arial" w:hAnsi="Arial" w:cs="Arial"/>
        </w:rPr>
      </w:pPr>
      <w:r w:rsidRPr="008635AA">
        <w:rPr>
          <w:rFonts w:ascii="Arial" w:hAnsi="Arial" w:cs="Arial"/>
        </w:rPr>
        <w:t xml:space="preserve">The strategic choice should be based on more than just market opportunity (Johnson and Whittington, 2019), but on suitability, acceptability and feasibility. While buyer pressure is welcome, competitive pricing is not and margins are under pressure, affordability is most appropriate. Technology based differentiation is more possible given that it leverages existing capabilities of Tesla whereas one's resources can only sustain an advantage when they are hard for competitors to duplicate and/or substitute (Barney and Hesterly, 2015). This could be enhanced by selectively </w:t>
      </w:r>
      <w:r w:rsidRPr="008635AA">
        <w:rPr>
          <w:rFonts w:ascii="Arial" w:hAnsi="Arial" w:cs="Arial"/>
        </w:rPr>
        <w:lastRenderedPageBreak/>
        <w:t>collaborating with others to alleviate the drawbacks of over-internalisation, while maintaining the advantages of integration (Harryson and Lorange, 2024).</w:t>
      </w:r>
    </w:p>
    <w:p w14:paraId="34406C39" w14:textId="77777777" w:rsidR="00CD15BA" w:rsidRPr="008635AA" w:rsidRDefault="00CD15BA" w:rsidP="008635AA">
      <w:pPr>
        <w:pStyle w:val="Heading2"/>
        <w:spacing w:line="360" w:lineRule="auto"/>
        <w:rPr>
          <w:rFonts w:ascii="Arial" w:hAnsi="Arial" w:cs="Arial"/>
          <w:sz w:val="24"/>
          <w:szCs w:val="24"/>
        </w:rPr>
      </w:pPr>
      <w:bookmarkStart w:id="17" w:name="_Toc237728566"/>
      <w:r w:rsidRPr="008635AA">
        <w:rPr>
          <w:rFonts w:ascii="Arial" w:hAnsi="Arial" w:cs="Arial"/>
          <w:sz w:val="24"/>
          <w:szCs w:val="24"/>
        </w:rPr>
        <w:t>6.4 Proposed New Strategy</w:t>
      </w:r>
      <w:bookmarkEnd w:id="17"/>
    </w:p>
    <w:p w14:paraId="268491B6" w14:textId="77777777" w:rsidR="00CD15BA" w:rsidRPr="008635AA" w:rsidRDefault="00CD15BA" w:rsidP="008635AA">
      <w:pPr>
        <w:spacing w:line="360" w:lineRule="auto"/>
        <w:rPr>
          <w:rFonts w:ascii="Arial" w:hAnsi="Arial" w:cs="Arial"/>
        </w:rPr>
      </w:pPr>
      <w:r w:rsidRPr="008635AA">
        <w:rPr>
          <w:rFonts w:ascii="Arial" w:hAnsi="Arial" w:cs="Arial"/>
        </w:rPr>
        <w:t>Tesla's strategy should be selective integration and technology differentiation, an approach that is deemed to be both cost-effective and affordable. Tesla should not aim to lower the cost of its product through price cuts, but by cutting underlying costs through manufacturing and technology, and providing differentiated technology at a more accessible vehicle (Tesla Investor Relations, 2025 Annual Report, 2025). Successful selective external collaboration should be applied to activities that benefit from bringing in expertise to accelerate the speed or improve the efficiency of innovation, and in which Tesla has a powerful competitive differentiation advantage in the key capabilities. This strategy is more likely to provide strategic fit as it deals with an affordability, profitability and differentiation challenge at the same time instead of at the cost of the other.</w:t>
      </w:r>
    </w:p>
    <w:p w14:paraId="46D6C623" w14:textId="77777777" w:rsidR="00CD15BA" w:rsidRPr="008635AA" w:rsidRDefault="00CD15BA" w:rsidP="008635AA">
      <w:pPr>
        <w:pStyle w:val="Heading1"/>
        <w:rPr>
          <w:rFonts w:ascii="Arial" w:hAnsi="Arial" w:cs="Arial"/>
          <w:sz w:val="24"/>
          <w:szCs w:val="24"/>
        </w:rPr>
      </w:pPr>
      <w:bookmarkStart w:id="18" w:name="_Toc237728567"/>
      <w:r w:rsidRPr="008635AA">
        <w:rPr>
          <w:rFonts w:ascii="Arial" w:hAnsi="Arial" w:cs="Arial"/>
          <w:sz w:val="24"/>
          <w:szCs w:val="24"/>
        </w:rPr>
        <w:t>7.0 Conclusion and Recommendations</w:t>
      </w:r>
      <w:bookmarkEnd w:id="18"/>
    </w:p>
    <w:p w14:paraId="387C1072" w14:textId="77777777" w:rsidR="00CD15BA" w:rsidRPr="008635AA" w:rsidRDefault="00CD15BA" w:rsidP="008635AA">
      <w:pPr>
        <w:pStyle w:val="Heading2"/>
        <w:spacing w:line="360" w:lineRule="auto"/>
        <w:rPr>
          <w:rFonts w:ascii="Arial" w:hAnsi="Arial" w:cs="Arial"/>
          <w:sz w:val="24"/>
          <w:szCs w:val="24"/>
        </w:rPr>
      </w:pPr>
      <w:bookmarkStart w:id="19" w:name="_Toc237728568"/>
      <w:r w:rsidRPr="008635AA">
        <w:rPr>
          <w:rFonts w:ascii="Arial" w:hAnsi="Arial" w:cs="Arial"/>
          <w:sz w:val="24"/>
          <w:szCs w:val="24"/>
        </w:rPr>
        <w:t>7.1 Conclusion</w:t>
      </w:r>
      <w:bookmarkEnd w:id="19"/>
    </w:p>
    <w:p w14:paraId="0A8FB631" w14:textId="193FD418" w:rsidR="00CD15BA" w:rsidRPr="008635AA" w:rsidRDefault="00CD15BA" w:rsidP="008635AA">
      <w:pPr>
        <w:spacing w:line="360" w:lineRule="auto"/>
        <w:rPr>
          <w:rFonts w:ascii="Arial" w:hAnsi="Arial" w:cs="Arial"/>
        </w:rPr>
      </w:pPr>
      <w:r w:rsidRPr="008635AA">
        <w:rPr>
          <w:rFonts w:ascii="Arial" w:hAnsi="Arial" w:cs="Arial"/>
        </w:rPr>
        <w:t xml:space="preserve">Tesla's sustainability-focused strategic approach is still very much geared towards the long-term shift to electric vehicles, but its subpar performance in the automotive segment illustrates that the market's </w:t>
      </w:r>
      <w:r w:rsidRPr="008635AA">
        <w:rPr>
          <w:rFonts w:ascii="Arial" w:hAnsi="Arial" w:cs="Arial"/>
        </w:rPr>
        <w:t>growth</w:t>
      </w:r>
      <w:r w:rsidRPr="008635AA">
        <w:rPr>
          <w:rFonts w:ascii="Arial" w:hAnsi="Arial" w:cs="Arial"/>
        </w:rPr>
        <w:t xml:space="preserve"> outlook is not enough to maintain competitive results over time. The competition gets tougher and buyer options expand, all driving pressure on affordability and differentiation, and Tesla's all-encompassing technological architecture is still a benefit, but it's not always a sustainable one. The strategic challenge is now thus to generate greater customer value with the same or better level of profitability. Selective integration with an affordable strategy of technology-differentiation proves to be the best response as it links together Tesla's internal capacity and external pressures that have been uncovered throughout the analysis.</w:t>
      </w:r>
    </w:p>
    <w:p w14:paraId="464D21EF" w14:textId="77777777" w:rsidR="00CD15BA" w:rsidRPr="008635AA" w:rsidRDefault="00CD15BA" w:rsidP="008635AA">
      <w:pPr>
        <w:pStyle w:val="Heading2"/>
        <w:rPr>
          <w:rFonts w:ascii="Arial" w:hAnsi="Arial" w:cs="Arial"/>
          <w:sz w:val="24"/>
          <w:szCs w:val="24"/>
        </w:rPr>
      </w:pPr>
      <w:bookmarkStart w:id="20" w:name="_Toc237728569"/>
      <w:r w:rsidRPr="008635AA">
        <w:rPr>
          <w:rFonts w:ascii="Arial" w:hAnsi="Arial" w:cs="Arial"/>
          <w:sz w:val="24"/>
          <w:szCs w:val="24"/>
        </w:rPr>
        <w:t>7.2 Recommendations</w:t>
      </w:r>
      <w:bookmarkEnd w:id="20"/>
    </w:p>
    <w:p w14:paraId="3F870D45" w14:textId="77777777" w:rsidR="00703985" w:rsidRPr="008635AA" w:rsidRDefault="00703985" w:rsidP="008635AA">
      <w:pPr>
        <w:spacing w:line="360" w:lineRule="auto"/>
        <w:rPr>
          <w:rFonts w:ascii="Arial" w:hAnsi="Arial" w:cs="Arial"/>
        </w:rPr>
      </w:pPr>
      <w:r w:rsidRPr="008635AA">
        <w:rPr>
          <w:rFonts w:ascii="Arial" w:hAnsi="Arial" w:cs="Arial"/>
        </w:rPr>
        <w:t xml:space="preserve">First, Tesla needs to improve affordability of the vehicle through structural cost reduction rather than by giving it huge discounts. It needs to be used for its </w:t>
      </w:r>
      <w:r w:rsidRPr="008635AA">
        <w:rPr>
          <w:rFonts w:ascii="Arial" w:hAnsi="Arial" w:cs="Arial"/>
        </w:rPr>
        <w:lastRenderedPageBreak/>
        <w:t>manufacturing and technological capabilities to reduce the underlying costs and maintain margins (Tesla Investor Relations, 2025 Annual Report, 2025).</w:t>
      </w:r>
    </w:p>
    <w:p w14:paraId="1E838551" w14:textId="77777777" w:rsidR="00703985" w:rsidRPr="008635AA" w:rsidRDefault="00703985" w:rsidP="008635AA">
      <w:pPr>
        <w:spacing w:line="360" w:lineRule="auto"/>
        <w:rPr>
          <w:rFonts w:ascii="Arial" w:hAnsi="Arial" w:cs="Arial"/>
        </w:rPr>
      </w:pPr>
      <w:r w:rsidRPr="008635AA">
        <w:rPr>
          <w:rFonts w:ascii="Arial" w:hAnsi="Arial" w:cs="Arial"/>
        </w:rPr>
        <w:t xml:space="preserve">Second, it is important that Tesla adopt selective integration by keeping control of activities that are core to differentiation </w:t>
      </w:r>
      <w:proofErr w:type="gramStart"/>
      <w:r w:rsidRPr="008635AA">
        <w:rPr>
          <w:rFonts w:ascii="Arial" w:hAnsi="Arial" w:cs="Arial"/>
        </w:rPr>
        <w:t>in-house, and</w:t>
      </w:r>
      <w:proofErr w:type="gramEnd"/>
      <w:r w:rsidRPr="008635AA">
        <w:rPr>
          <w:rFonts w:ascii="Arial" w:hAnsi="Arial" w:cs="Arial"/>
        </w:rPr>
        <w:t xml:space="preserve"> working with outside partners for those where specialist expertise can enhance innovation speed, flexibility and/or efficiency (Harryson and Lorange, 2024).</w:t>
      </w:r>
    </w:p>
    <w:p w14:paraId="1BE10EE6" w14:textId="433A8492" w:rsidR="008635AA" w:rsidRDefault="00703985" w:rsidP="008635AA">
      <w:pPr>
        <w:spacing w:line="360" w:lineRule="auto"/>
        <w:rPr>
          <w:rFonts w:ascii="Arial" w:hAnsi="Arial" w:cs="Arial"/>
        </w:rPr>
      </w:pPr>
      <w:r w:rsidRPr="008635AA">
        <w:rPr>
          <w:rFonts w:ascii="Arial" w:hAnsi="Arial" w:cs="Arial"/>
        </w:rPr>
        <w:t xml:space="preserve">Third, monitoring the implementation should be done based on growth in vehicle deliveries, automotive margins, production costs and market performance. Management should evaluate those indicators against </w:t>
      </w:r>
      <w:proofErr w:type="gramStart"/>
      <w:r w:rsidRPr="008635AA">
        <w:rPr>
          <w:rFonts w:ascii="Arial" w:hAnsi="Arial" w:cs="Arial"/>
        </w:rPr>
        <w:t>goals, and</w:t>
      </w:r>
      <w:proofErr w:type="gramEnd"/>
      <w:r w:rsidRPr="008635AA">
        <w:rPr>
          <w:rFonts w:ascii="Arial" w:hAnsi="Arial" w:cs="Arial"/>
        </w:rPr>
        <w:t xml:space="preserve"> invest where appropriate if investment strategies are implemented to expand sales volumes that do not lead to sustainable profitability (Tesla Investor Relations, 2025 Annual Report, 2025).</w:t>
      </w:r>
    </w:p>
    <w:p w14:paraId="5967D380" w14:textId="18FE4632" w:rsidR="00703985" w:rsidRPr="008635AA" w:rsidRDefault="008635AA" w:rsidP="008635AA">
      <w:pPr>
        <w:pStyle w:val="Heading1"/>
        <w:spacing w:line="360" w:lineRule="auto"/>
        <w:rPr>
          <w:rFonts w:ascii="Arial" w:eastAsia="Times New Roman" w:hAnsi="Arial" w:cs="Arial"/>
          <w:sz w:val="24"/>
          <w:szCs w:val="24"/>
        </w:rPr>
      </w:pPr>
      <w:r>
        <w:br w:type="page"/>
      </w:r>
      <w:bookmarkStart w:id="21" w:name="_Toc237728570"/>
      <w:r w:rsidR="00703985" w:rsidRPr="008635AA">
        <w:rPr>
          <w:rFonts w:ascii="Arial" w:eastAsia="Times New Roman" w:hAnsi="Arial" w:cs="Arial"/>
          <w:sz w:val="24"/>
          <w:szCs w:val="24"/>
          <w:lang w:val="en-KE" w:eastAsia="en-KE"/>
        </w:rPr>
        <w:lastRenderedPageBreak/>
        <w:t>Reference List</w:t>
      </w:r>
      <w:bookmarkEnd w:id="21"/>
    </w:p>
    <w:p w14:paraId="7F29AB84"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Barney, J.B. and Hesterly, W.S. (2015) </w:t>
      </w:r>
      <w:r w:rsidRPr="008635AA">
        <w:rPr>
          <w:rFonts w:ascii="Arial" w:eastAsia="Times New Roman" w:hAnsi="Arial" w:cs="Arial"/>
          <w:i/>
          <w:iCs/>
          <w:kern w:val="0"/>
          <w:lang w:val="en-KE" w:eastAsia="en-KE"/>
          <w14:ligatures w14:val="none"/>
        </w:rPr>
        <w:t>Strategic management and competitive advantage</w:t>
      </w:r>
      <w:r w:rsidRPr="008635AA">
        <w:rPr>
          <w:rFonts w:ascii="Arial" w:eastAsia="Times New Roman" w:hAnsi="Arial" w:cs="Arial"/>
          <w:kern w:val="0"/>
          <w:lang w:val="en-KE" w:eastAsia="en-KE"/>
          <w14:ligatures w14:val="none"/>
        </w:rPr>
        <w:t>. Prentice Hall.</w:t>
      </w:r>
    </w:p>
    <w:p w14:paraId="7CA5D4DF"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proofErr w:type="spellStart"/>
      <w:r w:rsidRPr="008635AA">
        <w:rPr>
          <w:rFonts w:ascii="Arial" w:eastAsia="Times New Roman" w:hAnsi="Arial" w:cs="Arial"/>
          <w:kern w:val="0"/>
          <w:lang w:val="en-KE" w:eastAsia="en-KE"/>
          <w14:ligatures w14:val="none"/>
        </w:rPr>
        <w:t>Benzidia</w:t>
      </w:r>
      <w:proofErr w:type="spellEnd"/>
      <w:r w:rsidRPr="008635AA">
        <w:rPr>
          <w:rFonts w:ascii="Arial" w:eastAsia="Times New Roman" w:hAnsi="Arial" w:cs="Arial"/>
          <w:kern w:val="0"/>
          <w:lang w:val="en-KE" w:eastAsia="en-KE"/>
          <w14:ligatures w14:val="none"/>
        </w:rPr>
        <w:t xml:space="preserve">, S., Luca, R.M. and Boiko, S. (2020) ‘Disruptive innovation, business models, and encroachment strategies: Buyer’s perspective on electric and hybrid vehicle technology’, </w:t>
      </w:r>
      <w:r w:rsidRPr="008635AA">
        <w:rPr>
          <w:rFonts w:ascii="Arial" w:eastAsia="Times New Roman" w:hAnsi="Arial" w:cs="Arial"/>
          <w:i/>
          <w:iCs/>
          <w:kern w:val="0"/>
          <w:lang w:val="en-KE" w:eastAsia="en-KE"/>
          <w14:ligatures w14:val="none"/>
        </w:rPr>
        <w:t>Technological Forecasting and Social Change</w:t>
      </w:r>
      <w:r w:rsidRPr="008635AA">
        <w:rPr>
          <w:rFonts w:ascii="Arial" w:eastAsia="Times New Roman" w:hAnsi="Arial" w:cs="Arial"/>
          <w:kern w:val="0"/>
          <w:lang w:val="en-KE" w:eastAsia="en-KE"/>
          <w14:ligatures w14:val="none"/>
        </w:rPr>
        <w:t>, 165, p. 120520. Available at: https://doi.org/10.1016/j.techfore.2020.120520</w:t>
      </w:r>
    </w:p>
    <w:p w14:paraId="00E45AD6"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proofErr w:type="spellStart"/>
      <w:r w:rsidRPr="008635AA">
        <w:rPr>
          <w:rFonts w:ascii="Arial" w:eastAsia="Times New Roman" w:hAnsi="Arial" w:cs="Arial"/>
          <w:kern w:val="0"/>
          <w:lang w:val="en-KE" w:eastAsia="en-KE"/>
          <w14:ligatures w14:val="none"/>
        </w:rPr>
        <w:t>Breschi</w:t>
      </w:r>
      <w:proofErr w:type="spellEnd"/>
      <w:r w:rsidRPr="008635AA">
        <w:rPr>
          <w:rFonts w:ascii="Arial" w:eastAsia="Times New Roman" w:hAnsi="Arial" w:cs="Arial"/>
          <w:kern w:val="0"/>
          <w:lang w:val="en-KE" w:eastAsia="en-KE"/>
          <w14:ligatures w14:val="none"/>
        </w:rPr>
        <w:t xml:space="preserve">, V., Ravazzi, C., Strada, S., </w:t>
      </w:r>
      <w:proofErr w:type="spellStart"/>
      <w:r w:rsidRPr="008635AA">
        <w:rPr>
          <w:rFonts w:ascii="Arial" w:eastAsia="Times New Roman" w:hAnsi="Arial" w:cs="Arial"/>
          <w:kern w:val="0"/>
          <w:lang w:val="en-KE" w:eastAsia="en-KE"/>
          <w14:ligatures w14:val="none"/>
        </w:rPr>
        <w:t>Dabbene</w:t>
      </w:r>
      <w:proofErr w:type="spellEnd"/>
      <w:r w:rsidRPr="008635AA">
        <w:rPr>
          <w:rFonts w:ascii="Arial" w:eastAsia="Times New Roman" w:hAnsi="Arial" w:cs="Arial"/>
          <w:kern w:val="0"/>
          <w:lang w:val="en-KE" w:eastAsia="en-KE"/>
          <w14:ligatures w14:val="none"/>
        </w:rPr>
        <w:t xml:space="preserve">, F. and </w:t>
      </w:r>
      <w:proofErr w:type="spellStart"/>
      <w:r w:rsidRPr="008635AA">
        <w:rPr>
          <w:rFonts w:ascii="Arial" w:eastAsia="Times New Roman" w:hAnsi="Arial" w:cs="Arial"/>
          <w:kern w:val="0"/>
          <w:lang w:val="en-KE" w:eastAsia="en-KE"/>
          <w14:ligatures w14:val="none"/>
        </w:rPr>
        <w:t>Tanelli</w:t>
      </w:r>
      <w:proofErr w:type="spellEnd"/>
      <w:r w:rsidRPr="008635AA">
        <w:rPr>
          <w:rFonts w:ascii="Arial" w:eastAsia="Times New Roman" w:hAnsi="Arial" w:cs="Arial"/>
          <w:kern w:val="0"/>
          <w:lang w:val="en-KE" w:eastAsia="en-KE"/>
          <w14:ligatures w14:val="none"/>
        </w:rPr>
        <w:t xml:space="preserve">, M. (2023) ‘Driving electric vehicles’ mass adoption: An architecture for the design of human-centric policies to meet climate and societal goals’, </w:t>
      </w:r>
      <w:r w:rsidRPr="008635AA">
        <w:rPr>
          <w:rFonts w:ascii="Arial" w:eastAsia="Times New Roman" w:hAnsi="Arial" w:cs="Arial"/>
          <w:i/>
          <w:iCs/>
          <w:kern w:val="0"/>
          <w:lang w:val="en-KE" w:eastAsia="en-KE"/>
          <w14:ligatures w14:val="none"/>
        </w:rPr>
        <w:t>Transportation Research Part A: Policy and Practice</w:t>
      </w:r>
      <w:r w:rsidRPr="008635AA">
        <w:rPr>
          <w:rFonts w:ascii="Arial" w:eastAsia="Times New Roman" w:hAnsi="Arial" w:cs="Arial"/>
          <w:kern w:val="0"/>
          <w:lang w:val="en-KE" w:eastAsia="en-KE"/>
          <w14:ligatures w14:val="none"/>
        </w:rPr>
        <w:t xml:space="preserve">, 171, p. 103651. Available at: </w:t>
      </w:r>
      <w:hyperlink r:id="rId7" w:tgtFrame="_blank" w:history="1">
        <w:r w:rsidRPr="008635AA">
          <w:rPr>
            <w:rFonts w:ascii="Arial" w:eastAsia="Times New Roman" w:hAnsi="Arial" w:cs="Arial"/>
            <w:color w:val="0000FF"/>
            <w:kern w:val="0"/>
            <w:u w:val="single"/>
            <w:lang w:val="en-KE" w:eastAsia="en-KE"/>
            <w14:ligatures w14:val="none"/>
          </w:rPr>
          <w:t>https://doi.org/10.1016/j.tra.2023.103651</w:t>
        </w:r>
      </w:hyperlink>
    </w:p>
    <w:p w14:paraId="537D85E7"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Chen, Y., Chowdhury, S.D. and </w:t>
      </w:r>
      <w:proofErr w:type="spellStart"/>
      <w:r w:rsidRPr="008635AA">
        <w:rPr>
          <w:rFonts w:ascii="Arial" w:eastAsia="Times New Roman" w:hAnsi="Arial" w:cs="Arial"/>
          <w:kern w:val="0"/>
          <w:lang w:val="en-KE" w:eastAsia="en-KE"/>
          <w14:ligatures w14:val="none"/>
        </w:rPr>
        <w:t>Donada</w:t>
      </w:r>
      <w:proofErr w:type="spellEnd"/>
      <w:r w:rsidRPr="008635AA">
        <w:rPr>
          <w:rFonts w:ascii="Arial" w:eastAsia="Times New Roman" w:hAnsi="Arial" w:cs="Arial"/>
          <w:kern w:val="0"/>
          <w:lang w:val="en-KE" w:eastAsia="en-KE"/>
          <w14:ligatures w14:val="none"/>
        </w:rPr>
        <w:t xml:space="preserve">, C. (2019) ‘Mirroring hypothesis and </w:t>
      </w:r>
      <w:proofErr w:type="spellStart"/>
      <w:r w:rsidRPr="008635AA">
        <w:rPr>
          <w:rFonts w:ascii="Arial" w:eastAsia="Times New Roman" w:hAnsi="Arial" w:cs="Arial"/>
          <w:kern w:val="0"/>
          <w:lang w:val="en-KE" w:eastAsia="en-KE"/>
          <w14:ligatures w14:val="none"/>
        </w:rPr>
        <w:t>integrality</w:t>
      </w:r>
      <w:proofErr w:type="spellEnd"/>
      <w:r w:rsidRPr="008635AA">
        <w:rPr>
          <w:rFonts w:ascii="Arial" w:eastAsia="Times New Roman" w:hAnsi="Arial" w:cs="Arial"/>
          <w:kern w:val="0"/>
          <w:lang w:val="en-KE" w:eastAsia="en-KE"/>
          <w14:ligatures w14:val="none"/>
        </w:rPr>
        <w:t xml:space="preserve">: Evidence from Tesla Motors’, </w:t>
      </w:r>
      <w:r w:rsidRPr="008635AA">
        <w:rPr>
          <w:rFonts w:ascii="Arial" w:eastAsia="Times New Roman" w:hAnsi="Arial" w:cs="Arial"/>
          <w:i/>
          <w:iCs/>
          <w:kern w:val="0"/>
          <w:lang w:val="en-KE" w:eastAsia="en-KE"/>
          <w14:ligatures w14:val="none"/>
        </w:rPr>
        <w:t>Journal of Engineering and Technology Management</w:t>
      </w:r>
      <w:r w:rsidRPr="008635AA">
        <w:rPr>
          <w:rFonts w:ascii="Arial" w:eastAsia="Times New Roman" w:hAnsi="Arial" w:cs="Arial"/>
          <w:kern w:val="0"/>
          <w:lang w:val="en-KE" w:eastAsia="en-KE"/>
          <w14:ligatures w14:val="none"/>
        </w:rPr>
        <w:t xml:space="preserve">, 54, pp. 41–55. Available at: </w:t>
      </w:r>
      <w:hyperlink r:id="rId8" w:tgtFrame="_blank" w:history="1">
        <w:r w:rsidRPr="008635AA">
          <w:rPr>
            <w:rFonts w:ascii="Arial" w:eastAsia="Times New Roman" w:hAnsi="Arial" w:cs="Arial"/>
            <w:color w:val="0000FF"/>
            <w:kern w:val="0"/>
            <w:u w:val="single"/>
            <w:lang w:val="en-KE" w:eastAsia="en-KE"/>
            <w14:ligatures w14:val="none"/>
          </w:rPr>
          <w:t>https://doi.org/10.1016/j.jengtecman.2019.09.001</w:t>
        </w:r>
      </w:hyperlink>
    </w:p>
    <w:p w14:paraId="1186D7AC"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Global EV Outlook 2025 - Data Product - IEA (2025) </w:t>
      </w:r>
      <w:r w:rsidRPr="008635AA">
        <w:rPr>
          <w:rFonts w:ascii="Arial" w:eastAsia="Times New Roman" w:hAnsi="Arial" w:cs="Arial"/>
          <w:i/>
          <w:iCs/>
          <w:kern w:val="0"/>
          <w:lang w:val="en-KE" w:eastAsia="en-KE"/>
          <w14:ligatures w14:val="none"/>
        </w:rPr>
        <w:t>Global EV outlook 2025 - data product - IEA</w:t>
      </w:r>
      <w:r w:rsidRPr="008635AA">
        <w:rPr>
          <w:rFonts w:ascii="Arial" w:eastAsia="Times New Roman" w:hAnsi="Arial" w:cs="Arial"/>
          <w:kern w:val="0"/>
          <w:lang w:val="en-KE" w:eastAsia="en-KE"/>
          <w14:ligatures w14:val="none"/>
        </w:rPr>
        <w:t xml:space="preserve">. [online] IEA. Available at: </w:t>
      </w:r>
      <w:hyperlink r:id="rId9" w:tgtFrame="_blank" w:history="1">
        <w:r w:rsidRPr="008635AA">
          <w:rPr>
            <w:rFonts w:ascii="Arial" w:eastAsia="Times New Roman" w:hAnsi="Arial" w:cs="Arial"/>
            <w:color w:val="0000FF"/>
            <w:kern w:val="0"/>
            <w:u w:val="single"/>
            <w:lang w:val="en-KE" w:eastAsia="en-KE"/>
            <w14:ligatures w14:val="none"/>
          </w:rPr>
          <w:t>https://www.iea.org/data-and-statistics/data-product/global-ev-outlook-2025</w:t>
        </w:r>
      </w:hyperlink>
      <w:r w:rsidRPr="008635AA">
        <w:rPr>
          <w:rFonts w:ascii="Arial" w:eastAsia="Times New Roman" w:hAnsi="Arial" w:cs="Arial"/>
          <w:kern w:val="0"/>
          <w:lang w:val="en-KE" w:eastAsia="en-KE"/>
          <w14:ligatures w14:val="none"/>
        </w:rPr>
        <w:t xml:space="preserve"> [Accessed 15 August 2026].</w:t>
      </w:r>
    </w:p>
    <w:p w14:paraId="7D0C9DE0"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Harryson, S. and Lorange, P. (2024) ‘Vertical integration versus open innovation? From winner takes it all to winners make it all’, </w:t>
      </w:r>
      <w:r w:rsidRPr="008635AA">
        <w:rPr>
          <w:rFonts w:ascii="Arial" w:eastAsia="Times New Roman" w:hAnsi="Arial" w:cs="Arial"/>
          <w:i/>
          <w:iCs/>
          <w:kern w:val="0"/>
          <w:lang w:val="en-KE" w:eastAsia="en-KE"/>
          <w14:ligatures w14:val="none"/>
        </w:rPr>
        <w:t>California Management Review</w:t>
      </w:r>
      <w:r w:rsidRPr="008635AA">
        <w:rPr>
          <w:rFonts w:ascii="Arial" w:eastAsia="Times New Roman" w:hAnsi="Arial" w:cs="Arial"/>
          <w:kern w:val="0"/>
          <w:lang w:val="en-KE" w:eastAsia="en-KE"/>
          <w14:ligatures w14:val="none"/>
        </w:rPr>
        <w:t>, 67(1). Available at: https://doi.org/10.1177/00081256241279334</w:t>
      </w:r>
    </w:p>
    <w:p w14:paraId="681183A6"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IEA (2025) </w:t>
      </w:r>
      <w:r w:rsidRPr="008635AA">
        <w:rPr>
          <w:rFonts w:ascii="Arial" w:eastAsia="Times New Roman" w:hAnsi="Arial" w:cs="Arial"/>
          <w:i/>
          <w:iCs/>
          <w:kern w:val="0"/>
          <w:lang w:val="en-KE" w:eastAsia="en-KE"/>
          <w14:ligatures w14:val="none"/>
        </w:rPr>
        <w:t>Global EV outlook 2025 – analysis</w:t>
      </w:r>
      <w:r w:rsidRPr="008635AA">
        <w:rPr>
          <w:rFonts w:ascii="Arial" w:eastAsia="Times New Roman" w:hAnsi="Arial" w:cs="Arial"/>
          <w:kern w:val="0"/>
          <w:lang w:val="en-KE" w:eastAsia="en-KE"/>
          <w14:ligatures w14:val="none"/>
        </w:rPr>
        <w:t xml:space="preserve">. [online] IEA. Available at: </w:t>
      </w:r>
      <w:hyperlink r:id="rId10" w:tgtFrame="_blank" w:history="1">
        <w:r w:rsidRPr="008635AA">
          <w:rPr>
            <w:rFonts w:ascii="Arial" w:eastAsia="Times New Roman" w:hAnsi="Arial" w:cs="Arial"/>
            <w:color w:val="0000FF"/>
            <w:kern w:val="0"/>
            <w:u w:val="single"/>
            <w:lang w:val="en-KE" w:eastAsia="en-KE"/>
            <w14:ligatures w14:val="none"/>
          </w:rPr>
          <w:t>https://www.iea.org/reports/global-ev-outlook-2025</w:t>
        </w:r>
      </w:hyperlink>
      <w:r w:rsidRPr="008635AA">
        <w:rPr>
          <w:rFonts w:ascii="Arial" w:eastAsia="Times New Roman" w:hAnsi="Arial" w:cs="Arial"/>
          <w:kern w:val="0"/>
          <w:lang w:val="en-KE" w:eastAsia="en-KE"/>
          <w14:ligatures w14:val="none"/>
        </w:rPr>
        <w:t xml:space="preserve"> [Accessed 15 August 2026].</w:t>
      </w:r>
    </w:p>
    <w:p w14:paraId="02F45917"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Johnson, G. and Whittington, R. (2019) </w:t>
      </w:r>
      <w:r w:rsidRPr="008635AA">
        <w:rPr>
          <w:rFonts w:ascii="Arial" w:eastAsia="Times New Roman" w:hAnsi="Arial" w:cs="Arial"/>
          <w:i/>
          <w:iCs/>
          <w:kern w:val="0"/>
          <w:lang w:val="en-KE" w:eastAsia="en-KE"/>
          <w14:ligatures w14:val="none"/>
        </w:rPr>
        <w:t>Exploring strategy, text and cases</w:t>
      </w:r>
      <w:r w:rsidRPr="008635AA">
        <w:rPr>
          <w:rFonts w:ascii="Arial" w:eastAsia="Times New Roman" w:hAnsi="Arial" w:cs="Arial"/>
          <w:kern w:val="0"/>
          <w:lang w:val="en-KE" w:eastAsia="en-KE"/>
          <w14:ligatures w14:val="none"/>
        </w:rPr>
        <w:t xml:space="preserve">. 12th </w:t>
      </w:r>
      <w:proofErr w:type="spellStart"/>
      <w:r w:rsidRPr="008635AA">
        <w:rPr>
          <w:rFonts w:ascii="Arial" w:eastAsia="Times New Roman" w:hAnsi="Arial" w:cs="Arial"/>
          <w:kern w:val="0"/>
          <w:lang w:val="en-KE" w:eastAsia="en-KE"/>
          <w14:ligatures w14:val="none"/>
        </w:rPr>
        <w:t>edn</w:t>
      </w:r>
      <w:proofErr w:type="spellEnd"/>
      <w:r w:rsidRPr="008635AA">
        <w:rPr>
          <w:rFonts w:ascii="Arial" w:eastAsia="Times New Roman" w:hAnsi="Arial" w:cs="Arial"/>
          <w:kern w:val="0"/>
          <w:lang w:val="en-KE" w:eastAsia="en-KE"/>
          <w14:ligatures w14:val="none"/>
        </w:rPr>
        <w:t>. Pearson UK.</w:t>
      </w:r>
    </w:p>
    <w:p w14:paraId="730A7C67"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Naor, M., Coman, A. and </w:t>
      </w:r>
      <w:proofErr w:type="spellStart"/>
      <w:r w:rsidRPr="008635AA">
        <w:rPr>
          <w:rFonts w:ascii="Arial" w:eastAsia="Times New Roman" w:hAnsi="Arial" w:cs="Arial"/>
          <w:kern w:val="0"/>
          <w:lang w:val="en-KE" w:eastAsia="en-KE"/>
          <w14:ligatures w14:val="none"/>
        </w:rPr>
        <w:t>Wiznizer</w:t>
      </w:r>
      <w:proofErr w:type="spellEnd"/>
      <w:r w:rsidRPr="008635AA">
        <w:rPr>
          <w:rFonts w:ascii="Arial" w:eastAsia="Times New Roman" w:hAnsi="Arial" w:cs="Arial"/>
          <w:kern w:val="0"/>
          <w:lang w:val="en-KE" w:eastAsia="en-KE"/>
          <w14:ligatures w14:val="none"/>
        </w:rPr>
        <w:t xml:space="preserve">, A. (2021) ‘Vertically integrated supply chain of batteries, electric vehicles, and charging infrastructure: A review of three milestone </w:t>
      </w:r>
      <w:r w:rsidRPr="008635AA">
        <w:rPr>
          <w:rFonts w:ascii="Arial" w:eastAsia="Times New Roman" w:hAnsi="Arial" w:cs="Arial"/>
          <w:kern w:val="0"/>
          <w:lang w:val="en-KE" w:eastAsia="en-KE"/>
          <w14:ligatures w14:val="none"/>
        </w:rPr>
        <w:lastRenderedPageBreak/>
        <w:t xml:space="preserve">projects from theory of constraints perspective’, </w:t>
      </w:r>
      <w:r w:rsidRPr="008635AA">
        <w:rPr>
          <w:rFonts w:ascii="Arial" w:eastAsia="Times New Roman" w:hAnsi="Arial" w:cs="Arial"/>
          <w:i/>
          <w:iCs/>
          <w:kern w:val="0"/>
          <w:lang w:val="en-KE" w:eastAsia="en-KE"/>
          <w14:ligatures w14:val="none"/>
        </w:rPr>
        <w:t>Sustainability</w:t>
      </w:r>
      <w:r w:rsidRPr="008635AA">
        <w:rPr>
          <w:rFonts w:ascii="Arial" w:eastAsia="Times New Roman" w:hAnsi="Arial" w:cs="Arial"/>
          <w:kern w:val="0"/>
          <w:lang w:val="en-KE" w:eastAsia="en-KE"/>
          <w14:ligatures w14:val="none"/>
        </w:rPr>
        <w:t xml:space="preserve">, 13(7), p. 3632. Available at: </w:t>
      </w:r>
      <w:hyperlink r:id="rId11" w:tgtFrame="_blank" w:history="1">
        <w:r w:rsidRPr="008635AA">
          <w:rPr>
            <w:rFonts w:ascii="Arial" w:eastAsia="Times New Roman" w:hAnsi="Arial" w:cs="Arial"/>
            <w:color w:val="0000FF"/>
            <w:kern w:val="0"/>
            <w:u w:val="single"/>
            <w:lang w:val="en-KE" w:eastAsia="en-KE"/>
            <w14:ligatures w14:val="none"/>
          </w:rPr>
          <w:t>https://doi.org/10.3390/su13073632</w:t>
        </w:r>
      </w:hyperlink>
    </w:p>
    <w:p w14:paraId="74536C56"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Tesla (2024) </w:t>
      </w:r>
      <w:r w:rsidRPr="008635AA">
        <w:rPr>
          <w:rFonts w:ascii="Arial" w:eastAsia="Times New Roman" w:hAnsi="Arial" w:cs="Arial"/>
          <w:i/>
          <w:iCs/>
          <w:kern w:val="0"/>
          <w:lang w:val="en-KE" w:eastAsia="en-KE"/>
          <w14:ligatures w14:val="none"/>
        </w:rPr>
        <w:t>Impact report 2024</w:t>
      </w:r>
      <w:r w:rsidRPr="008635AA">
        <w:rPr>
          <w:rFonts w:ascii="Arial" w:eastAsia="Times New Roman" w:hAnsi="Arial" w:cs="Arial"/>
          <w:kern w:val="0"/>
          <w:lang w:val="en-KE" w:eastAsia="en-KE"/>
          <w14:ligatures w14:val="none"/>
        </w:rPr>
        <w:t xml:space="preserve">. [online] Tesla. Available at: </w:t>
      </w:r>
      <w:hyperlink r:id="rId12" w:tgtFrame="_blank" w:history="1">
        <w:r w:rsidRPr="008635AA">
          <w:rPr>
            <w:rFonts w:ascii="Arial" w:eastAsia="Times New Roman" w:hAnsi="Arial" w:cs="Arial"/>
            <w:color w:val="0000FF"/>
            <w:kern w:val="0"/>
            <w:u w:val="single"/>
            <w:lang w:val="en-KE" w:eastAsia="en-KE"/>
            <w14:ligatures w14:val="none"/>
          </w:rPr>
          <w:t>https://www.tesla.com/impact</w:t>
        </w:r>
      </w:hyperlink>
      <w:r w:rsidRPr="008635AA">
        <w:rPr>
          <w:rFonts w:ascii="Arial" w:eastAsia="Times New Roman" w:hAnsi="Arial" w:cs="Arial"/>
          <w:kern w:val="0"/>
          <w:lang w:val="en-KE" w:eastAsia="en-KE"/>
          <w14:ligatures w14:val="none"/>
        </w:rPr>
        <w:t xml:space="preserve"> [Accessed 15 August 2026].</w:t>
      </w:r>
    </w:p>
    <w:p w14:paraId="3F7005D2"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Tesla (2025) </w:t>
      </w:r>
      <w:r w:rsidRPr="008635AA">
        <w:rPr>
          <w:rFonts w:ascii="Arial" w:eastAsia="Times New Roman" w:hAnsi="Arial" w:cs="Arial"/>
          <w:i/>
          <w:iCs/>
          <w:kern w:val="0"/>
          <w:lang w:val="en-KE" w:eastAsia="en-KE"/>
          <w14:ligatures w14:val="none"/>
        </w:rPr>
        <w:t>Investors overview | Tesla, Inc.</w:t>
      </w:r>
      <w:r w:rsidRPr="008635AA">
        <w:rPr>
          <w:rFonts w:ascii="Arial" w:eastAsia="Times New Roman" w:hAnsi="Arial" w:cs="Arial"/>
          <w:kern w:val="0"/>
          <w:lang w:val="en-KE" w:eastAsia="en-KE"/>
          <w14:ligatures w14:val="none"/>
        </w:rPr>
        <w:t xml:space="preserve"> [online] Tesla, Inc. Available at: </w:t>
      </w:r>
      <w:hyperlink r:id="rId13" w:tgtFrame="_blank" w:history="1">
        <w:r w:rsidRPr="008635AA">
          <w:rPr>
            <w:rFonts w:ascii="Arial" w:eastAsia="Times New Roman" w:hAnsi="Arial" w:cs="Arial"/>
            <w:color w:val="0000FF"/>
            <w:kern w:val="0"/>
            <w:u w:val="single"/>
            <w:lang w:val="en-KE" w:eastAsia="en-KE"/>
            <w14:ligatures w14:val="none"/>
          </w:rPr>
          <w:t>https://ir.tesla.com/</w:t>
        </w:r>
      </w:hyperlink>
      <w:r w:rsidRPr="008635AA">
        <w:rPr>
          <w:rFonts w:ascii="Arial" w:eastAsia="Times New Roman" w:hAnsi="Arial" w:cs="Arial"/>
          <w:kern w:val="0"/>
          <w:lang w:val="en-KE" w:eastAsia="en-KE"/>
          <w14:ligatures w14:val="none"/>
        </w:rPr>
        <w:t xml:space="preserve"> [Accessed 15 August 2026].</w:t>
      </w:r>
    </w:p>
    <w:p w14:paraId="479C1664"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Tesla Investor Relations, 2025 Annual Report (2025) </w:t>
      </w:r>
      <w:r w:rsidRPr="008635AA">
        <w:rPr>
          <w:rFonts w:ascii="Arial" w:eastAsia="Times New Roman" w:hAnsi="Arial" w:cs="Arial"/>
          <w:i/>
          <w:iCs/>
          <w:kern w:val="0"/>
          <w:lang w:val="en-KE" w:eastAsia="en-KE"/>
          <w14:ligatures w14:val="none"/>
        </w:rPr>
        <w:t>TSLA-20251231</w:t>
      </w:r>
      <w:r w:rsidRPr="008635AA">
        <w:rPr>
          <w:rFonts w:ascii="Arial" w:eastAsia="Times New Roman" w:hAnsi="Arial" w:cs="Arial"/>
          <w:kern w:val="0"/>
          <w:lang w:val="en-KE" w:eastAsia="en-KE"/>
          <w14:ligatures w14:val="none"/>
        </w:rPr>
        <w:t xml:space="preserve">. [online] SEC.gov. Available at: </w:t>
      </w:r>
      <w:hyperlink r:id="rId14" w:tgtFrame="_blank" w:history="1">
        <w:r w:rsidRPr="008635AA">
          <w:rPr>
            <w:rFonts w:ascii="Arial" w:eastAsia="Times New Roman" w:hAnsi="Arial" w:cs="Arial"/>
            <w:color w:val="0000FF"/>
            <w:kern w:val="0"/>
            <w:u w:val="single"/>
            <w:lang w:val="en-KE" w:eastAsia="en-KE"/>
            <w14:ligatures w14:val="none"/>
          </w:rPr>
          <w:t>https://www.sec.gov/Archives/edgar/data/1318605/000162828026003952/tsla-20251231.htm</w:t>
        </w:r>
      </w:hyperlink>
      <w:r w:rsidRPr="008635AA">
        <w:rPr>
          <w:rFonts w:ascii="Arial" w:eastAsia="Times New Roman" w:hAnsi="Arial" w:cs="Arial"/>
          <w:kern w:val="0"/>
          <w:lang w:val="en-KE" w:eastAsia="en-KE"/>
          <w14:ligatures w14:val="none"/>
        </w:rPr>
        <w:t xml:space="preserve"> [Accessed 15 August 2026].</w:t>
      </w:r>
    </w:p>
    <w:p w14:paraId="4A13D0A5"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Thomas, V.J. and Maine, E. (2019) ‘Market entry strategies for electric vehicle start-ups in the automotive industry – lessons from Tesla Motors’, </w:t>
      </w:r>
      <w:r w:rsidRPr="008635AA">
        <w:rPr>
          <w:rFonts w:ascii="Arial" w:eastAsia="Times New Roman" w:hAnsi="Arial" w:cs="Arial"/>
          <w:i/>
          <w:iCs/>
          <w:kern w:val="0"/>
          <w:lang w:val="en-KE" w:eastAsia="en-KE"/>
          <w14:ligatures w14:val="none"/>
        </w:rPr>
        <w:t>Journal of Cleaner Production</w:t>
      </w:r>
      <w:r w:rsidRPr="008635AA">
        <w:rPr>
          <w:rFonts w:ascii="Arial" w:eastAsia="Times New Roman" w:hAnsi="Arial" w:cs="Arial"/>
          <w:kern w:val="0"/>
          <w:lang w:val="en-KE" w:eastAsia="en-KE"/>
          <w14:ligatures w14:val="none"/>
        </w:rPr>
        <w:t>, 235(1), pp. 653–663. Available at: https://doi.org/10.1016/j.jclepro.2019.06.284</w:t>
      </w:r>
    </w:p>
    <w:p w14:paraId="75382D5E" w14:textId="77777777" w:rsidR="00703985" w:rsidRPr="008635AA" w:rsidRDefault="00703985" w:rsidP="008635AA">
      <w:pPr>
        <w:spacing w:before="100" w:beforeAutospacing="1" w:after="100" w:afterAutospacing="1" w:line="360" w:lineRule="auto"/>
        <w:rPr>
          <w:rFonts w:ascii="Arial" w:eastAsia="Times New Roman" w:hAnsi="Arial" w:cs="Arial"/>
          <w:kern w:val="0"/>
          <w:lang w:val="en-KE" w:eastAsia="en-KE"/>
          <w14:ligatures w14:val="none"/>
        </w:rPr>
      </w:pPr>
      <w:r w:rsidRPr="008635AA">
        <w:rPr>
          <w:rFonts w:ascii="Arial" w:eastAsia="Times New Roman" w:hAnsi="Arial" w:cs="Arial"/>
          <w:kern w:val="0"/>
          <w:lang w:val="en-KE" w:eastAsia="en-KE"/>
          <w14:ligatures w14:val="none"/>
        </w:rPr>
        <w:t xml:space="preserve">Ziegler, D. and Abdelkafi, N. (2021) ‘Business models for electric vehicles: Literature review and key insights’, </w:t>
      </w:r>
      <w:r w:rsidRPr="008635AA">
        <w:rPr>
          <w:rFonts w:ascii="Arial" w:eastAsia="Times New Roman" w:hAnsi="Arial" w:cs="Arial"/>
          <w:i/>
          <w:iCs/>
          <w:kern w:val="0"/>
          <w:lang w:val="en-KE" w:eastAsia="en-KE"/>
          <w14:ligatures w14:val="none"/>
        </w:rPr>
        <w:t>Journal of Cleaner Production</w:t>
      </w:r>
      <w:r w:rsidRPr="008635AA">
        <w:rPr>
          <w:rFonts w:ascii="Arial" w:eastAsia="Times New Roman" w:hAnsi="Arial" w:cs="Arial"/>
          <w:kern w:val="0"/>
          <w:lang w:val="en-KE" w:eastAsia="en-KE"/>
          <w14:ligatures w14:val="none"/>
        </w:rPr>
        <w:t>, 330, p. 129803. Available at: https://doi.org/10.1016/j.jclepro.2021.129803</w:t>
      </w:r>
    </w:p>
    <w:p w14:paraId="64FCE994" w14:textId="77777777" w:rsidR="00F54147" w:rsidRPr="008635AA" w:rsidRDefault="00F54147" w:rsidP="008635AA">
      <w:pPr>
        <w:spacing w:line="360" w:lineRule="auto"/>
        <w:rPr>
          <w:rFonts w:ascii="Arial" w:hAnsi="Arial" w:cs="Arial"/>
        </w:rPr>
      </w:pPr>
    </w:p>
    <w:sectPr w:rsidR="00F54147" w:rsidRPr="00863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6854F" w14:textId="77777777" w:rsidR="00E77B14" w:rsidRDefault="00E77B14" w:rsidP="00703985">
      <w:pPr>
        <w:spacing w:after="0" w:line="240" w:lineRule="auto"/>
      </w:pPr>
      <w:r>
        <w:separator/>
      </w:r>
    </w:p>
  </w:endnote>
  <w:endnote w:type="continuationSeparator" w:id="0">
    <w:p w14:paraId="21095930" w14:textId="77777777" w:rsidR="00E77B14" w:rsidRDefault="00E77B14" w:rsidP="00703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50E99" w14:textId="77777777" w:rsidR="00E77B14" w:rsidRDefault="00E77B14" w:rsidP="00703985">
      <w:pPr>
        <w:spacing w:after="0" w:line="240" w:lineRule="auto"/>
      </w:pPr>
      <w:r>
        <w:separator/>
      </w:r>
    </w:p>
  </w:footnote>
  <w:footnote w:type="continuationSeparator" w:id="0">
    <w:p w14:paraId="76B76196" w14:textId="77777777" w:rsidR="00E77B14" w:rsidRDefault="00E77B14" w:rsidP="007039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147"/>
    <w:rsid w:val="00505E3B"/>
    <w:rsid w:val="006C67D1"/>
    <w:rsid w:val="00703985"/>
    <w:rsid w:val="007509C9"/>
    <w:rsid w:val="008635AA"/>
    <w:rsid w:val="00CD15BA"/>
    <w:rsid w:val="00E77B14"/>
    <w:rsid w:val="00F54147"/>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5D55B"/>
  <w15:chartTrackingRefBased/>
  <w15:docId w15:val="{2C1753B1-B29C-442E-972E-CF61ADA5B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K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541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41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41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41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41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41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1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1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1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1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41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41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41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41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41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1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1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147"/>
    <w:rPr>
      <w:rFonts w:eastAsiaTheme="majorEastAsia" w:cstheme="majorBidi"/>
      <w:color w:val="272727" w:themeColor="text1" w:themeTint="D8"/>
    </w:rPr>
  </w:style>
  <w:style w:type="paragraph" w:styleId="Title">
    <w:name w:val="Title"/>
    <w:basedOn w:val="Normal"/>
    <w:next w:val="Normal"/>
    <w:link w:val="TitleChar"/>
    <w:uiPriority w:val="10"/>
    <w:qFormat/>
    <w:rsid w:val="00F541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1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1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1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147"/>
    <w:pPr>
      <w:spacing w:before="160"/>
      <w:jc w:val="center"/>
    </w:pPr>
    <w:rPr>
      <w:i/>
      <w:iCs/>
      <w:color w:val="404040" w:themeColor="text1" w:themeTint="BF"/>
    </w:rPr>
  </w:style>
  <w:style w:type="character" w:customStyle="1" w:styleId="QuoteChar">
    <w:name w:val="Quote Char"/>
    <w:basedOn w:val="DefaultParagraphFont"/>
    <w:link w:val="Quote"/>
    <w:uiPriority w:val="29"/>
    <w:rsid w:val="00F54147"/>
    <w:rPr>
      <w:i/>
      <w:iCs/>
      <w:color w:val="404040" w:themeColor="text1" w:themeTint="BF"/>
    </w:rPr>
  </w:style>
  <w:style w:type="paragraph" w:styleId="ListParagraph">
    <w:name w:val="List Paragraph"/>
    <w:basedOn w:val="Normal"/>
    <w:uiPriority w:val="34"/>
    <w:qFormat/>
    <w:rsid w:val="00F54147"/>
    <w:pPr>
      <w:ind w:left="720"/>
      <w:contextualSpacing/>
    </w:pPr>
  </w:style>
  <w:style w:type="character" w:styleId="IntenseEmphasis">
    <w:name w:val="Intense Emphasis"/>
    <w:basedOn w:val="DefaultParagraphFont"/>
    <w:uiPriority w:val="21"/>
    <w:qFormat/>
    <w:rsid w:val="00F54147"/>
    <w:rPr>
      <w:i/>
      <w:iCs/>
      <w:color w:val="0F4761" w:themeColor="accent1" w:themeShade="BF"/>
    </w:rPr>
  </w:style>
  <w:style w:type="paragraph" w:styleId="IntenseQuote">
    <w:name w:val="Intense Quote"/>
    <w:basedOn w:val="Normal"/>
    <w:next w:val="Normal"/>
    <w:link w:val="IntenseQuoteChar"/>
    <w:uiPriority w:val="30"/>
    <w:qFormat/>
    <w:rsid w:val="00F541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4147"/>
    <w:rPr>
      <w:i/>
      <w:iCs/>
      <w:color w:val="0F4761" w:themeColor="accent1" w:themeShade="BF"/>
    </w:rPr>
  </w:style>
  <w:style w:type="character" w:styleId="IntenseReference">
    <w:name w:val="Intense Reference"/>
    <w:basedOn w:val="DefaultParagraphFont"/>
    <w:uiPriority w:val="32"/>
    <w:qFormat/>
    <w:rsid w:val="00F54147"/>
    <w:rPr>
      <w:b/>
      <w:bCs/>
      <w:smallCaps/>
      <w:color w:val="0F4761" w:themeColor="accent1" w:themeShade="BF"/>
      <w:spacing w:val="5"/>
    </w:rPr>
  </w:style>
  <w:style w:type="table" w:styleId="TableGridLight">
    <w:name w:val="Grid Table Light"/>
    <w:basedOn w:val="TableNormal"/>
    <w:uiPriority w:val="40"/>
    <w:rsid w:val="00F5414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703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985"/>
    <w:rPr>
      <w:lang w:val="en-GB"/>
    </w:rPr>
  </w:style>
  <w:style w:type="paragraph" w:styleId="Footer">
    <w:name w:val="footer"/>
    <w:basedOn w:val="Normal"/>
    <w:link w:val="FooterChar"/>
    <w:uiPriority w:val="99"/>
    <w:unhideWhenUsed/>
    <w:rsid w:val="00703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985"/>
    <w:rPr>
      <w:lang w:val="en-GB"/>
    </w:rPr>
  </w:style>
  <w:style w:type="paragraph" w:styleId="TOCHeading">
    <w:name w:val="TOC Heading"/>
    <w:basedOn w:val="Heading1"/>
    <w:next w:val="Normal"/>
    <w:uiPriority w:val="39"/>
    <w:unhideWhenUsed/>
    <w:qFormat/>
    <w:rsid w:val="008635A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35AA"/>
    <w:pPr>
      <w:spacing w:after="100"/>
    </w:pPr>
  </w:style>
  <w:style w:type="paragraph" w:styleId="TOC2">
    <w:name w:val="toc 2"/>
    <w:basedOn w:val="Normal"/>
    <w:next w:val="Normal"/>
    <w:autoRedefine/>
    <w:uiPriority w:val="39"/>
    <w:unhideWhenUsed/>
    <w:rsid w:val="008635AA"/>
    <w:pPr>
      <w:spacing w:after="100"/>
      <w:ind w:left="240"/>
    </w:pPr>
  </w:style>
  <w:style w:type="character" w:styleId="Hyperlink">
    <w:name w:val="Hyperlink"/>
    <w:basedOn w:val="DefaultParagraphFont"/>
    <w:uiPriority w:val="99"/>
    <w:unhideWhenUsed/>
    <w:rsid w:val="008635A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engtecman.2019.09.001?utm_source=chatgpt.com" TargetMode="External"/><Relationship Id="rId13" Type="http://schemas.openxmlformats.org/officeDocument/2006/relationships/hyperlink" Target="https://ir.tesla.com/?utm_source=chatgpt.com" TargetMode="External"/><Relationship Id="rId3" Type="http://schemas.openxmlformats.org/officeDocument/2006/relationships/settings" Target="settings.xml"/><Relationship Id="rId7" Type="http://schemas.openxmlformats.org/officeDocument/2006/relationships/hyperlink" Target="https://doi.org/10.1016/j.tra.2023.103651?utm_source=chatgpt.com" TargetMode="External"/><Relationship Id="rId12" Type="http://schemas.openxmlformats.org/officeDocument/2006/relationships/hyperlink" Target="https://www.tesla.com/impact?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3073632?utm_source=chatgpt.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ea.org/reports/global-ev-outlook-2025?utm_source=chatgpt.com" TargetMode="External"/><Relationship Id="rId4" Type="http://schemas.openxmlformats.org/officeDocument/2006/relationships/webSettings" Target="webSettings.xml"/><Relationship Id="rId9" Type="http://schemas.openxmlformats.org/officeDocument/2006/relationships/hyperlink" Target="https://www.iea.org/data-and-statistics/data-product/global-ev-outlook-2025?utm_source=chatgpt.com" TargetMode="External"/><Relationship Id="rId14" Type="http://schemas.openxmlformats.org/officeDocument/2006/relationships/hyperlink" Target="https://www.sec.gov/Archives/edgar/data/1318605/000162828026003952/tsla-20251231.htm?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B23F4F-277B-4E86-B290-536B6126E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14</Pages>
  <Words>3735</Words>
  <Characters>21295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1</cp:revision>
  <dcterms:created xsi:type="dcterms:W3CDTF">2026-08-15T19:39:00Z</dcterms:created>
  <dcterms:modified xsi:type="dcterms:W3CDTF">2026-08-15T20:23:00Z</dcterms:modified>
</cp:coreProperties>
</file>