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FB524F" w14:textId="331B6B06" w:rsidR="00136196" w:rsidRDefault="00136196" w:rsidP="00136196">
      <w:pPr>
        <w:pStyle w:val="Heading1"/>
      </w:pPr>
      <w:r>
        <w:t xml:space="preserve">References </w:t>
      </w:r>
    </w:p>
    <w:p w14:paraId="4C6A35E9" w14:textId="77777777" w:rsidR="00136196" w:rsidRPr="00A50511" w:rsidRDefault="00136196" w:rsidP="00136196"/>
    <w:p w14:paraId="21A2FBD2" w14:textId="77777777" w:rsidR="00136196" w:rsidRDefault="00136196" w:rsidP="00136196">
      <w:r w:rsidRPr="009E504B">
        <w:t xml:space="preserve">Alizadeh, S. and Chavan, M. (2020) ‘Perceived Cultural Distance in Healthcare in Immigrant Intercultural Medical Encounters’, </w:t>
      </w:r>
      <w:r w:rsidRPr="009E504B">
        <w:rPr>
          <w:i/>
          <w:iCs/>
        </w:rPr>
        <w:t>International migration</w:t>
      </w:r>
      <w:r w:rsidRPr="009E504B">
        <w:t xml:space="preserve">, 58(4), pp. 231–254. Available at: </w:t>
      </w:r>
      <w:hyperlink r:id="rId7" w:history="1">
        <w:r w:rsidRPr="009E504B">
          <w:rPr>
            <w:rStyle w:val="Hyperlink"/>
          </w:rPr>
          <w:t>https://doi.org/10.1111/imig.12680</w:t>
        </w:r>
      </w:hyperlink>
      <w:r w:rsidRPr="009E504B">
        <w:t>.</w:t>
      </w:r>
    </w:p>
    <w:p w14:paraId="04A36868" w14:textId="73D48DE4" w:rsidR="00136196" w:rsidRDefault="00136196" w:rsidP="00136196">
      <w:r w:rsidRPr="007C167B">
        <w:t xml:space="preserve">Blevins, S. (2025) ‘Impact of Cultural Competence on Patient Education’, </w:t>
      </w:r>
      <w:r w:rsidR="00891539" w:rsidRPr="007C167B">
        <w:rPr>
          <w:i/>
          <w:iCs/>
        </w:rPr>
        <w:t>Measure</w:t>
      </w:r>
      <w:r w:rsidRPr="007C167B">
        <w:rPr>
          <w:i/>
          <w:iCs/>
        </w:rPr>
        <w:t xml:space="preserve"> nursing</w:t>
      </w:r>
      <w:r w:rsidRPr="007C167B">
        <w:t xml:space="preserve">, 34(1), pp. 47–51. Available at: </w:t>
      </w:r>
      <w:hyperlink r:id="rId8" w:history="1">
        <w:r w:rsidRPr="007C167B">
          <w:rPr>
            <w:rStyle w:val="Hyperlink"/>
          </w:rPr>
          <w:t>https://doi.org/10.62116/MSJ.2025.34.1.47</w:t>
        </w:r>
      </w:hyperlink>
      <w:r w:rsidRPr="007C167B">
        <w:t>.</w:t>
      </w:r>
    </w:p>
    <w:p w14:paraId="0BE90B57" w14:textId="77777777" w:rsidR="00136196" w:rsidRPr="00F3764E" w:rsidRDefault="00136196" w:rsidP="00136196">
      <w:r w:rsidRPr="00F3764E">
        <w:t xml:space="preserve">Cardinal, L. and Boyer, P. (2004) ‘Devolution and language governance in Wales’, </w:t>
      </w:r>
      <w:r w:rsidRPr="00F3764E">
        <w:rPr>
          <w:i/>
          <w:iCs/>
        </w:rPr>
        <w:t>Inroads (Ottawa)</w:t>
      </w:r>
      <w:r w:rsidRPr="00F3764E">
        <w:t>, (14), pp. 110-.</w:t>
      </w:r>
    </w:p>
    <w:p w14:paraId="0664CCDE" w14:textId="77777777" w:rsidR="00136196" w:rsidRDefault="00136196" w:rsidP="00136196">
      <w:r w:rsidRPr="00410338">
        <w:t xml:space="preserve">Catney, G. (2016) ‘The Changing Geographies of Ethnic Diversity in England and Wales, 1991-2011’, </w:t>
      </w:r>
      <w:r w:rsidRPr="00410338">
        <w:rPr>
          <w:i/>
          <w:iCs/>
        </w:rPr>
        <w:t>Population space and place</w:t>
      </w:r>
      <w:r w:rsidRPr="00410338">
        <w:t xml:space="preserve">, 22(8), pp. 750–765. Available at: </w:t>
      </w:r>
      <w:hyperlink r:id="rId9" w:history="1">
        <w:r w:rsidRPr="00410338">
          <w:rPr>
            <w:rStyle w:val="Hyperlink"/>
          </w:rPr>
          <w:t>https://doi.org/10.1002/psp.1954</w:t>
        </w:r>
      </w:hyperlink>
      <w:r w:rsidRPr="00410338">
        <w:t>.</w:t>
      </w:r>
    </w:p>
    <w:p w14:paraId="64142654" w14:textId="77777777" w:rsidR="00136196" w:rsidRDefault="00136196" w:rsidP="00136196">
      <w:r w:rsidRPr="00FD507F">
        <w:t>Davies, S. (2023) ‘The integration journey in Wales – moving below the waterline. Fitting with the conference theme of ‘Change management implementation’</w:t>
      </w:r>
      <w:r>
        <w:t>, this presentation will explore the journey in Wales in creating structural, legislative and system change, International Journal of Integrated Care</w:t>
      </w:r>
      <w:r w:rsidRPr="00FD507F">
        <w:t xml:space="preserve">, 23(S1), pp. 624-. Available at: </w:t>
      </w:r>
      <w:hyperlink r:id="rId10" w:history="1">
        <w:r w:rsidRPr="00FD507F">
          <w:rPr>
            <w:rStyle w:val="Hyperlink"/>
          </w:rPr>
          <w:t>https://doi.org/10.5334/ijic.ICIC23241</w:t>
        </w:r>
      </w:hyperlink>
      <w:r w:rsidRPr="00FD507F">
        <w:t>.</w:t>
      </w:r>
    </w:p>
    <w:p w14:paraId="740F61DE" w14:textId="721405B6" w:rsidR="00136196" w:rsidRDefault="00136196" w:rsidP="00136196">
      <w:r w:rsidRPr="005B5963">
        <w:t xml:space="preserve">Edwards, R.T. </w:t>
      </w:r>
      <w:r w:rsidRPr="005B5963">
        <w:rPr>
          <w:i/>
          <w:iCs/>
        </w:rPr>
        <w:t>et al.</w:t>
      </w:r>
      <w:r w:rsidRPr="005B5963">
        <w:t xml:space="preserve"> (2014) ‘A national </w:t>
      </w:r>
      <w:r w:rsidR="00EE2351" w:rsidRPr="005B5963">
        <w:t>Program</w:t>
      </w:r>
      <w:r w:rsidRPr="005B5963">
        <w:t xml:space="preserve"> Budgeting and Marginal Analysis (PBMA) of health improvement spending across Wales: disinvestment and reinvestment across the life course’, </w:t>
      </w:r>
      <w:r w:rsidRPr="005B5963">
        <w:rPr>
          <w:i/>
          <w:iCs/>
        </w:rPr>
        <w:t>BMC public health</w:t>
      </w:r>
      <w:r w:rsidRPr="005B5963">
        <w:t xml:space="preserve">, 14(1), pp. 837–837. Available at: </w:t>
      </w:r>
      <w:hyperlink r:id="rId11" w:history="1">
        <w:r w:rsidRPr="005B5963">
          <w:rPr>
            <w:rStyle w:val="Hyperlink"/>
          </w:rPr>
          <w:t>https://doi.org/10.1186/1471-2458-14-837</w:t>
        </w:r>
      </w:hyperlink>
      <w:r w:rsidRPr="005B5963">
        <w:t>.</w:t>
      </w:r>
    </w:p>
    <w:p w14:paraId="0D2A7D6F" w14:textId="77777777" w:rsidR="00136196" w:rsidRDefault="00136196" w:rsidP="00136196">
      <w:r w:rsidRPr="000D51B0">
        <w:t xml:space="preserve">Goodwin, L., Jones, A. and Hunter, B. (2022) ‘Addressing social inequity through improving relational care: A social–ecological model based on the experiences of migrant women and midwives in South Wales’, </w:t>
      </w:r>
      <w:r w:rsidRPr="000D51B0">
        <w:rPr>
          <w:i/>
          <w:iCs/>
        </w:rPr>
        <w:t xml:space="preserve">Health </w:t>
      </w:r>
      <w:proofErr w:type="gramStart"/>
      <w:r w:rsidRPr="000D51B0">
        <w:rPr>
          <w:i/>
          <w:iCs/>
        </w:rPr>
        <w:t>expectations</w:t>
      </w:r>
      <w:r w:rsidRPr="000D51B0">
        <w:rPr>
          <w:rFonts w:ascii="Arial" w:hAnsi="Arial" w:cs="Arial"/>
          <w:i/>
          <w:iCs/>
        </w:rPr>
        <w:t> </w:t>
      </w:r>
      <w:r w:rsidRPr="000D51B0">
        <w:rPr>
          <w:i/>
          <w:iCs/>
        </w:rPr>
        <w:t>:</w:t>
      </w:r>
      <w:proofErr w:type="gramEnd"/>
      <w:r w:rsidRPr="000D51B0">
        <w:rPr>
          <w:i/>
          <w:iCs/>
        </w:rPr>
        <w:t xml:space="preserve"> an international journal of public participation in health care and health policy</w:t>
      </w:r>
      <w:r w:rsidRPr="000D51B0">
        <w:t xml:space="preserve">, 25(5), pp. 2124–2133. Available at: </w:t>
      </w:r>
      <w:hyperlink r:id="rId12" w:history="1">
        <w:r w:rsidRPr="000D51B0">
          <w:rPr>
            <w:rStyle w:val="Hyperlink"/>
          </w:rPr>
          <w:t>https://doi.org/10.1111/hex.13333</w:t>
        </w:r>
      </w:hyperlink>
    </w:p>
    <w:p w14:paraId="321AC180" w14:textId="77777777" w:rsidR="00136196" w:rsidRDefault="00136196" w:rsidP="00136196">
      <w:r w:rsidRPr="00A50511">
        <w:t xml:space="preserve">Hannigan, B. (2022) ‘Observations from a small country: mental health policy, services and nursing in Wales’, </w:t>
      </w:r>
      <w:r w:rsidRPr="00A50511">
        <w:rPr>
          <w:i/>
          <w:iCs/>
        </w:rPr>
        <w:t>Health economics, policy and law</w:t>
      </w:r>
      <w:r w:rsidRPr="00A50511">
        <w:t xml:space="preserve">, 17(2), pp. 200–211. Available at: </w:t>
      </w:r>
      <w:hyperlink r:id="rId13" w:history="1">
        <w:r w:rsidRPr="00A50511">
          <w:rPr>
            <w:rStyle w:val="Hyperlink"/>
          </w:rPr>
          <w:t>https://doi.org/10.1017/S1744133120000456</w:t>
        </w:r>
      </w:hyperlink>
      <w:r w:rsidRPr="00A50511">
        <w:t>.</w:t>
      </w:r>
    </w:p>
    <w:p w14:paraId="477E0B7D" w14:textId="77777777" w:rsidR="00136196" w:rsidRDefault="00136196" w:rsidP="00136196">
      <w:r w:rsidRPr="002870F6">
        <w:t xml:space="preserve">Lunt, N., Bainbridge, L. and Rippon, S. (2021) ‘Strengths, assets and place – The emergence of Local Area Coordination initiatives in England and Wales’, </w:t>
      </w:r>
      <w:r w:rsidRPr="002870F6">
        <w:rPr>
          <w:i/>
          <w:iCs/>
        </w:rPr>
        <w:t xml:space="preserve">Journal of </w:t>
      </w:r>
      <w:r>
        <w:rPr>
          <w:i/>
          <w:iCs/>
        </w:rPr>
        <w:t xml:space="preserve">Social </w:t>
      </w:r>
      <w:proofErr w:type="gramStart"/>
      <w:r>
        <w:rPr>
          <w:i/>
          <w:iCs/>
        </w:rPr>
        <w:t>Work</w:t>
      </w:r>
      <w:r w:rsidRPr="002870F6">
        <w:rPr>
          <w:rFonts w:ascii="Arial" w:hAnsi="Arial" w:cs="Arial"/>
          <w:i/>
          <w:iCs/>
        </w:rPr>
        <w:t> </w:t>
      </w:r>
      <w:r w:rsidRPr="002870F6">
        <w:rPr>
          <w:i/>
          <w:iCs/>
        </w:rPr>
        <w:t>:</w:t>
      </w:r>
      <w:proofErr w:type="gramEnd"/>
      <w:r w:rsidRPr="002870F6">
        <w:rPr>
          <w:i/>
          <w:iCs/>
        </w:rPr>
        <w:t xml:space="preserve"> JSW</w:t>
      </w:r>
      <w:r w:rsidRPr="002870F6">
        <w:t xml:space="preserve">, 21(5), pp. 1041–1064. Available at: </w:t>
      </w:r>
      <w:hyperlink r:id="rId14" w:history="1">
        <w:r w:rsidRPr="002870F6">
          <w:rPr>
            <w:rStyle w:val="Hyperlink"/>
          </w:rPr>
          <w:t>https://doi.org/10.1177/1468017320918174</w:t>
        </w:r>
      </w:hyperlink>
      <w:r w:rsidRPr="002870F6">
        <w:t>.</w:t>
      </w:r>
    </w:p>
    <w:p w14:paraId="498B98E5" w14:textId="77777777" w:rsidR="00136196" w:rsidRDefault="00136196" w:rsidP="00136196">
      <w:r w:rsidRPr="00373E8E">
        <w:lastRenderedPageBreak/>
        <w:t>Marchant, E. (2024)</w:t>
      </w:r>
      <w:r>
        <w:t>. Re-</w:t>
      </w:r>
      <w:proofErr w:type="spellStart"/>
      <w:r>
        <w:t>energising</w:t>
      </w:r>
      <w:proofErr w:type="spellEnd"/>
      <w:r>
        <w:t xml:space="preserve"> health literacy in Wales: a testbed for health, education and prosperity for all. Health Promotion International</w:t>
      </w:r>
      <w:r w:rsidRPr="00373E8E">
        <w:t xml:space="preserve">, 39(3). Available at: </w:t>
      </w:r>
      <w:hyperlink r:id="rId15" w:history="1">
        <w:r w:rsidRPr="00373E8E">
          <w:rPr>
            <w:rStyle w:val="Hyperlink"/>
          </w:rPr>
          <w:t>https://doi.org/10.1093/heapro/daae055</w:t>
        </w:r>
      </w:hyperlink>
      <w:r w:rsidRPr="00373E8E">
        <w:t>.</w:t>
      </w:r>
    </w:p>
    <w:p w14:paraId="0B7564E8" w14:textId="77777777" w:rsidR="00136196" w:rsidRDefault="00136196" w:rsidP="00136196">
      <w:proofErr w:type="spellStart"/>
      <w:r w:rsidRPr="003C08E2">
        <w:t>Martiniuk</w:t>
      </w:r>
      <w:proofErr w:type="spellEnd"/>
      <w:r w:rsidRPr="00F963D9">
        <w:t>, A</w:t>
      </w:r>
      <w:r>
        <w:t>.,</w:t>
      </w:r>
      <w:r w:rsidRPr="00F963D9">
        <w:t xml:space="preserve"> Colbran, R</w:t>
      </w:r>
      <w:r>
        <w:t xml:space="preserve">., </w:t>
      </w:r>
      <w:r w:rsidRPr="00F963D9">
        <w:t>Ramsden, R</w:t>
      </w:r>
      <w:r>
        <w:t>.,</w:t>
      </w:r>
      <w:r w:rsidRPr="00F963D9">
        <w:t xml:space="preserve"> Edwards, </w:t>
      </w:r>
      <w:r>
        <w:t xml:space="preserve">M., </w:t>
      </w:r>
      <w:r w:rsidRPr="00F963D9">
        <w:t xml:space="preserve">Barrett, </w:t>
      </w:r>
      <w:r>
        <w:t>E.,</w:t>
      </w:r>
      <w:r w:rsidRPr="00F963D9">
        <w:t xml:space="preserve"> O'Callaghan, E</w:t>
      </w:r>
      <w:r>
        <w:t>.,</w:t>
      </w:r>
      <w:r w:rsidRPr="00F963D9">
        <w:t xml:space="preserve"> Bullock, R</w:t>
      </w:r>
      <w:r>
        <w:t xml:space="preserve">., </w:t>
      </w:r>
      <w:r w:rsidRPr="00F963D9">
        <w:t>Lowe, E</w:t>
      </w:r>
      <w:r>
        <w:t xml:space="preserve">., </w:t>
      </w:r>
      <w:r w:rsidRPr="00F963D9">
        <w:t>Karlson, D</w:t>
      </w:r>
      <w:r>
        <w:t xml:space="preserve">., </w:t>
      </w:r>
      <w:r w:rsidRPr="00F963D9">
        <w:t xml:space="preserve"> Curnow, J</w:t>
      </w:r>
      <w:r>
        <w:t xml:space="preserve">., </w:t>
      </w:r>
      <w:r w:rsidRPr="00F963D9">
        <w:t xml:space="preserve"> Gotch, B</w:t>
      </w:r>
      <w:r>
        <w:t xml:space="preserve">., </w:t>
      </w:r>
      <w:r w:rsidRPr="00F963D9">
        <w:t>Kramer, J</w:t>
      </w:r>
      <w:r>
        <w:t>.,</w:t>
      </w:r>
      <w:r w:rsidRPr="00F963D9">
        <w:t xml:space="preserve"> </w:t>
      </w:r>
      <w:proofErr w:type="spellStart"/>
      <w:r w:rsidRPr="00F963D9">
        <w:t>Bagnulo</w:t>
      </w:r>
      <w:proofErr w:type="spellEnd"/>
      <w:r w:rsidRPr="00F963D9">
        <w:t>, S</w:t>
      </w:r>
      <w:r>
        <w:t xml:space="preserve">., </w:t>
      </w:r>
      <w:proofErr w:type="spellStart"/>
      <w:r w:rsidRPr="00F963D9">
        <w:t>Rothnie</w:t>
      </w:r>
      <w:proofErr w:type="spellEnd"/>
      <w:r w:rsidRPr="00F963D9">
        <w:t>, I</w:t>
      </w:r>
      <w:r>
        <w:t xml:space="preserve">., </w:t>
      </w:r>
      <w:r w:rsidRPr="00F963D9">
        <w:t>Hardaker, L</w:t>
      </w:r>
      <w:r>
        <w:t>.,</w:t>
      </w:r>
      <w:r w:rsidRPr="00F963D9">
        <w:t xml:space="preserve"> Turner, N</w:t>
      </w:r>
      <w:r>
        <w:t xml:space="preserve">., </w:t>
      </w:r>
      <w:r w:rsidRPr="00F963D9">
        <w:t>Wotherspoon, A</w:t>
      </w:r>
      <w:r>
        <w:t xml:space="preserve">., </w:t>
      </w:r>
      <w:r w:rsidRPr="00F963D9">
        <w:t>Russell, C</w:t>
      </w:r>
      <w:r>
        <w:t xml:space="preserve">., </w:t>
      </w:r>
      <w:r w:rsidRPr="00F963D9">
        <w:t>Townsville Q</w:t>
      </w:r>
      <w:r w:rsidRPr="003C08E2">
        <w:rPr>
          <w:i/>
          <w:iCs/>
        </w:rPr>
        <w:t>.</w:t>
      </w:r>
      <w:r w:rsidRPr="003C08E2">
        <w:t xml:space="preserve"> (2020) ‘Capability... what’s in a word?: Rural Doctors Network of New South Wales Australia is shifting to focus on the capability of rural health professionals’, </w:t>
      </w:r>
      <w:r w:rsidRPr="003C08E2">
        <w:rPr>
          <w:i/>
          <w:iCs/>
        </w:rPr>
        <w:t>Rural and remote health</w:t>
      </w:r>
      <w:r w:rsidRPr="003C08E2">
        <w:t xml:space="preserve">, 20(3), pp. 1–8. Available at: </w:t>
      </w:r>
      <w:hyperlink r:id="rId16" w:history="1">
        <w:r w:rsidRPr="003C08E2">
          <w:rPr>
            <w:rStyle w:val="Hyperlink"/>
          </w:rPr>
          <w:t>https://doi.org/10.22605/RRH5633</w:t>
        </w:r>
      </w:hyperlink>
      <w:r w:rsidRPr="003C08E2">
        <w:t>.</w:t>
      </w:r>
    </w:p>
    <w:p w14:paraId="31ACD859" w14:textId="77777777" w:rsidR="00136196" w:rsidRDefault="00136196" w:rsidP="00136196">
      <w:r w:rsidRPr="00794447">
        <w:rPr>
          <w:lang w:val="en-GB"/>
        </w:rPr>
        <w:t xml:space="preserve">Moore, G. </w:t>
      </w:r>
      <w:r w:rsidRPr="00B235A5">
        <w:t>Donaldson, C</w:t>
      </w:r>
      <w:r>
        <w:t>.,</w:t>
      </w:r>
      <w:r w:rsidRPr="00B235A5">
        <w:t xml:space="preserve"> </w:t>
      </w:r>
      <w:proofErr w:type="spellStart"/>
      <w:r w:rsidRPr="00B235A5">
        <w:t>Ouerghi</w:t>
      </w:r>
      <w:proofErr w:type="spellEnd"/>
      <w:r w:rsidRPr="00B235A5">
        <w:t>, S</w:t>
      </w:r>
      <w:r>
        <w:t xml:space="preserve">., </w:t>
      </w:r>
      <w:r w:rsidRPr="00B235A5">
        <w:t>Hawkins, J</w:t>
      </w:r>
      <w:r>
        <w:t xml:space="preserve">., </w:t>
      </w:r>
      <w:r w:rsidRPr="00B235A5">
        <w:t xml:space="preserve">Anthony, </w:t>
      </w:r>
      <w:r>
        <w:t>R.,</w:t>
      </w:r>
      <w:r w:rsidRPr="00B235A5">
        <w:t xml:space="preserve"> Angel, L</w:t>
      </w:r>
      <w:r>
        <w:t>.,</w:t>
      </w:r>
      <w:r w:rsidRPr="00B235A5">
        <w:t xml:space="preserve"> Morgan, K</w:t>
      </w:r>
      <w:r w:rsidRPr="00794447">
        <w:rPr>
          <w:i/>
          <w:iCs/>
          <w:lang w:val="en-GB"/>
        </w:rPr>
        <w:t>.</w:t>
      </w:r>
      <w:r w:rsidRPr="00794447">
        <w:rPr>
          <w:lang w:val="en-GB"/>
        </w:rPr>
        <w:t xml:space="preserve"> (2024) ‘School and Family Level Socioeconomic Status, School Connectedness and Health and Wellbeing Among 9–11 Year Olds: Cross Sectional Analysis of the Student Health and Wellbeing Survey in Wales’, </w:t>
      </w:r>
      <w:r w:rsidRPr="00794447">
        <w:rPr>
          <w:i/>
          <w:iCs/>
          <w:lang w:val="en-GB"/>
        </w:rPr>
        <w:t>Child indicators research</w:t>
      </w:r>
      <w:r w:rsidRPr="00794447">
        <w:rPr>
          <w:lang w:val="en-GB"/>
        </w:rPr>
        <w:t xml:space="preserve">, 17(6), pp. 2769–2787. Available at: </w:t>
      </w:r>
      <w:hyperlink r:id="rId17" w:history="1">
        <w:r w:rsidRPr="00380AD3">
          <w:rPr>
            <w:rStyle w:val="Hyperlink"/>
            <w:lang w:val="en-GB"/>
          </w:rPr>
          <w:t>https://doi.org/10.1007/s12187-024-10179-6</w:t>
        </w:r>
      </w:hyperlink>
      <w:r w:rsidRPr="00794447">
        <w:rPr>
          <w:lang w:val="en-GB"/>
        </w:rPr>
        <w:t>.</w:t>
      </w:r>
    </w:p>
    <w:p w14:paraId="4EF48D6C" w14:textId="062E826D" w:rsidR="00136196" w:rsidRDefault="00136196" w:rsidP="00136196">
      <w:r w:rsidRPr="00F27F35">
        <w:t>Phillips, A.</w:t>
      </w:r>
      <w:r>
        <w:t xml:space="preserve">, </w:t>
      </w:r>
      <w:r w:rsidRPr="003E0E0A">
        <w:t>Davies, G</w:t>
      </w:r>
      <w:r>
        <w:t>.,</w:t>
      </w:r>
      <w:r w:rsidRPr="003E0E0A">
        <w:t xml:space="preserve"> Rees, D</w:t>
      </w:r>
      <w:r>
        <w:t xml:space="preserve">., </w:t>
      </w:r>
      <w:proofErr w:type="gramStart"/>
      <w:r>
        <w:t xml:space="preserve">and  </w:t>
      </w:r>
      <w:r w:rsidRPr="003E0E0A">
        <w:t>Jones</w:t>
      </w:r>
      <w:proofErr w:type="gramEnd"/>
      <w:r w:rsidRPr="003E0E0A">
        <w:t xml:space="preserve">, </w:t>
      </w:r>
      <w:proofErr w:type="gramStart"/>
      <w:r>
        <w:t>P.(</w:t>
      </w:r>
      <w:proofErr w:type="gramEnd"/>
      <w:r>
        <w:t xml:space="preserve">2024). "Initial Insights from Innovation Strategy Development in Wales." In </w:t>
      </w:r>
      <w:r w:rsidR="00EE2351">
        <w:t xml:space="preserve">the </w:t>
      </w:r>
      <w:r>
        <w:t>European Conference on Innovation and Entrepreneurship</w:t>
      </w:r>
      <w:r w:rsidRPr="00F27F35">
        <w:t xml:space="preserve">. Reading: Academic Conferences International Limited, pp. 994–998. Available at: </w:t>
      </w:r>
      <w:hyperlink r:id="rId18" w:history="1">
        <w:r w:rsidRPr="00F27F35">
          <w:rPr>
            <w:rStyle w:val="Hyperlink"/>
          </w:rPr>
          <w:t>https://doi.org/10.34190/ecie.19.1.2588</w:t>
        </w:r>
      </w:hyperlink>
      <w:r w:rsidRPr="00F27F35">
        <w:t>.</w:t>
      </w:r>
    </w:p>
    <w:p w14:paraId="16E23FD4" w14:textId="77777777" w:rsidR="00136196" w:rsidRDefault="00136196" w:rsidP="00136196">
      <w:r w:rsidRPr="00B315A6">
        <w:t xml:space="preserve">Rhodes, </w:t>
      </w:r>
      <w:r>
        <w:t>M. A. (2019).</w:t>
      </w:r>
      <w:r w:rsidRPr="00B315A6">
        <w:t xml:space="preserve"> </w:t>
      </w:r>
      <w:r w:rsidRPr="00B315A6">
        <w:rPr>
          <w:i/>
          <w:iCs/>
        </w:rPr>
        <w:t>The Memory Work of Welsh Heritage: Multidimensional Landscapes of a Multinational Wales</w:t>
      </w:r>
      <w:r w:rsidRPr="00B315A6">
        <w:t>. ProQuest Dissertations &amp; Theses.</w:t>
      </w:r>
    </w:p>
    <w:p w14:paraId="00B76875" w14:textId="77777777" w:rsidR="00136196" w:rsidRDefault="00136196" w:rsidP="00136196">
      <w:r w:rsidRPr="006B4BE5">
        <w:t xml:space="preserve">Terry, J., Meara, R. and England, R. (2024) ‘“They still phone even though they know I’m deaf”: exploring experiences of deaf people in health services in Wales, UK’, </w:t>
      </w:r>
      <w:r w:rsidRPr="006B4BE5">
        <w:rPr>
          <w:i/>
          <w:iCs/>
        </w:rPr>
        <w:t>Journal of public health (Oxford, England)</w:t>
      </w:r>
      <w:r w:rsidRPr="006B4BE5">
        <w:t xml:space="preserve">, 46(3), pp. e520–e527. Available at: </w:t>
      </w:r>
      <w:hyperlink r:id="rId19" w:history="1">
        <w:r w:rsidRPr="006B4BE5">
          <w:rPr>
            <w:rStyle w:val="Hyperlink"/>
          </w:rPr>
          <w:t>https://doi.org/10.1093/pubmed/fdae112</w:t>
        </w:r>
      </w:hyperlink>
      <w:r w:rsidRPr="006B4BE5">
        <w:t>.</w:t>
      </w:r>
    </w:p>
    <w:p w14:paraId="172F0C13" w14:textId="77777777" w:rsidR="00136196" w:rsidRDefault="00136196" w:rsidP="00136196">
      <w:r w:rsidRPr="004D2AFB">
        <w:t xml:space="preserve">Wood, J. (2025) ‘The power to act: dissecting distinctive elements of power and ownership in community </w:t>
      </w:r>
      <w:proofErr w:type="spellStart"/>
      <w:r>
        <w:t>organising</w:t>
      </w:r>
      <w:proofErr w:type="spellEnd"/>
      <w:r w:rsidRPr="004D2AFB">
        <w:t xml:space="preserve"> in England and Wales’, </w:t>
      </w:r>
      <w:r w:rsidRPr="004D2AFB">
        <w:rPr>
          <w:i/>
          <w:iCs/>
        </w:rPr>
        <w:t>Community development journal</w:t>
      </w:r>
      <w:r w:rsidRPr="004D2AFB">
        <w:t xml:space="preserve">, 60(1), pp. 200–217. Available at: </w:t>
      </w:r>
      <w:hyperlink r:id="rId20" w:history="1">
        <w:r w:rsidRPr="004D2AFB">
          <w:rPr>
            <w:rStyle w:val="Hyperlink"/>
          </w:rPr>
          <w:t>https://doi.org/10.1093/cdj/bsad023</w:t>
        </w:r>
      </w:hyperlink>
      <w:r w:rsidRPr="004D2AFB">
        <w:t>.</w:t>
      </w:r>
    </w:p>
    <w:p w14:paraId="02EEF7E5" w14:textId="77777777" w:rsidR="00136196" w:rsidRDefault="00136196" w:rsidP="00136196">
      <w:r w:rsidRPr="003B6AA3">
        <w:rPr>
          <w:lang w:val="en-GB"/>
        </w:rPr>
        <w:t xml:space="preserve">  </w:t>
      </w:r>
      <w:r w:rsidRPr="001F4A2C">
        <w:t xml:space="preserve">Zeh, P. </w:t>
      </w:r>
      <w:r w:rsidRPr="00B24C62">
        <w:t xml:space="preserve">Sandhu, H. K.; </w:t>
      </w:r>
      <w:proofErr w:type="spellStart"/>
      <w:r w:rsidRPr="00B24C62">
        <w:t>Cannaby</w:t>
      </w:r>
      <w:proofErr w:type="spellEnd"/>
      <w:r w:rsidRPr="00B24C62">
        <w:t xml:space="preserve">, A. M.; Sturt, J. </w:t>
      </w:r>
      <w:r>
        <w:t>A. Oxford</w:t>
      </w:r>
      <w:r w:rsidRPr="00B24C62">
        <w:t xml:space="preserve">, </w:t>
      </w:r>
      <w:r w:rsidRPr="001F4A2C">
        <w:t xml:space="preserve">(2012) ‘The impact of culturally competent diabetes care interventions for improving diabetes-related outcomes in ethnic minority groups: a systematic review’, </w:t>
      </w:r>
      <w:r w:rsidRPr="001F4A2C">
        <w:rPr>
          <w:i/>
          <w:iCs/>
        </w:rPr>
        <w:t>Diabetic medicine</w:t>
      </w:r>
      <w:r w:rsidRPr="001F4A2C">
        <w:t xml:space="preserve">, 29(10), pp. 1237–1252. Available at: </w:t>
      </w:r>
      <w:hyperlink r:id="rId21" w:history="1">
        <w:r w:rsidRPr="00380AD3">
          <w:rPr>
            <w:rStyle w:val="Hyperlink"/>
          </w:rPr>
          <w:t>https://doi.org/10.1111/j.1464-5491.2012.03701.x</w:t>
        </w:r>
      </w:hyperlink>
      <w:r w:rsidRPr="001F4A2C">
        <w:t>.</w:t>
      </w:r>
    </w:p>
    <w:p w14:paraId="595FD48E" w14:textId="77777777" w:rsidR="00136196" w:rsidRDefault="00136196"/>
    <w:sectPr w:rsidR="0013619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6196"/>
    <w:rsid w:val="00136196"/>
    <w:rsid w:val="006144A8"/>
    <w:rsid w:val="00891539"/>
    <w:rsid w:val="00E121F4"/>
    <w:rsid w:val="00EE2351"/>
    <w:rsid w:val="00FF7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C9058D4"/>
  <w15:chartTrackingRefBased/>
  <w15:docId w15:val="{960953B8-21F1-460D-98DF-7F612F32E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361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361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361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361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361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361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361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361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361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361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361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361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3619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3619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3619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3619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3619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3619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361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361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361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361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361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3619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3619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3619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361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3619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3619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36196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62116/MSJ.2025.34.1.47" TargetMode="External"/><Relationship Id="rId13" Type="http://schemas.openxmlformats.org/officeDocument/2006/relationships/hyperlink" Target="https://doi.org/10.1017/S1744133120000456" TargetMode="External"/><Relationship Id="rId18" Type="http://schemas.openxmlformats.org/officeDocument/2006/relationships/hyperlink" Target="https://doi.org/10.34190/ecie.19.1.2588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doi.org/10.1111/j.1464-5491.2012.03701.x" TargetMode="External"/><Relationship Id="rId7" Type="http://schemas.openxmlformats.org/officeDocument/2006/relationships/hyperlink" Target="https://doi.org/10.1111/imig.12680" TargetMode="External"/><Relationship Id="rId12" Type="http://schemas.openxmlformats.org/officeDocument/2006/relationships/hyperlink" Target="https://doi.org/10.1111/hex.13333" TargetMode="External"/><Relationship Id="rId17" Type="http://schemas.openxmlformats.org/officeDocument/2006/relationships/hyperlink" Target="https://doi.org/10.1007/s12187-024-10179-6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doi.org/10.22605/RRH5633" TargetMode="External"/><Relationship Id="rId20" Type="http://schemas.openxmlformats.org/officeDocument/2006/relationships/hyperlink" Target="https://doi.org/10.1093/cdj/bsad023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oi.org/10.1186/1471-2458-14-837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doi.org/10.1093/heapro/daae055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doi.org/10.5334/ijic.ICIC23241" TargetMode="External"/><Relationship Id="rId19" Type="http://schemas.openxmlformats.org/officeDocument/2006/relationships/hyperlink" Target="https://doi.org/10.1093/pubmed/fdae112" TargetMode="External"/><Relationship Id="rId4" Type="http://schemas.openxmlformats.org/officeDocument/2006/relationships/styles" Target="styles.xml"/><Relationship Id="rId9" Type="http://schemas.openxmlformats.org/officeDocument/2006/relationships/hyperlink" Target="https://doi.org/10.1002/psp.1954" TargetMode="External"/><Relationship Id="rId14" Type="http://schemas.openxmlformats.org/officeDocument/2006/relationships/hyperlink" Target="https://doi.org/10.1177/1468017320918174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85D9A3F19FAA42827BE103508D067E" ma:contentTypeVersion="13" ma:contentTypeDescription="Create a new document." ma:contentTypeScope="" ma:versionID="be4170a8e5f64a9aeb06d2f588a1a9fc">
  <xsd:schema xmlns:xsd="http://www.w3.org/2001/XMLSchema" xmlns:xs="http://www.w3.org/2001/XMLSchema" xmlns:p="http://schemas.microsoft.com/office/2006/metadata/properties" xmlns:ns3="b6c735d2-3114-479d-9f38-f4e14bc16876" xmlns:ns4="bd58668a-75ed-4e88-8b6f-7357ab2eb406" targetNamespace="http://schemas.microsoft.com/office/2006/metadata/properties" ma:root="true" ma:fieldsID="dd316e6a51955fe457e76f006bd3acb2" ns3:_="" ns4:_="">
    <xsd:import namespace="b6c735d2-3114-479d-9f38-f4e14bc16876"/>
    <xsd:import namespace="bd58668a-75ed-4e88-8b6f-7357ab2eb406"/>
    <xsd:element name="properties">
      <xsd:complexType>
        <xsd:sequence>
          <xsd:element name="documentManagement">
            <xsd:complexType>
              <xsd:all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c735d2-3114-479d-9f38-f4e14bc16876" elementFormDefault="qualified">
    <xsd:import namespace="http://schemas.microsoft.com/office/2006/documentManagement/types"/>
    <xsd:import namespace="http://schemas.microsoft.com/office/infopath/2007/PartnerControls"/>
    <xsd:element name="_activity" ma:index="8" nillable="true" ma:displayName="_activity" ma:hidden="true" ma:internalName="_activity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58668a-75ed-4e88-8b6f-7357ab2eb406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6c735d2-3114-479d-9f38-f4e14bc1687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16BFCD4-A866-4D6D-A835-DE133E940E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6c735d2-3114-479d-9f38-f4e14bc16876"/>
    <ds:schemaRef ds:uri="bd58668a-75ed-4e88-8b6f-7357ab2eb4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8F05E6C-160F-4EE1-B0B3-F09CBDB0FB87}">
  <ds:schemaRefs>
    <ds:schemaRef ds:uri="http://purl.org/dc/elements/1.1/"/>
    <ds:schemaRef ds:uri="http://schemas.microsoft.com/office/2006/metadata/properties"/>
    <ds:schemaRef ds:uri="http://purl.org/dc/terms/"/>
    <ds:schemaRef ds:uri="http://schemas.microsoft.com/office/2006/documentManagement/types"/>
    <ds:schemaRef ds:uri="bd58668a-75ed-4e88-8b6f-7357ab2eb406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b6c735d2-3114-479d-9f38-f4e14bc16876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03DB5621-38CB-42A7-B35E-87874175774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814</Words>
  <Characters>4644</Characters>
  <Application>Microsoft Office Word</Application>
  <DocSecurity>0</DocSecurity>
  <Lines>38</Lines>
  <Paragraphs>10</Paragraphs>
  <ScaleCrop>false</ScaleCrop>
  <Company/>
  <LinksUpToDate>false</LinksUpToDate>
  <CharactersWithSpaces>5448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Nicoleta Dinu (1804616)</dc:creator>
  <cp:keywords/>
  <dc:description/>
  <cp:lastModifiedBy>Culcea Adriana</cp:lastModifiedBy>
  <cp:revision>2</cp:revision>
  <dcterms:created xsi:type="dcterms:W3CDTF">2025-04-25T01:51:00Z</dcterms:created>
  <dcterms:modified xsi:type="dcterms:W3CDTF">2025-04-25T01:51:00Z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b8cbb85b-fce6-4654-b37d-c33eadadd9dd</vt:lpwstr>
  </property>
  <property fmtid="{D5CDD505-2E9C-101B-9397-08002B2CF9AE}" pid="3" name="ContentTypeId">
    <vt:lpwstr>0x0101006685D9A3F19FAA42827BE103508D067E</vt:lpwstr>
  </property>
</Properties>
</file>