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69B7A" w14:textId="77777777" w:rsidR="00842305" w:rsidRDefault="00842305" w:rsidP="00842305">
      <w:pPr>
        <w:pStyle w:val="Heading1"/>
        <w:jc w:val="center"/>
        <w:rPr>
          <w:rFonts w:ascii="Times New Roman" w:hAnsi="Times New Roman" w:cs="Times New Roman"/>
          <w:bCs/>
          <w:i/>
          <w:iCs/>
          <w:color w:val="000000" w:themeColor="text1"/>
          <w:lang w:val="en-US"/>
        </w:rPr>
      </w:pPr>
      <w:bookmarkStart w:id="0" w:name="_Toc224579701"/>
      <w:r>
        <w:rPr>
          <w:noProof/>
        </w:rPr>
        <w:drawing>
          <wp:inline distT="0" distB="0" distL="0" distR="0" wp14:anchorId="2534D7E1" wp14:editId="774A9DD0">
            <wp:extent cx="1981200" cy="1981200"/>
            <wp:effectExtent l="228600" t="228600" r="228600" b="228600"/>
            <wp:docPr id="1509527379" name="Picture 2"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UWTSDLondon (@UWTSDLondon) / Posts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bookmarkEnd w:id="0"/>
    </w:p>
    <w:p w14:paraId="74F751C3" w14:textId="77777777" w:rsidR="00842305" w:rsidRDefault="00842305" w:rsidP="00842305">
      <w:pPr>
        <w:pStyle w:val="Heading1"/>
        <w:jc w:val="center"/>
        <w:rPr>
          <w:rFonts w:ascii="Times New Roman" w:hAnsi="Times New Roman" w:cs="Times New Roman"/>
          <w:bCs/>
          <w:i/>
          <w:iCs/>
          <w:color w:val="000000" w:themeColor="text1"/>
          <w:lang w:val="en-US"/>
        </w:rPr>
      </w:pPr>
    </w:p>
    <w:p w14:paraId="4F0899C1" w14:textId="77777777" w:rsidR="00842305" w:rsidRPr="003B1933" w:rsidRDefault="00842305" w:rsidP="00842305">
      <w:pPr>
        <w:pStyle w:val="Heading1"/>
        <w:jc w:val="center"/>
        <w:rPr>
          <w:rFonts w:ascii="Times New Roman" w:hAnsi="Times New Roman" w:cs="Times New Roman"/>
          <w:bCs/>
          <w:i/>
          <w:iCs/>
          <w:color w:val="000000" w:themeColor="text1"/>
          <w:sz w:val="36"/>
          <w:szCs w:val="36"/>
        </w:rPr>
      </w:pPr>
      <w:bookmarkStart w:id="1" w:name="_Toc224579702"/>
      <w:r w:rsidRPr="003B1933">
        <w:rPr>
          <w:rFonts w:ascii="Times New Roman" w:hAnsi="Times New Roman" w:cs="Times New Roman"/>
          <w:bCs/>
          <w:i/>
          <w:iCs/>
          <w:color w:val="000000" w:themeColor="text1"/>
          <w:sz w:val="36"/>
          <w:szCs w:val="36"/>
        </w:rPr>
        <w:t>BA (Hons) Business Management</w:t>
      </w:r>
      <w:bookmarkEnd w:id="1"/>
    </w:p>
    <w:p w14:paraId="17FF5AF4" w14:textId="77777777" w:rsidR="00842305" w:rsidRPr="003B1933" w:rsidRDefault="00842305" w:rsidP="00842305">
      <w:pPr>
        <w:pStyle w:val="Heading1"/>
        <w:jc w:val="center"/>
        <w:rPr>
          <w:rFonts w:ascii="Times New Roman" w:hAnsi="Times New Roman" w:cs="Times New Roman"/>
          <w:bCs/>
          <w:i/>
          <w:iCs/>
          <w:color w:val="000000" w:themeColor="text1"/>
          <w:sz w:val="36"/>
          <w:szCs w:val="36"/>
        </w:rPr>
      </w:pPr>
      <w:bookmarkStart w:id="2" w:name="_Toc224579703"/>
      <w:r w:rsidRPr="003B1933">
        <w:rPr>
          <w:rFonts w:ascii="Times New Roman" w:hAnsi="Times New Roman" w:cs="Times New Roman"/>
          <w:bCs/>
          <w:i/>
          <w:iCs/>
          <w:color w:val="000000" w:themeColor="text1"/>
          <w:sz w:val="36"/>
          <w:szCs w:val="36"/>
        </w:rPr>
        <w:t xml:space="preserve">Module Title: </w:t>
      </w:r>
      <w:r w:rsidRPr="001D3DD5">
        <w:rPr>
          <w:rFonts w:ascii="Times New Roman" w:hAnsi="Times New Roman" w:cs="Times New Roman"/>
          <w:bCs/>
          <w:i/>
          <w:iCs/>
          <w:color w:val="000000" w:themeColor="text1"/>
          <w:sz w:val="36"/>
          <w:szCs w:val="36"/>
        </w:rPr>
        <w:t>Project Management</w:t>
      </w:r>
      <w:bookmarkEnd w:id="2"/>
    </w:p>
    <w:p w14:paraId="3A511450" w14:textId="77777777" w:rsidR="00842305" w:rsidRPr="003B1933" w:rsidRDefault="00842305" w:rsidP="00842305">
      <w:pPr>
        <w:pStyle w:val="Heading1"/>
        <w:jc w:val="center"/>
        <w:rPr>
          <w:rFonts w:ascii="Times New Roman" w:hAnsi="Times New Roman" w:cs="Times New Roman"/>
          <w:bCs/>
          <w:i/>
          <w:iCs/>
          <w:color w:val="000000" w:themeColor="text1"/>
          <w:sz w:val="36"/>
          <w:szCs w:val="36"/>
          <w:lang w:val="en-GB"/>
        </w:rPr>
      </w:pPr>
      <w:bookmarkStart w:id="3" w:name="_Toc224579704"/>
      <w:r w:rsidRPr="003B1933">
        <w:rPr>
          <w:rFonts w:ascii="Times New Roman" w:hAnsi="Times New Roman" w:cs="Times New Roman"/>
          <w:bCs/>
          <w:i/>
          <w:iCs/>
          <w:color w:val="000000" w:themeColor="text1"/>
          <w:sz w:val="36"/>
          <w:szCs w:val="36"/>
        </w:rPr>
        <w:t xml:space="preserve">Module Code: </w:t>
      </w:r>
      <w:r w:rsidRPr="001D3DD5">
        <w:rPr>
          <w:rFonts w:ascii="Times New Roman" w:hAnsi="Times New Roman" w:cs="Times New Roman"/>
          <w:bCs/>
          <w:i/>
          <w:iCs/>
          <w:color w:val="000000" w:themeColor="text1"/>
          <w:sz w:val="36"/>
          <w:szCs w:val="36"/>
        </w:rPr>
        <w:t>LCBB6006</w:t>
      </w:r>
      <w:bookmarkEnd w:id="3"/>
    </w:p>
    <w:p w14:paraId="53851A73" w14:textId="77777777" w:rsidR="00842305" w:rsidRPr="001D3DD5" w:rsidRDefault="00842305" w:rsidP="00842305">
      <w:pPr>
        <w:pStyle w:val="Heading1"/>
        <w:jc w:val="center"/>
        <w:rPr>
          <w:rFonts w:ascii="Times New Roman" w:hAnsi="Times New Roman" w:cs="Times New Roman"/>
          <w:bCs/>
          <w:i/>
          <w:iCs/>
          <w:color w:val="000000" w:themeColor="text1"/>
          <w:sz w:val="36"/>
          <w:szCs w:val="36"/>
          <w:lang w:val="en-GB"/>
        </w:rPr>
      </w:pPr>
      <w:bookmarkStart w:id="4" w:name="_Toc224579705"/>
      <w:r w:rsidRPr="003B1933">
        <w:rPr>
          <w:rFonts w:ascii="Times New Roman" w:hAnsi="Times New Roman" w:cs="Times New Roman"/>
          <w:bCs/>
          <w:i/>
          <w:iCs/>
          <w:color w:val="000000" w:themeColor="text1"/>
          <w:sz w:val="36"/>
          <w:szCs w:val="36"/>
          <w:lang w:val="en-GB"/>
        </w:rPr>
        <w:t xml:space="preserve">Lecturer: </w:t>
      </w:r>
      <w:r w:rsidRPr="001D3DD5">
        <w:rPr>
          <w:rFonts w:ascii="Times New Roman" w:hAnsi="Times New Roman" w:cs="Times New Roman"/>
          <w:bCs/>
          <w:i/>
          <w:iCs/>
          <w:color w:val="000000" w:themeColor="text1"/>
          <w:sz w:val="36"/>
          <w:szCs w:val="36"/>
          <w:lang w:val="en-GB"/>
        </w:rPr>
        <w:t>Dr Said Usman</w:t>
      </w:r>
      <w:bookmarkEnd w:id="4"/>
    </w:p>
    <w:p w14:paraId="3454A25E" w14:textId="77777777" w:rsidR="00842305" w:rsidRPr="003B1933" w:rsidRDefault="00842305" w:rsidP="00842305">
      <w:pPr>
        <w:pStyle w:val="Heading1"/>
        <w:jc w:val="center"/>
        <w:rPr>
          <w:rFonts w:ascii="Times New Roman" w:hAnsi="Times New Roman" w:cs="Times New Roman"/>
          <w:bCs/>
          <w:i/>
          <w:iCs/>
          <w:color w:val="000000" w:themeColor="text1"/>
          <w:sz w:val="36"/>
          <w:szCs w:val="36"/>
          <w:lang w:val="en-GB"/>
        </w:rPr>
      </w:pPr>
      <w:bookmarkStart w:id="5" w:name="_Toc224579706"/>
      <w:r w:rsidRPr="001D3DD5">
        <w:rPr>
          <w:rFonts w:ascii="Times New Roman" w:hAnsi="Times New Roman" w:cs="Times New Roman"/>
          <w:bCs/>
          <w:i/>
          <w:iCs/>
          <w:color w:val="000000" w:themeColor="text1"/>
          <w:sz w:val="36"/>
          <w:szCs w:val="36"/>
          <w:lang w:val="en-GB"/>
        </w:rPr>
        <w:t>Zainab Atta</w:t>
      </w:r>
      <w:bookmarkEnd w:id="5"/>
    </w:p>
    <w:p w14:paraId="2DE5BBE7" w14:textId="490EFBB5" w:rsidR="00842305" w:rsidRPr="001D3DD5" w:rsidRDefault="00842305" w:rsidP="00842305">
      <w:pPr>
        <w:pStyle w:val="Heading1"/>
        <w:jc w:val="center"/>
        <w:rPr>
          <w:rFonts w:ascii="Times New Roman" w:hAnsi="Times New Roman" w:cs="Times New Roman"/>
          <w:bCs/>
          <w:i/>
          <w:iCs/>
          <w:color w:val="000000" w:themeColor="text1"/>
          <w:sz w:val="36"/>
          <w:szCs w:val="36"/>
          <w:lang w:val="en-GB"/>
        </w:rPr>
      </w:pPr>
      <w:bookmarkStart w:id="6" w:name="_Toc224579707"/>
      <w:r w:rsidRPr="003B1933">
        <w:rPr>
          <w:rFonts w:ascii="Times New Roman" w:hAnsi="Times New Roman" w:cs="Times New Roman"/>
          <w:bCs/>
          <w:i/>
          <w:iCs/>
          <w:color w:val="000000" w:themeColor="text1"/>
          <w:sz w:val="36"/>
          <w:szCs w:val="36"/>
        </w:rPr>
        <w:t>Assignment</w:t>
      </w:r>
      <w:r w:rsidRPr="003B1933">
        <w:rPr>
          <w:rFonts w:ascii="Times New Roman" w:hAnsi="Times New Roman" w:cs="Times New Roman"/>
          <w:bCs/>
          <w:i/>
          <w:iCs/>
          <w:color w:val="000000" w:themeColor="text1"/>
          <w:sz w:val="36"/>
          <w:szCs w:val="36"/>
          <w:lang w:val="en-GB"/>
        </w:rPr>
        <w:t xml:space="preserve"> :</w:t>
      </w:r>
      <w:r w:rsidRPr="001D3DD5">
        <w:rPr>
          <w:sz w:val="36"/>
          <w:szCs w:val="36"/>
        </w:rPr>
        <w:t xml:space="preserve"> </w:t>
      </w:r>
      <w:r w:rsidRPr="001D3DD5">
        <w:rPr>
          <w:rFonts w:ascii="Times New Roman" w:hAnsi="Times New Roman" w:cs="Times New Roman"/>
          <w:bCs/>
          <w:i/>
          <w:iCs/>
          <w:color w:val="000000" w:themeColor="text1"/>
          <w:sz w:val="36"/>
          <w:szCs w:val="36"/>
          <w:lang w:val="en-GB"/>
        </w:rPr>
        <w:t>Component</w:t>
      </w:r>
      <w:r>
        <w:rPr>
          <w:rFonts w:ascii="Times New Roman" w:hAnsi="Times New Roman" w:cs="Times New Roman"/>
          <w:bCs/>
          <w:i/>
          <w:iCs/>
          <w:color w:val="000000" w:themeColor="text1"/>
          <w:sz w:val="36"/>
          <w:szCs w:val="36"/>
          <w:lang w:val="en-GB"/>
        </w:rPr>
        <w:t xml:space="preserve"> 2</w:t>
      </w:r>
      <w:r w:rsidRPr="001D3DD5">
        <w:rPr>
          <w:rFonts w:ascii="Times New Roman" w:hAnsi="Times New Roman" w:cs="Times New Roman"/>
          <w:bCs/>
          <w:i/>
          <w:iCs/>
          <w:color w:val="000000" w:themeColor="text1"/>
          <w:sz w:val="36"/>
          <w:szCs w:val="36"/>
          <w:lang w:val="en-GB"/>
        </w:rPr>
        <w:t>: Coursework:</w:t>
      </w:r>
      <w:bookmarkEnd w:id="6"/>
    </w:p>
    <w:p w14:paraId="616658E5" w14:textId="77777777" w:rsidR="00842305" w:rsidRPr="003B1933" w:rsidRDefault="00842305" w:rsidP="00842305">
      <w:pPr>
        <w:pStyle w:val="Heading1"/>
        <w:jc w:val="center"/>
        <w:rPr>
          <w:rFonts w:ascii="Times New Roman" w:hAnsi="Times New Roman" w:cs="Times New Roman"/>
          <w:bCs/>
          <w:i/>
          <w:iCs/>
          <w:color w:val="000000" w:themeColor="text1"/>
          <w:sz w:val="36"/>
          <w:szCs w:val="36"/>
          <w:lang w:val="en-GB"/>
        </w:rPr>
      </w:pPr>
      <w:bookmarkStart w:id="7" w:name="_Toc224579708"/>
      <w:r w:rsidRPr="001D3DD5">
        <w:rPr>
          <w:rFonts w:ascii="Times New Roman" w:hAnsi="Times New Roman" w:cs="Times New Roman"/>
          <w:bCs/>
          <w:i/>
          <w:iCs/>
          <w:color w:val="000000" w:themeColor="text1"/>
          <w:sz w:val="36"/>
          <w:szCs w:val="36"/>
          <w:lang w:val="en-GB"/>
        </w:rPr>
        <w:t>Essay</w:t>
      </w:r>
      <w:bookmarkEnd w:id="7"/>
      <w:r w:rsidRPr="003B1933">
        <w:rPr>
          <w:rFonts w:ascii="Times New Roman" w:hAnsi="Times New Roman" w:cs="Times New Roman"/>
          <w:bCs/>
          <w:i/>
          <w:iCs/>
          <w:color w:val="000000" w:themeColor="text1"/>
          <w:sz w:val="36"/>
          <w:szCs w:val="36"/>
          <w:lang w:val="en-GB"/>
        </w:rPr>
        <w:t xml:space="preserve"> </w:t>
      </w:r>
    </w:p>
    <w:p w14:paraId="2E6D2A13" w14:textId="77777777" w:rsidR="00842305" w:rsidRPr="003B1933" w:rsidRDefault="00842305" w:rsidP="00842305">
      <w:pPr>
        <w:pStyle w:val="Heading1"/>
        <w:jc w:val="center"/>
        <w:rPr>
          <w:rFonts w:ascii="Times New Roman" w:hAnsi="Times New Roman" w:cs="Times New Roman"/>
          <w:bCs/>
          <w:i/>
          <w:iCs/>
          <w:color w:val="000000" w:themeColor="text1"/>
          <w:sz w:val="36"/>
          <w:szCs w:val="36"/>
        </w:rPr>
      </w:pPr>
      <w:bookmarkStart w:id="8" w:name="_Toc224579709"/>
      <w:r w:rsidRPr="003B1933">
        <w:rPr>
          <w:rFonts w:ascii="Times New Roman" w:hAnsi="Times New Roman" w:cs="Times New Roman"/>
          <w:bCs/>
          <w:i/>
          <w:iCs/>
          <w:color w:val="000000" w:themeColor="text1"/>
          <w:sz w:val="36"/>
          <w:szCs w:val="36"/>
        </w:rPr>
        <w:t>Student Name: Sofik Slavova</w:t>
      </w:r>
      <w:bookmarkEnd w:id="8"/>
    </w:p>
    <w:p w14:paraId="2CF3EF6C" w14:textId="77777777" w:rsidR="00842305" w:rsidRPr="001D3DD5" w:rsidRDefault="00842305" w:rsidP="00842305">
      <w:pPr>
        <w:pStyle w:val="Heading1"/>
        <w:jc w:val="center"/>
        <w:rPr>
          <w:rFonts w:ascii="Times New Roman" w:hAnsi="Times New Roman" w:cs="Times New Roman"/>
          <w:bCs/>
          <w:i/>
          <w:iCs/>
          <w:color w:val="000000" w:themeColor="text1"/>
          <w:lang w:val="en-US"/>
        </w:rPr>
      </w:pPr>
      <w:bookmarkStart w:id="9" w:name="_Toc224579710"/>
      <w:r w:rsidRPr="003B1933">
        <w:rPr>
          <w:rFonts w:ascii="Times New Roman" w:hAnsi="Times New Roman" w:cs="Times New Roman"/>
          <w:bCs/>
          <w:i/>
          <w:iCs/>
          <w:color w:val="000000" w:themeColor="text1"/>
          <w:sz w:val="36"/>
          <w:szCs w:val="36"/>
        </w:rPr>
        <w:t>Student ID Number: 23260</w:t>
      </w:r>
      <w:r w:rsidRPr="003B1933">
        <w:rPr>
          <w:rFonts w:ascii="Times New Roman" w:hAnsi="Times New Roman" w:cs="Times New Roman"/>
          <w:bCs/>
          <w:i/>
          <w:iCs/>
          <w:color w:val="000000" w:themeColor="text1"/>
          <w:sz w:val="36"/>
          <w:szCs w:val="36"/>
          <w:lang w:val="en-GB"/>
        </w:rPr>
        <w:t>6</w:t>
      </w:r>
      <w:r w:rsidRPr="003B1933">
        <w:rPr>
          <w:rFonts w:ascii="Times New Roman" w:hAnsi="Times New Roman" w:cs="Times New Roman"/>
          <w:bCs/>
          <w:i/>
          <w:iCs/>
          <w:color w:val="000000" w:themeColor="text1"/>
          <w:sz w:val="36"/>
          <w:szCs w:val="36"/>
        </w:rPr>
        <w:t>4</w:t>
      </w:r>
      <w:bookmarkEnd w:id="9"/>
    </w:p>
    <w:p w14:paraId="0D0D2D5D" w14:textId="77777777" w:rsidR="00842305" w:rsidRDefault="00842305" w:rsidP="00842305">
      <w:pPr>
        <w:pStyle w:val="Title"/>
        <w:rPr>
          <w:rFonts w:ascii="Times New Roman" w:hAnsi="Times New Roman" w:cs="Times New Roman"/>
          <w:u w:val="single"/>
          <w:lang w:val="en-US"/>
        </w:rPr>
      </w:pPr>
    </w:p>
    <w:p w14:paraId="0F0D0CF4" w14:textId="77777777" w:rsidR="00842305" w:rsidRPr="00842305" w:rsidRDefault="00842305" w:rsidP="00842305">
      <w:pPr>
        <w:rPr>
          <w:lang w:val="en-US"/>
        </w:rPr>
      </w:pPr>
    </w:p>
    <w:p w14:paraId="5A4E961E" w14:textId="74557241" w:rsidR="00125582" w:rsidRDefault="00125582" w:rsidP="00125582">
      <w:pPr>
        <w:pStyle w:val="Title"/>
        <w:jc w:val="center"/>
        <w:rPr>
          <w:rFonts w:ascii="Times New Roman" w:hAnsi="Times New Roman" w:cs="Times New Roman"/>
          <w:u w:val="single"/>
          <w:lang w:val="en-US"/>
        </w:rPr>
      </w:pPr>
      <w:r w:rsidRPr="00125582">
        <w:rPr>
          <w:rFonts w:ascii="Times New Roman" w:hAnsi="Times New Roman" w:cs="Times New Roman"/>
          <w:u w:val="single"/>
        </w:rPr>
        <w:lastRenderedPageBreak/>
        <w:t>Contracting in Project Management</w:t>
      </w:r>
    </w:p>
    <w:p w14:paraId="3C0F80EA" w14:textId="77777777" w:rsidR="00125582" w:rsidRDefault="00125582" w:rsidP="00125582">
      <w:pPr>
        <w:rPr>
          <w:lang w:val="en-US"/>
        </w:rPr>
      </w:pPr>
    </w:p>
    <w:p w14:paraId="380E6E5D" w14:textId="77777777" w:rsidR="00842305" w:rsidRDefault="00842305" w:rsidP="00125582">
      <w:pPr>
        <w:rPr>
          <w:lang w:val="en-US"/>
        </w:rPr>
      </w:pPr>
    </w:p>
    <w:p w14:paraId="29827756" w14:textId="77777777" w:rsidR="00842305" w:rsidRDefault="00842305" w:rsidP="00125582">
      <w:pPr>
        <w:rPr>
          <w:lang w:val="en-US"/>
        </w:rPr>
      </w:pPr>
    </w:p>
    <w:p w14:paraId="72754C57" w14:textId="77777777" w:rsidR="00842305" w:rsidRDefault="00842305" w:rsidP="00125582">
      <w:pPr>
        <w:rPr>
          <w:lang w:val="en-US"/>
        </w:rPr>
      </w:pPr>
    </w:p>
    <w:p w14:paraId="7A659C60" w14:textId="77777777" w:rsidR="00842305" w:rsidRDefault="00842305" w:rsidP="00125582">
      <w:pPr>
        <w:rPr>
          <w:lang w:val="en-US"/>
        </w:rPr>
      </w:pPr>
    </w:p>
    <w:p w14:paraId="077A1A80" w14:textId="77777777" w:rsidR="00842305" w:rsidRDefault="00842305" w:rsidP="00125582">
      <w:pPr>
        <w:rPr>
          <w:lang w:val="en-US"/>
        </w:rPr>
      </w:pPr>
    </w:p>
    <w:p w14:paraId="1C1505CC" w14:textId="77777777" w:rsidR="00842305" w:rsidRDefault="00842305" w:rsidP="00125582">
      <w:pPr>
        <w:rPr>
          <w:lang w:val="en-US"/>
        </w:rPr>
      </w:pPr>
    </w:p>
    <w:p w14:paraId="31E98E90" w14:textId="77777777" w:rsidR="00842305" w:rsidRDefault="00842305" w:rsidP="00125582">
      <w:pPr>
        <w:rPr>
          <w:lang w:val="en-US"/>
        </w:rPr>
      </w:pPr>
    </w:p>
    <w:p w14:paraId="210E35A3" w14:textId="77777777" w:rsidR="00842305" w:rsidRDefault="00842305" w:rsidP="00125582">
      <w:pPr>
        <w:rPr>
          <w:lang w:val="en-US"/>
        </w:rPr>
      </w:pPr>
    </w:p>
    <w:p w14:paraId="7B02230D" w14:textId="77777777" w:rsidR="00842305" w:rsidRDefault="00842305" w:rsidP="00125582">
      <w:pPr>
        <w:rPr>
          <w:lang w:val="en-US"/>
        </w:rPr>
      </w:pPr>
    </w:p>
    <w:p w14:paraId="6A515A66" w14:textId="77777777" w:rsidR="00842305" w:rsidRDefault="00842305" w:rsidP="00125582">
      <w:pPr>
        <w:rPr>
          <w:lang w:val="en-US"/>
        </w:rPr>
      </w:pPr>
    </w:p>
    <w:p w14:paraId="52F5ADA5" w14:textId="77777777" w:rsidR="00842305" w:rsidRDefault="00842305" w:rsidP="00125582">
      <w:pPr>
        <w:rPr>
          <w:lang w:val="en-US"/>
        </w:rPr>
      </w:pPr>
    </w:p>
    <w:p w14:paraId="227D639D" w14:textId="77777777" w:rsidR="00842305" w:rsidRDefault="00842305" w:rsidP="00125582">
      <w:pPr>
        <w:rPr>
          <w:lang w:val="en-US"/>
        </w:rPr>
      </w:pPr>
    </w:p>
    <w:p w14:paraId="5FA52FC3" w14:textId="77777777" w:rsidR="00842305" w:rsidRDefault="00842305" w:rsidP="00125582">
      <w:pPr>
        <w:rPr>
          <w:lang w:val="en-US"/>
        </w:rPr>
      </w:pPr>
    </w:p>
    <w:p w14:paraId="598E0732" w14:textId="77777777" w:rsidR="00842305" w:rsidRDefault="00842305" w:rsidP="00125582">
      <w:pPr>
        <w:rPr>
          <w:lang w:val="en-US"/>
        </w:rPr>
      </w:pPr>
    </w:p>
    <w:p w14:paraId="5C630132" w14:textId="77777777" w:rsidR="00842305" w:rsidRDefault="00842305" w:rsidP="00125582">
      <w:pPr>
        <w:rPr>
          <w:lang w:val="en-US"/>
        </w:rPr>
      </w:pPr>
    </w:p>
    <w:p w14:paraId="59D0F850" w14:textId="77777777" w:rsidR="00842305" w:rsidRDefault="00842305" w:rsidP="00125582">
      <w:pPr>
        <w:rPr>
          <w:lang w:val="en-US"/>
        </w:rPr>
      </w:pPr>
    </w:p>
    <w:p w14:paraId="7BCCCFEB" w14:textId="77777777" w:rsidR="00842305" w:rsidRDefault="00842305" w:rsidP="00125582">
      <w:pPr>
        <w:rPr>
          <w:lang w:val="en-US"/>
        </w:rPr>
      </w:pPr>
    </w:p>
    <w:p w14:paraId="7A0B6242" w14:textId="77777777" w:rsidR="00842305" w:rsidRDefault="00842305" w:rsidP="00125582">
      <w:pPr>
        <w:rPr>
          <w:lang w:val="en-US"/>
        </w:rPr>
      </w:pPr>
    </w:p>
    <w:p w14:paraId="2DE01AFB" w14:textId="77777777" w:rsidR="00842305" w:rsidRDefault="00842305" w:rsidP="00125582">
      <w:pPr>
        <w:rPr>
          <w:lang w:val="en-US"/>
        </w:rPr>
      </w:pPr>
    </w:p>
    <w:p w14:paraId="55731C89" w14:textId="77777777" w:rsidR="00842305" w:rsidRDefault="00842305" w:rsidP="00125582">
      <w:pPr>
        <w:rPr>
          <w:lang w:val="en-US"/>
        </w:rPr>
      </w:pPr>
    </w:p>
    <w:p w14:paraId="637AB70A" w14:textId="77777777" w:rsidR="00842305" w:rsidRDefault="00842305" w:rsidP="00125582">
      <w:pPr>
        <w:rPr>
          <w:lang w:val="en-US"/>
        </w:rPr>
      </w:pPr>
    </w:p>
    <w:p w14:paraId="4EB50F7B" w14:textId="77777777" w:rsidR="00842305" w:rsidRDefault="00842305" w:rsidP="00125582">
      <w:pPr>
        <w:rPr>
          <w:lang w:val="en-US"/>
        </w:rPr>
      </w:pPr>
    </w:p>
    <w:p w14:paraId="44B1869C" w14:textId="77777777" w:rsidR="00842305" w:rsidRDefault="00842305" w:rsidP="00125582">
      <w:pPr>
        <w:rPr>
          <w:lang w:val="en-US"/>
        </w:rPr>
      </w:pPr>
    </w:p>
    <w:p w14:paraId="4FBA4C55" w14:textId="77777777" w:rsidR="00842305" w:rsidRDefault="00842305" w:rsidP="00125582">
      <w:pPr>
        <w:rPr>
          <w:lang w:val="en-US"/>
        </w:rPr>
      </w:pPr>
    </w:p>
    <w:p w14:paraId="1810C365" w14:textId="77777777" w:rsidR="00842305" w:rsidRDefault="00842305" w:rsidP="00125582">
      <w:pPr>
        <w:rPr>
          <w:lang w:val="en-US"/>
        </w:rPr>
      </w:pPr>
    </w:p>
    <w:p w14:paraId="5C63EAA1" w14:textId="77777777" w:rsidR="00842305" w:rsidRDefault="00842305" w:rsidP="00125582">
      <w:pPr>
        <w:rPr>
          <w:lang w:val="en-US"/>
        </w:rPr>
      </w:pPr>
    </w:p>
    <w:p w14:paraId="5D17834D" w14:textId="77777777" w:rsidR="00842305" w:rsidRDefault="00842305" w:rsidP="00125582">
      <w:pPr>
        <w:rPr>
          <w:lang w:val="en-US"/>
        </w:rPr>
      </w:pPr>
    </w:p>
    <w:p w14:paraId="441A4446" w14:textId="77777777" w:rsidR="00842305" w:rsidRPr="00125582" w:rsidRDefault="00842305" w:rsidP="00125582">
      <w:pPr>
        <w:rPr>
          <w:lang w:val="en-US"/>
        </w:rPr>
      </w:pPr>
    </w:p>
    <w:sdt>
      <w:sdtPr>
        <w:id w:val="-1906136303"/>
        <w:docPartObj>
          <w:docPartGallery w:val="Table of Contents"/>
          <w:docPartUnique/>
        </w:docPartObj>
      </w:sdtPr>
      <w:sdtEndPr>
        <w:rPr>
          <w:rFonts w:asciiTheme="minorHAnsi" w:eastAsiaTheme="minorHAnsi" w:hAnsiTheme="minorHAnsi" w:cstheme="minorBidi"/>
          <w:b/>
          <w:bCs/>
          <w:noProof/>
          <w:color w:val="auto"/>
          <w:kern w:val="2"/>
          <w:sz w:val="22"/>
          <w:szCs w:val="22"/>
          <w:lang w:val="bg-BG"/>
          <w14:ligatures w14:val="standardContextual"/>
        </w:rPr>
      </w:sdtEndPr>
      <w:sdtContent>
        <w:p w14:paraId="6508426F" w14:textId="675F1EE8" w:rsidR="00842305" w:rsidRPr="00842305" w:rsidRDefault="00842305">
          <w:pPr>
            <w:pStyle w:val="TOCHeading"/>
            <w:rPr>
              <w:rFonts w:ascii="Times New Roman" w:hAnsi="Times New Roman" w:cs="Times New Roman"/>
              <w:color w:val="000000" w:themeColor="text1"/>
              <w:sz w:val="36"/>
              <w:szCs w:val="36"/>
            </w:rPr>
          </w:pPr>
          <w:r w:rsidRPr="00842305">
            <w:rPr>
              <w:rFonts w:ascii="Times New Roman" w:hAnsi="Times New Roman" w:cs="Times New Roman"/>
              <w:color w:val="000000" w:themeColor="text1"/>
              <w:sz w:val="36"/>
              <w:szCs w:val="36"/>
            </w:rPr>
            <w:t>Table of Contents</w:t>
          </w:r>
        </w:p>
        <w:p w14:paraId="10B4035D" w14:textId="6940D499" w:rsidR="00842305" w:rsidRDefault="00842305" w:rsidP="00842305">
          <w:pPr>
            <w:pStyle w:val="TOC1"/>
            <w:tabs>
              <w:tab w:val="right" w:leader="dot" w:pos="9016"/>
            </w:tabs>
            <w:rPr>
              <w:rFonts w:eastAsiaTheme="minorEastAsia"/>
              <w:noProof/>
              <w:sz w:val="24"/>
              <w:szCs w:val="24"/>
              <w:lang w:eastAsia="bg-BG"/>
            </w:rPr>
          </w:pPr>
          <w:r w:rsidRPr="00842305">
            <w:rPr>
              <w:rFonts w:ascii="Times New Roman" w:hAnsi="Times New Roman" w:cs="Times New Roman"/>
              <w:color w:val="000000" w:themeColor="text1"/>
            </w:rPr>
            <w:fldChar w:fldCharType="begin"/>
          </w:r>
          <w:r w:rsidRPr="00842305">
            <w:rPr>
              <w:rFonts w:ascii="Times New Roman" w:hAnsi="Times New Roman" w:cs="Times New Roman"/>
              <w:color w:val="000000" w:themeColor="text1"/>
            </w:rPr>
            <w:instrText xml:space="preserve"> TOC \o "1-3" \h \z \u </w:instrText>
          </w:r>
          <w:r w:rsidRPr="00842305">
            <w:rPr>
              <w:rFonts w:ascii="Times New Roman" w:hAnsi="Times New Roman" w:cs="Times New Roman"/>
              <w:color w:val="000000" w:themeColor="text1"/>
            </w:rPr>
            <w:fldChar w:fldCharType="separate"/>
          </w:r>
        </w:p>
        <w:p w14:paraId="64F1BBC2" w14:textId="4404E21B"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11" w:history="1">
            <w:r w:rsidRPr="00842305">
              <w:rPr>
                <w:rStyle w:val="Hyperlink"/>
                <w:rFonts w:ascii="Times New Roman" w:hAnsi="Times New Roman" w:cs="Times New Roman"/>
                <w:i/>
                <w:iCs/>
                <w:noProof/>
                <w:sz w:val="24"/>
                <w:szCs w:val="24"/>
              </w:rPr>
              <w:t>1. Introduction</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_Toc224579711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842305">
              <w:rPr>
                <w:rFonts w:ascii="Times New Roman" w:hAnsi="Times New Roman" w:cs="Times New Roman"/>
                <w:noProof/>
                <w:webHidden/>
                <w:sz w:val="24"/>
                <w:szCs w:val="24"/>
              </w:rPr>
              <w:fldChar w:fldCharType="end"/>
            </w:r>
          </w:hyperlink>
        </w:p>
        <w:p w14:paraId="28BCEB6D" w14:textId="14CAEB5D"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12" w:history="1">
            <w:r w:rsidRPr="00842305">
              <w:rPr>
                <w:rStyle w:val="Hyperlink"/>
                <w:rFonts w:ascii="Times New Roman" w:hAnsi="Times New Roman" w:cs="Times New Roman"/>
                <w:i/>
                <w:iCs/>
                <w:noProof/>
                <w:sz w:val="24"/>
                <w:szCs w:val="24"/>
              </w:rPr>
              <w:t>2. Contracting in Project Management</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_Toc224579712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842305">
              <w:rPr>
                <w:rFonts w:ascii="Times New Roman" w:hAnsi="Times New Roman" w:cs="Times New Roman"/>
                <w:noProof/>
                <w:webHidden/>
                <w:sz w:val="24"/>
                <w:szCs w:val="24"/>
              </w:rPr>
              <w:fldChar w:fldCharType="end"/>
            </w:r>
          </w:hyperlink>
        </w:p>
        <w:p w14:paraId="72A0884A" w14:textId="6154442A"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13" w:history="1">
            <w:r w:rsidRPr="00842305">
              <w:rPr>
                <w:rStyle w:val="Hyperlink"/>
                <w:rFonts w:ascii="Times New Roman" w:hAnsi="Times New Roman" w:cs="Times New Roman"/>
                <w:i/>
                <w:iCs/>
                <w:noProof/>
                <w:sz w:val="24"/>
                <w:szCs w:val="24"/>
              </w:rPr>
              <w:t>3. Turnkey 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_Toc224579713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842305">
              <w:rPr>
                <w:rFonts w:ascii="Times New Roman" w:hAnsi="Times New Roman" w:cs="Times New Roman"/>
                <w:noProof/>
                <w:webHidden/>
                <w:sz w:val="24"/>
                <w:szCs w:val="24"/>
              </w:rPr>
              <w:fldChar w:fldCharType="end"/>
            </w:r>
          </w:hyperlink>
        </w:p>
        <w:p w14:paraId="13997AF8" w14:textId="26D1DAE4"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14" w:history="1">
            <w:r w:rsidRPr="00842305">
              <w:rPr>
                <w:rStyle w:val="Hyperlink"/>
                <w:rFonts w:ascii="Times New Roman" w:hAnsi="Times New Roman" w:cs="Times New Roman"/>
                <w:noProof/>
                <w:sz w:val="24"/>
                <w:szCs w:val="24"/>
              </w:rPr>
              <w:t>Turnkey 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_Toc224579714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842305">
              <w:rPr>
                <w:rFonts w:ascii="Times New Roman" w:hAnsi="Times New Roman" w:cs="Times New Roman"/>
                <w:noProof/>
                <w:webHidden/>
                <w:sz w:val="24"/>
                <w:szCs w:val="24"/>
              </w:rPr>
              <w:fldChar w:fldCharType="end"/>
            </w:r>
          </w:hyperlink>
        </w:p>
        <w:p w14:paraId="020F27C8" w14:textId="045B11DE"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15" w:history="1">
            <w:r w:rsidRPr="00842305">
              <w:rPr>
                <w:rStyle w:val="Hyperlink"/>
                <w:rFonts w:ascii="Times New Roman" w:hAnsi="Times New Roman" w:cs="Times New Roman"/>
                <w:noProof/>
                <w:sz w:val="24"/>
                <w:szCs w:val="24"/>
              </w:rPr>
              <w:t>Advantages of Turnkey 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_Toc224579715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842305">
              <w:rPr>
                <w:rFonts w:ascii="Times New Roman" w:hAnsi="Times New Roman" w:cs="Times New Roman"/>
                <w:noProof/>
                <w:webHidden/>
                <w:sz w:val="24"/>
                <w:szCs w:val="24"/>
              </w:rPr>
              <w:fldChar w:fldCharType="end"/>
            </w:r>
          </w:hyperlink>
        </w:p>
        <w:p w14:paraId="1A75D32A" w14:textId="21F2E1B3"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16" w:history="1">
            <w:r w:rsidRPr="00842305">
              <w:rPr>
                <w:rStyle w:val="Hyperlink"/>
                <w:rFonts w:ascii="Times New Roman" w:hAnsi="Times New Roman" w:cs="Times New Roman"/>
                <w:noProof/>
                <w:sz w:val="24"/>
                <w:szCs w:val="24"/>
              </w:rPr>
              <w:t>Disadvantages of Turnkey 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_Toc224579716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842305">
              <w:rPr>
                <w:rFonts w:ascii="Times New Roman" w:hAnsi="Times New Roman" w:cs="Times New Roman"/>
                <w:noProof/>
                <w:webHidden/>
                <w:sz w:val="24"/>
                <w:szCs w:val="24"/>
              </w:rPr>
              <w:fldChar w:fldCharType="end"/>
            </w:r>
          </w:hyperlink>
        </w:p>
        <w:p w14:paraId="3532ABE2" w14:textId="2DC4F6D0"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17" w:history="1">
            <w:r w:rsidRPr="00842305">
              <w:rPr>
                <w:rStyle w:val="Hyperlink"/>
                <w:rFonts w:ascii="Times New Roman" w:hAnsi="Times New Roman" w:cs="Times New Roman"/>
                <w:noProof/>
                <w:sz w:val="24"/>
                <w:szCs w:val="24"/>
              </w:rPr>
              <w:t>Suitability</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_Toc224579717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842305">
              <w:rPr>
                <w:rFonts w:ascii="Times New Roman" w:hAnsi="Times New Roman" w:cs="Times New Roman"/>
                <w:noProof/>
                <w:webHidden/>
                <w:sz w:val="24"/>
                <w:szCs w:val="24"/>
              </w:rPr>
              <w:fldChar w:fldCharType="end"/>
            </w:r>
          </w:hyperlink>
        </w:p>
        <w:p w14:paraId="73F8BB5D" w14:textId="62B15F67"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18" w:history="1">
            <w:r w:rsidRPr="00842305">
              <w:rPr>
                <w:rStyle w:val="Hyperlink"/>
                <w:rFonts w:ascii="Times New Roman" w:hAnsi="Times New Roman" w:cs="Times New Roman"/>
                <w:i/>
                <w:iCs/>
                <w:noProof/>
                <w:sz w:val="24"/>
                <w:szCs w:val="24"/>
              </w:rPr>
              <w:t>4. Multicontracting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_Toc224579718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842305">
              <w:rPr>
                <w:rFonts w:ascii="Times New Roman" w:hAnsi="Times New Roman" w:cs="Times New Roman"/>
                <w:noProof/>
                <w:webHidden/>
                <w:sz w:val="24"/>
                <w:szCs w:val="24"/>
              </w:rPr>
              <w:fldChar w:fldCharType="end"/>
            </w:r>
          </w:hyperlink>
        </w:p>
        <w:p w14:paraId="2838DCD1" w14:textId="7C5426B5"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19" w:history="1">
            <w:r w:rsidRPr="00842305">
              <w:rPr>
                <w:rStyle w:val="Hyperlink"/>
                <w:rFonts w:ascii="Times New Roman" w:hAnsi="Times New Roman" w:cs="Times New Roman"/>
                <w:noProof/>
                <w:sz w:val="24"/>
                <w:szCs w:val="24"/>
              </w:rPr>
              <w:t>Multicontracting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_Toc224579719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842305">
              <w:rPr>
                <w:rFonts w:ascii="Times New Roman" w:hAnsi="Times New Roman" w:cs="Times New Roman"/>
                <w:noProof/>
                <w:webHidden/>
                <w:sz w:val="24"/>
                <w:szCs w:val="24"/>
              </w:rPr>
              <w:fldChar w:fldCharType="end"/>
            </w:r>
          </w:hyperlink>
        </w:p>
        <w:p w14:paraId="287C057C" w14:textId="075BCC49"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0" w:history="1">
            <w:r w:rsidRPr="00842305">
              <w:rPr>
                <w:rStyle w:val="Hyperlink"/>
                <w:rFonts w:ascii="Times New Roman" w:hAnsi="Times New Roman" w:cs="Times New Roman"/>
                <w:noProof/>
                <w:sz w:val="24"/>
                <w:szCs w:val="24"/>
              </w:rPr>
              <w:t>Advantages of Multicontracting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_Toc224579720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842305">
              <w:rPr>
                <w:rFonts w:ascii="Times New Roman" w:hAnsi="Times New Roman" w:cs="Times New Roman"/>
                <w:noProof/>
                <w:webHidden/>
                <w:sz w:val="24"/>
                <w:szCs w:val="24"/>
              </w:rPr>
              <w:fldChar w:fldCharType="end"/>
            </w:r>
          </w:hyperlink>
        </w:p>
        <w:p w14:paraId="38EB2B6E" w14:textId="379BB4F0"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1" w:history="1">
            <w:r w:rsidRPr="00842305">
              <w:rPr>
                <w:rStyle w:val="Hyperlink"/>
                <w:rFonts w:ascii="Times New Roman" w:hAnsi="Times New Roman" w:cs="Times New Roman"/>
                <w:noProof/>
                <w:sz w:val="24"/>
                <w:szCs w:val="24"/>
              </w:rPr>
              <w:t>Disadvantages of Multicontracting</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_Toc224579721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842305">
              <w:rPr>
                <w:rFonts w:ascii="Times New Roman" w:hAnsi="Times New Roman" w:cs="Times New Roman"/>
                <w:noProof/>
                <w:webHidden/>
                <w:sz w:val="24"/>
                <w:szCs w:val="24"/>
              </w:rPr>
              <w:fldChar w:fldCharType="end"/>
            </w:r>
          </w:hyperlink>
        </w:p>
        <w:p w14:paraId="30EDFC72" w14:textId="208766A9"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2" w:history="1">
            <w:r w:rsidRPr="00842305">
              <w:rPr>
                <w:rStyle w:val="Hyperlink"/>
                <w:rFonts w:ascii="Times New Roman" w:hAnsi="Times New Roman" w:cs="Times New Roman"/>
                <w:noProof/>
                <w:sz w:val="24"/>
                <w:szCs w:val="24"/>
              </w:rPr>
              <w:t>Suitability</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_Toc224579722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842305">
              <w:rPr>
                <w:rFonts w:ascii="Times New Roman" w:hAnsi="Times New Roman" w:cs="Times New Roman"/>
                <w:noProof/>
                <w:webHidden/>
                <w:sz w:val="24"/>
                <w:szCs w:val="24"/>
              </w:rPr>
              <w:fldChar w:fldCharType="end"/>
            </w:r>
          </w:hyperlink>
        </w:p>
        <w:p w14:paraId="34FA60F4" w14:textId="3BD50EC4"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23" w:history="1">
            <w:r w:rsidRPr="00842305">
              <w:rPr>
                <w:rStyle w:val="Hyperlink"/>
                <w:rFonts w:ascii="Times New Roman" w:hAnsi="Times New Roman" w:cs="Times New Roman"/>
                <w:i/>
                <w:iCs/>
                <w:noProof/>
                <w:sz w:val="24"/>
                <w:szCs w:val="24"/>
              </w:rPr>
              <w:t>5. Do-It-Yourself (DIY) Approach</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_Toc224579723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842305">
              <w:rPr>
                <w:rFonts w:ascii="Times New Roman" w:hAnsi="Times New Roman" w:cs="Times New Roman"/>
                <w:noProof/>
                <w:webHidden/>
                <w:sz w:val="24"/>
                <w:szCs w:val="24"/>
              </w:rPr>
              <w:fldChar w:fldCharType="end"/>
            </w:r>
          </w:hyperlink>
        </w:p>
        <w:p w14:paraId="04664BAF" w14:textId="72BBCA38"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4" w:history="1">
            <w:r w:rsidRPr="00842305">
              <w:rPr>
                <w:rStyle w:val="Hyperlink"/>
                <w:rFonts w:ascii="Times New Roman" w:hAnsi="Times New Roman" w:cs="Times New Roman"/>
                <w:noProof/>
                <w:sz w:val="24"/>
                <w:szCs w:val="24"/>
              </w:rPr>
              <w:t>Advantages of DIY</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_Toc224579724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842305">
              <w:rPr>
                <w:rFonts w:ascii="Times New Roman" w:hAnsi="Times New Roman" w:cs="Times New Roman"/>
                <w:noProof/>
                <w:webHidden/>
                <w:sz w:val="24"/>
                <w:szCs w:val="24"/>
              </w:rPr>
              <w:fldChar w:fldCharType="end"/>
            </w:r>
          </w:hyperlink>
        </w:p>
        <w:p w14:paraId="63722049" w14:textId="0F7DAD29"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5" w:history="1">
            <w:r w:rsidRPr="00842305">
              <w:rPr>
                <w:rStyle w:val="Hyperlink"/>
                <w:rFonts w:ascii="Times New Roman" w:hAnsi="Times New Roman" w:cs="Times New Roman"/>
                <w:noProof/>
                <w:sz w:val="24"/>
                <w:szCs w:val="24"/>
              </w:rPr>
              <w:t>Disadvantages of DIY</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_Toc224579725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842305">
              <w:rPr>
                <w:rFonts w:ascii="Times New Roman" w:hAnsi="Times New Roman" w:cs="Times New Roman"/>
                <w:noProof/>
                <w:webHidden/>
                <w:sz w:val="24"/>
                <w:szCs w:val="24"/>
              </w:rPr>
              <w:fldChar w:fldCharType="end"/>
            </w:r>
          </w:hyperlink>
        </w:p>
        <w:p w14:paraId="2C4D74B3" w14:textId="42667B50"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6" w:history="1">
            <w:r w:rsidRPr="00842305">
              <w:rPr>
                <w:rStyle w:val="Hyperlink"/>
                <w:rFonts w:ascii="Times New Roman" w:hAnsi="Times New Roman" w:cs="Times New Roman"/>
                <w:noProof/>
                <w:sz w:val="24"/>
                <w:szCs w:val="24"/>
              </w:rPr>
              <w:t>Suitability</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_Toc224579726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842305">
              <w:rPr>
                <w:rFonts w:ascii="Times New Roman" w:hAnsi="Times New Roman" w:cs="Times New Roman"/>
                <w:noProof/>
                <w:webHidden/>
                <w:sz w:val="24"/>
                <w:szCs w:val="24"/>
              </w:rPr>
              <w:fldChar w:fldCharType="end"/>
            </w:r>
          </w:hyperlink>
        </w:p>
        <w:p w14:paraId="3282CB3F" w14:textId="33CB9A41"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27" w:history="1">
            <w:r w:rsidRPr="00842305">
              <w:rPr>
                <w:rStyle w:val="Hyperlink"/>
                <w:rFonts w:ascii="Times New Roman" w:hAnsi="Times New Roman" w:cs="Times New Roman"/>
                <w:i/>
                <w:iCs/>
                <w:noProof/>
                <w:sz w:val="24"/>
                <w:szCs w:val="24"/>
              </w:rPr>
              <w:t>6. Multicontract + DIY Hybrid Approach</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_Toc224579727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842305">
              <w:rPr>
                <w:rFonts w:ascii="Times New Roman" w:hAnsi="Times New Roman" w:cs="Times New Roman"/>
                <w:noProof/>
                <w:webHidden/>
                <w:sz w:val="24"/>
                <w:szCs w:val="24"/>
              </w:rPr>
              <w:fldChar w:fldCharType="end"/>
            </w:r>
          </w:hyperlink>
        </w:p>
        <w:p w14:paraId="5EBC1005" w14:textId="2CB88AEB"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8" w:history="1">
            <w:r w:rsidRPr="00842305">
              <w:rPr>
                <w:rStyle w:val="Hyperlink"/>
                <w:rFonts w:ascii="Times New Roman" w:hAnsi="Times New Roman" w:cs="Times New Roman"/>
                <w:noProof/>
                <w:sz w:val="24"/>
                <w:szCs w:val="24"/>
              </w:rPr>
              <w:t>Advantages</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_Toc224579728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842305">
              <w:rPr>
                <w:rFonts w:ascii="Times New Roman" w:hAnsi="Times New Roman" w:cs="Times New Roman"/>
                <w:noProof/>
                <w:webHidden/>
                <w:sz w:val="24"/>
                <w:szCs w:val="24"/>
              </w:rPr>
              <w:fldChar w:fldCharType="end"/>
            </w:r>
          </w:hyperlink>
        </w:p>
        <w:p w14:paraId="6FBF6B60" w14:textId="6EFFAE7A"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29" w:history="1">
            <w:r w:rsidRPr="00842305">
              <w:rPr>
                <w:rStyle w:val="Hyperlink"/>
                <w:rFonts w:ascii="Times New Roman" w:hAnsi="Times New Roman" w:cs="Times New Roman"/>
                <w:noProof/>
                <w:sz w:val="24"/>
                <w:szCs w:val="24"/>
              </w:rPr>
              <w:t>Disadvantages</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_Toc224579729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842305">
              <w:rPr>
                <w:rFonts w:ascii="Times New Roman" w:hAnsi="Times New Roman" w:cs="Times New Roman"/>
                <w:noProof/>
                <w:webHidden/>
                <w:sz w:val="24"/>
                <w:szCs w:val="24"/>
              </w:rPr>
              <w:fldChar w:fldCharType="end"/>
            </w:r>
          </w:hyperlink>
        </w:p>
        <w:p w14:paraId="1D8740BB" w14:textId="536CCE91" w:rsidR="00842305" w:rsidRPr="00842305" w:rsidRDefault="00842305">
          <w:pPr>
            <w:pStyle w:val="TOC2"/>
            <w:tabs>
              <w:tab w:val="right" w:leader="dot" w:pos="9016"/>
            </w:tabs>
            <w:rPr>
              <w:rFonts w:ascii="Times New Roman" w:eastAsiaTheme="minorEastAsia" w:hAnsi="Times New Roman" w:cs="Times New Roman"/>
              <w:noProof/>
              <w:sz w:val="24"/>
              <w:szCs w:val="24"/>
              <w:lang w:eastAsia="bg-BG"/>
            </w:rPr>
          </w:pPr>
          <w:hyperlink w:anchor="_Toc224579730" w:history="1">
            <w:r w:rsidRPr="00842305">
              <w:rPr>
                <w:rStyle w:val="Hyperlink"/>
                <w:rFonts w:ascii="Times New Roman" w:hAnsi="Times New Roman" w:cs="Times New Roman"/>
                <w:noProof/>
                <w:sz w:val="24"/>
                <w:szCs w:val="24"/>
              </w:rPr>
              <w:t>Suitability</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_Toc224579730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842305">
              <w:rPr>
                <w:rFonts w:ascii="Times New Roman" w:hAnsi="Times New Roman" w:cs="Times New Roman"/>
                <w:noProof/>
                <w:webHidden/>
                <w:sz w:val="24"/>
                <w:szCs w:val="24"/>
              </w:rPr>
              <w:fldChar w:fldCharType="end"/>
            </w:r>
          </w:hyperlink>
        </w:p>
        <w:p w14:paraId="68CB0D57" w14:textId="22371894"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31" w:history="1">
            <w:r w:rsidRPr="00842305">
              <w:rPr>
                <w:rStyle w:val="Hyperlink"/>
                <w:rFonts w:ascii="Times New Roman" w:hAnsi="Times New Roman" w:cs="Times New Roman"/>
                <w:i/>
                <w:iCs/>
                <w:noProof/>
                <w:sz w:val="24"/>
                <w:szCs w:val="24"/>
              </w:rPr>
              <w:t>7. Comparative Critical Analysis</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_Toc224579731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842305">
              <w:rPr>
                <w:rFonts w:ascii="Times New Roman" w:hAnsi="Times New Roman" w:cs="Times New Roman"/>
                <w:noProof/>
                <w:webHidden/>
                <w:sz w:val="24"/>
                <w:szCs w:val="24"/>
              </w:rPr>
              <w:fldChar w:fldCharType="end"/>
            </w:r>
          </w:hyperlink>
        </w:p>
        <w:p w14:paraId="50CBA06A" w14:textId="1B2C5721"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32" w:history="1">
            <w:r w:rsidRPr="00842305">
              <w:rPr>
                <w:rStyle w:val="Hyperlink"/>
                <w:rFonts w:ascii="Times New Roman" w:hAnsi="Times New Roman" w:cs="Times New Roman"/>
                <w:i/>
                <w:iCs/>
                <w:noProof/>
                <w:sz w:val="24"/>
                <w:szCs w:val="24"/>
              </w:rPr>
              <w:t>8. Conclusion</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_Toc224579732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842305">
              <w:rPr>
                <w:rFonts w:ascii="Times New Roman" w:hAnsi="Times New Roman" w:cs="Times New Roman"/>
                <w:noProof/>
                <w:webHidden/>
                <w:sz w:val="24"/>
                <w:szCs w:val="24"/>
              </w:rPr>
              <w:fldChar w:fldCharType="end"/>
            </w:r>
          </w:hyperlink>
        </w:p>
        <w:p w14:paraId="2ED5EC3C" w14:textId="0E6954DB" w:rsidR="00842305" w:rsidRPr="00842305" w:rsidRDefault="00842305">
          <w:pPr>
            <w:pStyle w:val="TOC1"/>
            <w:tabs>
              <w:tab w:val="right" w:leader="dot" w:pos="9016"/>
            </w:tabs>
            <w:rPr>
              <w:rFonts w:ascii="Times New Roman" w:eastAsiaTheme="minorEastAsia" w:hAnsi="Times New Roman" w:cs="Times New Roman"/>
              <w:noProof/>
              <w:sz w:val="24"/>
              <w:szCs w:val="24"/>
              <w:lang w:eastAsia="bg-BG"/>
            </w:rPr>
          </w:pPr>
          <w:hyperlink w:anchor="_Toc224579733" w:history="1">
            <w:r w:rsidRPr="00842305">
              <w:rPr>
                <w:rStyle w:val="Hyperlink"/>
                <w:rFonts w:ascii="Times New Roman" w:hAnsi="Times New Roman" w:cs="Times New Roman"/>
                <w:i/>
                <w:iCs/>
                <w:noProof/>
                <w:sz w:val="24"/>
                <w:szCs w:val="24"/>
                <w:lang w:val="en-US"/>
              </w:rPr>
              <w:t>References</w:t>
            </w:r>
            <w:r w:rsidRPr="00842305">
              <w:rPr>
                <w:rFonts w:ascii="Times New Roman" w:hAnsi="Times New Roman" w:cs="Times New Roman"/>
                <w:noProof/>
                <w:webHidden/>
                <w:sz w:val="24"/>
                <w:szCs w:val="24"/>
              </w:rPr>
              <w:tab/>
            </w:r>
            <w:r w:rsidRPr="00842305">
              <w:rPr>
                <w:rFonts w:ascii="Times New Roman" w:hAnsi="Times New Roman" w:cs="Times New Roman"/>
                <w:noProof/>
                <w:webHidden/>
                <w:sz w:val="24"/>
                <w:szCs w:val="24"/>
              </w:rPr>
              <w:fldChar w:fldCharType="begin"/>
            </w:r>
            <w:r w:rsidRPr="00842305">
              <w:rPr>
                <w:rFonts w:ascii="Times New Roman" w:hAnsi="Times New Roman" w:cs="Times New Roman"/>
                <w:noProof/>
                <w:webHidden/>
                <w:sz w:val="24"/>
                <w:szCs w:val="24"/>
              </w:rPr>
              <w:instrText xml:space="preserve"> PAGEREF _Toc224579733 \h </w:instrText>
            </w:r>
            <w:r w:rsidRPr="00842305">
              <w:rPr>
                <w:rFonts w:ascii="Times New Roman" w:hAnsi="Times New Roman" w:cs="Times New Roman"/>
                <w:noProof/>
                <w:webHidden/>
                <w:sz w:val="24"/>
                <w:szCs w:val="24"/>
              </w:rPr>
            </w:r>
            <w:r w:rsidRPr="0084230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842305">
              <w:rPr>
                <w:rFonts w:ascii="Times New Roman" w:hAnsi="Times New Roman" w:cs="Times New Roman"/>
                <w:noProof/>
                <w:webHidden/>
                <w:sz w:val="24"/>
                <w:szCs w:val="24"/>
              </w:rPr>
              <w:fldChar w:fldCharType="end"/>
            </w:r>
          </w:hyperlink>
        </w:p>
        <w:p w14:paraId="15A0EBE2" w14:textId="5FD47896" w:rsidR="00842305" w:rsidRDefault="00842305" w:rsidP="00842305">
          <w:pPr>
            <w:rPr>
              <w:rFonts w:ascii="Times New Roman" w:hAnsi="Times New Roman" w:cs="Times New Roman"/>
              <w:b/>
              <w:bCs/>
              <w:noProof/>
              <w:color w:val="000000" w:themeColor="text1"/>
              <w:lang w:val="en-US"/>
            </w:rPr>
          </w:pPr>
          <w:r w:rsidRPr="00842305">
            <w:rPr>
              <w:rFonts w:ascii="Times New Roman" w:hAnsi="Times New Roman" w:cs="Times New Roman"/>
              <w:b/>
              <w:bCs/>
              <w:noProof/>
              <w:color w:val="000000" w:themeColor="text1"/>
            </w:rPr>
            <w:fldChar w:fldCharType="end"/>
          </w:r>
        </w:p>
        <w:p w14:paraId="026E0F50" w14:textId="77777777" w:rsidR="00842305" w:rsidRDefault="00842305" w:rsidP="00842305">
          <w:pPr>
            <w:rPr>
              <w:rFonts w:ascii="Times New Roman" w:hAnsi="Times New Roman" w:cs="Times New Roman"/>
              <w:b/>
              <w:bCs/>
              <w:noProof/>
              <w:color w:val="000000" w:themeColor="text1"/>
              <w:lang w:val="en-US"/>
            </w:rPr>
          </w:pPr>
        </w:p>
        <w:p w14:paraId="5D9A31E5" w14:textId="77777777" w:rsidR="00842305" w:rsidRDefault="00842305" w:rsidP="00842305">
          <w:pPr>
            <w:rPr>
              <w:lang w:val="en-US"/>
            </w:rPr>
          </w:pPr>
        </w:p>
        <w:p w14:paraId="63CC6328" w14:textId="77777777" w:rsidR="00842305" w:rsidRDefault="00842305" w:rsidP="00842305">
          <w:pPr>
            <w:rPr>
              <w:lang w:val="en-US"/>
            </w:rPr>
          </w:pPr>
        </w:p>
        <w:p w14:paraId="7E6460D7" w14:textId="77777777" w:rsidR="00842305" w:rsidRDefault="00842305" w:rsidP="00842305">
          <w:pPr>
            <w:rPr>
              <w:lang w:val="en-US"/>
            </w:rPr>
          </w:pPr>
        </w:p>
        <w:p w14:paraId="2990B458" w14:textId="77777777" w:rsidR="00842305" w:rsidRDefault="00842305" w:rsidP="00842305">
          <w:pPr>
            <w:rPr>
              <w:lang w:val="en-US"/>
            </w:rPr>
          </w:pPr>
        </w:p>
        <w:p w14:paraId="14786FE0" w14:textId="77777777" w:rsidR="00842305" w:rsidRDefault="00842305" w:rsidP="00842305">
          <w:pPr>
            <w:rPr>
              <w:lang w:val="en-US"/>
            </w:rPr>
          </w:pPr>
        </w:p>
        <w:p w14:paraId="216FCC01" w14:textId="2F636DCF" w:rsidR="00842305" w:rsidRPr="00842305" w:rsidRDefault="00842305" w:rsidP="00842305"/>
      </w:sdtContent>
    </w:sdt>
    <w:p w14:paraId="4893A7E2" w14:textId="0C4DD84D"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10" w:name="_Toc224579711"/>
      <w:r w:rsidRPr="00125582">
        <w:rPr>
          <w:rFonts w:ascii="Times New Roman" w:hAnsi="Times New Roman" w:cs="Times New Roman"/>
          <w:i/>
          <w:iCs/>
          <w:color w:val="000000" w:themeColor="text1"/>
        </w:rPr>
        <w:lastRenderedPageBreak/>
        <w:t>1. Introduction</w:t>
      </w:r>
      <w:bookmarkEnd w:id="10"/>
    </w:p>
    <w:p w14:paraId="795B8F3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Project management is the application of knowledge, skills, tools, and techniques to achieve specific objectives within defined constraints such as scope, time, cost, quality, and risk (Project Management Institute (PMI), 2021). Projects are temporary activities created to deliver unique outcomes, and their success depends on effective planning and governance.</w:t>
      </w:r>
    </w:p>
    <w:p w14:paraId="4892C132"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A key decision in project management is choosing the appropriate contracting method. Contracting defines how responsibilities, risks, costs, and authority are shared between the client and external parties. This choice affects project performance, coordination, accountability, and risk management.</w:t>
      </w:r>
    </w:p>
    <w:p w14:paraId="410A7142"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Organisations use contracting to access expertise, improve efficiency, transfer risk, control costs, and focus on core activities. Kerzner (2022) explains that contracting decisions are strategic because they influence governance and risk allocation. However, no single method is suitable for all projects, as the best approach depends on project complexity and organisational capability.</w:t>
      </w:r>
    </w:p>
    <w:p w14:paraId="48A7BF80"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This essay examines four contracting methods: Turnkey, Multicontracting, Do-It-Yourself (DIY), and the Multicontract + DIY hybrid approach, analysing their advantages, disadvantages, and suitability.</w:t>
      </w:r>
    </w:p>
    <w:p w14:paraId="1E28A072" w14:textId="79B1DF50" w:rsidR="00125582" w:rsidRDefault="00125582" w:rsidP="00125582">
      <w:pPr>
        <w:spacing w:line="360" w:lineRule="auto"/>
        <w:jc w:val="both"/>
        <w:rPr>
          <w:rFonts w:ascii="Times New Roman" w:hAnsi="Times New Roman" w:cs="Times New Roman"/>
          <w:color w:val="000000" w:themeColor="text1"/>
          <w:sz w:val="24"/>
          <w:szCs w:val="24"/>
          <w:lang w:val="en-US"/>
        </w:rPr>
      </w:pPr>
    </w:p>
    <w:p w14:paraId="268518A5"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5CDB21F1"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73512AF3"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1BE69E02"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044421BE"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361C05F6"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6C406B55"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179FEFC9" w14:textId="77777777"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11" w:name="_Toc224579712"/>
      <w:r w:rsidRPr="00125582">
        <w:rPr>
          <w:rFonts w:ascii="Times New Roman" w:hAnsi="Times New Roman" w:cs="Times New Roman"/>
          <w:i/>
          <w:iCs/>
          <w:color w:val="000000" w:themeColor="text1"/>
        </w:rPr>
        <w:lastRenderedPageBreak/>
        <w:t>2. Contracting in Project Management</w:t>
      </w:r>
      <w:bookmarkEnd w:id="11"/>
    </w:p>
    <w:p w14:paraId="6AA281D6"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Contracting in project management refers to legally binding agreements that define responsibilities for delivering project outputs. Contracts clarify scope, performance standards, timelines, costs, quality expectations, and risk distribution between the client and the contractor. They also serve as governance mechanisms that establish accountability, reduce ambiguity, and ensure that all parties understand their obligations within the project lifecycle. By formally defining roles and deliverables, contracts help minimise misunderstandings and provide a structured framework for project execution.</w:t>
      </w:r>
    </w:p>
    <w:p w14:paraId="775BEF2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From a theoretical perspective, contracting is closely related to risk management and organisational strategy. Projects often operate in uncertain environments where technical challenges, financial risks, and stakeholder expectations must be carefully managed. Effective contracting therefore plays a key role in allocating risks to the party best able to manage them. Turner (2014) argues that contracting structures influence communication flows, coordination mechanisms, and stakeholder relationships, meaning that the choice of contract can directly affect project performance and collaboration. In this way, contracting is not only a legal requirement but also a strategic management decision that shapes how the project is delivered.</w:t>
      </w:r>
    </w:p>
    <w:p w14:paraId="1CF32B3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The selection of a contracting method depends on several important factors:</w:t>
      </w:r>
    </w:p>
    <w:p w14:paraId="37CD10A1"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Project size and complexity</w:t>
      </w:r>
      <w:r w:rsidRPr="00125582">
        <w:rPr>
          <w:rFonts w:ascii="Times New Roman" w:hAnsi="Times New Roman" w:cs="Times New Roman"/>
          <w:color w:val="000000" w:themeColor="text1"/>
          <w:sz w:val="24"/>
          <w:szCs w:val="24"/>
        </w:rPr>
        <w:br/>
        <w:t>• Level of technical expertise required</w:t>
      </w:r>
      <w:r w:rsidRPr="00125582">
        <w:rPr>
          <w:rFonts w:ascii="Times New Roman" w:hAnsi="Times New Roman" w:cs="Times New Roman"/>
          <w:color w:val="000000" w:themeColor="text1"/>
          <w:sz w:val="24"/>
          <w:szCs w:val="24"/>
        </w:rPr>
        <w:br/>
        <w:t>• Risk tolerance</w:t>
      </w:r>
      <w:r w:rsidRPr="00125582">
        <w:rPr>
          <w:rFonts w:ascii="Times New Roman" w:hAnsi="Times New Roman" w:cs="Times New Roman"/>
          <w:color w:val="000000" w:themeColor="text1"/>
          <w:sz w:val="24"/>
          <w:szCs w:val="24"/>
        </w:rPr>
        <w:br/>
        <w:t>• Budget constraints</w:t>
      </w:r>
      <w:r w:rsidRPr="00125582">
        <w:rPr>
          <w:rFonts w:ascii="Times New Roman" w:hAnsi="Times New Roman" w:cs="Times New Roman"/>
          <w:color w:val="000000" w:themeColor="text1"/>
          <w:sz w:val="24"/>
          <w:szCs w:val="24"/>
        </w:rPr>
        <w:br/>
        <w:t>• Time sensitivity</w:t>
      </w:r>
      <w:r w:rsidRPr="00125582">
        <w:rPr>
          <w:rFonts w:ascii="Times New Roman" w:hAnsi="Times New Roman" w:cs="Times New Roman"/>
          <w:color w:val="000000" w:themeColor="text1"/>
          <w:sz w:val="24"/>
          <w:szCs w:val="24"/>
        </w:rPr>
        <w:br/>
        <w:t>• Organisational capability</w:t>
      </w:r>
    </w:p>
    <w:p w14:paraId="7C2DE5D6" w14:textId="3F61488B" w:rsidR="00125582" w:rsidRPr="00842305" w:rsidRDefault="00125582" w:rsidP="00842305">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Large and complex projects may require more structured contracting arrangements, while smaller projects may be managed internally. Similarly, projects requiring specialist knowledge may benefit from external contractors, whereas organisations with strong internal expertise may prefer greater control. Risk tolerance also influences decisions, as some organisations may wish to transfer risks externally, while others are comfortable retaining responsibility. Budget limitations, deadlines, and the organisation’s overall capability further determine which contracting method is most appropriate for achieving successful project outcomes.</w:t>
      </w:r>
    </w:p>
    <w:p w14:paraId="07D74772" w14:textId="77777777" w:rsidR="00125582" w:rsidRDefault="00125582" w:rsidP="00125582">
      <w:pPr>
        <w:pStyle w:val="Heading1"/>
        <w:spacing w:line="360" w:lineRule="auto"/>
        <w:jc w:val="both"/>
        <w:rPr>
          <w:rFonts w:ascii="Times New Roman" w:hAnsi="Times New Roman" w:cs="Times New Roman"/>
          <w:i/>
          <w:iCs/>
          <w:color w:val="000000" w:themeColor="text1"/>
          <w:lang w:val="en-US"/>
        </w:rPr>
      </w:pPr>
      <w:bookmarkStart w:id="12" w:name="_Toc224579713"/>
      <w:r w:rsidRPr="00125582">
        <w:rPr>
          <w:rFonts w:ascii="Times New Roman" w:hAnsi="Times New Roman" w:cs="Times New Roman"/>
          <w:i/>
          <w:iCs/>
          <w:color w:val="000000" w:themeColor="text1"/>
        </w:rPr>
        <w:lastRenderedPageBreak/>
        <w:t>3. Turnkey Contracting</w:t>
      </w:r>
      <w:bookmarkEnd w:id="12"/>
    </w:p>
    <w:p w14:paraId="2E07A968" w14:textId="77777777" w:rsidR="00842305" w:rsidRPr="00842305" w:rsidRDefault="00842305" w:rsidP="00842305">
      <w:pPr>
        <w:rPr>
          <w:lang w:val="en-US"/>
        </w:rPr>
      </w:pPr>
    </w:p>
    <w:p w14:paraId="680E9107"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13" w:name="_Toc224579714"/>
      <w:r w:rsidRPr="00125582">
        <w:rPr>
          <w:rFonts w:ascii="Times New Roman" w:hAnsi="Times New Roman" w:cs="Times New Roman"/>
          <w:color w:val="000000" w:themeColor="text1"/>
        </w:rPr>
        <w:t>Turnkey Contracting</w:t>
      </w:r>
      <w:bookmarkEnd w:id="13"/>
    </w:p>
    <w:p w14:paraId="11DEAE5C"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A Turnkey contract is a procurement strategy in which a single contractor is responsible for the complete delivery of a project, including design, construction, testing, commissioning, and final handover. Under this arrangement, the client receives a fully operational facility or system that is ready for immediate use, requiring minimal additional input after completion. The contractor manages the entire process from initial concept through to final delivery, ensuring integration across all project stages.</w:t>
      </w:r>
    </w:p>
    <w:p w14:paraId="26D3B9B8"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This method is commonly used in large infrastructure, engineering, industrial, and technology-based projects where coordination complexity is high and technical integration is essential. Because one organisation oversees all phases, turnkey contracts are often applied in projects where the scope can be clearly defined at the outset and where performance requirements are measurable.</w:t>
      </w:r>
    </w:p>
    <w:p w14:paraId="775D1305"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23888776"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14" w:name="_Toc224579715"/>
      <w:r w:rsidRPr="00125582">
        <w:rPr>
          <w:rFonts w:ascii="Times New Roman" w:hAnsi="Times New Roman" w:cs="Times New Roman"/>
          <w:color w:val="000000" w:themeColor="text1"/>
        </w:rPr>
        <w:t>Advantages of Turnkey Contracting</w:t>
      </w:r>
      <w:bookmarkEnd w:id="14"/>
    </w:p>
    <w:p w14:paraId="47C1758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Single Point of Responsibility</w:t>
      </w:r>
      <w:r w:rsidRPr="00125582">
        <w:rPr>
          <w:rFonts w:ascii="Times New Roman" w:hAnsi="Times New Roman" w:cs="Times New Roman"/>
          <w:color w:val="000000" w:themeColor="text1"/>
          <w:sz w:val="24"/>
          <w:szCs w:val="24"/>
        </w:rPr>
        <w:br/>
        <w:t>The contractor assumes responsibility for the entire project lifecycle. This reduces ambiguity regarding accountability and simplifies communication for the client. Instead of managing multiple suppliers, the client interacts with one main contractor, which improves clarity in decision-making and reporting.</w:t>
      </w:r>
    </w:p>
    <w:p w14:paraId="63C5EC8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Risk Transfer</w:t>
      </w:r>
      <w:r w:rsidRPr="00125582">
        <w:rPr>
          <w:rFonts w:ascii="Times New Roman" w:hAnsi="Times New Roman" w:cs="Times New Roman"/>
          <w:color w:val="000000" w:themeColor="text1"/>
          <w:sz w:val="24"/>
          <w:szCs w:val="24"/>
        </w:rPr>
        <w:br/>
        <w:t>Many project risks—such as delays, cost overruns, technical failures, and coordination issues—are transferred to the contractor. This provides greater financial predictability and reduces uncertainty for the client. As a result, turnkey contracts are often preferred when organisations wish to minimise exposure to operational risks.</w:t>
      </w:r>
    </w:p>
    <w:p w14:paraId="3B10750D"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Simplified Management Structure</w:t>
      </w:r>
      <w:r w:rsidRPr="00125582">
        <w:rPr>
          <w:rFonts w:ascii="Times New Roman" w:hAnsi="Times New Roman" w:cs="Times New Roman"/>
          <w:color w:val="000000" w:themeColor="text1"/>
          <w:sz w:val="24"/>
          <w:szCs w:val="24"/>
        </w:rPr>
        <w:br/>
        <w:t xml:space="preserve">Since only one contractor is responsible for delivery, the client does not need to coordinate multiple suppliers or manage complex interfaces between different teams. This reduces </w:t>
      </w:r>
      <w:r w:rsidRPr="00125582">
        <w:rPr>
          <w:rFonts w:ascii="Times New Roman" w:hAnsi="Times New Roman" w:cs="Times New Roman"/>
          <w:color w:val="000000" w:themeColor="text1"/>
          <w:sz w:val="24"/>
          <w:szCs w:val="24"/>
        </w:rPr>
        <w:lastRenderedPageBreak/>
        <w:t>administrative workload and allows the client to focus on strategic oversight rather than operational supervision.</w:t>
      </w:r>
    </w:p>
    <w:p w14:paraId="0167446D"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4. Time Efficiency</w:t>
      </w:r>
      <w:r w:rsidRPr="00125582">
        <w:rPr>
          <w:rFonts w:ascii="Times New Roman" w:hAnsi="Times New Roman" w:cs="Times New Roman"/>
          <w:color w:val="000000" w:themeColor="text1"/>
          <w:sz w:val="24"/>
          <w:szCs w:val="24"/>
        </w:rPr>
        <w:br/>
        <w:t>Because one contractor integrates all activities, project execution can be more streamlined. The contractor can align design and construction processes internally, reducing delays caused by miscommunication between separate parties.</w:t>
      </w:r>
    </w:p>
    <w:p w14:paraId="34ECBC44"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71B8AEC2"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15" w:name="_Toc224579716"/>
      <w:r w:rsidRPr="00125582">
        <w:rPr>
          <w:rFonts w:ascii="Times New Roman" w:hAnsi="Times New Roman" w:cs="Times New Roman"/>
          <w:color w:val="000000" w:themeColor="text1"/>
        </w:rPr>
        <w:t>Disadvantages of Turnkey Contracting</w:t>
      </w:r>
      <w:bookmarkEnd w:id="15"/>
    </w:p>
    <w:p w14:paraId="55154C47"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Reduced Client Control</w:t>
      </w:r>
      <w:r w:rsidRPr="00125582">
        <w:rPr>
          <w:rFonts w:ascii="Times New Roman" w:hAnsi="Times New Roman" w:cs="Times New Roman"/>
          <w:color w:val="000000" w:themeColor="text1"/>
          <w:sz w:val="24"/>
          <w:szCs w:val="24"/>
        </w:rPr>
        <w:br/>
        <w:t>The client has limited involvement in design decisions and detailed operational matters. This may lead to outcomes that do not fully reflect evolving client preferences during the project lifecycle.</w:t>
      </w:r>
    </w:p>
    <w:p w14:paraId="2D1C124A"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Higher Contract Price</w:t>
      </w:r>
      <w:r w:rsidRPr="00125582">
        <w:rPr>
          <w:rFonts w:ascii="Times New Roman" w:hAnsi="Times New Roman" w:cs="Times New Roman"/>
          <w:color w:val="000000" w:themeColor="text1"/>
          <w:sz w:val="24"/>
          <w:szCs w:val="24"/>
        </w:rPr>
        <w:br/>
        <w:t>Contractors may increase prices to compensate for the additional risks they assume. This risk premium can make turnkey contracts more expensive compared to other procurement methods.</w:t>
      </w:r>
    </w:p>
    <w:p w14:paraId="28F67A3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Dependency on Contractor Capability</w:t>
      </w:r>
      <w:r w:rsidRPr="00125582">
        <w:rPr>
          <w:rFonts w:ascii="Times New Roman" w:hAnsi="Times New Roman" w:cs="Times New Roman"/>
          <w:color w:val="000000" w:themeColor="text1"/>
          <w:sz w:val="24"/>
          <w:szCs w:val="24"/>
        </w:rPr>
        <w:br/>
        <w:t>Project success depends heavily on the technical competence, experience, and reliability of the selected contractor. Poor performance by the contractor can significantly affect project outcomes.</w:t>
      </w:r>
    </w:p>
    <w:p w14:paraId="12BABDCA"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4. Limited Flexibility</w:t>
      </w:r>
      <w:r w:rsidRPr="00125582">
        <w:rPr>
          <w:rFonts w:ascii="Times New Roman" w:hAnsi="Times New Roman" w:cs="Times New Roman"/>
          <w:color w:val="000000" w:themeColor="text1"/>
          <w:sz w:val="24"/>
          <w:szCs w:val="24"/>
        </w:rPr>
        <w:br/>
        <w:t>Once the contract is agreed upon, making changes can be difficult and costly. Therefore, turnkey contracts are less suitable for projects where requirements are expected to change frequently.</w:t>
      </w:r>
    </w:p>
    <w:p w14:paraId="5EB15D17"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093B9074"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1358A630"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64781503"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210F97E5" w14:textId="77777777" w:rsidR="00125582" w:rsidRPr="00842305" w:rsidRDefault="00125582" w:rsidP="00842305">
      <w:pPr>
        <w:pStyle w:val="Heading2"/>
        <w:rPr>
          <w:rFonts w:ascii="Times New Roman" w:hAnsi="Times New Roman" w:cs="Times New Roman"/>
          <w:color w:val="000000" w:themeColor="text1"/>
        </w:rPr>
      </w:pPr>
      <w:bookmarkStart w:id="16" w:name="_Toc224579717"/>
      <w:r w:rsidRPr="00842305">
        <w:rPr>
          <w:rFonts w:ascii="Times New Roman" w:hAnsi="Times New Roman" w:cs="Times New Roman"/>
          <w:color w:val="000000" w:themeColor="text1"/>
        </w:rPr>
        <w:lastRenderedPageBreak/>
        <w:t>Suitability</w:t>
      </w:r>
      <w:bookmarkEnd w:id="16"/>
    </w:p>
    <w:p w14:paraId="6E42F7C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Turnkey contracts are particularly suitable for:</w:t>
      </w:r>
    </w:p>
    <w:p w14:paraId="1A290B27" w14:textId="77777777" w:rsidR="00125582" w:rsidRPr="00125582" w:rsidRDefault="00125582" w:rsidP="00125582">
      <w:pPr>
        <w:numPr>
          <w:ilvl w:val="0"/>
          <w:numId w:val="6"/>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Large-scale infrastructure projects</w:t>
      </w:r>
    </w:p>
    <w:p w14:paraId="339D99EE" w14:textId="77777777" w:rsidR="00125582" w:rsidRPr="00125582" w:rsidRDefault="00125582" w:rsidP="00125582">
      <w:pPr>
        <w:numPr>
          <w:ilvl w:val="0"/>
          <w:numId w:val="6"/>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Energy facilities and power plants</w:t>
      </w:r>
    </w:p>
    <w:p w14:paraId="4027133B" w14:textId="77777777" w:rsidR="00125582" w:rsidRPr="00125582" w:rsidRDefault="00125582" w:rsidP="00125582">
      <w:pPr>
        <w:numPr>
          <w:ilvl w:val="0"/>
          <w:numId w:val="6"/>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Industrial manufacturing plants</w:t>
      </w:r>
    </w:p>
    <w:p w14:paraId="36199B1F" w14:textId="77777777" w:rsidR="00125582" w:rsidRPr="00125582" w:rsidRDefault="00125582" w:rsidP="00125582">
      <w:pPr>
        <w:numPr>
          <w:ilvl w:val="0"/>
          <w:numId w:val="6"/>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Technology systems requiring full integration</w:t>
      </w:r>
    </w:p>
    <w:p w14:paraId="0F60C231" w14:textId="77777777" w:rsidR="00125582" w:rsidRPr="00125582" w:rsidRDefault="00125582" w:rsidP="00125582">
      <w:pPr>
        <w:numPr>
          <w:ilvl w:val="0"/>
          <w:numId w:val="6"/>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Clients with limited technical expertise</w:t>
      </w:r>
    </w:p>
    <w:p w14:paraId="0E0681AF"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This method is most effective when project specifications are clearly defined at the beginning and when the client prefers to transfer significant responsibility and risk to a single contractor. It works best in environments where stability of requirements is high and changes are unlikely during execution.</w:t>
      </w:r>
    </w:p>
    <w:p w14:paraId="59A1EB1B" w14:textId="20FFF1EB" w:rsidR="00125582" w:rsidRDefault="00125582" w:rsidP="00125582">
      <w:pPr>
        <w:spacing w:line="360" w:lineRule="auto"/>
        <w:jc w:val="both"/>
        <w:rPr>
          <w:rFonts w:ascii="Times New Roman" w:hAnsi="Times New Roman" w:cs="Times New Roman"/>
          <w:color w:val="000000" w:themeColor="text1"/>
          <w:sz w:val="24"/>
          <w:szCs w:val="24"/>
          <w:lang w:val="en-US"/>
        </w:rPr>
      </w:pPr>
    </w:p>
    <w:p w14:paraId="4F2D6392"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32D75151"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5ECFF1FF"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5B6EC6F1"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60DB842C"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480E3882"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184DBB33"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53F91939"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50766E7C"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33C53DD5" w14:textId="77777777"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17" w:name="_Toc224579718"/>
      <w:r w:rsidRPr="00125582">
        <w:rPr>
          <w:rFonts w:ascii="Times New Roman" w:hAnsi="Times New Roman" w:cs="Times New Roman"/>
          <w:i/>
          <w:iCs/>
          <w:color w:val="000000" w:themeColor="text1"/>
        </w:rPr>
        <w:lastRenderedPageBreak/>
        <w:t>4. Multicontracting</w:t>
      </w:r>
      <w:bookmarkEnd w:id="17"/>
    </w:p>
    <w:p w14:paraId="5E47EE29"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18" w:name="_Toc224579719"/>
      <w:r w:rsidRPr="00125582">
        <w:rPr>
          <w:rFonts w:ascii="Times New Roman" w:hAnsi="Times New Roman" w:cs="Times New Roman"/>
          <w:color w:val="000000" w:themeColor="text1"/>
        </w:rPr>
        <w:t>Multicontracting</w:t>
      </w:r>
      <w:bookmarkEnd w:id="18"/>
    </w:p>
    <w:p w14:paraId="08887DA7"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Multicontracting involves dividing the project into several distinct work packages, with each package awarded to different specialised contractors. Instead of relying on a single main contractor, the client directly manages the relationships with multiple contractors, either independently or through a project manager. This approach allows the client to retain greater involvement in project delivery while benefiting from specialised expertise in different areas. However, it also increases the need for effective coordination and communication to ensure that all packages align with overall project objectives.</w:t>
      </w:r>
    </w:p>
    <w:p w14:paraId="77493293"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This method is commonly used in complex projects where different technical disciplines are required, such as construction, engineering, or large-scale infrastructure developments. By separating the project into manageable components, the client can allocate work to contractors based on their specific strengths and competencies.</w:t>
      </w:r>
    </w:p>
    <w:p w14:paraId="0D54851D"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4E263979"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19" w:name="_Toc224579720"/>
      <w:r w:rsidRPr="00125582">
        <w:rPr>
          <w:rFonts w:ascii="Times New Roman" w:hAnsi="Times New Roman" w:cs="Times New Roman"/>
          <w:color w:val="000000" w:themeColor="text1"/>
        </w:rPr>
        <w:t>Advantages of Multicontracting</w:t>
      </w:r>
      <w:bookmarkEnd w:id="19"/>
    </w:p>
    <w:p w14:paraId="2B77AB67"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Greater Control</w:t>
      </w:r>
      <w:r w:rsidRPr="00125582">
        <w:rPr>
          <w:rFonts w:ascii="Times New Roman" w:hAnsi="Times New Roman" w:cs="Times New Roman"/>
          <w:color w:val="000000" w:themeColor="text1"/>
          <w:sz w:val="24"/>
          <w:szCs w:val="24"/>
        </w:rPr>
        <w:br/>
        <w:t>The client maintains more influence over design decisions and execution processes. This allows closer alignment with strategic objectives and provides flexibility in managing project outcomes.</w:t>
      </w:r>
    </w:p>
    <w:p w14:paraId="28F75D1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Access to Specialised Expertise</w:t>
      </w:r>
      <w:r w:rsidRPr="00125582">
        <w:rPr>
          <w:rFonts w:ascii="Times New Roman" w:hAnsi="Times New Roman" w:cs="Times New Roman"/>
          <w:color w:val="000000" w:themeColor="text1"/>
          <w:sz w:val="24"/>
          <w:szCs w:val="24"/>
        </w:rPr>
        <w:br/>
        <w:t>Different contractors contribute specific technical knowledge and skills. This enhances the overall quality of project outputs, as each specialist focuses on their area of expertise.</w:t>
      </w:r>
    </w:p>
    <w:p w14:paraId="34BB30E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Competitive Pricing</w:t>
      </w:r>
      <w:r w:rsidRPr="00125582">
        <w:rPr>
          <w:rFonts w:ascii="Times New Roman" w:hAnsi="Times New Roman" w:cs="Times New Roman"/>
          <w:color w:val="000000" w:themeColor="text1"/>
          <w:sz w:val="24"/>
          <w:szCs w:val="24"/>
        </w:rPr>
        <w:br/>
        <w:t>By dividing the project into separate packages, contractors compete for individual components of the work. This competition may help reduce overall project costs and improve value for money.</w:t>
      </w:r>
    </w:p>
    <w:p w14:paraId="0C5080FD"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4. Flexibility in Adjustments</w:t>
      </w:r>
      <w:r w:rsidRPr="00125582">
        <w:rPr>
          <w:rFonts w:ascii="Times New Roman" w:hAnsi="Times New Roman" w:cs="Times New Roman"/>
          <w:color w:val="000000" w:themeColor="text1"/>
          <w:sz w:val="24"/>
          <w:szCs w:val="24"/>
        </w:rPr>
        <w:br/>
        <w:t xml:space="preserve">Changes can be managed within specific contract packages without necessarily affecting the </w:t>
      </w:r>
      <w:r w:rsidRPr="00125582">
        <w:rPr>
          <w:rFonts w:ascii="Times New Roman" w:hAnsi="Times New Roman" w:cs="Times New Roman"/>
          <w:color w:val="000000" w:themeColor="text1"/>
          <w:sz w:val="24"/>
          <w:szCs w:val="24"/>
        </w:rPr>
        <w:lastRenderedPageBreak/>
        <w:t>entire project. This makes multicontracting more adaptable compared to some other procurement methods.</w:t>
      </w:r>
    </w:p>
    <w:p w14:paraId="1D9E0E35"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077126AE"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0" w:name="_Toc224579721"/>
      <w:r w:rsidRPr="00125582">
        <w:rPr>
          <w:rFonts w:ascii="Times New Roman" w:hAnsi="Times New Roman" w:cs="Times New Roman"/>
          <w:color w:val="000000" w:themeColor="text1"/>
        </w:rPr>
        <w:t>Disadvantages of Multicontracting</w:t>
      </w:r>
      <w:bookmarkEnd w:id="20"/>
    </w:p>
    <w:p w14:paraId="1AE5A09A"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High Coordination Complexity</w:t>
      </w:r>
      <w:r w:rsidRPr="00125582">
        <w:rPr>
          <w:rFonts w:ascii="Times New Roman" w:hAnsi="Times New Roman" w:cs="Times New Roman"/>
          <w:color w:val="000000" w:themeColor="text1"/>
          <w:sz w:val="24"/>
          <w:szCs w:val="24"/>
        </w:rPr>
        <w:br/>
        <w:t>The client bears significant responsibility for integration and interface management between contractors. Without effective coordination, delays or misunderstandings may occur.</w:t>
      </w:r>
    </w:p>
    <w:p w14:paraId="764F010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Increased Risk Exposure</w:t>
      </w:r>
      <w:r w:rsidRPr="00125582">
        <w:rPr>
          <w:rFonts w:ascii="Times New Roman" w:hAnsi="Times New Roman" w:cs="Times New Roman"/>
          <w:color w:val="000000" w:themeColor="text1"/>
          <w:sz w:val="24"/>
          <w:szCs w:val="24"/>
        </w:rPr>
        <w:br/>
        <w:t>Risks related to scheduling conflicts, communication gaps, and integration challenges are often retained by the client rather than transferred externally.</w:t>
      </w:r>
    </w:p>
    <w:p w14:paraId="4FE7FFAD"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Administrative Burden</w:t>
      </w:r>
      <w:r w:rsidRPr="00125582">
        <w:rPr>
          <w:rFonts w:ascii="Times New Roman" w:hAnsi="Times New Roman" w:cs="Times New Roman"/>
          <w:color w:val="000000" w:themeColor="text1"/>
          <w:sz w:val="24"/>
          <w:szCs w:val="24"/>
        </w:rPr>
        <w:br/>
        <w:t>Managing multiple contracts requires continuous monitoring, reporting, and communication, which increases organisational workload and demands strong management systems.</w:t>
      </w:r>
    </w:p>
    <w:p w14:paraId="12487348"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4. Potential Conflicts</w:t>
      </w:r>
      <w:r w:rsidRPr="00125582">
        <w:rPr>
          <w:rFonts w:ascii="Times New Roman" w:hAnsi="Times New Roman" w:cs="Times New Roman"/>
          <w:color w:val="000000" w:themeColor="text1"/>
          <w:sz w:val="24"/>
          <w:szCs w:val="24"/>
        </w:rPr>
        <w:br/>
        <w:t>Because different contractors are responsible for separate parts of the project, disputes may arise regarding responsibilities, dependencies, or performance standards.</w:t>
      </w:r>
    </w:p>
    <w:p w14:paraId="2D3EDC4D"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007B460F"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1" w:name="_Toc224579722"/>
      <w:r w:rsidRPr="00125582">
        <w:rPr>
          <w:rFonts w:ascii="Times New Roman" w:hAnsi="Times New Roman" w:cs="Times New Roman"/>
          <w:color w:val="000000" w:themeColor="text1"/>
        </w:rPr>
        <w:t>Suitability</w:t>
      </w:r>
      <w:bookmarkEnd w:id="21"/>
    </w:p>
    <w:p w14:paraId="143B6A12"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Multicontracting is suitable for:</w:t>
      </w:r>
    </w:p>
    <w:p w14:paraId="4660E5FE" w14:textId="77777777" w:rsidR="00125582" w:rsidRPr="00125582" w:rsidRDefault="00125582" w:rsidP="00125582">
      <w:pPr>
        <w:numPr>
          <w:ilvl w:val="0"/>
          <w:numId w:val="7"/>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Complex construction projects</w:t>
      </w:r>
    </w:p>
    <w:p w14:paraId="0E64221F" w14:textId="77777777" w:rsidR="00125582" w:rsidRPr="00125582" w:rsidRDefault="00125582" w:rsidP="00125582">
      <w:pPr>
        <w:numPr>
          <w:ilvl w:val="0"/>
          <w:numId w:val="7"/>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Large infrastructure developments</w:t>
      </w:r>
    </w:p>
    <w:p w14:paraId="327DBD27" w14:textId="77777777" w:rsidR="00125582" w:rsidRPr="00125582" w:rsidRDefault="00125582" w:rsidP="00125582">
      <w:pPr>
        <w:numPr>
          <w:ilvl w:val="0"/>
          <w:numId w:val="7"/>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Projects requiring multiple specialised disciplines</w:t>
      </w:r>
    </w:p>
    <w:p w14:paraId="1CCE5C5C" w14:textId="77777777" w:rsidR="00125582" w:rsidRPr="00125582" w:rsidRDefault="00125582" w:rsidP="00125582">
      <w:pPr>
        <w:numPr>
          <w:ilvl w:val="0"/>
          <w:numId w:val="7"/>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Organisations with strong project governance structures</w:t>
      </w:r>
    </w:p>
    <w:p w14:paraId="700719C6" w14:textId="2869E88B" w:rsidR="00842305" w:rsidRP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This approach works best when the client has experienced project management teams capable of coordinating several contractors effectively. It is particularly appropriate in environments where the organisation wants to maintain significant control over the project while still benefiting from external expertise</w:t>
      </w:r>
    </w:p>
    <w:p w14:paraId="00749F82" w14:textId="77777777"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22" w:name="_Toc224579723"/>
      <w:r w:rsidRPr="00125582">
        <w:rPr>
          <w:rFonts w:ascii="Times New Roman" w:hAnsi="Times New Roman" w:cs="Times New Roman"/>
          <w:i/>
          <w:iCs/>
          <w:color w:val="000000" w:themeColor="text1"/>
        </w:rPr>
        <w:lastRenderedPageBreak/>
        <w:t>5. Do-It-Yourself (DIY) Approach</w:t>
      </w:r>
      <w:bookmarkEnd w:id="22"/>
    </w:p>
    <w:p w14:paraId="1517E1F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The Do-It-Yourself (DIY) approach occurs when the organisation manages and executes the entire project internally without engaging external contractors. All planning, implementation, monitoring, and delivery activities are carried out by the organisation’s own workforce and resources. In this arrangement, the organisation assumes full responsibility for both the management and technical execution of the project. The DIY approach is often used where the organisation has sufficient internal capability and wishes to maintain complete oversight of the project process.</w:t>
      </w:r>
    </w:p>
    <w:p w14:paraId="4C2C0D60" w14:textId="6DCAFA97" w:rsidR="00842305" w:rsidRP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This method reflects a high level of internal control and is commonly adopted in organisations that prioritise independence, confidentiality, or strategic alignment. However, it also requires strong internal structures, skilled personnel, and effective project management systems to ensure successful delivery.</w:t>
      </w:r>
    </w:p>
    <w:p w14:paraId="769C65A9"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3" w:name="_Toc224579724"/>
      <w:r w:rsidRPr="00125582">
        <w:rPr>
          <w:rFonts w:ascii="Times New Roman" w:hAnsi="Times New Roman" w:cs="Times New Roman"/>
          <w:color w:val="000000" w:themeColor="text1"/>
        </w:rPr>
        <w:t>Advantages of DIY</w:t>
      </w:r>
      <w:bookmarkEnd w:id="23"/>
    </w:p>
    <w:p w14:paraId="68F505B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Full Control</w:t>
      </w:r>
      <w:r w:rsidRPr="00125582">
        <w:rPr>
          <w:rFonts w:ascii="Times New Roman" w:hAnsi="Times New Roman" w:cs="Times New Roman"/>
          <w:color w:val="000000" w:themeColor="text1"/>
          <w:sz w:val="24"/>
          <w:szCs w:val="24"/>
        </w:rPr>
        <w:br/>
        <w:t>The organisation maintains complete authority over decisions, planning processes, and execution methods. This allows direct alignment between the project and organisational strategy, without external influence.</w:t>
      </w:r>
    </w:p>
    <w:p w14:paraId="1AE95177"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Confidentiality</w:t>
      </w:r>
      <w:r w:rsidRPr="00125582">
        <w:rPr>
          <w:rFonts w:ascii="Times New Roman" w:hAnsi="Times New Roman" w:cs="Times New Roman"/>
          <w:color w:val="000000" w:themeColor="text1"/>
          <w:sz w:val="24"/>
          <w:szCs w:val="24"/>
        </w:rPr>
        <w:br/>
        <w:t>Sensitive strategic projects can remain within the organisation, reducing the risk of information leakage. This is particularly important for projects involving intellectual property, competitive advantage, or internal restructuring.</w:t>
      </w:r>
    </w:p>
    <w:p w14:paraId="03E7121C"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Cost Savings on External Fees</w:t>
      </w:r>
      <w:r w:rsidRPr="00125582">
        <w:rPr>
          <w:rFonts w:ascii="Times New Roman" w:hAnsi="Times New Roman" w:cs="Times New Roman"/>
          <w:color w:val="000000" w:themeColor="text1"/>
          <w:sz w:val="24"/>
          <w:szCs w:val="24"/>
        </w:rPr>
        <w:br/>
        <w:t>By avoiding external contractors, the organisation eliminates contractor profit margins and certain procurement costs. This may reduce overall expenditure if internal resources are efficiently utilised.</w:t>
      </w:r>
    </w:p>
    <w:p w14:paraId="5E9B081E" w14:textId="7912429B" w:rsidR="00842305" w:rsidRP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4. Capability Development</w:t>
      </w:r>
      <w:r w:rsidRPr="00125582">
        <w:rPr>
          <w:rFonts w:ascii="Times New Roman" w:hAnsi="Times New Roman" w:cs="Times New Roman"/>
          <w:color w:val="000000" w:themeColor="text1"/>
          <w:sz w:val="24"/>
          <w:szCs w:val="24"/>
        </w:rPr>
        <w:br/>
        <w:t>Managing projects internally can enhance employee skills, organisational learning, and long-term capacity building. It strengthens internal expertise and improves future project performance.</w:t>
      </w:r>
    </w:p>
    <w:p w14:paraId="06DBDD8D"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4" w:name="_Toc224579725"/>
      <w:r w:rsidRPr="00125582">
        <w:rPr>
          <w:rFonts w:ascii="Times New Roman" w:hAnsi="Times New Roman" w:cs="Times New Roman"/>
          <w:color w:val="000000" w:themeColor="text1"/>
        </w:rPr>
        <w:lastRenderedPageBreak/>
        <w:t>Disadvantages of DIY</w:t>
      </w:r>
      <w:bookmarkEnd w:id="24"/>
    </w:p>
    <w:p w14:paraId="3BCF2CFC"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Resource Constraints</w:t>
      </w:r>
      <w:r w:rsidRPr="00125582">
        <w:rPr>
          <w:rFonts w:ascii="Times New Roman" w:hAnsi="Times New Roman" w:cs="Times New Roman"/>
          <w:color w:val="000000" w:themeColor="text1"/>
          <w:sz w:val="24"/>
          <w:szCs w:val="24"/>
        </w:rPr>
        <w:br/>
        <w:t>The organisation may lack specialised technical knowledge or advanced expertise required for complex projects. Without external support, performance quality may be affected.</w:t>
      </w:r>
    </w:p>
    <w:p w14:paraId="15FD9352"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Risk Concentration</w:t>
      </w:r>
      <w:r w:rsidRPr="00125582">
        <w:rPr>
          <w:rFonts w:ascii="Times New Roman" w:hAnsi="Times New Roman" w:cs="Times New Roman"/>
          <w:color w:val="000000" w:themeColor="text1"/>
          <w:sz w:val="24"/>
          <w:szCs w:val="24"/>
        </w:rPr>
        <w:br/>
        <w:t>All project risks remain within the organisation. This includes financial, operational, and technical risks, increasing overall exposure.</w:t>
      </w:r>
    </w:p>
    <w:p w14:paraId="3C09671D"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Capacity Limitations</w:t>
      </w:r>
      <w:r w:rsidRPr="00125582">
        <w:rPr>
          <w:rFonts w:ascii="Times New Roman" w:hAnsi="Times New Roman" w:cs="Times New Roman"/>
          <w:color w:val="000000" w:themeColor="text1"/>
          <w:sz w:val="24"/>
          <w:szCs w:val="24"/>
        </w:rPr>
        <w:br/>
        <w:t>Internal teams may already have existing responsibilities, leading to workload pressure. This can reduce efficiency and delay project completion.</w:t>
      </w:r>
    </w:p>
    <w:p w14:paraId="4FC59176"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4. Potential Inefficiencies</w:t>
      </w:r>
      <w:r w:rsidRPr="00125582">
        <w:rPr>
          <w:rFonts w:ascii="Times New Roman" w:hAnsi="Times New Roman" w:cs="Times New Roman"/>
          <w:color w:val="000000" w:themeColor="text1"/>
          <w:sz w:val="24"/>
          <w:szCs w:val="24"/>
        </w:rPr>
        <w:br/>
        <w:t>Without external competition or benchmarking, performance incentives may be weaker. This can sometimes result in slower progress or lower innovation levels.</w:t>
      </w:r>
    </w:p>
    <w:p w14:paraId="588D6D37"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696A321C"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5" w:name="_Toc224579726"/>
      <w:r w:rsidRPr="00125582">
        <w:rPr>
          <w:rFonts w:ascii="Times New Roman" w:hAnsi="Times New Roman" w:cs="Times New Roman"/>
          <w:color w:val="000000" w:themeColor="text1"/>
        </w:rPr>
        <w:t>Suitability</w:t>
      </w:r>
      <w:bookmarkEnd w:id="25"/>
    </w:p>
    <w:p w14:paraId="2A1138A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The DIY approach is most appropriate for:</w:t>
      </w:r>
    </w:p>
    <w:p w14:paraId="71B67E3C" w14:textId="77777777" w:rsidR="00125582" w:rsidRPr="00125582" w:rsidRDefault="00125582" w:rsidP="00125582">
      <w:pPr>
        <w:numPr>
          <w:ilvl w:val="0"/>
          <w:numId w:val="8"/>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Small-scale projects</w:t>
      </w:r>
    </w:p>
    <w:p w14:paraId="0115A668" w14:textId="77777777" w:rsidR="00125582" w:rsidRPr="00125582" w:rsidRDefault="00125582" w:rsidP="00125582">
      <w:pPr>
        <w:numPr>
          <w:ilvl w:val="0"/>
          <w:numId w:val="8"/>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Organisations with strong internal technical expertise</w:t>
      </w:r>
    </w:p>
    <w:p w14:paraId="369D98C2" w14:textId="77777777" w:rsidR="00125582" w:rsidRPr="00125582" w:rsidRDefault="00125582" w:rsidP="00125582">
      <w:pPr>
        <w:numPr>
          <w:ilvl w:val="0"/>
          <w:numId w:val="8"/>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Projects requiring high confidentiality</w:t>
      </w:r>
    </w:p>
    <w:p w14:paraId="56FA0E10" w14:textId="77777777" w:rsidR="00125582" w:rsidRPr="00125582" w:rsidRDefault="00125582" w:rsidP="00125582">
      <w:pPr>
        <w:numPr>
          <w:ilvl w:val="0"/>
          <w:numId w:val="8"/>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Strategic internal initiatives</w:t>
      </w:r>
    </w:p>
    <w:p w14:paraId="51FA5AF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It may be unsuitable for large, technically complex, or highly specialised projects where external expertise is necessary. In such cases, relying solely on internal resources could increase risks and reduce overall project effectiveness.</w:t>
      </w:r>
    </w:p>
    <w:p w14:paraId="4EEC7DCC" w14:textId="2FEC7EF0" w:rsidR="00125582" w:rsidRPr="00125582" w:rsidRDefault="00125582" w:rsidP="00125582">
      <w:pPr>
        <w:spacing w:line="360" w:lineRule="auto"/>
        <w:jc w:val="both"/>
        <w:rPr>
          <w:rFonts w:ascii="Times New Roman" w:hAnsi="Times New Roman" w:cs="Times New Roman"/>
          <w:color w:val="000000" w:themeColor="text1"/>
          <w:sz w:val="24"/>
          <w:szCs w:val="24"/>
        </w:rPr>
      </w:pPr>
    </w:p>
    <w:p w14:paraId="774224C0" w14:textId="77777777"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26" w:name="_Toc224579727"/>
      <w:r w:rsidRPr="00125582">
        <w:rPr>
          <w:rFonts w:ascii="Times New Roman" w:hAnsi="Times New Roman" w:cs="Times New Roman"/>
          <w:i/>
          <w:iCs/>
          <w:color w:val="000000" w:themeColor="text1"/>
        </w:rPr>
        <w:lastRenderedPageBreak/>
        <w:t>6. Multicontract + DIY Hybrid Approach</w:t>
      </w:r>
      <w:bookmarkEnd w:id="26"/>
    </w:p>
    <w:p w14:paraId="3F88CCC4"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The Multicontract + DIY hybrid approach combines internal project execution with selective outsourcing. In this method, the organisation manages core strategic activities internally while contracting external specialists to perform specific technical or highly specialised tasks. This approach allows the organisation to maintain control over critical aspects of the project while benefiting from external expertise where necessary. It is often used in environments where flexibility, efficiency, and strategic oversight are important.</w:t>
      </w:r>
    </w:p>
    <w:p w14:paraId="7E244E25"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This hybrid model reflects a balanced procurement strategy. Rather than fully transferring responsibility to a single contractor or managing everything internally, the organisation divides responsibilities based on capability and risk considerations. As a result, it integrates elements of both control and collaboration.</w:t>
      </w:r>
    </w:p>
    <w:p w14:paraId="51D6E491"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7" w:name="_Toc224579728"/>
      <w:r w:rsidRPr="00125582">
        <w:rPr>
          <w:rFonts w:ascii="Times New Roman" w:hAnsi="Times New Roman" w:cs="Times New Roman"/>
          <w:color w:val="000000" w:themeColor="text1"/>
        </w:rPr>
        <w:t>Advantages</w:t>
      </w:r>
      <w:bookmarkEnd w:id="27"/>
    </w:p>
    <w:p w14:paraId="3C0B63B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Balanced Control and Expertise</w:t>
      </w:r>
      <w:r w:rsidRPr="00125582">
        <w:rPr>
          <w:rFonts w:ascii="Times New Roman" w:hAnsi="Times New Roman" w:cs="Times New Roman"/>
          <w:color w:val="000000" w:themeColor="text1"/>
          <w:sz w:val="24"/>
          <w:szCs w:val="24"/>
        </w:rPr>
        <w:br/>
        <w:t>The organisation retains oversight of key decisions while accessing specialised external capabilities. This ensures that strategic objectives remain aligned with project outcomes.</w:t>
      </w:r>
    </w:p>
    <w:p w14:paraId="1BFD69E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2. Risk Sharing</w:t>
      </w:r>
      <w:r w:rsidRPr="00125582">
        <w:rPr>
          <w:rFonts w:ascii="Times New Roman" w:hAnsi="Times New Roman" w:cs="Times New Roman"/>
          <w:color w:val="000000" w:themeColor="text1"/>
          <w:sz w:val="24"/>
          <w:szCs w:val="24"/>
        </w:rPr>
        <w:br/>
        <w:t>Risks are distributed between internal teams and contractors, reducing the burden on one party. This can improve overall risk management effectiveness.</w:t>
      </w:r>
    </w:p>
    <w:p w14:paraId="63D4978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Flexibility</w:t>
      </w:r>
      <w:r w:rsidRPr="00125582">
        <w:rPr>
          <w:rFonts w:ascii="Times New Roman" w:hAnsi="Times New Roman" w:cs="Times New Roman"/>
          <w:color w:val="000000" w:themeColor="text1"/>
          <w:sz w:val="24"/>
          <w:szCs w:val="24"/>
        </w:rPr>
        <w:br/>
        <w:t>The organisation can decide which activities to outsource and which to manage internally. This adaptability is useful in dynamic or changing project environments.</w:t>
      </w:r>
    </w:p>
    <w:p w14:paraId="6DC5593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4. Optimised Resource Use</w:t>
      </w:r>
      <w:r w:rsidRPr="00125582">
        <w:rPr>
          <w:rFonts w:ascii="Times New Roman" w:hAnsi="Times New Roman" w:cs="Times New Roman"/>
          <w:color w:val="000000" w:themeColor="text1"/>
          <w:sz w:val="24"/>
          <w:szCs w:val="24"/>
        </w:rPr>
        <w:br/>
        <w:t>By combining internal strengths with external expertise, the organisation can improve efficiency without becoming fully dependent on contractors.</w:t>
      </w:r>
    </w:p>
    <w:p w14:paraId="46FBE6D9"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8" w:name="_Toc224579729"/>
      <w:r w:rsidRPr="00125582">
        <w:rPr>
          <w:rFonts w:ascii="Times New Roman" w:hAnsi="Times New Roman" w:cs="Times New Roman"/>
          <w:color w:val="000000" w:themeColor="text1"/>
        </w:rPr>
        <w:t>Disadvantages</w:t>
      </w:r>
      <w:bookmarkEnd w:id="28"/>
    </w:p>
    <w:p w14:paraId="48D3ED45"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1. Coordination Challenges</w:t>
      </w:r>
      <w:r w:rsidRPr="00125582">
        <w:rPr>
          <w:rFonts w:ascii="Times New Roman" w:hAnsi="Times New Roman" w:cs="Times New Roman"/>
          <w:color w:val="000000" w:themeColor="text1"/>
          <w:sz w:val="24"/>
          <w:szCs w:val="24"/>
        </w:rPr>
        <w:br/>
        <w:t>Managing both internal teams and external contractors can create interface complexity. Effective communication and integration are essential to avoid delays or misunderstandings.</w:t>
      </w:r>
    </w:p>
    <w:p w14:paraId="05425320"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lastRenderedPageBreak/>
        <w:t>2. Role Ambiguity</w:t>
      </w:r>
      <w:r w:rsidRPr="00125582">
        <w:rPr>
          <w:rFonts w:ascii="Times New Roman" w:hAnsi="Times New Roman" w:cs="Times New Roman"/>
          <w:color w:val="000000" w:themeColor="text1"/>
          <w:sz w:val="24"/>
          <w:szCs w:val="24"/>
        </w:rPr>
        <w:br/>
        <w:t>Clear boundaries of responsibility must be established to prevent confusion about accountability.</w:t>
      </w:r>
    </w:p>
    <w:p w14:paraId="5C7BAB0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3. Requires Strong Governance</w:t>
      </w:r>
      <w:r w:rsidRPr="00125582">
        <w:rPr>
          <w:rFonts w:ascii="Times New Roman" w:hAnsi="Times New Roman" w:cs="Times New Roman"/>
          <w:color w:val="000000" w:themeColor="text1"/>
          <w:sz w:val="24"/>
          <w:szCs w:val="24"/>
        </w:rPr>
        <w:br/>
        <w:t>Successful implementation depends on strong monitoring, leadership, and project management systems to ensure alignment and performance control.</w:t>
      </w:r>
    </w:p>
    <w:p w14:paraId="0F5DBC96" w14:textId="77777777" w:rsidR="00125582" w:rsidRPr="00125582" w:rsidRDefault="00125582" w:rsidP="00125582">
      <w:pPr>
        <w:pStyle w:val="Heading2"/>
        <w:spacing w:line="360" w:lineRule="auto"/>
        <w:jc w:val="both"/>
        <w:rPr>
          <w:rFonts w:ascii="Times New Roman" w:hAnsi="Times New Roman" w:cs="Times New Roman"/>
          <w:color w:val="000000" w:themeColor="text1"/>
        </w:rPr>
      </w:pPr>
      <w:bookmarkStart w:id="29" w:name="_Toc224579730"/>
      <w:r w:rsidRPr="00125582">
        <w:rPr>
          <w:rFonts w:ascii="Times New Roman" w:hAnsi="Times New Roman" w:cs="Times New Roman"/>
          <w:color w:val="000000" w:themeColor="text1"/>
        </w:rPr>
        <w:t>Suitability</w:t>
      </w:r>
      <w:bookmarkEnd w:id="29"/>
    </w:p>
    <w:p w14:paraId="1A187613"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This approach is suitable for:</w:t>
      </w:r>
    </w:p>
    <w:p w14:paraId="3776777E" w14:textId="77777777" w:rsidR="00125582" w:rsidRPr="00125582" w:rsidRDefault="00125582" w:rsidP="00125582">
      <w:pPr>
        <w:numPr>
          <w:ilvl w:val="0"/>
          <w:numId w:val="9"/>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Medium to large projects</w:t>
      </w:r>
    </w:p>
    <w:p w14:paraId="56D2E647" w14:textId="77777777" w:rsidR="00125582" w:rsidRPr="00125582" w:rsidRDefault="00125582" w:rsidP="00125582">
      <w:pPr>
        <w:numPr>
          <w:ilvl w:val="0"/>
          <w:numId w:val="9"/>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Organisations with partial internal expertise</w:t>
      </w:r>
    </w:p>
    <w:p w14:paraId="73D912E6" w14:textId="77777777" w:rsidR="00125582" w:rsidRPr="00125582" w:rsidRDefault="00125582" w:rsidP="00125582">
      <w:pPr>
        <w:numPr>
          <w:ilvl w:val="0"/>
          <w:numId w:val="9"/>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Technology-driven projects</w:t>
      </w:r>
    </w:p>
    <w:p w14:paraId="69B6EAFA" w14:textId="77777777" w:rsidR="00125582" w:rsidRPr="00125582" w:rsidRDefault="00125582" w:rsidP="00125582">
      <w:pPr>
        <w:numPr>
          <w:ilvl w:val="0"/>
          <w:numId w:val="9"/>
        </w:num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Projects requiring strategic oversight and flexibility</w:t>
      </w:r>
    </w:p>
    <w:p w14:paraId="2961688A"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The hybrid model is increasingly common in modern organisations because it provides a practical balance between control, efficiency, and access to specialised knowledge.</w:t>
      </w:r>
    </w:p>
    <w:p w14:paraId="18F4494E" w14:textId="1CEF6013" w:rsidR="00125582" w:rsidRPr="00125582" w:rsidRDefault="00125582" w:rsidP="00125582">
      <w:pPr>
        <w:spacing w:line="360" w:lineRule="auto"/>
        <w:jc w:val="both"/>
        <w:rPr>
          <w:rFonts w:ascii="Times New Roman" w:hAnsi="Times New Roman" w:cs="Times New Roman"/>
          <w:color w:val="000000" w:themeColor="text1"/>
          <w:sz w:val="24"/>
          <w:szCs w:val="24"/>
        </w:rPr>
      </w:pPr>
    </w:p>
    <w:p w14:paraId="12F8B774" w14:textId="26457599" w:rsidR="00125582" w:rsidRDefault="00125582" w:rsidP="00125582">
      <w:pPr>
        <w:spacing w:line="360" w:lineRule="auto"/>
        <w:jc w:val="both"/>
        <w:rPr>
          <w:rFonts w:ascii="Times New Roman" w:hAnsi="Times New Roman" w:cs="Times New Roman"/>
          <w:color w:val="000000" w:themeColor="text1"/>
          <w:sz w:val="24"/>
          <w:szCs w:val="24"/>
          <w:lang w:val="en-US"/>
        </w:rPr>
      </w:pPr>
    </w:p>
    <w:p w14:paraId="1EDE83F5"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16AA0A46"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4C7E23ED"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3A9A656A"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20681C2E"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495D2DA2"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13BCB0BC" w14:textId="77777777" w:rsidR="00842305" w:rsidRPr="00125582" w:rsidRDefault="00842305" w:rsidP="00125582">
      <w:pPr>
        <w:spacing w:line="360" w:lineRule="auto"/>
        <w:jc w:val="both"/>
        <w:rPr>
          <w:rFonts w:ascii="Times New Roman" w:hAnsi="Times New Roman" w:cs="Times New Roman"/>
          <w:color w:val="000000" w:themeColor="text1"/>
          <w:sz w:val="24"/>
          <w:szCs w:val="24"/>
          <w:lang w:val="en-US"/>
        </w:rPr>
      </w:pPr>
    </w:p>
    <w:p w14:paraId="6AA2A572" w14:textId="77777777"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30" w:name="_Toc224579731"/>
      <w:r w:rsidRPr="00125582">
        <w:rPr>
          <w:rFonts w:ascii="Times New Roman" w:hAnsi="Times New Roman" w:cs="Times New Roman"/>
          <w:i/>
          <w:iCs/>
          <w:color w:val="000000" w:themeColor="text1"/>
        </w:rPr>
        <w:lastRenderedPageBreak/>
        <w:t>7. Comparative Critical Analysis</w:t>
      </w:r>
      <w:bookmarkEnd w:id="30"/>
    </w:p>
    <w:p w14:paraId="7CB1EB1D"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Each contracting method distributes risk and control differently. Turnkey contracts transfer risk but reduce client influence. Multicontracting enhances control but increases coordination responsibility. DIY maximises autonomy but concentrates risk internally. The hybrid approach balances flexibility and control but requires sophisticated management capability.</w:t>
      </w:r>
    </w:p>
    <w:p w14:paraId="5095BC88"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From a governance perspective, the appropriate method depends on organisational maturity, project complexity, and environmental uncertainty (PMI, 2021). In highly uncertain projects, hybrid or multicontract strategies may improve adaptability. In highly standardised projects, turnkey arrangements may provide efficiency and cost predictability.</w:t>
      </w:r>
    </w:p>
    <w:p w14:paraId="7CA8B223" w14:textId="1228D1FE" w:rsidR="00125582" w:rsidRP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Therefore, contracting should not be viewed as merely a procurement decision but as a strategic project management choice influencing overall project performance.</w:t>
      </w:r>
    </w:p>
    <w:p w14:paraId="6EC6F128" w14:textId="77777777" w:rsidR="00125582" w:rsidRPr="00125582" w:rsidRDefault="00125582" w:rsidP="00125582">
      <w:pPr>
        <w:pStyle w:val="Heading1"/>
        <w:spacing w:line="360" w:lineRule="auto"/>
        <w:jc w:val="both"/>
        <w:rPr>
          <w:rFonts w:ascii="Times New Roman" w:hAnsi="Times New Roman" w:cs="Times New Roman"/>
          <w:i/>
          <w:iCs/>
          <w:color w:val="000000" w:themeColor="text1"/>
        </w:rPr>
      </w:pPr>
      <w:bookmarkStart w:id="31" w:name="_Toc224579732"/>
      <w:r w:rsidRPr="00125582">
        <w:rPr>
          <w:rFonts w:ascii="Times New Roman" w:hAnsi="Times New Roman" w:cs="Times New Roman"/>
          <w:i/>
          <w:iCs/>
          <w:color w:val="000000" w:themeColor="text1"/>
        </w:rPr>
        <w:t>8. Conclusion</w:t>
      </w:r>
      <w:bookmarkEnd w:id="31"/>
    </w:p>
    <w:p w14:paraId="611E82E4"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Contracting methods are essential components of effective project management. The four main approaches—Turnkey, Multicontracting, DIY, and Multicontract + DIY—each offer distinct advantages and disadvantages.</w:t>
      </w:r>
    </w:p>
    <w:p w14:paraId="6A904C4D"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Turnkey contracts provide simplicity and risk transfer but reduce client control. Multicontracting enhances expertise and flexibility but increases coordination complexity. The DIY approach ensures maximum control but concentrates risk internally. The hybrid model offers a balanced solution but requires strong governance and coordination capabilities.</w:t>
      </w:r>
    </w:p>
    <w:p w14:paraId="0F7B74A9" w14:textId="39D16EF8" w:rsidR="00125582" w:rsidRDefault="00125582" w:rsidP="00125582">
      <w:pPr>
        <w:spacing w:line="360" w:lineRule="auto"/>
        <w:jc w:val="both"/>
        <w:rPr>
          <w:rFonts w:ascii="Times New Roman" w:hAnsi="Times New Roman" w:cs="Times New Roman"/>
          <w:color w:val="000000" w:themeColor="text1"/>
          <w:sz w:val="24"/>
          <w:szCs w:val="24"/>
          <w:lang w:val="en-US"/>
        </w:rPr>
      </w:pPr>
      <w:r w:rsidRPr="00125582">
        <w:rPr>
          <w:rFonts w:ascii="Times New Roman" w:hAnsi="Times New Roman" w:cs="Times New Roman"/>
          <w:color w:val="000000" w:themeColor="text1"/>
          <w:sz w:val="24"/>
          <w:szCs w:val="24"/>
        </w:rPr>
        <w:t>Ultimately, the selection of a contracting strategy must align with project characteristics, organisational capacity, and risk appetite. A well-chosen contracting method enhances efficiency, accountability, and the likelihood of successful project delivery.</w:t>
      </w:r>
    </w:p>
    <w:p w14:paraId="7D2B663C"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p>
    <w:p w14:paraId="22781E3B" w14:textId="77777777" w:rsidR="00125582" w:rsidRDefault="00125582" w:rsidP="00125582">
      <w:pPr>
        <w:spacing w:line="360" w:lineRule="auto"/>
        <w:jc w:val="both"/>
        <w:rPr>
          <w:rFonts w:ascii="Times New Roman" w:hAnsi="Times New Roman" w:cs="Times New Roman"/>
          <w:color w:val="000000" w:themeColor="text1"/>
          <w:sz w:val="24"/>
          <w:szCs w:val="24"/>
          <w:lang w:val="en-US"/>
        </w:rPr>
      </w:pPr>
    </w:p>
    <w:p w14:paraId="5A5856BD" w14:textId="77777777" w:rsidR="00842305" w:rsidRDefault="00842305" w:rsidP="00125582">
      <w:pPr>
        <w:spacing w:line="360" w:lineRule="auto"/>
        <w:jc w:val="both"/>
        <w:rPr>
          <w:rFonts w:ascii="Times New Roman" w:hAnsi="Times New Roman" w:cs="Times New Roman"/>
          <w:color w:val="000000" w:themeColor="text1"/>
          <w:sz w:val="24"/>
          <w:szCs w:val="24"/>
          <w:lang w:val="en-US"/>
        </w:rPr>
      </w:pPr>
    </w:p>
    <w:p w14:paraId="792ED3BF" w14:textId="67044DEA" w:rsidR="00125582" w:rsidRPr="00125582" w:rsidRDefault="00125582" w:rsidP="00125582">
      <w:pPr>
        <w:pStyle w:val="Heading1"/>
        <w:spacing w:line="360" w:lineRule="auto"/>
        <w:jc w:val="both"/>
        <w:rPr>
          <w:rFonts w:ascii="Times New Roman" w:hAnsi="Times New Roman" w:cs="Times New Roman"/>
          <w:i/>
          <w:iCs/>
          <w:color w:val="000000" w:themeColor="text1"/>
          <w:lang w:val="en-US"/>
        </w:rPr>
      </w:pPr>
      <w:bookmarkStart w:id="32" w:name="_Toc224579733"/>
      <w:r w:rsidRPr="00125582">
        <w:rPr>
          <w:rFonts w:ascii="Times New Roman" w:hAnsi="Times New Roman" w:cs="Times New Roman"/>
          <w:i/>
          <w:iCs/>
          <w:color w:val="000000" w:themeColor="text1"/>
          <w:lang w:val="en-US"/>
        </w:rPr>
        <w:lastRenderedPageBreak/>
        <w:t>References</w:t>
      </w:r>
      <w:bookmarkEnd w:id="32"/>
    </w:p>
    <w:p w14:paraId="298CBCB2" w14:textId="0E3743C0"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Kerzner, H. (2022) </w:t>
      </w:r>
      <w:r w:rsidRPr="00125582">
        <w:rPr>
          <w:rFonts w:ascii="Times New Roman" w:hAnsi="Times New Roman" w:cs="Times New Roman"/>
          <w:i/>
          <w:iCs/>
          <w:color w:val="000000" w:themeColor="text1"/>
          <w:sz w:val="24"/>
          <w:szCs w:val="24"/>
        </w:rPr>
        <w:t>Project Management: A Systems Approach to Planning, Scheduling, and Controlling</w:t>
      </w:r>
      <w:r w:rsidRPr="00125582">
        <w:rPr>
          <w:rFonts w:ascii="Times New Roman" w:hAnsi="Times New Roman" w:cs="Times New Roman"/>
          <w:color w:val="000000" w:themeColor="text1"/>
          <w:sz w:val="24"/>
          <w:szCs w:val="24"/>
        </w:rPr>
        <w:t>. 13th edn. Hoboken: Wiley.</w:t>
      </w:r>
    </w:p>
    <w:p w14:paraId="172FC34C"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Müller, R. (2009) </w:t>
      </w:r>
      <w:r w:rsidRPr="00125582">
        <w:rPr>
          <w:rFonts w:ascii="Times New Roman" w:hAnsi="Times New Roman" w:cs="Times New Roman"/>
          <w:i/>
          <w:iCs/>
          <w:color w:val="000000" w:themeColor="text1"/>
          <w:sz w:val="24"/>
          <w:szCs w:val="24"/>
        </w:rPr>
        <w:t>Project Governance</w:t>
      </w:r>
      <w:r w:rsidRPr="00125582">
        <w:rPr>
          <w:rFonts w:ascii="Times New Roman" w:hAnsi="Times New Roman" w:cs="Times New Roman"/>
          <w:color w:val="000000" w:themeColor="text1"/>
          <w:sz w:val="24"/>
          <w:szCs w:val="24"/>
        </w:rPr>
        <w:t>. Farnham: Gower Publishing.</w:t>
      </w:r>
    </w:p>
    <w:p w14:paraId="1E63EACA"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Project Management Institute (PMI) (2021) </w:t>
      </w:r>
      <w:r w:rsidRPr="00125582">
        <w:rPr>
          <w:rFonts w:ascii="Times New Roman" w:hAnsi="Times New Roman" w:cs="Times New Roman"/>
          <w:i/>
          <w:iCs/>
          <w:color w:val="000000" w:themeColor="text1"/>
          <w:sz w:val="24"/>
          <w:szCs w:val="24"/>
        </w:rPr>
        <w:t>A Guide to the Project Management Body of Knowledge (PMBOK Guide)</w:t>
      </w:r>
      <w:r w:rsidRPr="00125582">
        <w:rPr>
          <w:rFonts w:ascii="Times New Roman" w:hAnsi="Times New Roman" w:cs="Times New Roman"/>
          <w:color w:val="000000" w:themeColor="text1"/>
          <w:sz w:val="24"/>
          <w:szCs w:val="24"/>
        </w:rPr>
        <w:t>. 7th edn. Newtown Square, PA: PMI.</w:t>
      </w:r>
    </w:p>
    <w:p w14:paraId="7A33195A"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Turner, J.R. (2014) </w:t>
      </w:r>
      <w:r w:rsidRPr="00125582">
        <w:rPr>
          <w:rFonts w:ascii="Times New Roman" w:hAnsi="Times New Roman" w:cs="Times New Roman"/>
          <w:i/>
          <w:iCs/>
          <w:color w:val="000000" w:themeColor="text1"/>
          <w:sz w:val="24"/>
          <w:szCs w:val="24"/>
        </w:rPr>
        <w:t>Handbook of Project-Based Management</w:t>
      </w:r>
      <w:r w:rsidRPr="00125582">
        <w:rPr>
          <w:rFonts w:ascii="Times New Roman" w:hAnsi="Times New Roman" w:cs="Times New Roman"/>
          <w:color w:val="000000" w:themeColor="text1"/>
          <w:sz w:val="24"/>
          <w:szCs w:val="24"/>
        </w:rPr>
        <w:t>. 4th edn. London: McGraw-Hill.</w:t>
      </w:r>
    </w:p>
    <w:p w14:paraId="156086F6"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Bower, D. (2003) ‘Management of procurement’, </w:t>
      </w:r>
      <w:r w:rsidRPr="00125582">
        <w:rPr>
          <w:rFonts w:ascii="Times New Roman" w:hAnsi="Times New Roman" w:cs="Times New Roman"/>
          <w:i/>
          <w:iCs/>
          <w:color w:val="000000" w:themeColor="text1"/>
          <w:sz w:val="24"/>
          <w:szCs w:val="24"/>
        </w:rPr>
        <w:t>Journal of Construction Procurement</w:t>
      </w:r>
      <w:r w:rsidRPr="00125582">
        <w:rPr>
          <w:rFonts w:ascii="Times New Roman" w:hAnsi="Times New Roman" w:cs="Times New Roman"/>
          <w:color w:val="000000" w:themeColor="text1"/>
          <w:sz w:val="24"/>
          <w:szCs w:val="24"/>
        </w:rPr>
        <w:t>, 9(1), pp. 45–60.</w:t>
      </w:r>
    </w:p>
    <w:p w14:paraId="3326492F"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Smith, N.J. (2014) </w:t>
      </w:r>
      <w:r w:rsidRPr="00125582">
        <w:rPr>
          <w:rFonts w:ascii="Times New Roman" w:hAnsi="Times New Roman" w:cs="Times New Roman"/>
          <w:i/>
          <w:iCs/>
          <w:color w:val="000000" w:themeColor="text1"/>
          <w:sz w:val="24"/>
          <w:szCs w:val="24"/>
        </w:rPr>
        <w:t>Engineering Project Management</w:t>
      </w:r>
      <w:r w:rsidRPr="00125582">
        <w:rPr>
          <w:rFonts w:ascii="Times New Roman" w:hAnsi="Times New Roman" w:cs="Times New Roman"/>
          <w:color w:val="000000" w:themeColor="text1"/>
          <w:sz w:val="24"/>
          <w:szCs w:val="24"/>
        </w:rPr>
        <w:t>. 4th edn. Oxford: Wiley-Blackwell.</w:t>
      </w:r>
    </w:p>
    <w:p w14:paraId="5ED2644B"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Walker, A. (2015) </w:t>
      </w:r>
      <w:r w:rsidRPr="00125582">
        <w:rPr>
          <w:rFonts w:ascii="Times New Roman" w:hAnsi="Times New Roman" w:cs="Times New Roman"/>
          <w:i/>
          <w:iCs/>
          <w:color w:val="000000" w:themeColor="text1"/>
          <w:sz w:val="24"/>
          <w:szCs w:val="24"/>
        </w:rPr>
        <w:t>Project Management in Construction</w:t>
      </w:r>
      <w:r w:rsidRPr="00125582">
        <w:rPr>
          <w:rFonts w:ascii="Times New Roman" w:hAnsi="Times New Roman" w:cs="Times New Roman"/>
          <w:color w:val="000000" w:themeColor="text1"/>
          <w:sz w:val="24"/>
          <w:szCs w:val="24"/>
        </w:rPr>
        <w:t>. 6th edn. Oxford: Wiley-Blackwell.</w:t>
      </w:r>
    </w:p>
    <w:p w14:paraId="485E7161"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Winch, G.M. (2010) </w:t>
      </w:r>
      <w:r w:rsidRPr="00125582">
        <w:rPr>
          <w:rFonts w:ascii="Times New Roman" w:hAnsi="Times New Roman" w:cs="Times New Roman"/>
          <w:i/>
          <w:iCs/>
          <w:color w:val="000000" w:themeColor="text1"/>
          <w:sz w:val="24"/>
          <w:szCs w:val="24"/>
        </w:rPr>
        <w:t>Managing Construction Projects</w:t>
      </w:r>
      <w:r w:rsidRPr="00125582">
        <w:rPr>
          <w:rFonts w:ascii="Times New Roman" w:hAnsi="Times New Roman" w:cs="Times New Roman"/>
          <w:color w:val="000000" w:themeColor="text1"/>
          <w:sz w:val="24"/>
          <w:szCs w:val="24"/>
        </w:rPr>
        <w:t>. 2nd edn. Chichester: Wiley-Blackwell.</w:t>
      </w:r>
    </w:p>
    <w:p w14:paraId="6A3071CC"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Kerzner, H. and Saladis, F. (2017) </w:t>
      </w:r>
      <w:r w:rsidRPr="00125582">
        <w:rPr>
          <w:rFonts w:ascii="Times New Roman" w:hAnsi="Times New Roman" w:cs="Times New Roman"/>
          <w:i/>
          <w:iCs/>
          <w:color w:val="000000" w:themeColor="text1"/>
          <w:sz w:val="24"/>
          <w:szCs w:val="24"/>
        </w:rPr>
        <w:t>Project Management Metrics, KPIs, and Dashboards</w:t>
      </w:r>
      <w:r w:rsidRPr="00125582">
        <w:rPr>
          <w:rFonts w:ascii="Times New Roman" w:hAnsi="Times New Roman" w:cs="Times New Roman"/>
          <w:color w:val="000000" w:themeColor="text1"/>
          <w:sz w:val="24"/>
          <w:szCs w:val="24"/>
        </w:rPr>
        <w:t>. Hoboken: Wiley.</w:t>
      </w:r>
    </w:p>
    <w:p w14:paraId="5F8A9DF6" w14:textId="77777777" w:rsidR="00125582" w:rsidRPr="00125582" w:rsidRDefault="00125582" w:rsidP="00125582">
      <w:pPr>
        <w:spacing w:line="360" w:lineRule="auto"/>
        <w:jc w:val="both"/>
        <w:rPr>
          <w:rFonts w:ascii="Times New Roman" w:hAnsi="Times New Roman" w:cs="Times New Roman"/>
          <w:color w:val="000000" w:themeColor="text1"/>
          <w:sz w:val="24"/>
          <w:szCs w:val="24"/>
        </w:rPr>
      </w:pPr>
      <w:r w:rsidRPr="00125582">
        <w:rPr>
          <w:rFonts w:ascii="Times New Roman" w:hAnsi="Times New Roman" w:cs="Times New Roman"/>
          <w:color w:val="000000" w:themeColor="text1"/>
          <w:sz w:val="24"/>
          <w:szCs w:val="24"/>
        </w:rPr>
        <w:t xml:space="preserve">Artto, K., Kujala, J., Dietrich, P. and Martinsuo, M. (2008) ‘What is project strategy?’, </w:t>
      </w:r>
      <w:r w:rsidRPr="00125582">
        <w:rPr>
          <w:rFonts w:ascii="Times New Roman" w:hAnsi="Times New Roman" w:cs="Times New Roman"/>
          <w:i/>
          <w:iCs/>
          <w:color w:val="000000" w:themeColor="text1"/>
          <w:sz w:val="24"/>
          <w:szCs w:val="24"/>
        </w:rPr>
        <w:t>International Journal of Project Management</w:t>
      </w:r>
      <w:r w:rsidRPr="00125582">
        <w:rPr>
          <w:rFonts w:ascii="Times New Roman" w:hAnsi="Times New Roman" w:cs="Times New Roman"/>
          <w:color w:val="000000" w:themeColor="text1"/>
          <w:sz w:val="24"/>
          <w:szCs w:val="24"/>
        </w:rPr>
        <w:t>, 26(1), pp. 4–12.</w:t>
      </w:r>
    </w:p>
    <w:p w14:paraId="552A3392" w14:textId="77777777" w:rsidR="00125582" w:rsidRPr="00125582" w:rsidRDefault="00125582" w:rsidP="00125582">
      <w:pPr>
        <w:spacing w:line="360" w:lineRule="auto"/>
        <w:jc w:val="both"/>
        <w:rPr>
          <w:rFonts w:ascii="Times New Roman" w:hAnsi="Times New Roman" w:cs="Times New Roman"/>
          <w:color w:val="000000" w:themeColor="text1"/>
          <w:sz w:val="24"/>
          <w:szCs w:val="24"/>
          <w:lang w:val="en-US"/>
        </w:rPr>
      </w:pPr>
    </w:p>
    <w:sectPr w:rsidR="00125582" w:rsidRPr="001255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03290" w14:textId="77777777" w:rsidR="00842305" w:rsidRDefault="00842305" w:rsidP="00842305">
      <w:pPr>
        <w:spacing w:after="0" w:line="240" w:lineRule="auto"/>
      </w:pPr>
      <w:r>
        <w:separator/>
      </w:r>
    </w:p>
  </w:endnote>
  <w:endnote w:type="continuationSeparator" w:id="0">
    <w:p w14:paraId="5FCF20EF" w14:textId="77777777" w:rsidR="00842305" w:rsidRDefault="00842305" w:rsidP="00842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757795"/>
      <w:docPartObj>
        <w:docPartGallery w:val="Page Numbers (Bottom of Page)"/>
        <w:docPartUnique/>
      </w:docPartObj>
    </w:sdtPr>
    <w:sdtEndPr>
      <w:rPr>
        <w:color w:val="7F7F7F" w:themeColor="background1" w:themeShade="7F"/>
        <w:spacing w:val="60"/>
      </w:rPr>
    </w:sdtEndPr>
    <w:sdtContent>
      <w:p w14:paraId="5B69546F" w14:textId="0DB3D3CF" w:rsidR="00842305" w:rsidRDefault="0084230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w:t>
        </w:r>
        <w:r>
          <w:t xml:space="preserve">| </w:t>
        </w:r>
        <w:r>
          <w:rPr>
            <w:color w:val="7F7F7F" w:themeColor="background1" w:themeShade="7F"/>
            <w:spacing w:val="60"/>
          </w:rPr>
          <w:t>Page</w:t>
        </w:r>
      </w:p>
    </w:sdtContent>
  </w:sdt>
  <w:p w14:paraId="79CC7B5A" w14:textId="2940B9F4" w:rsidR="00842305" w:rsidRDefault="00842305">
    <w:pPr>
      <w:pStyle w:val="Footer"/>
    </w:pPr>
    <w:r>
      <w:rPr>
        <w:noProof/>
      </w:rPr>
      <w:drawing>
        <wp:inline distT="0" distB="0" distL="0" distR="0" wp14:anchorId="332A8914" wp14:editId="01D98A07">
          <wp:extent cx="476250" cy="476250"/>
          <wp:effectExtent l="0" t="0" r="0" b="0"/>
          <wp:docPr id="637603736"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UWTSDLondon (@UWTSDLondon) / Posts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D285A" w14:textId="77777777" w:rsidR="00842305" w:rsidRDefault="00842305" w:rsidP="00842305">
      <w:pPr>
        <w:spacing w:after="0" w:line="240" w:lineRule="auto"/>
      </w:pPr>
      <w:r>
        <w:separator/>
      </w:r>
    </w:p>
  </w:footnote>
  <w:footnote w:type="continuationSeparator" w:id="0">
    <w:p w14:paraId="4597527D" w14:textId="77777777" w:rsidR="00842305" w:rsidRDefault="00842305" w:rsidP="00842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2E47"/>
    <w:multiLevelType w:val="multilevel"/>
    <w:tmpl w:val="22CC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2707D"/>
    <w:multiLevelType w:val="multilevel"/>
    <w:tmpl w:val="5E42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F06309"/>
    <w:multiLevelType w:val="multilevel"/>
    <w:tmpl w:val="27C4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E46486"/>
    <w:multiLevelType w:val="multilevel"/>
    <w:tmpl w:val="8128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116E13"/>
    <w:multiLevelType w:val="multilevel"/>
    <w:tmpl w:val="431E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122D77"/>
    <w:multiLevelType w:val="multilevel"/>
    <w:tmpl w:val="E062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F900F0"/>
    <w:multiLevelType w:val="multilevel"/>
    <w:tmpl w:val="30FE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C3127"/>
    <w:multiLevelType w:val="multilevel"/>
    <w:tmpl w:val="E308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595A14"/>
    <w:multiLevelType w:val="multilevel"/>
    <w:tmpl w:val="17CC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0263967">
    <w:abstractNumId w:val="6"/>
  </w:num>
  <w:num w:numId="2" w16cid:durableId="1508670813">
    <w:abstractNumId w:val="5"/>
  </w:num>
  <w:num w:numId="3" w16cid:durableId="697924159">
    <w:abstractNumId w:val="2"/>
  </w:num>
  <w:num w:numId="4" w16cid:durableId="838813692">
    <w:abstractNumId w:val="1"/>
  </w:num>
  <w:num w:numId="5" w16cid:durableId="1203906562">
    <w:abstractNumId w:val="8"/>
  </w:num>
  <w:num w:numId="6" w16cid:durableId="1100367697">
    <w:abstractNumId w:val="0"/>
  </w:num>
  <w:num w:numId="7" w16cid:durableId="396828306">
    <w:abstractNumId w:val="7"/>
  </w:num>
  <w:num w:numId="8" w16cid:durableId="1589533216">
    <w:abstractNumId w:val="3"/>
  </w:num>
  <w:num w:numId="9" w16cid:durableId="1976910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582"/>
    <w:rsid w:val="0000006E"/>
    <w:rsid w:val="00125582"/>
    <w:rsid w:val="00665BB2"/>
    <w:rsid w:val="007D1265"/>
    <w:rsid w:val="00842305"/>
    <w:rsid w:val="00A662D2"/>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557EB"/>
  <w15:chartTrackingRefBased/>
  <w15:docId w15:val="{9B413AB3-A5B7-4E95-AA3A-A430EBFB7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5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5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582"/>
    <w:rPr>
      <w:rFonts w:eastAsiaTheme="majorEastAsia" w:cstheme="majorBidi"/>
      <w:color w:val="272727" w:themeColor="text1" w:themeTint="D8"/>
    </w:rPr>
  </w:style>
  <w:style w:type="paragraph" w:styleId="Title">
    <w:name w:val="Title"/>
    <w:basedOn w:val="Normal"/>
    <w:next w:val="Normal"/>
    <w:link w:val="TitleChar"/>
    <w:uiPriority w:val="10"/>
    <w:qFormat/>
    <w:rsid w:val="00125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582"/>
    <w:pPr>
      <w:spacing w:before="160"/>
      <w:jc w:val="center"/>
    </w:pPr>
    <w:rPr>
      <w:i/>
      <w:iCs/>
      <w:color w:val="404040" w:themeColor="text1" w:themeTint="BF"/>
    </w:rPr>
  </w:style>
  <w:style w:type="character" w:customStyle="1" w:styleId="QuoteChar">
    <w:name w:val="Quote Char"/>
    <w:basedOn w:val="DefaultParagraphFont"/>
    <w:link w:val="Quote"/>
    <w:uiPriority w:val="29"/>
    <w:rsid w:val="00125582"/>
    <w:rPr>
      <w:i/>
      <w:iCs/>
      <w:color w:val="404040" w:themeColor="text1" w:themeTint="BF"/>
    </w:rPr>
  </w:style>
  <w:style w:type="paragraph" w:styleId="ListParagraph">
    <w:name w:val="List Paragraph"/>
    <w:basedOn w:val="Normal"/>
    <w:uiPriority w:val="34"/>
    <w:qFormat/>
    <w:rsid w:val="00125582"/>
    <w:pPr>
      <w:ind w:left="720"/>
      <w:contextualSpacing/>
    </w:pPr>
  </w:style>
  <w:style w:type="character" w:styleId="IntenseEmphasis">
    <w:name w:val="Intense Emphasis"/>
    <w:basedOn w:val="DefaultParagraphFont"/>
    <w:uiPriority w:val="21"/>
    <w:qFormat/>
    <w:rsid w:val="00125582"/>
    <w:rPr>
      <w:i/>
      <w:iCs/>
      <w:color w:val="0F4761" w:themeColor="accent1" w:themeShade="BF"/>
    </w:rPr>
  </w:style>
  <w:style w:type="paragraph" w:styleId="IntenseQuote">
    <w:name w:val="Intense Quote"/>
    <w:basedOn w:val="Normal"/>
    <w:next w:val="Normal"/>
    <w:link w:val="IntenseQuoteChar"/>
    <w:uiPriority w:val="30"/>
    <w:qFormat/>
    <w:rsid w:val="00125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582"/>
    <w:rPr>
      <w:i/>
      <w:iCs/>
      <w:color w:val="0F4761" w:themeColor="accent1" w:themeShade="BF"/>
    </w:rPr>
  </w:style>
  <w:style w:type="character" w:styleId="IntenseReference">
    <w:name w:val="Intense Reference"/>
    <w:basedOn w:val="DefaultParagraphFont"/>
    <w:uiPriority w:val="32"/>
    <w:qFormat/>
    <w:rsid w:val="00125582"/>
    <w:rPr>
      <w:b/>
      <w:bCs/>
      <w:smallCaps/>
      <w:color w:val="0F4761" w:themeColor="accent1" w:themeShade="BF"/>
      <w:spacing w:val="5"/>
    </w:rPr>
  </w:style>
  <w:style w:type="paragraph" w:styleId="Header">
    <w:name w:val="header"/>
    <w:basedOn w:val="Normal"/>
    <w:link w:val="HeaderChar"/>
    <w:uiPriority w:val="99"/>
    <w:unhideWhenUsed/>
    <w:rsid w:val="0084230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42305"/>
  </w:style>
  <w:style w:type="paragraph" w:styleId="Footer">
    <w:name w:val="footer"/>
    <w:basedOn w:val="Normal"/>
    <w:link w:val="FooterChar"/>
    <w:uiPriority w:val="99"/>
    <w:unhideWhenUsed/>
    <w:rsid w:val="008423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42305"/>
  </w:style>
  <w:style w:type="paragraph" w:styleId="TOCHeading">
    <w:name w:val="TOC Heading"/>
    <w:basedOn w:val="Heading1"/>
    <w:next w:val="Normal"/>
    <w:uiPriority w:val="39"/>
    <w:unhideWhenUsed/>
    <w:qFormat/>
    <w:rsid w:val="0084230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42305"/>
    <w:pPr>
      <w:spacing w:after="100"/>
    </w:pPr>
  </w:style>
  <w:style w:type="paragraph" w:styleId="TOC2">
    <w:name w:val="toc 2"/>
    <w:basedOn w:val="Normal"/>
    <w:next w:val="Normal"/>
    <w:autoRedefine/>
    <w:uiPriority w:val="39"/>
    <w:unhideWhenUsed/>
    <w:rsid w:val="00842305"/>
    <w:pPr>
      <w:spacing w:after="100"/>
      <w:ind w:left="220"/>
    </w:pPr>
  </w:style>
  <w:style w:type="character" w:styleId="Hyperlink">
    <w:name w:val="Hyperlink"/>
    <w:basedOn w:val="DefaultParagraphFont"/>
    <w:uiPriority w:val="99"/>
    <w:unhideWhenUsed/>
    <w:rsid w:val="0084230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61024">
      <w:bodyDiv w:val="1"/>
      <w:marLeft w:val="0"/>
      <w:marRight w:val="0"/>
      <w:marTop w:val="0"/>
      <w:marBottom w:val="0"/>
      <w:divBdr>
        <w:top w:val="none" w:sz="0" w:space="0" w:color="auto"/>
        <w:left w:val="none" w:sz="0" w:space="0" w:color="auto"/>
        <w:bottom w:val="none" w:sz="0" w:space="0" w:color="auto"/>
        <w:right w:val="none" w:sz="0" w:space="0" w:color="auto"/>
      </w:divBdr>
    </w:div>
    <w:div w:id="449908004">
      <w:bodyDiv w:val="1"/>
      <w:marLeft w:val="0"/>
      <w:marRight w:val="0"/>
      <w:marTop w:val="0"/>
      <w:marBottom w:val="0"/>
      <w:divBdr>
        <w:top w:val="none" w:sz="0" w:space="0" w:color="auto"/>
        <w:left w:val="none" w:sz="0" w:space="0" w:color="auto"/>
        <w:bottom w:val="none" w:sz="0" w:space="0" w:color="auto"/>
        <w:right w:val="none" w:sz="0" w:space="0" w:color="auto"/>
      </w:divBdr>
    </w:div>
    <w:div w:id="615334639">
      <w:bodyDiv w:val="1"/>
      <w:marLeft w:val="0"/>
      <w:marRight w:val="0"/>
      <w:marTop w:val="0"/>
      <w:marBottom w:val="0"/>
      <w:divBdr>
        <w:top w:val="none" w:sz="0" w:space="0" w:color="auto"/>
        <w:left w:val="none" w:sz="0" w:space="0" w:color="auto"/>
        <w:bottom w:val="none" w:sz="0" w:space="0" w:color="auto"/>
        <w:right w:val="none" w:sz="0" w:space="0" w:color="auto"/>
      </w:divBdr>
    </w:div>
    <w:div w:id="664164753">
      <w:bodyDiv w:val="1"/>
      <w:marLeft w:val="0"/>
      <w:marRight w:val="0"/>
      <w:marTop w:val="0"/>
      <w:marBottom w:val="0"/>
      <w:divBdr>
        <w:top w:val="none" w:sz="0" w:space="0" w:color="auto"/>
        <w:left w:val="none" w:sz="0" w:space="0" w:color="auto"/>
        <w:bottom w:val="none" w:sz="0" w:space="0" w:color="auto"/>
        <w:right w:val="none" w:sz="0" w:space="0" w:color="auto"/>
      </w:divBdr>
    </w:div>
    <w:div w:id="840511823">
      <w:bodyDiv w:val="1"/>
      <w:marLeft w:val="0"/>
      <w:marRight w:val="0"/>
      <w:marTop w:val="0"/>
      <w:marBottom w:val="0"/>
      <w:divBdr>
        <w:top w:val="none" w:sz="0" w:space="0" w:color="auto"/>
        <w:left w:val="none" w:sz="0" w:space="0" w:color="auto"/>
        <w:bottom w:val="none" w:sz="0" w:space="0" w:color="auto"/>
        <w:right w:val="none" w:sz="0" w:space="0" w:color="auto"/>
      </w:divBdr>
    </w:div>
    <w:div w:id="929654879">
      <w:bodyDiv w:val="1"/>
      <w:marLeft w:val="0"/>
      <w:marRight w:val="0"/>
      <w:marTop w:val="0"/>
      <w:marBottom w:val="0"/>
      <w:divBdr>
        <w:top w:val="none" w:sz="0" w:space="0" w:color="auto"/>
        <w:left w:val="none" w:sz="0" w:space="0" w:color="auto"/>
        <w:bottom w:val="none" w:sz="0" w:space="0" w:color="auto"/>
        <w:right w:val="none" w:sz="0" w:space="0" w:color="auto"/>
      </w:divBdr>
    </w:div>
    <w:div w:id="1032152120">
      <w:bodyDiv w:val="1"/>
      <w:marLeft w:val="0"/>
      <w:marRight w:val="0"/>
      <w:marTop w:val="0"/>
      <w:marBottom w:val="0"/>
      <w:divBdr>
        <w:top w:val="none" w:sz="0" w:space="0" w:color="auto"/>
        <w:left w:val="none" w:sz="0" w:space="0" w:color="auto"/>
        <w:bottom w:val="none" w:sz="0" w:space="0" w:color="auto"/>
        <w:right w:val="none" w:sz="0" w:space="0" w:color="auto"/>
      </w:divBdr>
    </w:div>
    <w:div w:id="1092355701">
      <w:bodyDiv w:val="1"/>
      <w:marLeft w:val="0"/>
      <w:marRight w:val="0"/>
      <w:marTop w:val="0"/>
      <w:marBottom w:val="0"/>
      <w:divBdr>
        <w:top w:val="none" w:sz="0" w:space="0" w:color="auto"/>
        <w:left w:val="none" w:sz="0" w:space="0" w:color="auto"/>
        <w:bottom w:val="none" w:sz="0" w:space="0" w:color="auto"/>
        <w:right w:val="none" w:sz="0" w:space="0" w:color="auto"/>
      </w:divBdr>
    </w:div>
    <w:div w:id="1221554734">
      <w:bodyDiv w:val="1"/>
      <w:marLeft w:val="0"/>
      <w:marRight w:val="0"/>
      <w:marTop w:val="0"/>
      <w:marBottom w:val="0"/>
      <w:divBdr>
        <w:top w:val="none" w:sz="0" w:space="0" w:color="auto"/>
        <w:left w:val="none" w:sz="0" w:space="0" w:color="auto"/>
        <w:bottom w:val="none" w:sz="0" w:space="0" w:color="auto"/>
        <w:right w:val="none" w:sz="0" w:space="0" w:color="auto"/>
      </w:divBdr>
    </w:div>
    <w:div w:id="1241793800">
      <w:bodyDiv w:val="1"/>
      <w:marLeft w:val="0"/>
      <w:marRight w:val="0"/>
      <w:marTop w:val="0"/>
      <w:marBottom w:val="0"/>
      <w:divBdr>
        <w:top w:val="none" w:sz="0" w:space="0" w:color="auto"/>
        <w:left w:val="none" w:sz="0" w:space="0" w:color="auto"/>
        <w:bottom w:val="none" w:sz="0" w:space="0" w:color="auto"/>
        <w:right w:val="none" w:sz="0" w:space="0" w:color="auto"/>
      </w:divBdr>
    </w:div>
    <w:div w:id="1268198407">
      <w:bodyDiv w:val="1"/>
      <w:marLeft w:val="0"/>
      <w:marRight w:val="0"/>
      <w:marTop w:val="0"/>
      <w:marBottom w:val="0"/>
      <w:divBdr>
        <w:top w:val="none" w:sz="0" w:space="0" w:color="auto"/>
        <w:left w:val="none" w:sz="0" w:space="0" w:color="auto"/>
        <w:bottom w:val="none" w:sz="0" w:space="0" w:color="auto"/>
        <w:right w:val="none" w:sz="0" w:space="0" w:color="auto"/>
      </w:divBdr>
    </w:div>
    <w:div w:id="1350254799">
      <w:bodyDiv w:val="1"/>
      <w:marLeft w:val="0"/>
      <w:marRight w:val="0"/>
      <w:marTop w:val="0"/>
      <w:marBottom w:val="0"/>
      <w:divBdr>
        <w:top w:val="none" w:sz="0" w:space="0" w:color="auto"/>
        <w:left w:val="none" w:sz="0" w:space="0" w:color="auto"/>
        <w:bottom w:val="none" w:sz="0" w:space="0" w:color="auto"/>
        <w:right w:val="none" w:sz="0" w:space="0" w:color="auto"/>
      </w:divBdr>
    </w:div>
    <w:div w:id="1454251107">
      <w:bodyDiv w:val="1"/>
      <w:marLeft w:val="0"/>
      <w:marRight w:val="0"/>
      <w:marTop w:val="0"/>
      <w:marBottom w:val="0"/>
      <w:divBdr>
        <w:top w:val="none" w:sz="0" w:space="0" w:color="auto"/>
        <w:left w:val="none" w:sz="0" w:space="0" w:color="auto"/>
        <w:bottom w:val="none" w:sz="0" w:space="0" w:color="auto"/>
        <w:right w:val="none" w:sz="0" w:space="0" w:color="auto"/>
      </w:divBdr>
    </w:div>
    <w:div w:id="1476609663">
      <w:bodyDiv w:val="1"/>
      <w:marLeft w:val="0"/>
      <w:marRight w:val="0"/>
      <w:marTop w:val="0"/>
      <w:marBottom w:val="0"/>
      <w:divBdr>
        <w:top w:val="none" w:sz="0" w:space="0" w:color="auto"/>
        <w:left w:val="none" w:sz="0" w:space="0" w:color="auto"/>
        <w:bottom w:val="none" w:sz="0" w:space="0" w:color="auto"/>
        <w:right w:val="none" w:sz="0" w:space="0" w:color="auto"/>
      </w:divBdr>
    </w:div>
    <w:div w:id="2028478806">
      <w:bodyDiv w:val="1"/>
      <w:marLeft w:val="0"/>
      <w:marRight w:val="0"/>
      <w:marTop w:val="0"/>
      <w:marBottom w:val="0"/>
      <w:divBdr>
        <w:top w:val="none" w:sz="0" w:space="0" w:color="auto"/>
        <w:left w:val="none" w:sz="0" w:space="0" w:color="auto"/>
        <w:bottom w:val="none" w:sz="0" w:space="0" w:color="auto"/>
        <w:right w:val="none" w:sz="0" w:space="0" w:color="auto"/>
      </w:divBdr>
    </w:div>
    <w:div w:id="2058385746">
      <w:bodyDiv w:val="1"/>
      <w:marLeft w:val="0"/>
      <w:marRight w:val="0"/>
      <w:marTop w:val="0"/>
      <w:marBottom w:val="0"/>
      <w:divBdr>
        <w:top w:val="none" w:sz="0" w:space="0" w:color="auto"/>
        <w:left w:val="none" w:sz="0" w:space="0" w:color="auto"/>
        <w:bottom w:val="none" w:sz="0" w:space="0" w:color="auto"/>
        <w:right w:val="none" w:sz="0" w:space="0" w:color="auto"/>
      </w:divBdr>
    </w:div>
    <w:div w:id="2094273380">
      <w:bodyDiv w:val="1"/>
      <w:marLeft w:val="0"/>
      <w:marRight w:val="0"/>
      <w:marTop w:val="0"/>
      <w:marBottom w:val="0"/>
      <w:divBdr>
        <w:top w:val="none" w:sz="0" w:space="0" w:color="auto"/>
        <w:left w:val="none" w:sz="0" w:space="0" w:color="auto"/>
        <w:bottom w:val="none" w:sz="0" w:space="0" w:color="auto"/>
        <w:right w:val="none" w:sz="0" w:space="0" w:color="auto"/>
      </w:divBdr>
    </w:div>
    <w:div w:id="212338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FEDD2-865A-4E82-9225-95C3A593D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3169</Words>
  <Characters>18068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1</cp:revision>
  <dcterms:created xsi:type="dcterms:W3CDTF">2026-03-16T16:38:00Z</dcterms:created>
  <dcterms:modified xsi:type="dcterms:W3CDTF">2026-03-16T16:59:00Z</dcterms:modified>
</cp:coreProperties>
</file>