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4685" w:rsidRPr="00F97D3B" w:rsidRDefault="00B4669E">
      <w:pPr>
        <w:rPr>
          <w:rFonts w:ascii="Arial" w:hAnsi="Arial" w:cs="Arial"/>
          <w:sz w:val="24"/>
          <w:szCs w:val="24"/>
        </w:rPr>
      </w:pPr>
      <w:r w:rsidRPr="00F97D3B">
        <w:rPr>
          <w:rFonts w:ascii="Arial" w:hAnsi="Arial" w:cs="Arial"/>
          <w:noProof/>
          <w:sz w:val="24"/>
          <w:szCs w:val="24"/>
          <w:lang w:eastAsia="en-IN" w:bidi="hi-IN"/>
        </w:rPr>
        <w:drawing>
          <wp:inline distT="0" distB="0" distL="0" distR="0" wp14:anchorId="71BDF5C7" wp14:editId="1F8AC5DC">
            <wp:extent cx="5060119" cy="2011854"/>
            <wp:effectExtent l="0" t="0" r="0" b="0"/>
            <wp:docPr id="1205969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69103" name=""/>
                    <pic:cNvPicPr/>
                  </pic:nvPicPr>
                  <pic:blipFill>
                    <a:blip r:embed="rId6">
                      <a:extLst>
                        <a:ext uri="{28A0092B-C50C-407E-A947-70E740481C1C}">
                          <a14:useLocalDpi xmlns:a14="http://schemas.microsoft.com/office/drawing/2010/main" val="0"/>
                        </a:ext>
                      </a:extLst>
                    </a:blip>
                    <a:stretch>
                      <a:fillRect/>
                    </a:stretch>
                  </pic:blipFill>
                  <pic:spPr>
                    <a:xfrm>
                      <a:off x="0" y="0"/>
                      <a:ext cx="5060119" cy="2011854"/>
                    </a:xfrm>
                    <a:prstGeom prst="rect">
                      <a:avLst/>
                    </a:prstGeom>
                  </pic:spPr>
                </pic:pic>
              </a:graphicData>
            </a:graphic>
          </wp:inline>
        </w:drawing>
      </w: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B4669E" w:rsidRPr="00F97D3B" w:rsidRDefault="00B4669E" w:rsidP="00B4669E">
      <w:pPr>
        <w:spacing w:line="278" w:lineRule="auto"/>
        <w:rPr>
          <w:rFonts w:ascii="Arial" w:eastAsia="Arial" w:hAnsi="Arial" w:cs="Arial"/>
          <w:b/>
          <w:bCs/>
          <w:sz w:val="24"/>
          <w:szCs w:val="24"/>
        </w:rPr>
      </w:pPr>
      <w:r w:rsidRPr="00F97D3B">
        <w:rPr>
          <w:rFonts w:ascii="Arial" w:eastAsia="Arial" w:hAnsi="Arial" w:cs="Arial"/>
          <w:b/>
          <w:bCs/>
          <w:sz w:val="24"/>
          <w:szCs w:val="24"/>
        </w:rPr>
        <w:t>Master of Business Administration</w:t>
      </w:r>
    </w:p>
    <w:p w:rsidR="00B4669E" w:rsidRPr="00F97D3B" w:rsidRDefault="00B4669E" w:rsidP="00B4669E">
      <w:pPr>
        <w:spacing w:line="278" w:lineRule="auto"/>
        <w:rPr>
          <w:rFonts w:ascii="Arial" w:eastAsia="Arial" w:hAnsi="Arial" w:cs="Arial"/>
          <w:b/>
          <w:bCs/>
          <w:sz w:val="24"/>
          <w:szCs w:val="24"/>
        </w:rPr>
      </w:pPr>
      <w:r w:rsidRPr="00F97D3B">
        <w:rPr>
          <w:rFonts w:ascii="Arial" w:eastAsia="Arial" w:hAnsi="Arial" w:cs="Arial"/>
          <w:b/>
          <w:bCs/>
          <w:sz w:val="24"/>
          <w:szCs w:val="24"/>
        </w:rPr>
        <w:t xml:space="preserve"> </w:t>
      </w:r>
    </w:p>
    <w:p w:rsidR="00B4669E" w:rsidRPr="00F97D3B" w:rsidRDefault="00B4669E" w:rsidP="00B4669E">
      <w:pPr>
        <w:spacing w:line="278" w:lineRule="auto"/>
        <w:rPr>
          <w:rFonts w:ascii="Arial" w:eastAsia="Arial" w:hAnsi="Arial" w:cs="Arial"/>
          <w:b/>
          <w:bCs/>
          <w:sz w:val="24"/>
          <w:szCs w:val="24"/>
        </w:rPr>
      </w:pPr>
      <w:r w:rsidRPr="00F97D3B">
        <w:rPr>
          <w:rFonts w:ascii="Arial" w:eastAsia="Arial" w:hAnsi="Arial" w:cs="Arial"/>
          <w:b/>
          <w:bCs/>
          <w:sz w:val="24"/>
          <w:szCs w:val="24"/>
        </w:rPr>
        <w:t xml:space="preserve">Student Name: - </w:t>
      </w:r>
      <w:r w:rsidRPr="00F97D3B">
        <w:rPr>
          <w:rFonts w:ascii="Arial" w:eastAsia="Arial" w:hAnsi="Arial" w:cs="Arial"/>
          <w:sz w:val="24"/>
          <w:szCs w:val="24"/>
        </w:rPr>
        <w:t xml:space="preserve">Rutavikaben Dave </w:t>
      </w:r>
    </w:p>
    <w:p w:rsidR="00B4669E" w:rsidRPr="00F97D3B" w:rsidRDefault="00B4669E" w:rsidP="00B4669E">
      <w:pPr>
        <w:spacing w:line="278" w:lineRule="auto"/>
        <w:rPr>
          <w:rFonts w:ascii="Arial" w:eastAsia="Arial" w:hAnsi="Arial" w:cs="Arial"/>
          <w:sz w:val="24"/>
          <w:szCs w:val="24"/>
        </w:rPr>
      </w:pPr>
      <w:r w:rsidRPr="00F97D3B">
        <w:rPr>
          <w:rFonts w:ascii="Arial" w:eastAsia="Arial" w:hAnsi="Arial" w:cs="Arial"/>
          <w:b/>
          <w:bCs/>
          <w:sz w:val="24"/>
          <w:szCs w:val="24"/>
        </w:rPr>
        <w:t xml:space="preserve">Student Number: - </w:t>
      </w:r>
      <w:r w:rsidR="005666C8">
        <w:rPr>
          <w:rFonts w:ascii="Arial" w:eastAsia="Arial" w:hAnsi="Arial" w:cs="Arial"/>
          <w:b/>
          <w:bCs/>
          <w:sz w:val="24"/>
          <w:szCs w:val="24"/>
        </w:rPr>
        <w:t xml:space="preserve"> </w:t>
      </w:r>
      <w:r w:rsidR="005666C8" w:rsidRPr="00732EB8">
        <w:rPr>
          <w:rFonts w:ascii="Arial" w:hAnsi="Arial" w:cs="Arial"/>
          <w:sz w:val="24"/>
          <w:szCs w:val="24"/>
        </w:rPr>
        <w:t>2427109</w:t>
      </w:r>
    </w:p>
    <w:p w:rsidR="00B4669E" w:rsidRPr="00F97D3B" w:rsidRDefault="00B4669E" w:rsidP="00B4669E">
      <w:pPr>
        <w:spacing w:line="278" w:lineRule="auto"/>
        <w:rPr>
          <w:rFonts w:ascii="Arial" w:eastAsia="Arial" w:hAnsi="Arial" w:cs="Arial"/>
          <w:color w:val="000000" w:themeColor="text1"/>
          <w:sz w:val="24"/>
          <w:szCs w:val="24"/>
        </w:rPr>
      </w:pPr>
      <w:r w:rsidRPr="00F97D3B">
        <w:rPr>
          <w:rFonts w:ascii="Arial" w:eastAsia="Arial" w:hAnsi="Arial" w:cs="Arial"/>
          <w:b/>
          <w:bCs/>
          <w:sz w:val="24"/>
          <w:szCs w:val="24"/>
        </w:rPr>
        <w:t xml:space="preserve">Module Name: - </w:t>
      </w:r>
      <w:r w:rsidRPr="00F97D3B">
        <w:rPr>
          <w:rFonts w:ascii="Arial" w:hAnsi="Arial" w:cs="Arial"/>
          <w:sz w:val="24"/>
          <w:szCs w:val="24"/>
        </w:rPr>
        <w:t xml:space="preserve">Strategic Management </w:t>
      </w:r>
      <w:r w:rsidRPr="00F97D3B">
        <w:rPr>
          <w:rFonts w:ascii="Arial" w:eastAsia="Arial" w:hAnsi="Arial" w:cs="Arial"/>
          <w:sz w:val="24"/>
          <w:szCs w:val="24"/>
        </w:rPr>
        <w:t>(</w:t>
      </w:r>
      <w:r w:rsidRPr="00F97D3B">
        <w:rPr>
          <w:rFonts w:ascii="Arial" w:eastAsia="Arial" w:hAnsi="Arial" w:cs="Arial"/>
          <w:color w:val="000000" w:themeColor="text1"/>
          <w:sz w:val="24"/>
          <w:szCs w:val="24"/>
        </w:rPr>
        <w:t>LCMB7003_LON)</w:t>
      </w:r>
    </w:p>
    <w:p w:rsidR="00B4669E" w:rsidRPr="00F97D3B" w:rsidRDefault="00B4669E" w:rsidP="00B4669E">
      <w:pPr>
        <w:spacing w:line="278" w:lineRule="auto"/>
        <w:rPr>
          <w:rFonts w:ascii="Arial" w:eastAsia="Arial" w:hAnsi="Arial" w:cs="Arial"/>
          <w:b/>
          <w:bCs/>
          <w:color w:val="000000" w:themeColor="text1"/>
          <w:sz w:val="24"/>
          <w:szCs w:val="24"/>
          <w:lang w:val="en-GB"/>
        </w:rPr>
      </w:pPr>
      <w:r w:rsidRPr="00F97D3B">
        <w:rPr>
          <w:rFonts w:ascii="Arial" w:eastAsia="Arial" w:hAnsi="Arial" w:cs="Arial"/>
          <w:b/>
          <w:bCs/>
          <w:color w:val="000000" w:themeColor="text1"/>
          <w:sz w:val="24"/>
          <w:szCs w:val="24"/>
          <w:lang w:val="en-GB"/>
        </w:rPr>
        <w:t xml:space="preserve">Lecturer Name: - </w:t>
      </w:r>
      <w:r w:rsidRPr="00F97D3B">
        <w:rPr>
          <w:rFonts w:ascii="Arial" w:eastAsia="Arial" w:hAnsi="Arial" w:cs="Arial"/>
          <w:color w:val="000000" w:themeColor="text1"/>
          <w:sz w:val="24"/>
          <w:szCs w:val="24"/>
          <w:lang w:val="en-GB"/>
        </w:rPr>
        <w:t xml:space="preserve">Dr. Jaya </w:t>
      </w:r>
    </w:p>
    <w:p w:rsidR="00B4669E" w:rsidRPr="00F97D3B" w:rsidRDefault="00B4669E" w:rsidP="00B4669E">
      <w:pPr>
        <w:spacing w:line="278" w:lineRule="auto"/>
        <w:rPr>
          <w:rFonts w:ascii="Arial" w:eastAsia="Arial" w:hAnsi="Arial" w:cs="Arial"/>
          <w:color w:val="000000" w:themeColor="text1"/>
          <w:sz w:val="24"/>
          <w:szCs w:val="24"/>
          <w:lang w:val="en-GB"/>
        </w:rPr>
      </w:pPr>
      <w:r w:rsidRPr="00F97D3B">
        <w:rPr>
          <w:rFonts w:ascii="Arial" w:eastAsia="Arial" w:hAnsi="Arial" w:cs="Arial"/>
          <w:b/>
          <w:bCs/>
          <w:color w:val="000000" w:themeColor="text1"/>
          <w:sz w:val="24"/>
          <w:szCs w:val="24"/>
          <w:lang w:val="en-GB"/>
        </w:rPr>
        <w:t>Submission Deadline: -</w:t>
      </w:r>
      <w:r w:rsidRPr="00F97D3B">
        <w:rPr>
          <w:rFonts w:ascii="Arial" w:eastAsia="Arial" w:hAnsi="Arial" w:cs="Arial"/>
          <w:color w:val="000000" w:themeColor="text1"/>
          <w:sz w:val="24"/>
          <w:szCs w:val="24"/>
          <w:lang w:val="en-GB"/>
        </w:rPr>
        <w:t xml:space="preserve"> 22/12/2025</w:t>
      </w:r>
    </w:p>
    <w:p w:rsidR="00585E5B" w:rsidRPr="00F97D3B" w:rsidRDefault="00B4669E" w:rsidP="00B4669E">
      <w:pPr>
        <w:rPr>
          <w:rFonts w:ascii="Arial" w:hAnsi="Arial" w:cs="Arial"/>
          <w:sz w:val="24"/>
          <w:szCs w:val="24"/>
        </w:rPr>
      </w:pPr>
      <w:r w:rsidRPr="00F97D3B">
        <w:rPr>
          <w:rFonts w:ascii="Arial" w:eastAsia="Arial" w:hAnsi="Arial" w:cs="Arial"/>
          <w:b/>
          <w:bCs/>
          <w:color w:val="000000" w:themeColor="text1"/>
          <w:sz w:val="24"/>
          <w:szCs w:val="24"/>
          <w:lang w:val="en-GB"/>
        </w:rPr>
        <w:t>Word Count: - 5000</w:t>
      </w: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A50BEA" w:rsidRPr="00F97D3B" w:rsidRDefault="00A50BEA">
      <w:pPr>
        <w:rPr>
          <w:rFonts w:ascii="Arial" w:hAnsi="Arial" w:cs="Arial"/>
          <w:sz w:val="24"/>
          <w:szCs w:val="24"/>
        </w:rPr>
      </w:pPr>
    </w:p>
    <w:p w:rsidR="00A50BEA" w:rsidRDefault="00A50BEA">
      <w:pPr>
        <w:rPr>
          <w:rFonts w:ascii="Arial" w:hAnsi="Arial" w:cs="Arial"/>
          <w:sz w:val="24"/>
          <w:szCs w:val="24"/>
        </w:rPr>
      </w:pPr>
    </w:p>
    <w:p w:rsidR="005666C8" w:rsidRDefault="005666C8">
      <w:pPr>
        <w:rPr>
          <w:rFonts w:ascii="Arial" w:hAnsi="Arial" w:cs="Arial"/>
          <w:sz w:val="24"/>
          <w:szCs w:val="24"/>
        </w:rPr>
      </w:pPr>
    </w:p>
    <w:p w:rsidR="005666C8" w:rsidRPr="00F97D3B" w:rsidRDefault="005666C8">
      <w:pPr>
        <w:rPr>
          <w:rFonts w:ascii="Arial" w:hAnsi="Arial" w:cs="Arial"/>
          <w:sz w:val="24"/>
          <w:szCs w:val="24"/>
        </w:rPr>
      </w:pPr>
    </w:p>
    <w:p w:rsidR="00585E5B" w:rsidRPr="00F97D3B" w:rsidRDefault="00585E5B">
      <w:pPr>
        <w:rPr>
          <w:rFonts w:ascii="Arial" w:hAnsi="Arial" w:cs="Arial"/>
          <w:sz w:val="24"/>
          <w:szCs w:val="24"/>
        </w:rPr>
      </w:pPr>
    </w:p>
    <w:sdt>
      <w:sdtPr>
        <w:rPr>
          <w:rFonts w:ascii="Arial" w:eastAsiaTheme="minorHAnsi" w:hAnsi="Arial" w:cs="Arial"/>
          <w:color w:val="auto"/>
          <w:sz w:val="24"/>
          <w:szCs w:val="24"/>
          <w:lang w:val="en-IN"/>
        </w:rPr>
        <w:id w:val="1927457371"/>
        <w:docPartObj>
          <w:docPartGallery w:val="Table of Contents"/>
          <w:docPartUnique/>
        </w:docPartObj>
      </w:sdtPr>
      <w:sdtEndPr>
        <w:rPr>
          <w:b/>
          <w:bCs/>
          <w:noProof/>
        </w:rPr>
      </w:sdtEndPr>
      <w:sdtContent>
        <w:p w:rsidR="00B4669E" w:rsidRPr="00F97D3B" w:rsidRDefault="00B4669E">
          <w:pPr>
            <w:pStyle w:val="TOCHeading"/>
            <w:rPr>
              <w:rFonts w:ascii="Arial" w:hAnsi="Arial" w:cs="Arial"/>
              <w:sz w:val="24"/>
              <w:szCs w:val="24"/>
            </w:rPr>
          </w:pPr>
          <w:r w:rsidRPr="00F97D3B">
            <w:rPr>
              <w:rFonts w:ascii="Arial" w:hAnsi="Arial" w:cs="Arial"/>
              <w:sz w:val="24"/>
              <w:szCs w:val="24"/>
            </w:rPr>
            <w:t>Contents</w:t>
          </w:r>
        </w:p>
        <w:p w:rsidR="00235467" w:rsidRPr="00F97D3B" w:rsidRDefault="00B4669E">
          <w:pPr>
            <w:pStyle w:val="TOC1"/>
            <w:tabs>
              <w:tab w:val="right" w:leader="dot" w:pos="10456"/>
            </w:tabs>
            <w:rPr>
              <w:rFonts w:ascii="Arial" w:eastAsiaTheme="minorEastAsia" w:hAnsi="Arial" w:cs="Arial"/>
              <w:noProof/>
              <w:sz w:val="24"/>
              <w:szCs w:val="24"/>
              <w:lang w:eastAsia="en-IN"/>
            </w:rPr>
          </w:pPr>
          <w:r w:rsidRPr="00F97D3B">
            <w:rPr>
              <w:rFonts w:ascii="Arial" w:hAnsi="Arial" w:cs="Arial"/>
              <w:sz w:val="24"/>
              <w:szCs w:val="24"/>
            </w:rPr>
            <w:fldChar w:fldCharType="begin"/>
          </w:r>
          <w:r w:rsidRPr="00F97D3B">
            <w:rPr>
              <w:rFonts w:ascii="Arial" w:hAnsi="Arial" w:cs="Arial"/>
              <w:sz w:val="24"/>
              <w:szCs w:val="24"/>
            </w:rPr>
            <w:instrText xml:space="preserve"> TOC \o "1-3" \h \z \u </w:instrText>
          </w:r>
          <w:r w:rsidRPr="00F97D3B">
            <w:rPr>
              <w:rFonts w:ascii="Arial" w:hAnsi="Arial" w:cs="Arial"/>
              <w:sz w:val="24"/>
              <w:szCs w:val="24"/>
            </w:rPr>
            <w:fldChar w:fldCharType="separate"/>
          </w:r>
          <w:hyperlink w:anchor="_Toc217242863" w:history="1">
            <w:r w:rsidR="00235467" w:rsidRPr="00F97D3B">
              <w:rPr>
                <w:rStyle w:val="Hyperlink"/>
                <w:rFonts w:ascii="Arial" w:eastAsia="Times New Roman" w:hAnsi="Arial" w:cs="Arial"/>
                <w:noProof/>
                <w:sz w:val="24"/>
                <w:szCs w:val="24"/>
                <w:lang w:eastAsia="en-IN" w:bidi="hi-IN"/>
              </w:rPr>
              <w:t>Company Overview &amp; History</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_Toc217242863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3</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64" w:history="1">
            <w:r w:rsidR="00235467" w:rsidRPr="00F97D3B">
              <w:rPr>
                <w:rStyle w:val="Hyperlink"/>
                <w:rFonts w:ascii="Arial" w:eastAsia="Times New Roman" w:hAnsi="Arial" w:cs="Arial"/>
                <w:noProof/>
                <w:sz w:val="24"/>
                <w:szCs w:val="24"/>
                <w:lang w:eastAsia="en-IN" w:bidi="hi-IN"/>
              </w:rPr>
              <w:t>2. Introduction</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_Toc217242864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4</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65" w:history="1">
            <w:r w:rsidR="00235467" w:rsidRPr="00F97D3B">
              <w:rPr>
                <w:rStyle w:val="Hyperlink"/>
                <w:rFonts w:ascii="Arial" w:eastAsia="Times New Roman" w:hAnsi="Arial" w:cs="Arial"/>
                <w:noProof/>
                <w:sz w:val="24"/>
                <w:szCs w:val="24"/>
                <w:lang w:eastAsia="en-IN" w:bidi="hi-IN"/>
              </w:rPr>
              <w:t>3. Primark International Expansion Strategy: Entry into the Indian Market</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_Toc217242865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4</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66" w:history="1">
            <w:r w:rsidR="00235467" w:rsidRPr="00F97D3B">
              <w:rPr>
                <w:rStyle w:val="Hyperlink"/>
                <w:rFonts w:ascii="Arial" w:eastAsia="Times New Roman" w:hAnsi="Arial" w:cs="Arial"/>
                <w:noProof/>
                <w:sz w:val="24"/>
                <w:szCs w:val="24"/>
                <w:lang w:eastAsia="en-IN" w:bidi="hi-IN"/>
              </w:rPr>
              <w:t>3.1 The Chosen Organization</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_Toc217242866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4</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67" w:history="1">
            <w:r w:rsidR="00235467" w:rsidRPr="00F97D3B">
              <w:rPr>
                <w:rStyle w:val="Hyperlink"/>
                <w:rFonts w:ascii="Arial" w:eastAsia="Times New Roman" w:hAnsi="Arial" w:cs="Arial"/>
                <w:noProof/>
                <w:sz w:val="24"/>
                <w:szCs w:val="24"/>
                <w:lang w:eastAsia="en-IN" w:bidi="hi-IN"/>
              </w:rPr>
              <w:t>3.2 Target Market: India</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_Toc217242867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5</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68" w:history="1">
            <w:r w:rsidR="00235467" w:rsidRPr="00F97D3B">
              <w:rPr>
                <w:rStyle w:val="Hyperlink"/>
                <w:rFonts w:ascii="Arial" w:eastAsia="Times New Roman" w:hAnsi="Arial" w:cs="Arial"/>
                <w:noProof/>
                <w:sz w:val="24"/>
                <w:szCs w:val="24"/>
                <w:lang w:eastAsia="en-IN" w:bidi="hi-IN"/>
              </w:rPr>
              <w:t>3.3 Rationale for Strategic Selection</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_Toc217242868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5</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69" w:history="1">
            <w:r w:rsidR="00235467" w:rsidRPr="00F97D3B">
              <w:rPr>
                <w:rStyle w:val="Hyperlink"/>
                <w:rFonts w:ascii="Arial" w:hAnsi="Arial" w:cs="Arial"/>
                <w:noProof/>
                <w:sz w:val="24"/>
                <w:szCs w:val="24"/>
              </w:rPr>
              <w:t>Comprehensive Strategic Analysis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_Toc217242869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6</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70" w:history="1">
            <w:r w:rsidR="00235467" w:rsidRPr="00F97D3B">
              <w:rPr>
                <w:rStyle w:val="Hyperlink"/>
                <w:rFonts w:ascii="Arial" w:hAnsi="Arial" w:cs="Arial"/>
                <w:noProof/>
                <w:sz w:val="24"/>
                <w:szCs w:val="24"/>
              </w:rPr>
              <w:t>4.1 Macro-Environmental Analysis: PESTEL Framework</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_Toc217242870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6</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1" w:history="1">
            <w:r w:rsidR="00235467" w:rsidRPr="00F97D3B">
              <w:rPr>
                <w:rStyle w:val="Hyperlink"/>
                <w:rFonts w:ascii="Arial" w:hAnsi="Arial" w:cs="Arial"/>
                <w:noProof/>
                <w:sz w:val="24"/>
                <w:szCs w:val="24"/>
              </w:rPr>
              <w:t>Political Environment</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_Toc217242871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7</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2" w:history="1">
            <w:r w:rsidR="00235467" w:rsidRPr="00F97D3B">
              <w:rPr>
                <w:rStyle w:val="Hyperlink"/>
                <w:rFonts w:ascii="Arial" w:hAnsi="Arial" w:cs="Arial"/>
                <w:noProof/>
                <w:sz w:val="24"/>
                <w:szCs w:val="24"/>
              </w:rPr>
              <w:t>Economic Factors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_Toc217242872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7</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3" w:history="1">
            <w:r w:rsidR="00235467" w:rsidRPr="00F97D3B">
              <w:rPr>
                <w:rStyle w:val="Hyperlink"/>
                <w:rFonts w:ascii="Arial" w:hAnsi="Arial" w:cs="Arial"/>
                <w:noProof/>
                <w:sz w:val="24"/>
                <w:szCs w:val="24"/>
              </w:rPr>
              <w:t>Social Factors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_Toc217242873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8</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4" w:history="1">
            <w:r w:rsidR="00235467" w:rsidRPr="00F97D3B">
              <w:rPr>
                <w:rStyle w:val="Hyperlink"/>
                <w:rFonts w:ascii="Arial" w:hAnsi="Arial" w:cs="Arial"/>
                <w:noProof/>
                <w:sz w:val="24"/>
                <w:szCs w:val="24"/>
              </w:rPr>
              <w:t>Technological Factors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_Toc217242874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8</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5" w:history="1">
            <w:r w:rsidR="00235467" w:rsidRPr="00F97D3B">
              <w:rPr>
                <w:rStyle w:val="Hyperlink"/>
                <w:rFonts w:ascii="Arial" w:hAnsi="Arial" w:cs="Arial"/>
                <w:noProof/>
                <w:sz w:val="24"/>
                <w:szCs w:val="24"/>
              </w:rPr>
              <w:t>Environmental Factors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_Toc217242875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8</w:t>
            </w:r>
            <w:r w:rsidR="00235467" w:rsidRPr="00F97D3B">
              <w:rPr>
                <w:rFonts w:ascii="Arial" w:hAnsi="Arial" w:cs="Arial"/>
                <w:noProof/>
                <w:webHidden/>
                <w:sz w:val="24"/>
                <w:szCs w:val="24"/>
              </w:rPr>
              <w:fldChar w:fldCharType="end"/>
            </w:r>
          </w:hyperlink>
        </w:p>
        <w:p w:rsidR="00235467" w:rsidRPr="00F97D3B" w:rsidRDefault="006D4FDF">
          <w:pPr>
            <w:pStyle w:val="TOC3"/>
            <w:tabs>
              <w:tab w:val="right" w:leader="dot" w:pos="10456"/>
            </w:tabs>
            <w:rPr>
              <w:rFonts w:ascii="Arial" w:eastAsiaTheme="minorEastAsia" w:hAnsi="Arial" w:cs="Arial"/>
              <w:noProof/>
              <w:sz w:val="24"/>
              <w:szCs w:val="24"/>
              <w:lang w:eastAsia="en-IN"/>
            </w:rPr>
          </w:pPr>
          <w:hyperlink w:anchor="_Toc217242876" w:history="1">
            <w:r w:rsidR="00235467" w:rsidRPr="00F97D3B">
              <w:rPr>
                <w:rStyle w:val="Hyperlink"/>
                <w:rFonts w:ascii="Arial" w:hAnsi="Arial" w:cs="Arial"/>
                <w:noProof/>
                <w:sz w:val="24"/>
                <w:szCs w:val="24"/>
              </w:rPr>
              <w:t>Legal Factors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_Toc217242876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9</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77" w:history="1">
            <w:r w:rsidR="00235467" w:rsidRPr="00F97D3B">
              <w:rPr>
                <w:rStyle w:val="Hyperlink"/>
                <w:rFonts w:ascii="Arial" w:hAnsi="Arial" w:cs="Arial"/>
                <w:noProof/>
                <w:sz w:val="24"/>
                <w:szCs w:val="24"/>
              </w:rPr>
              <w:t>4.2 Industry Analysis: Porter's Five Forces Model</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_Toc217242877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9</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78" w:history="1">
            <w:r w:rsidR="00235467" w:rsidRPr="00F97D3B">
              <w:rPr>
                <w:rStyle w:val="Hyperlink"/>
                <w:rFonts w:ascii="Arial" w:hAnsi="Arial" w:cs="Arial"/>
                <w:noProof/>
                <w:sz w:val="24"/>
                <w:szCs w:val="24"/>
              </w:rPr>
              <w:t>Threat of New Entrants – Medium</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_Toc217242878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10</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79" w:history="1">
            <w:r w:rsidR="00235467" w:rsidRPr="00F97D3B">
              <w:rPr>
                <w:rStyle w:val="Hyperlink"/>
                <w:rFonts w:ascii="Arial" w:hAnsi="Arial" w:cs="Arial"/>
                <w:noProof/>
                <w:sz w:val="24"/>
                <w:szCs w:val="24"/>
              </w:rPr>
              <w:t>Supplier Bargaining Power – Medium to Low</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_Toc217242879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10</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0" w:history="1">
            <w:r w:rsidR="00235467" w:rsidRPr="00F97D3B">
              <w:rPr>
                <w:rStyle w:val="Hyperlink"/>
                <w:rFonts w:ascii="Arial" w:hAnsi="Arial" w:cs="Arial"/>
                <w:noProof/>
                <w:sz w:val="24"/>
                <w:szCs w:val="24"/>
              </w:rPr>
              <w:t>Buyer Bargaining Power – Medium to High</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_Toc217242880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10</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1" w:history="1">
            <w:r w:rsidR="00235467" w:rsidRPr="00F97D3B">
              <w:rPr>
                <w:rStyle w:val="Hyperlink"/>
                <w:rFonts w:ascii="Arial" w:hAnsi="Arial" w:cs="Arial"/>
                <w:noProof/>
                <w:sz w:val="24"/>
                <w:szCs w:val="24"/>
              </w:rPr>
              <w:t>Threat of Substitutes – High</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_Toc217242881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11</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2" w:history="1">
            <w:r w:rsidR="00235467" w:rsidRPr="00F97D3B">
              <w:rPr>
                <w:rStyle w:val="Hyperlink"/>
                <w:rFonts w:ascii="Arial" w:hAnsi="Arial" w:cs="Arial"/>
                <w:noProof/>
                <w:sz w:val="24"/>
                <w:szCs w:val="24"/>
              </w:rPr>
              <w:t>Competitive Rivalry – High</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_Toc217242882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11</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83" w:history="1">
            <w:r w:rsidR="00235467" w:rsidRPr="00F97D3B">
              <w:rPr>
                <w:rStyle w:val="Hyperlink"/>
                <w:rFonts w:ascii="Arial" w:eastAsia="Times New Roman" w:hAnsi="Arial" w:cs="Arial"/>
                <w:noProof/>
                <w:sz w:val="24"/>
                <w:szCs w:val="24"/>
                <w:lang w:eastAsia="en-IN" w:bidi="hi-IN"/>
              </w:rPr>
              <w:t>4.3 Internal-External Analysis: SWOT Framework</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_Toc217242883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11</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4" w:history="1">
            <w:r w:rsidR="00235467" w:rsidRPr="00F97D3B">
              <w:rPr>
                <w:rStyle w:val="Hyperlink"/>
                <w:rFonts w:ascii="Arial" w:hAnsi="Arial" w:cs="Arial"/>
                <w:noProof/>
                <w:sz w:val="24"/>
                <w:szCs w:val="24"/>
              </w:rPr>
              <w:t>Strengths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_Toc217242884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12</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5" w:history="1">
            <w:r w:rsidR="00235467" w:rsidRPr="00F97D3B">
              <w:rPr>
                <w:rStyle w:val="Hyperlink"/>
                <w:rFonts w:ascii="Arial" w:hAnsi="Arial" w:cs="Arial"/>
                <w:noProof/>
                <w:sz w:val="24"/>
                <w:szCs w:val="24"/>
              </w:rPr>
              <w:t>Weaknesses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_Toc217242885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12</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6" w:history="1">
            <w:r w:rsidR="00235467" w:rsidRPr="00F97D3B">
              <w:rPr>
                <w:rStyle w:val="Hyperlink"/>
                <w:rFonts w:ascii="Arial" w:hAnsi="Arial" w:cs="Arial"/>
                <w:noProof/>
                <w:sz w:val="24"/>
                <w:szCs w:val="24"/>
              </w:rPr>
              <w:t>Opportunities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_Toc217242886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12</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7" w:history="1">
            <w:r w:rsidR="00235467" w:rsidRPr="00F97D3B">
              <w:rPr>
                <w:rStyle w:val="Hyperlink"/>
                <w:rFonts w:ascii="Arial" w:hAnsi="Arial" w:cs="Arial"/>
                <w:noProof/>
                <w:sz w:val="24"/>
                <w:szCs w:val="24"/>
              </w:rPr>
              <w:t>Threats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_Toc217242887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12</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88" w:history="1">
            <w:r w:rsidR="00235467" w:rsidRPr="00F97D3B">
              <w:rPr>
                <w:rStyle w:val="Hyperlink"/>
                <w:rFonts w:ascii="Arial" w:eastAsia="Times New Roman" w:hAnsi="Arial" w:cs="Arial"/>
                <w:noProof/>
                <w:sz w:val="24"/>
                <w:szCs w:val="24"/>
                <w:lang w:eastAsia="en-IN" w:bidi="hi-IN"/>
              </w:rPr>
              <w:t>5. Strategy Development and Formulation</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_Toc217242888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13</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89" w:history="1">
            <w:r w:rsidR="00235467" w:rsidRPr="00F97D3B">
              <w:rPr>
                <w:rStyle w:val="Hyperlink"/>
                <w:rFonts w:ascii="Arial" w:eastAsia="Times New Roman" w:hAnsi="Arial" w:cs="Arial"/>
                <w:noProof/>
                <w:sz w:val="24"/>
                <w:szCs w:val="24"/>
                <w:lang w:eastAsia="en-IN" w:bidi="hi-IN"/>
              </w:rPr>
              <w:t>5.1 Strategic Direction: Market Development via Ansoff Matrix</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_Toc217242889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13</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90" w:history="1">
            <w:r w:rsidR="00235467" w:rsidRPr="00F97D3B">
              <w:rPr>
                <w:rStyle w:val="Hyperlink"/>
                <w:rFonts w:ascii="Arial" w:hAnsi="Arial" w:cs="Arial"/>
                <w:noProof/>
                <w:sz w:val="24"/>
                <w:szCs w:val="24"/>
              </w:rPr>
              <w:t>5.2 Market Entry Mode: Joint Venture Approach</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_Toc217242890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14</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91" w:history="1">
            <w:r w:rsidR="00235467" w:rsidRPr="00F97D3B">
              <w:rPr>
                <w:rStyle w:val="Hyperlink"/>
                <w:rFonts w:ascii="Arial" w:hAnsi="Arial" w:cs="Arial"/>
                <w:noProof/>
                <w:sz w:val="24"/>
                <w:szCs w:val="24"/>
              </w:rPr>
              <w:t>5.3 Competitive Positioning: Cost Leadership with Differentiation</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_Toc217242891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14</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92" w:history="1">
            <w:r w:rsidR="00235467" w:rsidRPr="00F97D3B">
              <w:rPr>
                <w:rStyle w:val="Hyperlink"/>
                <w:rFonts w:ascii="Arial" w:hAnsi="Arial" w:cs="Arial"/>
                <w:noProof/>
                <w:sz w:val="24"/>
                <w:szCs w:val="24"/>
              </w:rPr>
              <w:t>5.4 Strategic Capability Assessment: VRIO Analysis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_Toc217242892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15</w:t>
            </w:r>
            <w:r w:rsidR="00235467" w:rsidRPr="00F97D3B">
              <w:rPr>
                <w:rFonts w:ascii="Arial" w:hAnsi="Arial" w:cs="Arial"/>
                <w:noProof/>
                <w:webHidden/>
                <w:sz w:val="24"/>
                <w:szCs w:val="24"/>
              </w:rPr>
              <w:fldChar w:fldCharType="end"/>
            </w:r>
          </w:hyperlink>
        </w:p>
        <w:p w:rsidR="00235467" w:rsidRPr="00F97D3B" w:rsidRDefault="006D4FDF">
          <w:pPr>
            <w:pStyle w:val="TOC2"/>
            <w:tabs>
              <w:tab w:val="right" w:leader="dot" w:pos="10456"/>
            </w:tabs>
            <w:rPr>
              <w:rFonts w:ascii="Arial" w:eastAsiaTheme="minorEastAsia" w:hAnsi="Arial" w:cs="Arial"/>
              <w:noProof/>
              <w:sz w:val="24"/>
              <w:szCs w:val="24"/>
              <w:lang w:eastAsia="en-IN"/>
            </w:rPr>
          </w:pPr>
          <w:hyperlink w:anchor="_Toc217242893" w:history="1">
            <w:r w:rsidR="00235467" w:rsidRPr="00F97D3B">
              <w:rPr>
                <w:rStyle w:val="Hyperlink"/>
                <w:rFonts w:ascii="Arial" w:hAnsi="Arial" w:cs="Arial"/>
                <w:noProof/>
                <w:sz w:val="24"/>
                <w:szCs w:val="24"/>
              </w:rPr>
              <w:t>5.5 Implementation Framework</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_Toc217242893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17</w:t>
            </w:r>
            <w:r w:rsidR="00235467" w:rsidRPr="00F97D3B">
              <w:rPr>
                <w:rFonts w:ascii="Arial" w:hAnsi="Arial" w:cs="Arial"/>
                <w:noProof/>
                <w:webHidden/>
                <w:sz w:val="24"/>
                <w:szCs w:val="24"/>
              </w:rPr>
              <w:fldChar w:fldCharType="end"/>
            </w:r>
          </w:hyperlink>
        </w:p>
        <w:p w:rsidR="00235467" w:rsidRPr="00F97D3B" w:rsidRDefault="006D4FDF">
          <w:pPr>
            <w:pStyle w:val="TOC1"/>
            <w:tabs>
              <w:tab w:val="right" w:leader="dot" w:pos="10456"/>
            </w:tabs>
            <w:rPr>
              <w:rFonts w:ascii="Arial" w:eastAsiaTheme="minorEastAsia" w:hAnsi="Arial" w:cs="Arial"/>
              <w:noProof/>
              <w:sz w:val="24"/>
              <w:szCs w:val="24"/>
              <w:lang w:eastAsia="en-IN"/>
            </w:rPr>
          </w:pPr>
          <w:hyperlink w:anchor="_Toc217242894" w:history="1">
            <w:r w:rsidR="00235467" w:rsidRPr="00F97D3B">
              <w:rPr>
                <w:rStyle w:val="Hyperlink"/>
                <w:rFonts w:ascii="Arial" w:hAnsi="Arial" w:cs="Arial"/>
                <w:noProof/>
                <w:sz w:val="24"/>
                <w:szCs w:val="24"/>
                <w:lang w:eastAsia="en-IN" w:bidi="hi-IN"/>
              </w:rPr>
              <w:t>Refrences</w:t>
            </w:r>
            <w:r w:rsidR="00235467" w:rsidRPr="00F97D3B">
              <w:rPr>
                <w:rFonts w:ascii="Arial" w:hAnsi="Arial" w:cs="Arial"/>
                <w:noProof/>
                <w:webHidden/>
                <w:sz w:val="24"/>
                <w:szCs w:val="24"/>
              </w:rPr>
              <w:tab/>
            </w:r>
            <w:r w:rsidR="00235467" w:rsidRPr="00F97D3B">
              <w:rPr>
                <w:rFonts w:ascii="Arial" w:hAnsi="Arial" w:cs="Arial"/>
                <w:noProof/>
                <w:webHidden/>
                <w:sz w:val="24"/>
                <w:szCs w:val="24"/>
              </w:rPr>
              <w:fldChar w:fldCharType="begin"/>
            </w:r>
            <w:r w:rsidR="00235467" w:rsidRPr="00F97D3B">
              <w:rPr>
                <w:rFonts w:ascii="Arial" w:hAnsi="Arial" w:cs="Arial"/>
                <w:noProof/>
                <w:webHidden/>
                <w:sz w:val="24"/>
                <w:szCs w:val="24"/>
              </w:rPr>
              <w:instrText xml:space="preserve"> PAGEREF _Toc217242894 \h </w:instrText>
            </w:r>
            <w:r w:rsidR="00235467" w:rsidRPr="00F97D3B">
              <w:rPr>
                <w:rFonts w:ascii="Arial" w:hAnsi="Arial" w:cs="Arial"/>
                <w:noProof/>
                <w:webHidden/>
                <w:sz w:val="24"/>
                <w:szCs w:val="24"/>
              </w:rPr>
            </w:r>
            <w:r w:rsidR="00235467" w:rsidRPr="00F97D3B">
              <w:rPr>
                <w:rFonts w:ascii="Arial" w:hAnsi="Arial" w:cs="Arial"/>
                <w:noProof/>
                <w:webHidden/>
                <w:sz w:val="24"/>
                <w:szCs w:val="24"/>
              </w:rPr>
              <w:fldChar w:fldCharType="separate"/>
            </w:r>
            <w:r w:rsidR="00235467" w:rsidRPr="00F97D3B">
              <w:rPr>
                <w:rFonts w:ascii="Arial" w:hAnsi="Arial" w:cs="Arial"/>
                <w:noProof/>
                <w:webHidden/>
                <w:sz w:val="24"/>
                <w:szCs w:val="24"/>
              </w:rPr>
              <w:t>18</w:t>
            </w:r>
            <w:r w:rsidR="00235467" w:rsidRPr="00F97D3B">
              <w:rPr>
                <w:rFonts w:ascii="Arial" w:hAnsi="Arial" w:cs="Arial"/>
                <w:noProof/>
                <w:webHidden/>
                <w:sz w:val="24"/>
                <w:szCs w:val="24"/>
              </w:rPr>
              <w:fldChar w:fldCharType="end"/>
            </w:r>
          </w:hyperlink>
        </w:p>
        <w:p w:rsidR="00B4669E" w:rsidRPr="00F97D3B" w:rsidRDefault="00B4669E">
          <w:pPr>
            <w:rPr>
              <w:rFonts w:ascii="Arial" w:hAnsi="Arial" w:cs="Arial"/>
              <w:sz w:val="24"/>
              <w:szCs w:val="24"/>
            </w:rPr>
          </w:pPr>
          <w:r w:rsidRPr="00F97D3B">
            <w:rPr>
              <w:rFonts w:ascii="Arial" w:hAnsi="Arial" w:cs="Arial"/>
              <w:b/>
              <w:bCs/>
              <w:noProof/>
              <w:sz w:val="24"/>
              <w:szCs w:val="24"/>
            </w:rPr>
            <w:fldChar w:fldCharType="end"/>
          </w:r>
        </w:p>
      </w:sdtContent>
    </w:sdt>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585E5B" w:rsidRPr="00F97D3B" w:rsidRDefault="00585E5B">
      <w:pPr>
        <w:rPr>
          <w:rFonts w:ascii="Arial" w:hAnsi="Arial" w:cs="Arial"/>
          <w:sz w:val="24"/>
          <w:szCs w:val="24"/>
        </w:rPr>
      </w:pPr>
    </w:p>
    <w:p w:rsidR="00406BFE" w:rsidRPr="00F97D3B" w:rsidRDefault="00406BFE">
      <w:pPr>
        <w:rPr>
          <w:rFonts w:ascii="Arial" w:hAnsi="Arial" w:cs="Arial"/>
          <w:sz w:val="24"/>
          <w:szCs w:val="24"/>
        </w:rPr>
      </w:pPr>
    </w:p>
    <w:p w:rsidR="00406BFE" w:rsidRPr="00F97D3B" w:rsidRDefault="00406BFE" w:rsidP="00B4669E">
      <w:pPr>
        <w:pStyle w:val="Heading1"/>
        <w:rPr>
          <w:rFonts w:ascii="Arial" w:eastAsia="Times New Roman" w:hAnsi="Arial" w:cs="Arial"/>
          <w:sz w:val="24"/>
          <w:szCs w:val="24"/>
          <w:lang w:eastAsia="en-IN" w:bidi="hi-IN"/>
        </w:rPr>
      </w:pPr>
      <w:bookmarkStart w:id="0" w:name="_Toc217242863"/>
      <w:r w:rsidRPr="00F97D3B">
        <w:rPr>
          <w:rFonts w:ascii="Arial" w:eastAsia="Times New Roman" w:hAnsi="Arial" w:cs="Arial"/>
          <w:sz w:val="24"/>
          <w:szCs w:val="24"/>
          <w:lang w:eastAsia="en-IN" w:bidi="hi-IN"/>
        </w:rPr>
        <w:lastRenderedPageBreak/>
        <w:t>Company Overview &amp; History</w:t>
      </w:r>
      <w:bookmarkEnd w:id="0"/>
    </w:p>
    <w:p w:rsidR="00B4669E" w:rsidRPr="00F97D3B" w:rsidRDefault="00B4669E" w:rsidP="00B4669E">
      <w:pPr>
        <w:rPr>
          <w:rFonts w:ascii="Arial" w:hAnsi="Arial" w:cs="Arial"/>
          <w:sz w:val="24"/>
          <w:szCs w:val="24"/>
          <w:lang w:eastAsia="en-IN" w:bidi="hi-IN"/>
        </w:rPr>
      </w:pPr>
    </w:p>
    <w:p w:rsidR="00B4669E" w:rsidRPr="00F97D3B" w:rsidRDefault="00B4669E" w:rsidP="00B4669E">
      <w:pPr>
        <w:rPr>
          <w:rFonts w:ascii="Arial" w:hAnsi="Arial" w:cs="Arial"/>
          <w:noProof/>
          <w:sz w:val="24"/>
          <w:szCs w:val="24"/>
        </w:rPr>
      </w:pPr>
      <w:r w:rsidRPr="00F97D3B">
        <w:rPr>
          <w:rFonts w:ascii="Arial" w:hAnsi="Arial" w:cs="Arial"/>
          <w:b/>
          <w:bCs/>
          <w:sz w:val="24"/>
          <w:szCs w:val="24"/>
          <w:lang w:eastAsia="en-IN"/>
        </w:rPr>
        <w:t>Primark</w:t>
      </w:r>
      <w:r w:rsidRPr="00F97D3B">
        <w:rPr>
          <w:rFonts w:ascii="Arial" w:hAnsi="Arial" w:cs="Arial"/>
          <w:sz w:val="24"/>
          <w:szCs w:val="24"/>
          <w:lang w:eastAsia="en-IN"/>
        </w:rPr>
        <w:t xml:space="preserve"> is a global fast-fashion retailer known for offering trend-led clothing and accessories at very low prices. It operates as a subsidiary of </w:t>
      </w:r>
      <w:r w:rsidRPr="00F97D3B">
        <w:rPr>
          <w:rFonts w:ascii="Arial" w:hAnsi="Arial" w:cs="Arial"/>
          <w:b/>
          <w:bCs/>
          <w:sz w:val="24"/>
          <w:szCs w:val="24"/>
          <w:lang w:eastAsia="en-IN"/>
        </w:rPr>
        <w:t>Associated British Foods (ABF) plc</w:t>
      </w:r>
      <w:r w:rsidRPr="00F97D3B">
        <w:rPr>
          <w:rFonts w:ascii="Arial" w:hAnsi="Arial" w:cs="Arial"/>
          <w:sz w:val="24"/>
          <w:szCs w:val="24"/>
          <w:lang w:eastAsia="en-IN"/>
        </w:rPr>
        <w:t xml:space="preserve">, a diversified international group. Founded in Dublin in 1969 as </w:t>
      </w:r>
      <w:r w:rsidRPr="00F97D3B">
        <w:rPr>
          <w:rFonts w:ascii="Arial" w:hAnsi="Arial" w:cs="Arial"/>
          <w:i/>
          <w:iCs/>
          <w:sz w:val="24"/>
          <w:szCs w:val="24"/>
          <w:lang w:eastAsia="en-IN"/>
        </w:rPr>
        <w:t>Penneys</w:t>
      </w:r>
      <w:r w:rsidRPr="00F97D3B">
        <w:rPr>
          <w:rFonts w:ascii="Arial" w:hAnsi="Arial" w:cs="Arial"/>
          <w:sz w:val="24"/>
          <w:szCs w:val="24"/>
          <w:lang w:eastAsia="en-IN"/>
        </w:rPr>
        <w:t xml:space="preserve">, Primark entered the UK market in 1973 under its current name and rapidly expanded by adopting the fast-fashion </w:t>
      </w:r>
    </w:p>
    <w:p w:rsidR="00B4669E" w:rsidRPr="00F97D3B" w:rsidRDefault="00B4669E" w:rsidP="00B4669E">
      <w:pPr>
        <w:rPr>
          <w:rFonts w:ascii="Arial" w:hAnsi="Arial" w:cs="Arial"/>
          <w:sz w:val="24"/>
          <w:szCs w:val="24"/>
          <w:lang w:eastAsia="en-IN"/>
        </w:rPr>
      </w:pPr>
      <w:r w:rsidRPr="00F97D3B">
        <w:rPr>
          <w:rFonts w:ascii="Arial" w:hAnsi="Arial" w:cs="Arial"/>
          <w:noProof/>
          <w:sz w:val="24"/>
          <w:szCs w:val="24"/>
          <w:lang w:eastAsia="en-IN" w:bidi="hi-IN"/>
        </w:rPr>
        <w:drawing>
          <wp:anchor distT="0" distB="0" distL="114300" distR="114300" simplePos="0" relativeHeight="251658240" behindDoc="0" locked="0" layoutInCell="1" allowOverlap="1">
            <wp:simplePos x="0" y="0"/>
            <wp:positionH relativeFrom="margin">
              <wp:align>right</wp:align>
            </wp:positionH>
            <wp:positionV relativeFrom="paragraph">
              <wp:posOffset>6985</wp:posOffset>
            </wp:positionV>
            <wp:extent cx="2954020" cy="1996440"/>
            <wp:effectExtent l="0" t="0" r="0" b="3810"/>
            <wp:wrapSquare wrapText="bothSides"/>
            <wp:docPr id="2" name="Picture 2" descr="Arthur Ryan | Primark Car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hur Ryan | Primark Cares (UK)"/>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2145" b="24132"/>
                    <a:stretch/>
                  </pic:blipFill>
                  <pic:spPr bwMode="auto">
                    <a:xfrm>
                      <a:off x="0" y="0"/>
                      <a:ext cx="2954020" cy="1996440"/>
                    </a:xfrm>
                    <a:prstGeom prst="rect">
                      <a:avLst/>
                    </a:prstGeom>
                    <a:noFill/>
                    <a:ln>
                      <a:noFill/>
                    </a:ln>
                    <a:extLst>
                      <a:ext uri="{53640926-AAD7-44D8-BBD7-CCE9431645EC}">
                        <a14:shadowObscured xmlns:a14="http://schemas.microsoft.com/office/drawing/2010/main"/>
                      </a:ext>
                    </a:extLst>
                  </pic:spPr>
                </pic:pic>
              </a:graphicData>
            </a:graphic>
          </wp:anchor>
        </w:drawing>
      </w:r>
      <w:r w:rsidRPr="00F97D3B">
        <w:rPr>
          <w:rFonts w:ascii="Arial" w:hAnsi="Arial" w:cs="Arial"/>
          <w:sz w:val="24"/>
          <w:szCs w:val="24"/>
          <w:lang w:eastAsia="en-IN"/>
        </w:rPr>
        <w:t xml:space="preserve"> model.</w:t>
      </w:r>
    </w:p>
    <w:p w:rsidR="00B4669E" w:rsidRPr="00F97D3B" w:rsidRDefault="00B4669E" w:rsidP="00B4669E">
      <w:pPr>
        <w:rPr>
          <w:rFonts w:ascii="Arial" w:hAnsi="Arial" w:cs="Arial"/>
          <w:sz w:val="24"/>
          <w:szCs w:val="24"/>
          <w:lang w:eastAsia="en-IN"/>
        </w:rPr>
      </w:pPr>
      <w:r w:rsidRPr="00F97D3B">
        <w:rPr>
          <w:rFonts w:ascii="Arial" w:hAnsi="Arial" w:cs="Arial"/>
          <w:sz w:val="24"/>
          <w:szCs w:val="24"/>
          <w:lang w:eastAsia="en-IN"/>
        </w:rPr>
        <w:t>During the 2000s and 2010s, Primark significantly expanded across Europe and into the United States. As of 2024, the company operates over 440 stores in 17 countries, employs more than 80,000 people, and generates annual revenues exceeding £9 billion (Associated British Foods, 2024).</w:t>
      </w:r>
    </w:p>
    <w:p w:rsidR="00B4669E" w:rsidRPr="00F97D3B" w:rsidRDefault="00B4669E" w:rsidP="00B4669E">
      <w:pPr>
        <w:rPr>
          <w:rFonts w:ascii="Arial" w:hAnsi="Arial" w:cs="Arial"/>
          <w:sz w:val="24"/>
          <w:szCs w:val="24"/>
          <w:lang w:eastAsia="en-IN"/>
        </w:rPr>
      </w:pPr>
      <w:r w:rsidRPr="00F97D3B">
        <w:rPr>
          <w:rFonts w:ascii="Arial" w:hAnsi="Arial" w:cs="Arial"/>
          <w:noProof/>
          <w:sz w:val="24"/>
          <w:szCs w:val="24"/>
          <w:lang w:eastAsia="en-IN" w:bidi="hi-IN"/>
        </w:rPr>
        <mc:AlternateContent>
          <mc:Choice Requires="wps">
            <w:drawing>
              <wp:anchor distT="0" distB="0" distL="114300" distR="114300" simplePos="0" relativeHeight="251660288" behindDoc="0" locked="0" layoutInCell="1" allowOverlap="1" wp14:anchorId="154D92E8" wp14:editId="5C097FCF">
                <wp:simplePos x="0" y="0"/>
                <wp:positionH relativeFrom="margin">
                  <wp:align>right</wp:align>
                </wp:positionH>
                <wp:positionV relativeFrom="paragraph">
                  <wp:posOffset>628650</wp:posOffset>
                </wp:positionV>
                <wp:extent cx="2954020" cy="205740"/>
                <wp:effectExtent l="0" t="0" r="0" b="3810"/>
                <wp:wrapSquare wrapText="bothSides"/>
                <wp:docPr id="3" name="Text Box 3"/>
                <wp:cNvGraphicFramePr/>
                <a:graphic xmlns:a="http://schemas.openxmlformats.org/drawingml/2006/main">
                  <a:graphicData uri="http://schemas.microsoft.com/office/word/2010/wordprocessingShape">
                    <wps:wsp>
                      <wps:cNvSpPr txBox="1"/>
                      <wps:spPr>
                        <a:xfrm>
                          <a:off x="0" y="0"/>
                          <a:ext cx="2954020" cy="205740"/>
                        </a:xfrm>
                        <a:prstGeom prst="rect">
                          <a:avLst/>
                        </a:prstGeom>
                        <a:solidFill>
                          <a:prstClr val="white"/>
                        </a:solidFill>
                        <a:ln>
                          <a:noFill/>
                        </a:ln>
                      </wps:spPr>
                      <wps:txbx>
                        <w:txbxContent>
                          <w:p w:rsidR="00F97D3B" w:rsidRPr="00750690" w:rsidRDefault="00F97D3B" w:rsidP="00B4669E">
                            <w:pPr>
                              <w:pStyle w:val="Caption"/>
                              <w:rPr>
                                <w:noProof/>
                              </w:rPr>
                            </w:pPr>
                            <w:r>
                              <w:t xml:space="preserve">Figure </w:t>
                            </w:r>
                            <w:r w:rsidR="006D4FDF">
                              <w:fldChar w:fldCharType="begin"/>
                            </w:r>
                            <w:r w:rsidR="006D4FDF">
                              <w:instrText xml:space="preserve"> SEQ Figure \* ARABIC </w:instrText>
                            </w:r>
                            <w:r w:rsidR="006D4FDF">
                              <w:fldChar w:fldCharType="separate"/>
                            </w:r>
                            <w:r>
                              <w:rPr>
                                <w:noProof/>
                              </w:rPr>
                              <w:t>1</w:t>
                            </w:r>
                            <w:r w:rsidR="006D4FDF">
                              <w:rPr>
                                <w:noProof/>
                              </w:rPr>
                              <w:fldChar w:fldCharType="end"/>
                            </w:r>
                            <w:r w:rsidRPr="0021535C">
                              <w:t>https://corporate.primark.com/en-gb/about/arthur-ryan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4D92E8" id="_x0000_t202" coordsize="21600,21600" o:spt="202" path="m,l,21600r21600,l21600,xe">
                <v:stroke joinstyle="miter"/>
                <v:path gradientshapeok="t" o:connecttype="rect"/>
              </v:shapetype>
              <v:shape id="Text Box 3" o:spid="_x0000_s1026" type="#_x0000_t202" style="position:absolute;margin-left:181.4pt;margin-top:49.5pt;width:232.6pt;height:16.2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" stroked="f">
                <v:textbox inset="0,0,0,0">
                  <w:txbxContent>
                    <w:p w:rsidR="00F97D3B" w:rsidRPr="00750690" w:rsidRDefault="00F97D3B" w:rsidP="00B4669E">
                      <w:pPr>
                        <w:pStyle w:val="Caption"/>
                        <w:rPr>
                          <w:noProof/>
                        </w:rPr>
                      </w:pPr>
                      <w:r>
                        <w:t xml:space="preserve">Figure </w:t>
                      </w:r>
                      <w:r w:rsidR="006D4FDF">
                        <w:fldChar w:fldCharType="begin"/>
                      </w:r>
                      <w:r w:rsidR="006D4FDF">
                        <w:instrText xml:space="preserve"> SEQ Figure \* ARABIC </w:instrText>
                      </w:r>
                      <w:r w:rsidR="006D4FDF">
                        <w:fldChar w:fldCharType="separate"/>
                      </w:r>
                      <w:r>
                        <w:rPr>
                          <w:noProof/>
                        </w:rPr>
                        <w:t>1</w:t>
                      </w:r>
                      <w:r w:rsidR="006D4FDF">
                        <w:rPr>
                          <w:noProof/>
                        </w:rPr>
                        <w:fldChar w:fldCharType="end"/>
                      </w:r>
                      <w:r w:rsidRPr="0021535C">
                        <w:t>https://corporate.primark.com/en-gb/about/arthur-ryan</w:t>
                      </w:r>
                    </w:p>
                  </w:txbxContent>
                </v:textbox>
                <w10:wrap type="square" anchorx="margin"/>
              </v:shape>
            </w:pict>
          </mc:Fallback>
        </mc:AlternateContent>
      </w:r>
      <w:r w:rsidRPr="00F97D3B">
        <w:rPr>
          <w:rFonts w:ascii="Arial" w:hAnsi="Arial" w:cs="Arial"/>
          <w:sz w:val="24"/>
          <w:szCs w:val="24"/>
          <w:lang w:eastAsia="en-IN"/>
        </w:rPr>
        <w:t xml:space="preserve">Primark’s business model is based on operational efficiency, high inventory turnover, economies of scale, and minimal advertising, relying instead on store visibility and word-of-mouth. In recent years, the company has increased its focus on sustainability through its </w:t>
      </w:r>
      <w:r w:rsidRPr="00F97D3B">
        <w:rPr>
          <w:rFonts w:ascii="Arial" w:hAnsi="Arial" w:cs="Arial"/>
          <w:i/>
          <w:iCs/>
          <w:sz w:val="24"/>
          <w:szCs w:val="24"/>
          <w:lang w:eastAsia="en-IN"/>
        </w:rPr>
        <w:t>Primark Cares</w:t>
      </w:r>
      <w:r w:rsidRPr="00F97D3B">
        <w:rPr>
          <w:rFonts w:ascii="Arial" w:hAnsi="Arial" w:cs="Arial"/>
          <w:sz w:val="24"/>
          <w:szCs w:val="24"/>
          <w:lang w:eastAsia="en-IN"/>
        </w:rPr>
        <w:t xml:space="preserve"> initiative, aiming to make more sustainable and circular fashion accessible to consumers (Primark, 2024).</w:t>
      </w:r>
    </w:p>
    <w:p w:rsidR="00C5067E" w:rsidRPr="00F97D3B" w:rsidRDefault="00C5067E" w:rsidP="00406BFE">
      <w:pPr>
        <w:rPr>
          <w:rFonts w:ascii="Arial" w:hAnsi="Arial" w:cs="Arial"/>
          <w:sz w:val="24"/>
          <w:szCs w:val="24"/>
          <w:lang w:eastAsia="en-IN" w:bidi="hi-IN"/>
        </w:rPr>
      </w:pPr>
    </w:p>
    <w:p w:rsidR="00C5067E" w:rsidRPr="00F97D3B" w:rsidRDefault="00C5067E" w:rsidP="00B4669E">
      <w:pPr>
        <w:pStyle w:val="Heading1"/>
        <w:rPr>
          <w:rFonts w:ascii="Arial" w:eastAsia="Times New Roman" w:hAnsi="Arial" w:cs="Arial"/>
          <w:sz w:val="24"/>
          <w:szCs w:val="24"/>
          <w:lang w:eastAsia="en-IN" w:bidi="hi-IN"/>
        </w:rPr>
      </w:pPr>
      <w:bookmarkStart w:id="1" w:name="_Toc217242864"/>
      <w:r w:rsidRPr="00F97D3B">
        <w:rPr>
          <w:rFonts w:ascii="Arial" w:eastAsia="Times New Roman" w:hAnsi="Arial" w:cs="Arial"/>
          <w:sz w:val="24"/>
          <w:szCs w:val="24"/>
          <w:lang w:eastAsia="en-IN" w:bidi="hi-IN"/>
        </w:rPr>
        <w:t>2. Introduction</w:t>
      </w:r>
      <w:bookmarkEnd w:id="1"/>
    </w:p>
    <w:p w:rsidR="00B4669E" w:rsidRPr="00F97D3B" w:rsidRDefault="00B4669E" w:rsidP="00B4669E">
      <w:pPr>
        <w:rPr>
          <w:rFonts w:ascii="Arial" w:hAnsi="Arial" w:cs="Arial"/>
          <w:sz w:val="24"/>
          <w:szCs w:val="24"/>
          <w:lang w:eastAsia="en-IN" w:bidi="hi-IN"/>
        </w:rPr>
      </w:pPr>
    </w:p>
    <w:p w:rsidR="00B4669E" w:rsidRPr="00F97D3B" w:rsidRDefault="00B4669E" w:rsidP="00B4669E">
      <w:pPr>
        <w:rPr>
          <w:rFonts w:ascii="Arial" w:eastAsia="Times New Roman" w:hAnsi="Arial" w:cs="Arial"/>
          <w:sz w:val="24"/>
          <w:szCs w:val="24"/>
          <w:lang w:eastAsia="en-IN"/>
        </w:rPr>
      </w:pPr>
      <w:r w:rsidRPr="00F97D3B">
        <w:rPr>
          <w:rFonts w:ascii="Arial" w:eastAsia="Times New Roman" w:hAnsi="Arial" w:cs="Arial"/>
          <w:sz w:val="24"/>
          <w:szCs w:val="24"/>
          <w:lang w:eastAsia="en-IN"/>
        </w:rPr>
        <w:t xml:space="preserve">This strategic management report examines </w:t>
      </w:r>
      <w:r w:rsidRPr="00F97D3B">
        <w:rPr>
          <w:rFonts w:ascii="Arial" w:eastAsia="Times New Roman" w:hAnsi="Arial" w:cs="Arial"/>
          <w:b/>
          <w:bCs/>
          <w:sz w:val="24"/>
          <w:szCs w:val="24"/>
          <w:lang w:eastAsia="en-IN"/>
        </w:rPr>
        <w:t>Primark’s</w:t>
      </w:r>
      <w:r w:rsidRPr="00F97D3B">
        <w:rPr>
          <w:rFonts w:ascii="Arial" w:eastAsia="Times New Roman" w:hAnsi="Arial" w:cs="Arial"/>
          <w:sz w:val="24"/>
          <w:szCs w:val="24"/>
          <w:lang w:eastAsia="en-IN"/>
        </w:rPr>
        <w:t xml:space="preserve"> proposed expansion into </w:t>
      </w:r>
      <w:r w:rsidRPr="00F97D3B">
        <w:rPr>
          <w:rFonts w:ascii="Arial" w:eastAsia="Times New Roman" w:hAnsi="Arial" w:cs="Arial"/>
          <w:b/>
          <w:bCs/>
          <w:sz w:val="24"/>
          <w:szCs w:val="24"/>
          <w:lang w:eastAsia="en-IN"/>
        </w:rPr>
        <w:t>India</w:t>
      </w:r>
      <w:r w:rsidRPr="00F97D3B">
        <w:rPr>
          <w:rFonts w:ascii="Arial" w:eastAsia="Times New Roman" w:hAnsi="Arial" w:cs="Arial"/>
          <w:sz w:val="24"/>
          <w:szCs w:val="24"/>
          <w:lang w:eastAsia="en-IN"/>
        </w:rPr>
        <w:t>, one of the world’s fastest-growing and most diverse retail markets. India presents a strong strategic opportunity due to its large population, expanding middle class, rapid urbanization, and increasing demand for organized retail and global fashion brands. The Indian apparel market, valued at approximately $96 billion in 2024, is projected to reach $190 billion by 2030, growing at a CAGR of 10–12%.</w:t>
      </w:r>
    </w:p>
    <w:p w:rsidR="00B4669E" w:rsidRPr="00F97D3B" w:rsidRDefault="00B4669E" w:rsidP="00B4669E">
      <w:pPr>
        <w:rPr>
          <w:rFonts w:ascii="Arial" w:eastAsia="Times New Roman" w:hAnsi="Arial" w:cs="Arial"/>
          <w:sz w:val="24"/>
          <w:szCs w:val="24"/>
          <w:lang w:eastAsia="en-IN"/>
        </w:rPr>
      </w:pPr>
      <w:r w:rsidRPr="00F97D3B">
        <w:rPr>
          <w:rFonts w:ascii="Arial" w:eastAsia="Times New Roman" w:hAnsi="Arial" w:cs="Arial"/>
          <w:sz w:val="24"/>
          <w:szCs w:val="24"/>
          <w:lang w:eastAsia="en-IN"/>
        </w:rPr>
        <w:t>The report applies established strategic frameworks to evaluate market entry. PESTEL analysis assesses macro-environmental conditions, while Porter’s Five Forces examines industry competitiveness. A SWOT analysis integrates internal and external factors to guide strategic decision-making. Strategic formulation draws on Ansoff’s growth matrix, market entry theories, Porter’s generic strategies, and the VRIO framework to assess sustainable competitive advantage.</w:t>
      </w:r>
    </w:p>
    <w:p w:rsidR="00B4669E" w:rsidRPr="00F97D3B" w:rsidRDefault="00B4669E" w:rsidP="00B4669E">
      <w:pPr>
        <w:rPr>
          <w:rFonts w:ascii="Arial" w:eastAsia="Times New Roman" w:hAnsi="Arial" w:cs="Arial"/>
          <w:sz w:val="24"/>
          <w:szCs w:val="24"/>
          <w:lang w:eastAsia="en-IN"/>
        </w:rPr>
      </w:pPr>
      <w:r w:rsidRPr="00F97D3B">
        <w:rPr>
          <w:rFonts w:ascii="Arial" w:eastAsia="Times New Roman" w:hAnsi="Arial" w:cs="Arial"/>
          <w:sz w:val="24"/>
          <w:szCs w:val="24"/>
          <w:lang w:eastAsia="en-IN"/>
        </w:rPr>
        <w:t>Performance evaluation is supported by the Balanced Scorecard and Triple Bottom Line frameworks to ensure financial, social, and environmental sustainability. While India offers significant growth, potential aligned with Primark’s value proposition, challenges such as regulatory complexity, infrastructure constraints, intense competition, and cultural adaptation must be carefully managed. The report proposes a balanced strategy emphasizing localization, phased implementation, and long-term sustainability.</w:t>
      </w:r>
    </w:p>
    <w:p w:rsidR="00406BFE" w:rsidRPr="00F97D3B" w:rsidRDefault="00406BFE" w:rsidP="00406BFE">
      <w:pPr>
        <w:pStyle w:val="ListParagraph"/>
        <w:spacing w:before="100" w:beforeAutospacing="1" w:after="100" w:afterAutospacing="1" w:line="240" w:lineRule="auto"/>
        <w:ind w:left="756"/>
        <w:outlineLvl w:val="1"/>
        <w:rPr>
          <w:rFonts w:ascii="Arial" w:hAnsi="Arial" w:cs="Arial"/>
          <w:sz w:val="24"/>
          <w:szCs w:val="24"/>
        </w:rPr>
      </w:pPr>
    </w:p>
    <w:p w:rsidR="00C5067E" w:rsidRPr="00F97D3B" w:rsidRDefault="00C5067E" w:rsidP="00C5067E">
      <w:pPr>
        <w:pStyle w:val="Heading1"/>
        <w:rPr>
          <w:rFonts w:ascii="Arial" w:eastAsia="Times New Roman" w:hAnsi="Arial" w:cs="Arial"/>
          <w:sz w:val="24"/>
          <w:szCs w:val="24"/>
          <w:lang w:eastAsia="en-IN" w:bidi="hi-IN"/>
        </w:rPr>
      </w:pPr>
      <w:bookmarkStart w:id="2" w:name="_Toc217242865"/>
      <w:r w:rsidRPr="00F97D3B">
        <w:rPr>
          <w:rFonts w:ascii="Arial" w:eastAsia="Times New Roman" w:hAnsi="Arial" w:cs="Arial"/>
          <w:sz w:val="24"/>
          <w:szCs w:val="24"/>
          <w:lang w:eastAsia="en-IN" w:bidi="hi-IN"/>
        </w:rPr>
        <w:lastRenderedPageBreak/>
        <w:t>3. Primark International Expansion Strategy: Entry into the Indian Market</w:t>
      </w:r>
      <w:bookmarkEnd w:id="2"/>
    </w:p>
    <w:p w:rsidR="00B4669E" w:rsidRPr="00F97D3B" w:rsidRDefault="00193A0D" w:rsidP="00B4669E">
      <w:pPr>
        <w:keepNext/>
        <w:rPr>
          <w:rFonts w:ascii="Arial" w:hAnsi="Arial" w:cs="Arial"/>
          <w:sz w:val="24"/>
          <w:szCs w:val="24"/>
        </w:rPr>
      </w:pPr>
      <w:r w:rsidRPr="00F97D3B">
        <w:rPr>
          <w:rFonts w:ascii="Arial" w:hAnsi="Arial" w:cs="Arial"/>
          <w:noProof/>
          <w:color w:val="FF0000"/>
          <w:sz w:val="24"/>
          <w:szCs w:val="24"/>
          <w:lang w:eastAsia="en-IN" w:bidi="hi-IN"/>
        </w:rPr>
        <mc:AlternateContent>
          <mc:Choice Requires="wps">
            <w:drawing>
              <wp:anchor distT="0" distB="0" distL="114300" distR="114300" simplePos="0" relativeHeight="251661312" behindDoc="0" locked="0" layoutInCell="1" allowOverlap="1">
                <wp:simplePos x="0" y="0"/>
                <wp:positionH relativeFrom="column">
                  <wp:posOffset>2301240</wp:posOffset>
                </wp:positionH>
                <wp:positionV relativeFrom="paragraph">
                  <wp:posOffset>426085</wp:posOffset>
                </wp:positionV>
                <wp:extent cx="1478280" cy="883920"/>
                <wp:effectExtent l="0" t="0" r="26670" b="30480"/>
                <wp:wrapNone/>
                <wp:docPr id="13" name="Arrow: Curved Up 13"/>
                <wp:cNvGraphicFramePr/>
                <a:graphic xmlns:a="http://schemas.openxmlformats.org/drawingml/2006/main">
                  <a:graphicData uri="http://schemas.microsoft.com/office/word/2010/wordprocessingShape">
                    <wps:wsp>
                      <wps:cNvSpPr/>
                      <wps:spPr>
                        <a:xfrm rot="10800000">
                          <a:off x="0" y="0"/>
                          <a:ext cx="1478280" cy="883920"/>
                        </a:xfrm>
                        <a:prstGeom prst="curvedUpArrow">
                          <a:avLst/>
                        </a:prstGeom>
                        <a:solidFill>
                          <a:srgbClr val="00B0F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4599AFE1"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3" o:spid="_x0000_s1026" type="#_x0000_t104" style="position:absolute;margin-left:181.2pt;margin-top:33.55pt;width:116.4pt;height:69.6pt;rotation:18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" adj="15142,19985,5400" fillcolor="#00b0f0" strokecolor="yellow" strokeweight="1pt"/>
            </w:pict>
          </mc:Fallback>
        </mc:AlternateContent>
      </w:r>
      <w:r w:rsidR="00B4669E" w:rsidRPr="00F97D3B">
        <w:rPr>
          <w:rFonts w:ascii="Arial" w:hAnsi="Arial" w:cs="Arial"/>
          <w:noProof/>
          <w:sz w:val="24"/>
          <w:szCs w:val="24"/>
          <w:lang w:eastAsia="en-IN" w:bidi="hi-IN"/>
        </w:rPr>
        <w:drawing>
          <wp:inline distT="0" distB="0" distL="0" distR="0" wp14:anchorId="243487DF">
            <wp:extent cx="3032760" cy="1965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2760" cy="1965960"/>
                    </a:xfrm>
                    <a:prstGeom prst="rect">
                      <a:avLst/>
                    </a:prstGeom>
                    <a:noFill/>
                  </pic:spPr>
                </pic:pic>
              </a:graphicData>
            </a:graphic>
          </wp:inline>
        </w:drawing>
      </w:r>
      <w:r w:rsidR="00235467" w:rsidRPr="00F97D3B">
        <w:rPr>
          <w:rFonts w:ascii="Arial" w:hAnsi="Arial" w:cs="Arial"/>
          <w:noProof/>
          <w:sz w:val="24"/>
          <w:szCs w:val="24"/>
        </w:rPr>
        <w:t xml:space="preserve"> </w:t>
      </w:r>
      <w:r w:rsidR="00235467" w:rsidRPr="00F97D3B">
        <w:rPr>
          <w:rFonts w:ascii="Arial" w:hAnsi="Arial" w:cs="Arial"/>
          <w:noProof/>
          <w:color w:val="FF0000"/>
          <w:sz w:val="24"/>
          <w:szCs w:val="24"/>
          <w:lang w:eastAsia="en-IN" w:bidi="hi-IN"/>
        </w:rPr>
        <w:drawing>
          <wp:inline distT="0" distB="0" distL="0" distR="0" wp14:anchorId="2EE11D47" wp14:editId="0D2CE691">
            <wp:extent cx="3462850" cy="1948815"/>
            <wp:effectExtent l="0" t="0" r="4445" b="0"/>
            <wp:docPr id="1" name="Picture 1" descr="Primark (very lightly) rebrands with tweaked logo and graphic por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k (very lightly) rebrands with tweaked logo and graphic porta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76272" cy="1956368"/>
                    </a:xfrm>
                    <a:prstGeom prst="rect">
                      <a:avLst/>
                    </a:prstGeom>
                    <a:noFill/>
                    <a:ln>
                      <a:noFill/>
                    </a:ln>
                  </pic:spPr>
                </pic:pic>
              </a:graphicData>
            </a:graphic>
          </wp:inline>
        </w:drawing>
      </w:r>
    </w:p>
    <w:p w:rsidR="00193A0D" w:rsidRPr="00F97D3B" w:rsidRDefault="00B4669E" w:rsidP="00193A0D">
      <w:pPr>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2</w:t>
      </w:r>
      <w:r w:rsidR="00F97D3B" w:rsidRPr="00F97D3B">
        <w:rPr>
          <w:rFonts w:ascii="Arial" w:hAnsi="Arial" w:cs="Arial"/>
          <w:noProof/>
          <w:sz w:val="24"/>
          <w:szCs w:val="24"/>
        </w:rPr>
        <w:fldChar w:fldCharType="end"/>
      </w:r>
      <w:r w:rsidRPr="00F97D3B">
        <w:rPr>
          <w:rFonts w:ascii="Arial" w:hAnsi="Arial" w:cs="Arial"/>
          <w:sz w:val="24"/>
          <w:szCs w:val="24"/>
        </w:rPr>
        <w:t>https://en.wikipedia.org/wiki/Flag_of_India</w:t>
      </w:r>
      <w:r w:rsidR="00193A0D" w:rsidRPr="00F97D3B">
        <w:rPr>
          <w:rFonts w:ascii="Arial" w:hAnsi="Arial" w:cs="Arial"/>
          <w:sz w:val="24"/>
          <w:szCs w:val="24"/>
        </w:rPr>
        <w:t xml:space="preserve">   &amp; </w:t>
      </w:r>
    </w:p>
    <w:p w:rsidR="00193A0D" w:rsidRPr="00F97D3B" w:rsidRDefault="00193A0D" w:rsidP="00193A0D">
      <w:pPr>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3</w:t>
      </w:r>
      <w:r w:rsidR="00F97D3B" w:rsidRPr="00F97D3B">
        <w:rPr>
          <w:rFonts w:ascii="Arial" w:hAnsi="Arial" w:cs="Arial"/>
          <w:noProof/>
          <w:sz w:val="24"/>
          <w:szCs w:val="24"/>
        </w:rPr>
        <w:fldChar w:fldCharType="end"/>
      </w:r>
      <w:r w:rsidRPr="00F97D3B">
        <w:rPr>
          <w:rFonts w:ascii="Arial" w:hAnsi="Arial" w:cs="Arial"/>
          <w:sz w:val="24"/>
          <w:szCs w:val="24"/>
        </w:rPr>
        <w:t>https://www.itsnicethat.com/articles/vccp-primark-graphic-design-project-220524</w:t>
      </w:r>
    </w:p>
    <w:p w:rsidR="00B4669E" w:rsidRPr="00F97D3B" w:rsidRDefault="00B4669E" w:rsidP="00B4669E">
      <w:pPr>
        <w:pStyle w:val="Caption"/>
        <w:rPr>
          <w:rFonts w:ascii="Arial" w:hAnsi="Arial" w:cs="Arial"/>
          <w:sz w:val="24"/>
          <w:szCs w:val="24"/>
          <w:lang w:eastAsia="en-IN" w:bidi="hi-IN"/>
        </w:rPr>
      </w:pPr>
    </w:p>
    <w:p w:rsidR="00C5067E" w:rsidRPr="00F97D3B" w:rsidRDefault="00C5067E" w:rsidP="00B4669E">
      <w:pPr>
        <w:pStyle w:val="Heading2"/>
        <w:rPr>
          <w:rFonts w:ascii="Arial" w:eastAsia="Times New Roman" w:hAnsi="Arial" w:cs="Arial"/>
          <w:sz w:val="24"/>
          <w:szCs w:val="24"/>
          <w:lang w:eastAsia="en-IN" w:bidi="hi-IN"/>
        </w:rPr>
      </w:pPr>
      <w:bookmarkStart w:id="3" w:name="_Toc217242866"/>
      <w:r w:rsidRPr="00F97D3B">
        <w:rPr>
          <w:rFonts w:ascii="Arial" w:eastAsia="Times New Roman" w:hAnsi="Arial" w:cs="Arial"/>
          <w:sz w:val="24"/>
          <w:szCs w:val="24"/>
          <w:lang w:eastAsia="en-IN" w:bidi="hi-IN"/>
        </w:rPr>
        <w:t>3.1 The Chosen Organization</w:t>
      </w:r>
      <w:bookmarkEnd w:id="3"/>
    </w:p>
    <w:p w:rsidR="00406BFE" w:rsidRPr="00F97D3B" w:rsidRDefault="00406BFE" w:rsidP="00406BFE">
      <w:pPr>
        <w:rPr>
          <w:rFonts w:ascii="Arial" w:hAnsi="Arial" w:cs="Arial"/>
          <w:sz w:val="24"/>
          <w:szCs w:val="24"/>
        </w:rPr>
      </w:pPr>
    </w:p>
    <w:p w:rsidR="00952D19" w:rsidRPr="00F97D3B" w:rsidRDefault="00952D19" w:rsidP="00952D19">
      <w:pPr>
        <w:rPr>
          <w:rFonts w:ascii="Arial" w:hAnsi="Arial" w:cs="Arial"/>
          <w:sz w:val="24"/>
          <w:szCs w:val="24"/>
        </w:rPr>
      </w:pPr>
      <w:r w:rsidRPr="00F97D3B">
        <w:rPr>
          <w:rStyle w:val="whitespace-normal"/>
          <w:rFonts w:ascii="Arial" w:hAnsi="Arial" w:cs="Arial"/>
          <w:b/>
          <w:bCs/>
          <w:sz w:val="24"/>
          <w:szCs w:val="24"/>
        </w:rPr>
        <w:t>Primark</w:t>
      </w:r>
      <w:r w:rsidRPr="00F97D3B">
        <w:rPr>
          <w:rFonts w:ascii="Arial" w:hAnsi="Arial" w:cs="Arial"/>
          <w:sz w:val="24"/>
          <w:szCs w:val="24"/>
        </w:rPr>
        <w:t xml:space="preserve"> is one of Europe’s fastest-growing fashion retailers, combining trend-focused high-street fashion with ultra-low prices. As of 2024, the company operates over 440 stores across 17 countries, generating revenues of £9.01 billion and operating profits of £1.03 billion, equivalent to an operating margin of 11.4% (Associated British Foods, 2024). Primark serves more than 400 million customers annually, relying on high sales volumes and rapid inventory turnover to offset low average transaction values.</w:t>
      </w:r>
    </w:p>
    <w:p w:rsidR="00952D19" w:rsidRPr="00F97D3B" w:rsidRDefault="00952D19" w:rsidP="00952D19">
      <w:pPr>
        <w:rPr>
          <w:rFonts w:ascii="Arial" w:hAnsi="Arial" w:cs="Arial"/>
          <w:sz w:val="24"/>
          <w:szCs w:val="24"/>
        </w:rPr>
      </w:pPr>
      <w:r w:rsidRPr="00F97D3B">
        <w:rPr>
          <w:rFonts w:ascii="Arial" w:hAnsi="Arial" w:cs="Arial"/>
          <w:sz w:val="24"/>
          <w:szCs w:val="24"/>
        </w:rPr>
        <w:t xml:space="preserve">Primark’s core value proposition </w:t>
      </w:r>
      <w:r w:rsidRPr="00F97D3B">
        <w:rPr>
          <w:rStyle w:val="Emphasis"/>
          <w:rFonts w:ascii="Arial" w:hAnsi="Arial" w:cs="Arial"/>
          <w:sz w:val="24"/>
          <w:szCs w:val="24"/>
        </w:rPr>
        <w:t>“amazing fashion at amazing prices”</w:t>
      </w:r>
      <w:r w:rsidRPr="00F97D3B">
        <w:rPr>
          <w:rFonts w:ascii="Arial" w:hAnsi="Arial" w:cs="Arial"/>
          <w:sz w:val="24"/>
          <w:szCs w:val="24"/>
        </w:rPr>
        <w:t xml:space="preserve"> is supported by a cost-leadership strategy driven by vertical integration, direct sourcing from Asian manufacturers, minimal advertising expenditure, large-format high-street stores, and short design-to-retail cycles of 6–8 weeks. Its product portfolio spans apparel, accessories, footwear, beauty, and homeware, typically priced 30–50% below mainstream competitors.</w:t>
      </w:r>
    </w:p>
    <w:p w:rsidR="00952D19" w:rsidRPr="00F97D3B" w:rsidRDefault="00952D19" w:rsidP="00952D19">
      <w:pPr>
        <w:rPr>
          <w:rFonts w:ascii="Arial" w:hAnsi="Arial" w:cs="Arial"/>
          <w:sz w:val="24"/>
          <w:szCs w:val="24"/>
        </w:rPr>
      </w:pPr>
      <w:r w:rsidRPr="00F97D3B">
        <w:rPr>
          <w:rFonts w:ascii="Arial" w:hAnsi="Arial" w:cs="Arial"/>
          <w:sz w:val="24"/>
          <w:szCs w:val="24"/>
        </w:rPr>
        <w:t xml:space="preserve">Backed by the financial strength of </w:t>
      </w:r>
      <w:r w:rsidRPr="00F97D3B">
        <w:rPr>
          <w:rStyle w:val="whitespace-normal"/>
          <w:rFonts w:ascii="Arial" w:hAnsi="Arial" w:cs="Arial"/>
          <w:b/>
          <w:bCs/>
          <w:sz w:val="24"/>
          <w:szCs w:val="24"/>
        </w:rPr>
        <w:t>Associated British Foods</w:t>
      </w:r>
      <w:r w:rsidRPr="00F97D3B">
        <w:rPr>
          <w:rFonts w:ascii="Arial" w:hAnsi="Arial" w:cs="Arial"/>
          <w:sz w:val="24"/>
          <w:szCs w:val="24"/>
        </w:rPr>
        <w:t>, Primark is well positioned for international expansion. While its track record in Europe and North America demonstrates strong market entry capability, expansion into Asia presents new operational and strategic challenges.</w:t>
      </w:r>
    </w:p>
    <w:p w:rsidR="00AA1CE9" w:rsidRPr="00F97D3B" w:rsidRDefault="00AA1CE9" w:rsidP="00B837E6">
      <w:pPr>
        <w:rPr>
          <w:rFonts w:ascii="Arial" w:hAnsi="Arial" w:cs="Arial"/>
          <w:sz w:val="24"/>
          <w:szCs w:val="24"/>
        </w:rPr>
      </w:pPr>
    </w:p>
    <w:p w:rsidR="00AA1CE9" w:rsidRPr="00F97D3B" w:rsidRDefault="00AA1CE9" w:rsidP="00952D19">
      <w:pPr>
        <w:pStyle w:val="Heading2"/>
        <w:rPr>
          <w:rFonts w:ascii="Arial" w:eastAsia="Times New Roman" w:hAnsi="Arial" w:cs="Arial"/>
          <w:sz w:val="24"/>
          <w:szCs w:val="24"/>
          <w:lang w:eastAsia="en-IN" w:bidi="hi-IN"/>
        </w:rPr>
      </w:pPr>
      <w:bookmarkStart w:id="4" w:name="_Toc217242867"/>
      <w:r w:rsidRPr="00F97D3B">
        <w:rPr>
          <w:rFonts w:ascii="Arial" w:eastAsia="Times New Roman" w:hAnsi="Arial" w:cs="Arial"/>
          <w:sz w:val="24"/>
          <w:szCs w:val="24"/>
          <w:lang w:eastAsia="en-IN" w:bidi="hi-IN"/>
        </w:rPr>
        <w:t>3.2 Target Market: India</w:t>
      </w:r>
      <w:bookmarkEnd w:id="4"/>
    </w:p>
    <w:p w:rsidR="00D36134" w:rsidRPr="00F97D3B" w:rsidRDefault="00D36134" w:rsidP="00952D19">
      <w:pPr>
        <w:rPr>
          <w:rFonts w:ascii="Arial" w:hAnsi="Arial" w:cs="Arial"/>
          <w:sz w:val="24"/>
          <w:szCs w:val="24"/>
          <w:lang w:eastAsia="en-IN" w:bidi="hi-IN"/>
        </w:rPr>
      </w:pPr>
      <w:r w:rsidRPr="00F97D3B">
        <w:rPr>
          <w:rFonts w:ascii="Arial" w:hAnsi="Arial" w:cs="Arial"/>
          <w:sz w:val="24"/>
          <w:szCs w:val="24"/>
          <w:lang w:eastAsia="en-IN" w:bidi="hi-IN"/>
        </w:rPr>
        <w:t>India stands out as an exceptionally attractive market for Primark's next phase of global expansion. The primary demographic focus consists of urban millennials and Generation Z consumers aged 18-35 in major metropolitan areas and Tier 1 cities such as Mumbai, Delhi NCR, Bangalore, Hyderabad, Chennai, Pune, Kolkata, and Ahmedabad (IBEF, 2024). This age group, comprising over 400 million people, exhibits traits that closely match Primark's value proposition: a keen interest in fashion, digital savviness, increasing disposable income, a receptiveness to Western fashion trends, and a balance between price sensitivity and quality expectations.</w:t>
      </w:r>
    </w:p>
    <w:p w:rsidR="00D36134" w:rsidRPr="00F97D3B" w:rsidRDefault="00D36134" w:rsidP="00952D19">
      <w:pPr>
        <w:rPr>
          <w:rFonts w:ascii="Arial" w:hAnsi="Arial" w:cs="Arial"/>
          <w:sz w:val="24"/>
          <w:szCs w:val="24"/>
          <w:lang w:eastAsia="en-IN" w:bidi="hi-IN"/>
        </w:rPr>
      </w:pPr>
    </w:p>
    <w:p w:rsidR="00D36134" w:rsidRPr="00F97D3B" w:rsidRDefault="00D36134" w:rsidP="00952D19">
      <w:pPr>
        <w:rPr>
          <w:rFonts w:ascii="Arial" w:hAnsi="Arial" w:cs="Arial"/>
          <w:sz w:val="24"/>
          <w:szCs w:val="24"/>
          <w:lang w:eastAsia="en-IN" w:bidi="hi-IN"/>
        </w:rPr>
      </w:pPr>
      <w:r w:rsidRPr="00F97D3B">
        <w:rPr>
          <w:rFonts w:ascii="Arial" w:hAnsi="Arial" w:cs="Arial"/>
          <w:sz w:val="24"/>
          <w:szCs w:val="24"/>
          <w:lang w:eastAsia="en-IN" w:bidi="hi-IN"/>
        </w:rPr>
        <w:t xml:space="preserve">Additional target segments include young families in search of budget-friendly children's clothing, college students and young professionals with limited budgets yet high fashion aspirations, and middle-class households looking for reasonably priced homeware and lifestyle products. The aspirational appeal of international brands in India creates further opportunities for positioning, </w:t>
      </w:r>
      <w:r w:rsidRPr="00F97D3B">
        <w:rPr>
          <w:rFonts w:ascii="Arial" w:hAnsi="Arial" w:cs="Arial"/>
          <w:sz w:val="24"/>
          <w:szCs w:val="24"/>
          <w:lang w:eastAsia="en-IN" w:bidi="hi-IN"/>
        </w:rPr>
        <w:lastRenderedPageBreak/>
        <w:t>where Primark’s European roots and fashion credibility can attract a premium perception, despite competitive pricing (Deloitte, 2024).</w:t>
      </w:r>
    </w:p>
    <w:p w:rsidR="00D36134" w:rsidRPr="00F97D3B" w:rsidRDefault="00D36134" w:rsidP="00952D19">
      <w:pPr>
        <w:rPr>
          <w:rFonts w:ascii="Arial" w:hAnsi="Arial" w:cs="Arial"/>
          <w:sz w:val="24"/>
          <w:szCs w:val="24"/>
          <w:lang w:eastAsia="en-IN" w:bidi="hi-IN"/>
        </w:rPr>
      </w:pPr>
    </w:p>
    <w:p w:rsidR="00D36134" w:rsidRPr="00F97D3B" w:rsidRDefault="00D36134" w:rsidP="00952D19">
      <w:pPr>
        <w:rPr>
          <w:rFonts w:ascii="Arial" w:hAnsi="Arial" w:cs="Arial"/>
          <w:sz w:val="24"/>
          <w:szCs w:val="24"/>
          <w:lang w:eastAsia="en-IN" w:bidi="hi-IN"/>
        </w:rPr>
      </w:pPr>
      <w:r w:rsidRPr="00F97D3B">
        <w:rPr>
          <w:rFonts w:ascii="Arial" w:hAnsi="Arial" w:cs="Arial"/>
          <w:sz w:val="24"/>
          <w:szCs w:val="24"/>
          <w:lang w:eastAsia="en-IN" w:bidi="hi-IN"/>
        </w:rPr>
        <w:t>The geographic emphasis centers on India’s urban areas, where organized retail penetration ranges from 45-50%, compared to a national average of 12-15%, supported by adequate infrastructure, consumer sophistication, and purchasing power that facilitate international retail formats (IBEF, 2024). The initial phase of entry would concentrate on Mumbai and Delhi NCR, the two largest metropolitan economies, before expanding to Bangalore (known as India’s tech hub), followed by Hyderabad, Chennai, and Pune. Later phases could explore high-potential Tier 2 cities, including Jaipur, Lucknow, Chandigarh, Coimbatore, and Visakhapatnam, where increasing prosperity and advancements in retail infrastructure create new opportunities.</w:t>
      </w:r>
    </w:p>
    <w:p w:rsidR="00D36134" w:rsidRPr="00F97D3B" w:rsidRDefault="00D36134" w:rsidP="00952D19">
      <w:pPr>
        <w:rPr>
          <w:rFonts w:ascii="Arial" w:hAnsi="Arial" w:cs="Arial"/>
          <w:sz w:val="24"/>
          <w:szCs w:val="24"/>
          <w:lang w:eastAsia="en-IN" w:bidi="hi-IN"/>
        </w:rPr>
      </w:pPr>
    </w:p>
    <w:p w:rsidR="00D36134" w:rsidRPr="00F97D3B" w:rsidRDefault="00D36134" w:rsidP="00952D19">
      <w:pPr>
        <w:pStyle w:val="Heading2"/>
        <w:rPr>
          <w:rFonts w:ascii="Arial" w:eastAsia="Times New Roman" w:hAnsi="Arial" w:cs="Arial"/>
          <w:sz w:val="24"/>
          <w:szCs w:val="24"/>
          <w:lang w:eastAsia="en-IN" w:bidi="hi-IN"/>
        </w:rPr>
      </w:pPr>
      <w:bookmarkStart w:id="5" w:name="_Toc217242868"/>
      <w:r w:rsidRPr="00F97D3B">
        <w:rPr>
          <w:rFonts w:ascii="Arial" w:eastAsia="Times New Roman" w:hAnsi="Arial" w:cs="Arial"/>
          <w:sz w:val="24"/>
          <w:szCs w:val="24"/>
          <w:lang w:eastAsia="en-IN" w:bidi="hi-IN"/>
        </w:rPr>
        <w:t xml:space="preserve">3.3 </w:t>
      </w:r>
      <w:r w:rsidR="00561E0B" w:rsidRPr="00F97D3B">
        <w:rPr>
          <w:rFonts w:ascii="Arial" w:eastAsia="Times New Roman" w:hAnsi="Arial" w:cs="Arial"/>
          <w:sz w:val="24"/>
          <w:szCs w:val="24"/>
          <w:lang w:eastAsia="en-IN" w:bidi="hi-IN"/>
        </w:rPr>
        <w:t>Rationale for Strategic Selection</w:t>
      </w:r>
      <w:bookmarkEnd w:id="5"/>
    </w:p>
    <w:p w:rsidR="00952D19" w:rsidRPr="00F97D3B" w:rsidRDefault="00952D19" w:rsidP="00A50BEA">
      <w:pPr>
        <w:rPr>
          <w:rFonts w:ascii="Arial" w:hAnsi="Arial" w:cs="Arial"/>
          <w:sz w:val="24"/>
          <w:szCs w:val="24"/>
          <w:lang w:eastAsia="en-IN" w:bidi="hi-IN"/>
        </w:rPr>
      </w:pPr>
    </w:p>
    <w:p w:rsidR="00A50BEA" w:rsidRPr="00F97D3B" w:rsidRDefault="00A50BEA" w:rsidP="00A50BEA">
      <w:pPr>
        <w:rPr>
          <w:rFonts w:ascii="Arial" w:hAnsi="Arial" w:cs="Arial"/>
          <w:b/>
          <w:sz w:val="24"/>
          <w:szCs w:val="24"/>
        </w:rPr>
      </w:pPr>
      <w:r w:rsidRPr="00F97D3B">
        <w:rPr>
          <w:rFonts w:ascii="Arial" w:hAnsi="Arial" w:cs="Arial"/>
          <w:b/>
          <w:sz w:val="24"/>
          <w:szCs w:val="24"/>
        </w:rPr>
        <w:t>Market Size and Growth Dynamics</w:t>
      </w:r>
    </w:p>
    <w:p w:rsidR="00A50BEA" w:rsidRPr="00F97D3B" w:rsidRDefault="00A50BEA" w:rsidP="00A50BEA">
      <w:pPr>
        <w:rPr>
          <w:rFonts w:ascii="Arial" w:hAnsi="Arial" w:cs="Arial"/>
          <w:sz w:val="24"/>
          <w:szCs w:val="24"/>
        </w:rPr>
      </w:pPr>
      <w:r w:rsidRPr="00F97D3B">
        <w:rPr>
          <w:rFonts w:ascii="Arial" w:hAnsi="Arial" w:cs="Arial"/>
          <w:sz w:val="24"/>
          <w:szCs w:val="24"/>
        </w:rPr>
        <w:t>India’s apparel and fashion accessories market is among the largest globally, valued at approximately $96 billion in 2024 and projected to reach $190 billion by 2030, reflecting a 10–12% CAGR (IBEF, 2024). The organized retail sector, currently representing 35% of total sales, is expanding faster at 15–18% annually, creating significant opportunities in the underserved value fashion segment where Primark is positioned (Technopak, 2024).</w:t>
      </w:r>
    </w:p>
    <w:p w:rsidR="00A50BEA" w:rsidRPr="00F97D3B" w:rsidRDefault="00A50BEA" w:rsidP="00A50BEA">
      <w:pPr>
        <w:rPr>
          <w:rFonts w:ascii="Arial" w:hAnsi="Arial" w:cs="Arial"/>
          <w:b/>
          <w:sz w:val="24"/>
          <w:szCs w:val="24"/>
        </w:rPr>
      </w:pPr>
      <w:r w:rsidRPr="00F97D3B">
        <w:rPr>
          <w:rFonts w:ascii="Arial" w:hAnsi="Arial" w:cs="Arial"/>
          <w:b/>
          <w:sz w:val="24"/>
          <w:szCs w:val="24"/>
        </w:rPr>
        <w:t>Demographic Dividend</w:t>
      </w:r>
    </w:p>
    <w:p w:rsidR="00A50BEA" w:rsidRPr="00F97D3B" w:rsidRDefault="00A50BEA" w:rsidP="00A50BEA">
      <w:pPr>
        <w:rPr>
          <w:rFonts w:ascii="Arial" w:hAnsi="Arial" w:cs="Arial"/>
          <w:sz w:val="24"/>
          <w:szCs w:val="24"/>
        </w:rPr>
      </w:pPr>
      <w:r w:rsidRPr="00F97D3B">
        <w:rPr>
          <w:rFonts w:ascii="Arial" w:hAnsi="Arial" w:cs="Arial"/>
          <w:sz w:val="24"/>
          <w:szCs w:val="24"/>
        </w:rPr>
        <w:t>India’s young population offers a competitive advantage, with 65% under the age of 35 and a median age of 28.2 years (World Bank, 2024). The middle class is projected to grow from 350 million to 600 million by 2030, while rising female workforce participation and dual-income households are driving increased discretionary spending on fashion (McKinsey &amp; Company, 2024).</w:t>
      </w:r>
    </w:p>
    <w:p w:rsidR="00A50BEA" w:rsidRPr="00F97D3B" w:rsidRDefault="00A50BEA" w:rsidP="00A50BEA">
      <w:pPr>
        <w:rPr>
          <w:rFonts w:ascii="Arial" w:hAnsi="Arial" w:cs="Arial"/>
          <w:b/>
          <w:sz w:val="24"/>
          <w:szCs w:val="24"/>
        </w:rPr>
      </w:pPr>
      <w:r w:rsidRPr="00F97D3B">
        <w:rPr>
          <w:rFonts w:ascii="Arial" w:hAnsi="Arial" w:cs="Arial"/>
          <w:b/>
          <w:sz w:val="24"/>
          <w:szCs w:val="24"/>
        </w:rPr>
        <w:t>Urbanization and Infrastructure Development</w:t>
      </w:r>
    </w:p>
    <w:p w:rsidR="00A50BEA" w:rsidRPr="00F97D3B" w:rsidRDefault="00A50BEA" w:rsidP="00A50BEA">
      <w:pPr>
        <w:rPr>
          <w:rFonts w:ascii="Arial" w:hAnsi="Arial" w:cs="Arial"/>
          <w:sz w:val="24"/>
          <w:szCs w:val="24"/>
        </w:rPr>
      </w:pPr>
      <w:r w:rsidRPr="00F97D3B">
        <w:rPr>
          <w:rFonts w:ascii="Arial" w:hAnsi="Arial" w:cs="Arial"/>
          <w:sz w:val="24"/>
          <w:szCs w:val="24"/>
        </w:rPr>
        <w:t>Urbanization, currently at 35% and expected to rise to 40% by 2030, will add approximately 150 million urban residents (World Bank, 2024). Investments in metro systems, airports, roads, modern shopping centers, and organized retail real estate create concentrated consumer hubs ideal for large-format stores. Enhanced logistics, including improved highway connectivity and storage facilities, reduces traditional retail expansion barriers.</w:t>
      </w:r>
    </w:p>
    <w:p w:rsidR="00A50BEA" w:rsidRPr="00F97D3B" w:rsidRDefault="00A50BEA" w:rsidP="00A50BEA">
      <w:pPr>
        <w:rPr>
          <w:rFonts w:ascii="Arial" w:hAnsi="Arial" w:cs="Arial"/>
          <w:b/>
          <w:sz w:val="24"/>
          <w:szCs w:val="24"/>
        </w:rPr>
      </w:pPr>
      <w:r w:rsidRPr="00F97D3B">
        <w:rPr>
          <w:rFonts w:ascii="Arial" w:hAnsi="Arial" w:cs="Arial"/>
          <w:b/>
          <w:sz w:val="24"/>
          <w:szCs w:val="24"/>
        </w:rPr>
        <w:t>Evolving Consumer Behaviour</w:t>
      </w:r>
    </w:p>
    <w:p w:rsidR="00A50BEA" w:rsidRPr="00F97D3B" w:rsidRDefault="00A50BEA" w:rsidP="00A50BEA">
      <w:pPr>
        <w:rPr>
          <w:rFonts w:ascii="Arial" w:hAnsi="Arial" w:cs="Arial"/>
          <w:sz w:val="24"/>
          <w:szCs w:val="24"/>
        </w:rPr>
      </w:pPr>
      <w:r w:rsidRPr="00F97D3B">
        <w:rPr>
          <w:rFonts w:ascii="Arial" w:hAnsi="Arial" w:cs="Arial"/>
          <w:sz w:val="24"/>
          <w:szCs w:val="24"/>
        </w:rPr>
        <w:t>Indian consumers are increasingly fashion-conscious, frequently updating wardrobes, and influenced by social media, Bollywood, and global trends (Deloitte, 2024). The “premiumization at value” trend aligns with Primark’s proposition of quality international fashion at affordable prices. The path from online research to offline purchases is increasingly common, highlighting the importance of digital presence even for store-focused retailers.</w:t>
      </w:r>
    </w:p>
    <w:p w:rsidR="00A50BEA" w:rsidRPr="00F97D3B" w:rsidRDefault="00A50BEA" w:rsidP="00A50BEA">
      <w:pPr>
        <w:rPr>
          <w:rFonts w:ascii="Arial" w:hAnsi="Arial" w:cs="Arial"/>
          <w:b/>
          <w:sz w:val="24"/>
          <w:szCs w:val="24"/>
        </w:rPr>
      </w:pPr>
      <w:r w:rsidRPr="00F97D3B">
        <w:rPr>
          <w:rFonts w:ascii="Arial" w:hAnsi="Arial" w:cs="Arial"/>
          <w:b/>
          <w:sz w:val="24"/>
          <w:szCs w:val="24"/>
        </w:rPr>
        <w:t>Competitive Landscape Opportunities</w:t>
      </w:r>
    </w:p>
    <w:p w:rsidR="00A50BEA" w:rsidRPr="00F97D3B" w:rsidRDefault="00A50BEA" w:rsidP="00A50BEA">
      <w:pPr>
        <w:rPr>
          <w:rFonts w:ascii="Arial" w:hAnsi="Arial" w:cs="Arial"/>
          <w:sz w:val="24"/>
          <w:szCs w:val="24"/>
        </w:rPr>
      </w:pPr>
      <w:r w:rsidRPr="00F97D3B">
        <w:rPr>
          <w:rFonts w:ascii="Arial" w:hAnsi="Arial" w:cs="Arial"/>
          <w:sz w:val="24"/>
          <w:szCs w:val="24"/>
        </w:rPr>
        <w:t xml:space="preserve">International fast-fashion brands such as Zara, H&amp;M, and Mango target wealthier consumers at 40–60% higher prices, while domestic organized retailers like Westside, Pantaloons, and Max Fashion struggle with fashion credibility, consistency, and modern retail experience. Unorganized retail, although price-competitive, lacks quality assurance and brand reliability. This creates an </w:t>
      </w:r>
      <w:r w:rsidRPr="00F97D3B">
        <w:rPr>
          <w:rFonts w:ascii="Arial" w:hAnsi="Arial" w:cs="Arial"/>
          <w:sz w:val="24"/>
          <w:szCs w:val="24"/>
        </w:rPr>
        <w:lastRenderedPageBreak/>
        <w:t>opportunity for Primark to deliver “international fashion at local prices” (Euromonitor International, 2024).</w:t>
      </w:r>
    </w:p>
    <w:p w:rsidR="00A50BEA" w:rsidRPr="00F97D3B" w:rsidRDefault="00A50BEA" w:rsidP="00A50BEA">
      <w:pPr>
        <w:rPr>
          <w:rFonts w:ascii="Arial" w:hAnsi="Arial" w:cs="Arial"/>
          <w:b/>
          <w:sz w:val="24"/>
          <w:szCs w:val="24"/>
        </w:rPr>
      </w:pPr>
      <w:r w:rsidRPr="00F97D3B">
        <w:rPr>
          <w:rFonts w:ascii="Arial" w:hAnsi="Arial" w:cs="Arial"/>
          <w:b/>
          <w:sz w:val="24"/>
          <w:szCs w:val="24"/>
        </w:rPr>
        <w:t>Economic and Policy Environment</w:t>
      </w:r>
    </w:p>
    <w:p w:rsidR="00A50BEA" w:rsidRPr="00F97D3B" w:rsidRDefault="00A50BEA" w:rsidP="00A50BEA">
      <w:pPr>
        <w:rPr>
          <w:rFonts w:ascii="Arial" w:hAnsi="Arial" w:cs="Arial"/>
          <w:sz w:val="24"/>
          <w:szCs w:val="24"/>
        </w:rPr>
      </w:pPr>
      <w:r w:rsidRPr="00F97D3B">
        <w:rPr>
          <w:rFonts w:ascii="Arial" w:hAnsi="Arial" w:cs="Arial"/>
          <w:sz w:val="24"/>
          <w:szCs w:val="24"/>
        </w:rPr>
        <w:t>India’s GDP growth averaging 6–7% annually, alongside manageable inflation, supports rising consumption (World Bank, 2024). Government initiatives such as 100% FDI in single-brand retail, GST, and “Make in India” facilitate foreign investment, simplify interstate operations, and enable local sourcing (IBEF, 2024).</w:t>
      </w:r>
    </w:p>
    <w:p w:rsidR="00A50BEA" w:rsidRPr="00F97D3B" w:rsidRDefault="00A50BEA" w:rsidP="00A50BEA">
      <w:pPr>
        <w:rPr>
          <w:rFonts w:ascii="Arial" w:hAnsi="Arial" w:cs="Arial"/>
          <w:b/>
          <w:sz w:val="24"/>
          <w:szCs w:val="24"/>
        </w:rPr>
      </w:pPr>
      <w:r w:rsidRPr="00F97D3B">
        <w:rPr>
          <w:rFonts w:ascii="Arial" w:hAnsi="Arial" w:cs="Arial"/>
          <w:b/>
          <w:sz w:val="24"/>
          <w:szCs w:val="24"/>
        </w:rPr>
        <w:t>Strategic Timing Considerations</w:t>
      </w:r>
    </w:p>
    <w:p w:rsidR="00A50BEA" w:rsidRPr="00F97D3B" w:rsidRDefault="00A50BEA" w:rsidP="00A50BEA">
      <w:pPr>
        <w:rPr>
          <w:rFonts w:ascii="Arial" w:hAnsi="Arial" w:cs="Arial"/>
          <w:sz w:val="24"/>
          <w:szCs w:val="24"/>
        </w:rPr>
      </w:pPr>
      <w:r w:rsidRPr="00F97D3B">
        <w:rPr>
          <w:rFonts w:ascii="Arial" w:hAnsi="Arial" w:cs="Arial"/>
          <w:sz w:val="24"/>
          <w:szCs w:val="24"/>
        </w:rPr>
        <w:t>Post-pandemic recovery, availability of prime retail real estate, and a fragmented value fashion segment create a timely entry opportunity. Primark’s financial strength, operational expertise, and international experience support rapid market entry, making immediate action more advantageous than delay.</w:t>
      </w:r>
    </w:p>
    <w:p w:rsidR="00DA395E" w:rsidRPr="00F97D3B" w:rsidRDefault="00DA395E" w:rsidP="00952D19">
      <w:pPr>
        <w:rPr>
          <w:rFonts w:ascii="Arial" w:hAnsi="Arial" w:cs="Arial"/>
          <w:sz w:val="24"/>
          <w:szCs w:val="24"/>
        </w:rPr>
      </w:pPr>
    </w:p>
    <w:p w:rsidR="00A50BEA" w:rsidRPr="00F97D3B" w:rsidRDefault="00DA395E" w:rsidP="00873C1B">
      <w:pPr>
        <w:pStyle w:val="Heading1"/>
        <w:rPr>
          <w:rFonts w:ascii="Arial" w:hAnsi="Arial" w:cs="Arial"/>
          <w:sz w:val="24"/>
          <w:szCs w:val="24"/>
        </w:rPr>
      </w:pPr>
      <w:bookmarkStart w:id="6" w:name="_Toc217242869"/>
      <w:r w:rsidRPr="00F97D3B">
        <w:rPr>
          <w:rFonts w:ascii="Arial" w:hAnsi="Arial" w:cs="Arial"/>
          <w:sz w:val="24"/>
          <w:szCs w:val="24"/>
        </w:rPr>
        <w:t>Comprehensive Strategic Analysis</w:t>
      </w:r>
      <w:bookmarkEnd w:id="6"/>
    </w:p>
    <w:p w:rsidR="00DA395E" w:rsidRPr="00F97D3B" w:rsidRDefault="00DA395E" w:rsidP="00952D19">
      <w:pPr>
        <w:pStyle w:val="Heading2"/>
        <w:rPr>
          <w:rFonts w:ascii="Arial" w:hAnsi="Arial" w:cs="Arial"/>
          <w:sz w:val="24"/>
          <w:szCs w:val="24"/>
        </w:rPr>
      </w:pPr>
      <w:bookmarkStart w:id="7" w:name="_Toc217242870"/>
      <w:r w:rsidRPr="00F97D3B">
        <w:rPr>
          <w:rFonts w:ascii="Arial" w:hAnsi="Arial" w:cs="Arial"/>
          <w:sz w:val="24"/>
          <w:szCs w:val="24"/>
        </w:rPr>
        <w:t>4.1 Macro-Environmental Analysis: PESTEL Framework</w:t>
      </w:r>
      <w:bookmarkEnd w:id="7"/>
    </w:p>
    <w:p w:rsidR="00DA395E" w:rsidRPr="00F97D3B" w:rsidRDefault="00DA395E" w:rsidP="00952D19">
      <w:pPr>
        <w:rPr>
          <w:rFonts w:ascii="Arial" w:hAnsi="Arial" w:cs="Arial"/>
          <w:sz w:val="24"/>
          <w:szCs w:val="24"/>
        </w:rPr>
      </w:pPr>
      <w:r w:rsidRPr="00F97D3B">
        <w:rPr>
          <w:rFonts w:ascii="Arial" w:hAnsi="Arial" w:cs="Arial"/>
          <w:sz w:val="24"/>
          <w:szCs w:val="24"/>
        </w:rPr>
        <w:t>The PESTEL framework allows for a structured examination of the external factors that influence strategic viability, although it has limitations such as being static, which may not fit dynamic environments and could place too much focus on external elements while underplaying internal strengths (Grant, 2021).</w:t>
      </w:r>
      <w:r w:rsidR="00952D19" w:rsidRPr="00F97D3B">
        <w:rPr>
          <w:rFonts w:ascii="Arial" w:hAnsi="Arial" w:cs="Arial"/>
          <w:noProof/>
          <w:sz w:val="24"/>
          <w:szCs w:val="24"/>
        </w:rPr>
        <w:t xml:space="preserve"> </w:t>
      </w:r>
    </w:p>
    <w:p w:rsidR="00952D19" w:rsidRPr="00F97D3B" w:rsidRDefault="00952D19" w:rsidP="00952D19">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48BA7A9C" wp14:editId="34FE99A0">
            <wp:extent cx="6736080" cy="3474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36080" cy="3474720"/>
                    </a:xfrm>
                    <a:prstGeom prst="rect">
                      <a:avLst/>
                    </a:prstGeom>
                    <a:noFill/>
                  </pic:spPr>
                </pic:pic>
              </a:graphicData>
            </a:graphic>
          </wp:inline>
        </w:drawing>
      </w:r>
    </w:p>
    <w:p w:rsidR="00DA395E" w:rsidRPr="00F97D3B" w:rsidRDefault="00952D19" w:rsidP="00952D19">
      <w:pPr>
        <w:pStyle w:val="Caption"/>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4</w:t>
      </w:r>
      <w:r w:rsidR="00F97D3B" w:rsidRPr="00F97D3B">
        <w:rPr>
          <w:rFonts w:ascii="Arial" w:hAnsi="Arial" w:cs="Arial"/>
          <w:noProof/>
          <w:sz w:val="24"/>
          <w:szCs w:val="24"/>
        </w:rPr>
        <w:fldChar w:fldCharType="end"/>
      </w:r>
      <w:r w:rsidRPr="00F97D3B">
        <w:rPr>
          <w:rFonts w:ascii="Arial" w:hAnsi="Arial" w:cs="Arial"/>
          <w:sz w:val="24"/>
          <w:szCs w:val="24"/>
        </w:rPr>
        <w:t>https://mutomorro.com/tools/pestle-analysis/</w:t>
      </w:r>
    </w:p>
    <w:p w:rsidR="00952D19" w:rsidRPr="00F97D3B" w:rsidRDefault="00952D19" w:rsidP="00952D19">
      <w:pPr>
        <w:pStyle w:val="Heading3"/>
        <w:rPr>
          <w:rFonts w:ascii="Arial" w:hAnsi="Arial" w:cs="Arial"/>
        </w:rPr>
      </w:pPr>
      <w:bookmarkStart w:id="8" w:name="_Toc217242871"/>
      <w:r w:rsidRPr="00F97D3B">
        <w:rPr>
          <w:rFonts w:ascii="Arial" w:hAnsi="Arial" w:cs="Arial"/>
        </w:rPr>
        <w:t>Political Environment</w:t>
      </w:r>
      <w:bookmarkEnd w:id="8"/>
    </w:p>
    <w:p w:rsidR="00873C1B" w:rsidRPr="00F97D3B" w:rsidRDefault="00873C1B" w:rsidP="00873C1B">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 xml:space="preserve">India’s political environment presents both opportunities and challenges for foreign retailers. The country is governed by a stable majority administration led by </w:t>
      </w:r>
      <w:r w:rsidRPr="00F97D3B">
        <w:rPr>
          <w:rStyle w:val="whitespace-normal"/>
          <w:rFonts w:ascii="Arial" w:hAnsi="Arial" w:cs="Arial"/>
          <w:b/>
          <w:bCs/>
          <w:sz w:val="24"/>
          <w:szCs w:val="24"/>
        </w:rPr>
        <w:t>Narendra Modi</w:t>
      </w:r>
      <w:r w:rsidRPr="00F97D3B">
        <w:rPr>
          <w:rFonts w:ascii="Arial" w:hAnsi="Arial" w:cs="Arial"/>
          <w:sz w:val="24"/>
          <w:szCs w:val="24"/>
        </w:rPr>
        <w:t xml:space="preserve">, which has enabled policy continuity and the implementation of pro-business initiatives such as </w:t>
      </w:r>
      <w:r w:rsidRPr="00F97D3B">
        <w:rPr>
          <w:rStyle w:val="Emphasis"/>
          <w:rFonts w:ascii="Arial" w:hAnsi="Arial" w:cs="Arial"/>
          <w:sz w:val="24"/>
          <w:szCs w:val="24"/>
        </w:rPr>
        <w:t>Make in India</w:t>
      </w:r>
      <w:r w:rsidRPr="00F97D3B">
        <w:rPr>
          <w:rFonts w:ascii="Arial" w:hAnsi="Arial" w:cs="Arial"/>
          <w:sz w:val="24"/>
          <w:szCs w:val="24"/>
        </w:rPr>
        <w:t xml:space="preserve"> and </w:t>
      </w:r>
      <w:r w:rsidRPr="00F97D3B">
        <w:rPr>
          <w:rStyle w:val="Emphasis"/>
          <w:rFonts w:ascii="Arial" w:hAnsi="Arial" w:cs="Arial"/>
          <w:sz w:val="24"/>
          <w:szCs w:val="24"/>
        </w:rPr>
        <w:t>Digital India</w:t>
      </w:r>
      <w:r w:rsidRPr="00F97D3B">
        <w:rPr>
          <w:rFonts w:ascii="Arial" w:hAnsi="Arial" w:cs="Arial"/>
          <w:sz w:val="24"/>
          <w:szCs w:val="24"/>
        </w:rPr>
        <w:t xml:space="preserve">. These reforms, along with sustained investment in infrastructure, have created a favourable climate for retail investment (IBEF, 2024). However, India’s federal structure results in </w:t>
      </w:r>
      <w:r w:rsidRPr="00F97D3B">
        <w:rPr>
          <w:rFonts w:ascii="Arial" w:hAnsi="Arial" w:cs="Arial"/>
          <w:sz w:val="24"/>
          <w:szCs w:val="24"/>
        </w:rPr>
        <w:lastRenderedPageBreak/>
        <w:t>significant variations across states in terms of taxation, labour laws, licensing procedures, and operating regulations, requiring firms to adopt state-specific strategies. The liberalisation of foreign direct investment policy allowing 100 per cent foreign ownership in single-brand retail through the automatic route has substantially reduced market entry barriers (Government of India, 2024). While the introduction of the Goods and Services Tax (GST) has simplified interstate trade by replacing multiple indirect taxes, compliance remains complex. Political risks also stem from occasional nationalist sentiments promoting indigenous products, as well as changes in state governments that can affect labour relations, real estate regulations, and local sourcing requirements. Nevertheless, India’s diplomatic relationship with the UK remains positive, with ongoing discussions around a potential free trade agreement that could further benefit British retailers (UK Government, 2024).</w:t>
      </w:r>
    </w:p>
    <w:p w:rsidR="00952D19" w:rsidRPr="00F97D3B" w:rsidRDefault="00952D19" w:rsidP="00952D19">
      <w:pPr>
        <w:rPr>
          <w:rFonts w:ascii="Arial" w:hAnsi="Arial" w:cs="Arial"/>
          <w:sz w:val="24"/>
          <w:szCs w:val="24"/>
        </w:rPr>
      </w:pPr>
    </w:p>
    <w:p w:rsidR="00952D19" w:rsidRPr="00F97D3B" w:rsidRDefault="00952D19" w:rsidP="00952D19">
      <w:pPr>
        <w:pStyle w:val="Heading3"/>
        <w:rPr>
          <w:rFonts w:ascii="Arial" w:hAnsi="Arial" w:cs="Arial"/>
        </w:rPr>
      </w:pPr>
      <w:bookmarkStart w:id="9" w:name="_Toc217242872"/>
      <w:r w:rsidRPr="00F97D3B">
        <w:rPr>
          <w:rFonts w:ascii="Arial" w:hAnsi="Arial" w:cs="Arial"/>
        </w:rPr>
        <w:t>Economic Factors</w:t>
      </w:r>
      <w:bookmarkEnd w:id="9"/>
    </w:p>
    <w:p w:rsidR="00952D19" w:rsidRPr="00F97D3B" w:rsidRDefault="00952D19" w:rsidP="00952D19">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 xml:space="preserve">India’s economic environment is highly supportive of retail growth. The country has recorded average GDP growth of approximately 6.5–7 per cent over the past five years, with forecasts indicating continued expansion up to 2030 (World Bank, 2024). Rising per capita income, increasing from around USD 1,900 in 2019 to approximately USD 2,500 in 2024, has strengthened purchasing power, particularly in urban areas where incomes are significantly higher. The rapid expansion of the middle class, expected to reach nearly 600 million by 2030, represents substantial market potential (McKinsey &amp; Company, 2024). However, income inequality remains pronounced, and regional economic disparities influence demand patterns, requiring careful geographic and demographic segmentation. Currency volatility poses foreign exchange risks for retailers dependent on imports, while inflationary pressures, particularly in food and fuel prices, can constrain discretionary spending. Interest rate decisions by the </w:t>
      </w:r>
      <w:r w:rsidRPr="00F97D3B">
        <w:rPr>
          <w:rStyle w:val="whitespace-normal"/>
          <w:rFonts w:ascii="Arial" w:hAnsi="Arial" w:cs="Arial"/>
          <w:b/>
          <w:bCs/>
          <w:sz w:val="24"/>
          <w:szCs w:val="24"/>
        </w:rPr>
        <w:t>Reserve Bank of India</w:t>
      </w:r>
      <w:r w:rsidRPr="00F97D3B">
        <w:rPr>
          <w:rFonts w:ascii="Arial" w:hAnsi="Arial" w:cs="Arial"/>
          <w:sz w:val="24"/>
          <w:szCs w:val="24"/>
        </w:rPr>
        <w:t xml:space="preserve"> also affect consumer credit availability and business financing costs. Although infrastructure development is progressing, logistical challenges persist in tier 2 and tier 3 cities, and rising real estate costs in major metropolitan areas continue to affect store profitability.</w:t>
      </w:r>
    </w:p>
    <w:p w:rsidR="00952D19" w:rsidRPr="00F97D3B" w:rsidRDefault="00952D19" w:rsidP="00952D19">
      <w:pPr>
        <w:rPr>
          <w:rFonts w:ascii="Arial" w:hAnsi="Arial" w:cs="Arial"/>
          <w:sz w:val="24"/>
          <w:szCs w:val="24"/>
        </w:rPr>
      </w:pPr>
    </w:p>
    <w:p w:rsidR="00952D19" w:rsidRPr="00F97D3B" w:rsidRDefault="00952D19" w:rsidP="00952D19">
      <w:pPr>
        <w:pStyle w:val="Heading3"/>
        <w:rPr>
          <w:rFonts w:ascii="Arial" w:hAnsi="Arial" w:cs="Arial"/>
        </w:rPr>
      </w:pPr>
      <w:bookmarkStart w:id="10" w:name="_Toc217242873"/>
      <w:r w:rsidRPr="00F97D3B">
        <w:rPr>
          <w:rFonts w:ascii="Arial" w:hAnsi="Arial" w:cs="Arial"/>
        </w:rPr>
        <w:t>Social Factors</w:t>
      </w:r>
      <w:bookmarkEnd w:id="10"/>
    </w:p>
    <w:p w:rsidR="00952D19" w:rsidRPr="00F97D3B" w:rsidRDefault="00952D19" w:rsidP="00952D19">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India’s social environment significantly shapes fashion retail strategies. The country benefits from a demographic dividend, with approximately 65 per cent of the population under the age of 35, creating a large, fashion-conscious consumer base influenced by global trends through digital media and travel (World Bank, 2024). The shift from joint to nuclear family structures has increased individual decision-making in consumption, while rising female workforce participation has enhanced household incomes and altered fashion spending patterns (McKinsey &amp; Company, 2024). Social media platforms play a critical role in shaping fashion awareness, with Bollywood celebrities and digital influencers strongly influencing consumer preferences (Deloitte, 2024). Despite increasing adoption of Western fashion, fusion styles that blend Indian and Western aesthetics remain popular. Cultural sensitivities related to modesty norms, colour symbolism, and regional preferences require careful localisation of product design. Seasonal demand peaks during festivals and wedding periods further necessitate alignment with Indian cultural calendars. Additionally, awareness of sustainability and wellness is growing among urban millennials, although price sensitivity continues to dominate purchasing decisions.</w:t>
      </w:r>
    </w:p>
    <w:p w:rsidR="00952D19" w:rsidRPr="00F97D3B" w:rsidRDefault="00952D19" w:rsidP="00952D19">
      <w:pPr>
        <w:pStyle w:val="Heading3"/>
        <w:rPr>
          <w:rFonts w:ascii="Arial" w:hAnsi="Arial" w:cs="Arial"/>
        </w:rPr>
      </w:pPr>
    </w:p>
    <w:p w:rsidR="00952D19" w:rsidRPr="00F97D3B" w:rsidRDefault="00952D19" w:rsidP="00952D19">
      <w:pPr>
        <w:pStyle w:val="Heading3"/>
        <w:rPr>
          <w:rFonts w:ascii="Arial" w:hAnsi="Arial" w:cs="Arial"/>
        </w:rPr>
      </w:pPr>
      <w:bookmarkStart w:id="11" w:name="_Toc217242874"/>
      <w:r w:rsidRPr="00F97D3B">
        <w:rPr>
          <w:rFonts w:ascii="Arial" w:hAnsi="Arial" w:cs="Arial"/>
        </w:rPr>
        <w:t>Technological Factors</w:t>
      </w:r>
      <w:bookmarkEnd w:id="11"/>
    </w:p>
    <w:p w:rsidR="00952D19" w:rsidRPr="00F97D3B" w:rsidRDefault="00952D19" w:rsidP="00952D19">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Technological advancement has become a major enabler of retail operations in India. The rapid adoption of digital payments, particularly through the Unified Payments Interface (UPI), has transformed transaction processes, supporting a cashless retail ecosystem (NPCI, 2024). With over 750 million smartphone users and widespread 4G and 5G connectivity in urban areas, mobile-first consumer engagement has become essential. E-commerce has expanded rapidly, with fashion accounting for a significant share of online retail sales, although physical stores remain dominant due to consumers’ preference for tactile shopping experiences (Bain &amp; Company, 2024). The growth of omnichannel retailing has increased expectations for seamless integration between online and offline channels. Retailers increasingly utilise technologies such as RFID, data analytics, and CRM systems to improve inventory management and customer engagement. However, the digital divide between urban and rural markets limits uniform technology adoption. In addition, data localisation and cybersecurity requirements under Indian law necessitate robust IT governance frameworks.</w:t>
      </w:r>
    </w:p>
    <w:p w:rsidR="00952D19" w:rsidRPr="00F97D3B" w:rsidRDefault="00952D19" w:rsidP="00952D19">
      <w:pPr>
        <w:rPr>
          <w:rFonts w:ascii="Arial" w:hAnsi="Arial" w:cs="Arial"/>
          <w:sz w:val="24"/>
          <w:szCs w:val="24"/>
        </w:rPr>
      </w:pPr>
    </w:p>
    <w:p w:rsidR="00952D19" w:rsidRPr="00F97D3B" w:rsidRDefault="00952D19" w:rsidP="00952D19">
      <w:pPr>
        <w:pStyle w:val="Heading3"/>
        <w:rPr>
          <w:rFonts w:ascii="Arial" w:hAnsi="Arial" w:cs="Arial"/>
        </w:rPr>
      </w:pPr>
      <w:bookmarkStart w:id="12" w:name="_Toc217242875"/>
      <w:r w:rsidRPr="00F97D3B">
        <w:rPr>
          <w:rFonts w:ascii="Arial" w:hAnsi="Arial" w:cs="Arial"/>
        </w:rPr>
        <w:t>Environmental Factors</w:t>
      </w:r>
      <w:bookmarkEnd w:id="12"/>
    </w:p>
    <w:p w:rsidR="00952D19" w:rsidRPr="00F97D3B" w:rsidRDefault="00952D19" w:rsidP="00952D19">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Environmental considerations are gaining importance in India’s retail landscape. Climate change-related challenges, including rising temperatures, unpredictable seasonal patterns, and extreme weather events, complicate inventory planning and logistics (IPCC, 2023). Water scarcity in certain regions affects textile production and local sourcing decisions, while air pollution in major cities influences consumer behaviour and health perceptions. Urban consumers are increasingly aware of the environmental impact of fast fashion, driving gradual growth in demand for sustainable apparel, although affordability remains a constraint. Regulatory measures such as bans on single-use plastics and emerging textile waste management policies have increased compliance costs for retailers (Ministry of Environment, 2024). While economic development often takes precedence over environmental priorities in India, sustainability initiatives offer opportunities for differentiation and reputational advantage.</w:t>
      </w:r>
    </w:p>
    <w:p w:rsidR="00952D19" w:rsidRPr="00F97D3B" w:rsidRDefault="00952D19" w:rsidP="00952D19">
      <w:pPr>
        <w:rPr>
          <w:rFonts w:ascii="Arial" w:hAnsi="Arial" w:cs="Arial"/>
          <w:sz w:val="24"/>
          <w:szCs w:val="24"/>
        </w:rPr>
      </w:pPr>
    </w:p>
    <w:p w:rsidR="00952D19" w:rsidRPr="00F97D3B" w:rsidRDefault="00952D19" w:rsidP="00952D19">
      <w:pPr>
        <w:pStyle w:val="Heading3"/>
        <w:rPr>
          <w:rFonts w:ascii="Arial" w:hAnsi="Arial" w:cs="Arial"/>
        </w:rPr>
      </w:pPr>
      <w:bookmarkStart w:id="13" w:name="_Toc217242876"/>
      <w:r w:rsidRPr="00F97D3B">
        <w:rPr>
          <w:rFonts w:ascii="Arial" w:hAnsi="Arial" w:cs="Arial"/>
        </w:rPr>
        <w:t>Legal Factors</w:t>
      </w:r>
      <w:bookmarkEnd w:id="13"/>
    </w:p>
    <w:p w:rsidR="00952D19" w:rsidRPr="00F97D3B" w:rsidRDefault="00952D19" w:rsidP="00952D19">
      <w:pPr>
        <w:rPr>
          <w:rFonts w:ascii="Arial" w:hAnsi="Arial" w:cs="Arial"/>
          <w:sz w:val="24"/>
          <w:szCs w:val="24"/>
        </w:rPr>
      </w:pPr>
    </w:p>
    <w:p w:rsidR="00952D19" w:rsidRPr="00F97D3B" w:rsidRDefault="00952D19" w:rsidP="00952D19">
      <w:pPr>
        <w:rPr>
          <w:rFonts w:ascii="Arial" w:hAnsi="Arial" w:cs="Arial"/>
          <w:sz w:val="24"/>
          <w:szCs w:val="24"/>
        </w:rPr>
      </w:pPr>
      <w:r w:rsidRPr="00F97D3B">
        <w:rPr>
          <w:rFonts w:ascii="Arial" w:hAnsi="Arial" w:cs="Arial"/>
          <w:sz w:val="24"/>
          <w:szCs w:val="24"/>
        </w:rPr>
        <w:t xml:space="preserve">India’s legal environment is complex and requires strong compliance capabilities. Retailers must adhere to multiple regulations at central and state levels, including labour laws governing wages, working hours, employee benefits, and termination conditions (Government of India, 2024). State-specific Shops and Establishments Acts regulate store operating hours, holidays, and employment practices. Product compliance often requires certification from the Bureau of Indian Standards, while establishments offering food services must comply with regulations issued by the </w:t>
      </w:r>
      <w:r w:rsidRPr="00F97D3B">
        <w:rPr>
          <w:rStyle w:val="whitespace-normal"/>
          <w:rFonts w:ascii="Arial" w:hAnsi="Arial" w:cs="Arial"/>
          <w:b/>
          <w:bCs/>
          <w:sz w:val="24"/>
          <w:szCs w:val="24"/>
        </w:rPr>
        <w:t>Food Safety and Standards Authority of India</w:t>
      </w:r>
      <w:r w:rsidRPr="00F97D3B">
        <w:rPr>
          <w:rFonts w:ascii="Arial" w:hAnsi="Arial" w:cs="Arial"/>
          <w:sz w:val="24"/>
          <w:szCs w:val="24"/>
        </w:rPr>
        <w:t xml:space="preserve"> (FSSAI, 2024). Intellectual property protection is available for trademarks and designs, though enforcement can be time-consuming. Import regulations and customs duties affect sourcing strategies, while competition law enforced by the </w:t>
      </w:r>
      <w:r w:rsidRPr="00F97D3B">
        <w:rPr>
          <w:rStyle w:val="whitespace-normal"/>
          <w:rFonts w:ascii="Arial" w:hAnsi="Arial" w:cs="Arial"/>
          <w:b/>
          <w:bCs/>
          <w:sz w:val="24"/>
          <w:szCs w:val="24"/>
        </w:rPr>
        <w:t>Competition Commission of India</w:t>
      </w:r>
      <w:r w:rsidRPr="00F97D3B">
        <w:rPr>
          <w:rFonts w:ascii="Arial" w:hAnsi="Arial" w:cs="Arial"/>
          <w:sz w:val="24"/>
          <w:szCs w:val="24"/>
        </w:rPr>
        <w:t xml:space="preserve"> governs pricing and market conduct. Furthermore, the Consumer Protection Act 2019 imposes strict obligations regarding product liability and customer grievance redressal, and the Digital Personal Data Protection Act 2023 establishes requirements for the collection, storage, and processing of customer data.</w:t>
      </w:r>
    </w:p>
    <w:p w:rsidR="00F86988" w:rsidRPr="00F97D3B" w:rsidRDefault="00F86988" w:rsidP="00F86988">
      <w:pPr>
        <w:rPr>
          <w:rFonts w:ascii="Arial" w:hAnsi="Arial" w:cs="Arial"/>
          <w:sz w:val="24"/>
          <w:szCs w:val="24"/>
        </w:rPr>
      </w:pPr>
    </w:p>
    <w:p w:rsidR="00F86988" w:rsidRPr="00F97D3B" w:rsidRDefault="00F86988" w:rsidP="00952D19">
      <w:pPr>
        <w:pStyle w:val="Heading1"/>
        <w:rPr>
          <w:rFonts w:ascii="Arial" w:hAnsi="Arial" w:cs="Arial"/>
          <w:sz w:val="24"/>
          <w:szCs w:val="24"/>
        </w:rPr>
      </w:pPr>
      <w:bookmarkStart w:id="14" w:name="_Toc217242877"/>
      <w:r w:rsidRPr="00F97D3B">
        <w:rPr>
          <w:rFonts w:ascii="Arial" w:hAnsi="Arial" w:cs="Arial"/>
          <w:sz w:val="24"/>
          <w:szCs w:val="24"/>
        </w:rPr>
        <w:lastRenderedPageBreak/>
        <w:t>4.2 Industry Analysis: Porter's Five Forces Model</w:t>
      </w:r>
      <w:bookmarkEnd w:id="14"/>
    </w:p>
    <w:p w:rsidR="000D0EA0" w:rsidRPr="00F97D3B" w:rsidRDefault="000D0EA0" w:rsidP="000D0EA0">
      <w:pPr>
        <w:rPr>
          <w:rFonts w:ascii="Arial" w:hAnsi="Arial" w:cs="Arial"/>
          <w:sz w:val="24"/>
          <w:szCs w:val="24"/>
        </w:rPr>
      </w:pPr>
    </w:p>
    <w:p w:rsidR="00F86988" w:rsidRPr="00F97D3B" w:rsidRDefault="00F86988" w:rsidP="00F86988">
      <w:pPr>
        <w:rPr>
          <w:rFonts w:ascii="Arial" w:hAnsi="Arial" w:cs="Arial"/>
          <w:sz w:val="24"/>
          <w:szCs w:val="24"/>
        </w:rPr>
      </w:pPr>
      <w:r w:rsidRPr="00F97D3B">
        <w:rPr>
          <w:rFonts w:ascii="Arial" w:hAnsi="Arial" w:cs="Arial"/>
          <w:sz w:val="24"/>
          <w:szCs w:val="24"/>
        </w:rPr>
        <w:t xml:space="preserve">Porter's Five Forces framework analyzes the attractiveness of an industry and the intensity of competition, although it has been criticized for its static nature, limited relevance to rapidly changing industries, and lack of focus on complementary relationships and network effects (Porter, 1980; Grant, 2021). </w:t>
      </w:r>
    </w:p>
    <w:p w:rsidR="00A50BEA" w:rsidRPr="00F97D3B" w:rsidRDefault="00A50BEA" w:rsidP="00A50BEA">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494C014B" wp14:editId="03DA7B0F">
            <wp:extent cx="5463540" cy="2525395"/>
            <wp:effectExtent l="0" t="0" r="381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75043" cy="2530712"/>
                    </a:xfrm>
                    <a:prstGeom prst="rect">
                      <a:avLst/>
                    </a:prstGeom>
                    <a:noFill/>
                  </pic:spPr>
                </pic:pic>
              </a:graphicData>
            </a:graphic>
          </wp:inline>
        </w:drawing>
      </w:r>
    </w:p>
    <w:p w:rsidR="00F86988" w:rsidRPr="00F97D3B" w:rsidRDefault="00A50BEA" w:rsidP="00A50BEA">
      <w:pPr>
        <w:pStyle w:val="Caption"/>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5</w:t>
      </w:r>
      <w:r w:rsidR="00F97D3B" w:rsidRPr="00F97D3B">
        <w:rPr>
          <w:rFonts w:ascii="Arial" w:hAnsi="Arial" w:cs="Arial"/>
          <w:noProof/>
          <w:sz w:val="24"/>
          <w:szCs w:val="24"/>
        </w:rPr>
        <w:fldChar w:fldCharType="end"/>
      </w:r>
      <w:r w:rsidRPr="00F97D3B">
        <w:rPr>
          <w:rFonts w:ascii="Arial" w:hAnsi="Arial" w:cs="Arial"/>
          <w:sz w:val="24"/>
          <w:szCs w:val="24"/>
        </w:rPr>
        <w:t>https://www.business-to-you.com/porters-five-forces/</w:t>
      </w:r>
    </w:p>
    <w:p w:rsidR="00A50BEA" w:rsidRPr="00F97D3B" w:rsidRDefault="00A50BEA" w:rsidP="00A50BEA">
      <w:pPr>
        <w:pStyle w:val="Heading2"/>
        <w:rPr>
          <w:rFonts w:ascii="Arial" w:hAnsi="Arial" w:cs="Arial"/>
          <w:sz w:val="24"/>
          <w:szCs w:val="24"/>
        </w:rPr>
      </w:pPr>
      <w:bookmarkStart w:id="15" w:name="_Toc217242878"/>
      <w:r w:rsidRPr="00F97D3B">
        <w:rPr>
          <w:rFonts w:ascii="Arial" w:hAnsi="Arial" w:cs="Arial"/>
          <w:sz w:val="24"/>
          <w:szCs w:val="24"/>
        </w:rPr>
        <w:t>Threat of New Entrants – Medium</w:t>
      </w:r>
      <w:bookmarkEnd w:id="15"/>
    </w:p>
    <w:p w:rsidR="00A50BEA" w:rsidRPr="00F97D3B" w:rsidRDefault="00A50BEA" w:rsidP="00A50BEA">
      <w:pPr>
        <w:pStyle w:val="NormalWeb"/>
        <w:rPr>
          <w:rFonts w:ascii="Arial" w:hAnsi="Arial" w:cs="Arial"/>
        </w:rPr>
      </w:pPr>
      <w:r w:rsidRPr="00F97D3B">
        <w:rPr>
          <w:rFonts w:ascii="Arial" w:hAnsi="Arial" w:cs="Arial"/>
        </w:rPr>
        <w:t xml:space="preserve">The threat of new entrants in India’s fashion retail industry is assessed as medium due to a balance between moderate entry barriers and attractive market potential. Entry requires substantial initial capital investment, estimated at £50–80 million to establish 10–15 large-format stores, covering real estate deposits, store development, inventory, supply chain setup, and working capital (Technopak, 2024). While this level of investment deters smaller firms, it remains manageable for well-capitalised international retailers. Established players such as </w:t>
      </w:r>
      <w:r w:rsidRPr="00F97D3B">
        <w:rPr>
          <w:rStyle w:val="whitespace-normal"/>
          <w:rFonts w:ascii="Arial" w:hAnsi="Arial" w:cs="Arial"/>
          <w:b/>
          <w:bCs/>
        </w:rPr>
        <w:t>Zara</w:t>
      </w:r>
      <w:r w:rsidRPr="00F97D3B">
        <w:rPr>
          <w:rFonts w:ascii="Arial" w:hAnsi="Arial" w:cs="Arial"/>
        </w:rPr>
        <w:t xml:space="preserve">, </w:t>
      </w:r>
      <w:r w:rsidRPr="00F97D3B">
        <w:rPr>
          <w:rStyle w:val="whitespace-normal"/>
          <w:rFonts w:ascii="Arial" w:hAnsi="Arial" w:cs="Arial"/>
          <w:b/>
          <w:bCs/>
        </w:rPr>
        <w:t>H&amp;M</w:t>
      </w:r>
      <w:r w:rsidRPr="00F97D3B">
        <w:rPr>
          <w:rFonts w:ascii="Arial" w:hAnsi="Arial" w:cs="Arial"/>
        </w:rPr>
        <w:t xml:space="preserve">, and </w:t>
      </w:r>
      <w:r w:rsidRPr="00F97D3B">
        <w:rPr>
          <w:rStyle w:val="whitespace-normal"/>
          <w:rFonts w:ascii="Arial" w:hAnsi="Arial" w:cs="Arial"/>
          <w:b/>
          <w:bCs/>
        </w:rPr>
        <w:t>Uniqlo</w:t>
      </w:r>
      <w:r w:rsidRPr="00F97D3B">
        <w:rPr>
          <w:rFonts w:ascii="Arial" w:hAnsi="Arial" w:cs="Arial"/>
        </w:rPr>
        <w:t xml:space="preserve">, alongside domestic firms like </w:t>
      </w:r>
      <w:r w:rsidRPr="00F97D3B">
        <w:rPr>
          <w:rStyle w:val="whitespace-normal"/>
          <w:rFonts w:ascii="Arial" w:hAnsi="Arial" w:cs="Arial"/>
          <w:b/>
          <w:bCs/>
        </w:rPr>
        <w:t>Reliance Trends</w:t>
      </w:r>
      <w:r w:rsidRPr="00F97D3B">
        <w:rPr>
          <w:rFonts w:ascii="Arial" w:hAnsi="Arial" w:cs="Arial"/>
        </w:rPr>
        <w:t xml:space="preserve"> and </w:t>
      </w:r>
      <w:r w:rsidRPr="00F97D3B">
        <w:rPr>
          <w:rStyle w:val="whitespace-normal"/>
          <w:rFonts w:ascii="Arial" w:hAnsi="Arial" w:cs="Arial"/>
          <w:b/>
          <w:bCs/>
        </w:rPr>
        <w:t>Pantaloons</w:t>
      </w:r>
      <w:r w:rsidRPr="00F97D3B">
        <w:rPr>
          <w:rFonts w:ascii="Arial" w:hAnsi="Arial" w:cs="Arial"/>
        </w:rPr>
        <w:t>, benefit from brand recognition and scale advantages. However, the absence of a dominant player in the value fashion segment limits incumbent protection. Regulatory requirements, including state-level licensing and GST compliance, add complexity but are not prohibitive. Liberal FDI regulations allowing 100% foreign ownership in single-brand retail further reduce barriers (Government of India, 2024). Access to premium retail locations remains a key constraint, as competition for high-footfall spaces favours established brands. Low consumer switching costs and limited product differentiation further support a medium threat assessment.</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16" w:name="_Toc217242879"/>
      <w:r w:rsidRPr="00F97D3B">
        <w:rPr>
          <w:rFonts w:ascii="Arial" w:hAnsi="Arial" w:cs="Arial"/>
          <w:sz w:val="24"/>
          <w:szCs w:val="24"/>
        </w:rPr>
        <w:t>Supplier Bargaining Power – Medium to Low</w:t>
      </w:r>
      <w:bookmarkEnd w:id="16"/>
    </w:p>
    <w:p w:rsidR="00A50BEA" w:rsidRPr="00F97D3B" w:rsidRDefault="00A50BEA" w:rsidP="00A50BEA">
      <w:pPr>
        <w:pStyle w:val="NormalWeb"/>
        <w:rPr>
          <w:rFonts w:ascii="Arial" w:hAnsi="Arial" w:cs="Arial"/>
        </w:rPr>
      </w:pPr>
      <w:r w:rsidRPr="00F97D3B">
        <w:rPr>
          <w:rFonts w:ascii="Arial" w:hAnsi="Arial" w:cs="Arial"/>
        </w:rPr>
        <w:t xml:space="preserve">Supplier bargaining power in India’s apparel industry is generally medium to low due to a highly fragmented and competitive supplier base. India hosts over 45,000 textile and garment manufacturing units, creating intense competition among suppliers and reducing individual bargaining power (IBEF, 2024). Fabrics, yarns, and basic raw materials are largely commoditised, limiting suppliers’ ability to influence pricing. Retailers can also diversify sourcing across countries such as Bangladesh, Vietnam, and China, further strengthening buyer power. However, suppliers offering specialised or technical fabrics possess greater leverage. Major apparel clusters such as Tiruppur, Bengaluru, NCR-Gurugram, and Mumbai provide retailers with a wide selection of manufacturing partners (Technopak, 2024). For large-volume retailers like Primark, scale and long-term sourcing relationships enhance negotiating strength. While compliance with ethical and </w:t>
      </w:r>
      <w:r w:rsidRPr="00F97D3B">
        <w:rPr>
          <w:rFonts w:ascii="Arial" w:hAnsi="Arial" w:cs="Arial"/>
        </w:rPr>
        <w:lastRenderedPageBreak/>
        <w:t>environmental standards narrows the supplier pool slightly, the threat of forward integration by manufacturers is minimal. Overall, supplier power remains constrained, particularly for large, organised retailers.</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17" w:name="_Toc217242880"/>
      <w:r w:rsidRPr="00F97D3B">
        <w:rPr>
          <w:rFonts w:ascii="Arial" w:hAnsi="Arial" w:cs="Arial"/>
          <w:sz w:val="24"/>
          <w:szCs w:val="24"/>
        </w:rPr>
        <w:t>Buyer Bargaining Power – Medium to High</w:t>
      </w:r>
      <w:bookmarkEnd w:id="17"/>
    </w:p>
    <w:p w:rsidR="00A50BEA" w:rsidRPr="00F97D3B" w:rsidRDefault="00A50BEA" w:rsidP="00A50BEA">
      <w:pPr>
        <w:pStyle w:val="NormalWeb"/>
        <w:rPr>
          <w:rFonts w:ascii="Arial" w:hAnsi="Arial" w:cs="Arial"/>
        </w:rPr>
      </w:pPr>
      <w:r w:rsidRPr="00F97D3B">
        <w:rPr>
          <w:rFonts w:ascii="Arial" w:hAnsi="Arial" w:cs="Arial"/>
        </w:rPr>
        <w:t>Buyer bargaining power in India’s fashion retail market is medium to high, driven by high price sensitivity and abundant choice. Consumers in the value fashion segment are highly cost-conscious and actively compare prices across organised retailers, unorganised stores, and online platforms. Switching costs are extremely low, enabling customers to change retailers without inconvenience or financial penalty. The proliferation of digital channels has enhanced information transparency, allowing instant access to reviews, price comparisons, and fashion trends, which weakens retailer power (Deloitte, 2024). Although transaction values per visit are relatively low, repeat purchases are essential for profitability, giving consumers perceived leverage. Brand loyalty exists but is generally weaker than in Western markets, as Indian consumers display a higher tendency to experiment with different retailers. Loyalty programmes and consistent value offerings can mitigate buyer power, but overall consumer influence remains strong.</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18" w:name="_Toc217242881"/>
      <w:r w:rsidRPr="00F97D3B">
        <w:rPr>
          <w:rFonts w:ascii="Arial" w:hAnsi="Arial" w:cs="Arial"/>
          <w:sz w:val="24"/>
          <w:szCs w:val="24"/>
        </w:rPr>
        <w:t>Threat of Substitutes – High</w:t>
      </w:r>
      <w:bookmarkEnd w:id="18"/>
    </w:p>
    <w:p w:rsidR="00A50BEA" w:rsidRPr="00F97D3B" w:rsidRDefault="00A50BEA" w:rsidP="00A50BEA">
      <w:pPr>
        <w:pStyle w:val="NormalWeb"/>
        <w:rPr>
          <w:rFonts w:ascii="Arial" w:hAnsi="Arial" w:cs="Arial"/>
        </w:rPr>
      </w:pPr>
      <w:r w:rsidRPr="00F97D3B">
        <w:rPr>
          <w:rFonts w:ascii="Arial" w:hAnsi="Arial" w:cs="Arial"/>
        </w:rPr>
        <w:t xml:space="preserve">The threat of substitutes in India’s fashion retail sector is high due to the presence of numerous alternative purchasing options. Unorganised retail, including local shops, tailors, and street markets, accounts for approximately 65% of apparel sales and offers lower prices, customisation, and cultural relevance (IBEF, 2024). E-commerce platforms such as Amazon Fashion, Flipkart, Myntra, Ajio, and Meesho provide convenience, competitive pricing, and extensive assortments, with online fashion growing at 25–30% annually (Bain &amp; Company, 2024). Organised domestic retailers like </w:t>
      </w:r>
      <w:r w:rsidRPr="00F97D3B">
        <w:rPr>
          <w:rStyle w:val="whitespace-normal"/>
          <w:rFonts w:ascii="Arial" w:hAnsi="Arial" w:cs="Arial"/>
          <w:b/>
          <w:bCs/>
        </w:rPr>
        <w:t>Max Fashion</w:t>
      </w:r>
      <w:r w:rsidRPr="00F97D3B">
        <w:rPr>
          <w:rFonts w:ascii="Arial" w:hAnsi="Arial" w:cs="Arial"/>
        </w:rPr>
        <w:t xml:space="preserve"> and </w:t>
      </w:r>
      <w:r w:rsidRPr="00F97D3B">
        <w:rPr>
          <w:rStyle w:val="whitespace-normal"/>
          <w:rFonts w:ascii="Arial" w:hAnsi="Arial" w:cs="Arial"/>
          <w:b/>
          <w:bCs/>
        </w:rPr>
        <w:t>Westside</w:t>
      </w:r>
      <w:r w:rsidRPr="00F97D3B">
        <w:rPr>
          <w:rFonts w:ascii="Arial" w:hAnsi="Arial" w:cs="Arial"/>
        </w:rPr>
        <w:t xml:space="preserve"> operate at similar price points, intensifying substitution pressure. Additionally, emerging second-hand fashion platforms and rental services, alongside non-apparel spending alternatives such as electronics and leisure, further increase substitution risk. The wide availability of substitutes across price, convenience, and experience dimensions justifies a high threat level.</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19" w:name="_Toc217242882"/>
      <w:r w:rsidRPr="00F97D3B">
        <w:rPr>
          <w:rFonts w:ascii="Arial" w:hAnsi="Arial" w:cs="Arial"/>
          <w:sz w:val="24"/>
          <w:szCs w:val="24"/>
        </w:rPr>
        <w:t>Competitive Rivalry – High</w:t>
      </w:r>
      <w:bookmarkEnd w:id="19"/>
    </w:p>
    <w:p w:rsidR="00A50BEA" w:rsidRPr="00F97D3B" w:rsidRDefault="00A50BEA" w:rsidP="00A50BEA">
      <w:pPr>
        <w:pStyle w:val="NormalWeb"/>
        <w:rPr>
          <w:rFonts w:ascii="Arial" w:hAnsi="Arial" w:cs="Arial"/>
        </w:rPr>
      </w:pPr>
      <w:r w:rsidRPr="00F97D3B">
        <w:rPr>
          <w:rFonts w:ascii="Arial" w:hAnsi="Arial" w:cs="Arial"/>
        </w:rPr>
        <w:t xml:space="preserve">Competitive rivalry within India’s fashion retail sector is high due to market fragmentation, rapid expansion, and intense price competition. No single retailer controls more than 3–4% of the market, resulting in fierce competition among numerous domestic and international players (Euromonitor International, 2024). International brands such as </w:t>
      </w:r>
      <w:r w:rsidRPr="00F97D3B">
        <w:rPr>
          <w:rStyle w:val="whitespace-normal"/>
          <w:rFonts w:ascii="Arial" w:hAnsi="Arial" w:cs="Arial"/>
          <w:b/>
          <w:bCs/>
        </w:rPr>
        <w:t>Inditex</w:t>
      </w:r>
      <w:r w:rsidRPr="00F97D3B">
        <w:rPr>
          <w:rFonts w:ascii="Arial" w:hAnsi="Arial" w:cs="Arial"/>
        </w:rPr>
        <w:t xml:space="preserve"> (Zara), H&amp;M, and Uniqlo compete alongside strong domestic groups including </w:t>
      </w:r>
      <w:r w:rsidRPr="00F97D3B">
        <w:rPr>
          <w:rStyle w:val="whitespace-normal"/>
          <w:rFonts w:ascii="Arial" w:hAnsi="Arial" w:cs="Arial"/>
          <w:b/>
          <w:bCs/>
        </w:rPr>
        <w:t>Aditya Birla Fashion and Retail</w:t>
      </w:r>
      <w:r w:rsidRPr="00F97D3B">
        <w:rPr>
          <w:rFonts w:ascii="Arial" w:hAnsi="Arial" w:cs="Arial"/>
        </w:rPr>
        <w:t xml:space="preserve"> and Reliance Retail (Technopak, 2024). Product differentiation is limited in fast fashion, leading to frequent price promotions, especially during festivals and end-of-season sales. High fixed costs related to real estate, staffing, and inventory intensify rivalry, particularly during economic slowdowns. Expansion into tier 2 cities and the blurring of online and offline channels through omnichannel strategies further heighten competition. Collectively, these factors result in sustained high rivalry across the sector.</w:t>
      </w:r>
    </w:p>
    <w:p w:rsidR="008B18D6" w:rsidRPr="00F97D3B" w:rsidRDefault="008B18D6" w:rsidP="008B18D6">
      <w:pPr>
        <w:pStyle w:val="Heading1"/>
        <w:rPr>
          <w:rFonts w:ascii="Arial" w:eastAsia="Times New Roman" w:hAnsi="Arial" w:cs="Arial"/>
          <w:sz w:val="24"/>
          <w:szCs w:val="24"/>
          <w:lang w:eastAsia="en-IN" w:bidi="hi-IN"/>
        </w:rPr>
      </w:pPr>
      <w:bookmarkStart w:id="20" w:name="_Toc217242883"/>
      <w:r w:rsidRPr="00F97D3B">
        <w:rPr>
          <w:rFonts w:ascii="Arial" w:eastAsia="Times New Roman" w:hAnsi="Arial" w:cs="Arial"/>
          <w:sz w:val="24"/>
          <w:szCs w:val="24"/>
          <w:lang w:eastAsia="en-IN" w:bidi="hi-IN"/>
        </w:rPr>
        <w:t>4.3 Internal-External Analysis: SWOT Framework</w:t>
      </w:r>
      <w:bookmarkEnd w:id="20"/>
    </w:p>
    <w:p w:rsidR="008B18D6" w:rsidRPr="00F97D3B" w:rsidRDefault="008B18D6" w:rsidP="008B18D6">
      <w:pPr>
        <w:rPr>
          <w:rFonts w:ascii="Arial" w:hAnsi="Arial" w:cs="Arial"/>
          <w:sz w:val="24"/>
          <w:szCs w:val="24"/>
          <w:lang w:eastAsia="en-IN" w:bidi="hi-IN"/>
        </w:rPr>
      </w:pPr>
    </w:p>
    <w:p w:rsidR="008B18D6" w:rsidRPr="00F97D3B" w:rsidRDefault="008B18D6" w:rsidP="008B18D6">
      <w:pPr>
        <w:rPr>
          <w:rFonts w:ascii="Arial" w:hAnsi="Arial" w:cs="Arial"/>
          <w:sz w:val="24"/>
          <w:szCs w:val="24"/>
          <w:lang w:eastAsia="en-IN" w:bidi="hi-IN"/>
        </w:rPr>
      </w:pPr>
      <w:r w:rsidRPr="00F97D3B">
        <w:rPr>
          <w:rFonts w:ascii="Arial" w:hAnsi="Arial" w:cs="Arial"/>
          <w:sz w:val="24"/>
          <w:szCs w:val="24"/>
          <w:lang w:eastAsia="en-IN" w:bidi="hi-IN"/>
        </w:rPr>
        <w:lastRenderedPageBreak/>
        <w:t xml:space="preserve">  The SWOT framework combines an analysis of internal strengths and weaknesses with an evaluation of the external environment, although it has been criticized for being overly simplistic, relying on subjective categorization, and offering limited guidance for strategic decision-making (Johnson et al., 2020).</w:t>
      </w:r>
    </w:p>
    <w:p w:rsidR="00A50BEA" w:rsidRPr="00F97D3B" w:rsidRDefault="00A50BEA" w:rsidP="00A50BEA">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6C26A0C8">
            <wp:extent cx="3773170" cy="27119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0691" cy="2717373"/>
                    </a:xfrm>
                    <a:prstGeom prst="rect">
                      <a:avLst/>
                    </a:prstGeom>
                    <a:noFill/>
                  </pic:spPr>
                </pic:pic>
              </a:graphicData>
            </a:graphic>
          </wp:inline>
        </w:drawing>
      </w:r>
    </w:p>
    <w:p w:rsidR="008B18D6" w:rsidRPr="00F97D3B" w:rsidRDefault="00A50BEA" w:rsidP="00A50BEA">
      <w:pPr>
        <w:pStyle w:val="Caption"/>
        <w:rPr>
          <w:rFonts w:ascii="Arial" w:hAnsi="Arial" w:cs="Arial"/>
          <w:sz w:val="24"/>
          <w:szCs w:val="24"/>
          <w:lang w:eastAsia="en-IN" w:bidi="hi-IN"/>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6</w:t>
      </w:r>
      <w:r w:rsidR="00F97D3B" w:rsidRPr="00F97D3B">
        <w:rPr>
          <w:rFonts w:ascii="Arial" w:hAnsi="Arial" w:cs="Arial"/>
          <w:noProof/>
          <w:sz w:val="24"/>
          <w:szCs w:val="24"/>
        </w:rPr>
        <w:fldChar w:fldCharType="end"/>
      </w:r>
      <w:r w:rsidRPr="00F97D3B">
        <w:rPr>
          <w:rFonts w:ascii="Arial" w:hAnsi="Arial" w:cs="Arial"/>
          <w:sz w:val="24"/>
          <w:szCs w:val="24"/>
        </w:rPr>
        <w:t>https://www.wordstream.com/blog/ws/2017/12/20/swot-analysis</w:t>
      </w:r>
    </w:p>
    <w:p w:rsidR="00A50BEA" w:rsidRPr="00F97D3B" w:rsidRDefault="00A50BEA" w:rsidP="00A50BEA">
      <w:pPr>
        <w:pStyle w:val="Heading2"/>
        <w:rPr>
          <w:rFonts w:ascii="Arial" w:hAnsi="Arial" w:cs="Arial"/>
          <w:sz w:val="24"/>
          <w:szCs w:val="24"/>
        </w:rPr>
      </w:pPr>
      <w:bookmarkStart w:id="21" w:name="_Toc217242884"/>
      <w:r w:rsidRPr="00F97D3B">
        <w:rPr>
          <w:rFonts w:ascii="Arial" w:hAnsi="Arial" w:cs="Arial"/>
          <w:sz w:val="24"/>
          <w:szCs w:val="24"/>
        </w:rPr>
        <w:t>Strengths</w:t>
      </w:r>
      <w:bookmarkEnd w:id="21"/>
    </w:p>
    <w:p w:rsidR="00A50BEA" w:rsidRPr="00F97D3B" w:rsidRDefault="00A50BEA" w:rsidP="00A50BEA">
      <w:pPr>
        <w:rPr>
          <w:rFonts w:ascii="Arial" w:hAnsi="Arial" w:cs="Arial"/>
          <w:sz w:val="24"/>
          <w:szCs w:val="24"/>
        </w:rPr>
      </w:pPr>
      <w:r w:rsidRPr="00F97D3B">
        <w:rPr>
          <w:rStyle w:val="whitespace-normal"/>
          <w:rFonts w:ascii="Arial" w:hAnsi="Arial" w:cs="Arial"/>
          <w:b/>
          <w:bCs/>
          <w:sz w:val="24"/>
          <w:szCs w:val="24"/>
        </w:rPr>
        <w:t>Primark</w:t>
      </w:r>
      <w:r w:rsidRPr="00F97D3B">
        <w:rPr>
          <w:rFonts w:ascii="Arial" w:hAnsi="Arial" w:cs="Arial"/>
          <w:sz w:val="24"/>
          <w:szCs w:val="24"/>
        </w:rPr>
        <w:t xml:space="preserve"> benefits from a proven low-cost business model that delivers trend-led fashion at highly competitive prices and has performed consistently across 17 international markets (Associated British Foods, 2024). Strong cost leadership is achieved through direct sourcing, economies of scale, limited marketing expenditure, and efficient operations, allowing prices to be 30–50% lower than competitors while maintaining profitability (Panigyrakis </w:t>
      </w:r>
      <w:r w:rsidRPr="00F97D3B">
        <w:rPr>
          <w:rStyle w:val="Emphasis"/>
          <w:rFonts w:ascii="Arial" w:hAnsi="Arial" w:cs="Arial"/>
          <w:sz w:val="24"/>
          <w:szCs w:val="24"/>
        </w:rPr>
        <w:t>et al.</w:t>
      </w:r>
      <w:r w:rsidRPr="00F97D3B">
        <w:rPr>
          <w:rFonts w:ascii="Arial" w:hAnsi="Arial" w:cs="Arial"/>
          <w:sz w:val="24"/>
          <w:szCs w:val="24"/>
        </w:rPr>
        <w:t>, 2021). Financial backing from Associated British Foods provides access to capital for long-term expansion. Primark’s fast and efficient supply chain, large-format store expertise, strong product development capability, and sustainability focus under the “Primark Cares” initiative further strengthen its competitive position (Primark, 2024).</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22" w:name="_Toc217242885"/>
      <w:r w:rsidRPr="00F97D3B">
        <w:rPr>
          <w:rFonts w:ascii="Arial" w:hAnsi="Arial" w:cs="Arial"/>
          <w:sz w:val="24"/>
          <w:szCs w:val="24"/>
        </w:rPr>
        <w:t>Weaknesses</w:t>
      </w:r>
      <w:bookmarkEnd w:id="22"/>
    </w:p>
    <w:p w:rsidR="00A50BEA" w:rsidRPr="00F97D3B" w:rsidRDefault="00A50BEA" w:rsidP="00A50BEA">
      <w:pPr>
        <w:rPr>
          <w:rFonts w:ascii="Arial" w:hAnsi="Arial" w:cs="Arial"/>
          <w:sz w:val="24"/>
          <w:szCs w:val="24"/>
        </w:rPr>
      </w:pPr>
      <w:r w:rsidRPr="00F97D3B">
        <w:rPr>
          <w:rFonts w:ascii="Arial" w:hAnsi="Arial" w:cs="Arial"/>
          <w:sz w:val="24"/>
          <w:szCs w:val="24"/>
        </w:rPr>
        <w:t xml:space="preserve">Primark’s lack of experience in Asian markets limits its understanding of Indian consumer behaviour, regulatory complexity, and retail practices. The absence of an e-commerce platform restricts omnichannel capability in a market where digital engagement is rising (Panigyrakis </w:t>
      </w:r>
      <w:r w:rsidRPr="00F97D3B">
        <w:rPr>
          <w:rStyle w:val="Emphasis"/>
          <w:rFonts w:ascii="Arial" w:hAnsi="Arial" w:cs="Arial"/>
          <w:sz w:val="24"/>
          <w:szCs w:val="24"/>
        </w:rPr>
        <w:t>et al.</w:t>
      </w:r>
      <w:r w:rsidRPr="00F97D3B">
        <w:rPr>
          <w:rFonts w:ascii="Arial" w:hAnsi="Arial" w:cs="Arial"/>
          <w:sz w:val="24"/>
          <w:szCs w:val="24"/>
        </w:rPr>
        <w:t>, 2021). Low brand awareness in India increases marketing costs, while the absence of established Indian supplier relationships creates initial supply-chain vulnerability. Cultural distance, pricing uncertainty, limited local talent networks, and inexperience in the Indian real estate market further elevate execution risk.</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23" w:name="_Toc217242886"/>
      <w:r w:rsidRPr="00F97D3B">
        <w:rPr>
          <w:rFonts w:ascii="Arial" w:hAnsi="Arial" w:cs="Arial"/>
          <w:sz w:val="24"/>
          <w:szCs w:val="24"/>
        </w:rPr>
        <w:t>Opportunities</w:t>
      </w:r>
      <w:bookmarkEnd w:id="23"/>
    </w:p>
    <w:p w:rsidR="00A50BEA" w:rsidRPr="00F97D3B" w:rsidRDefault="00A50BEA" w:rsidP="00A50BEA">
      <w:pPr>
        <w:rPr>
          <w:rFonts w:ascii="Arial" w:hAnsi="Arial" w:cs="Arial"/>
          <w:sz w:val="24"/>
          <w:szCs w:val="24"/>
        </w:rPr>
      </w:pPr>
      <w:r w:rsidRPr="00F97D3B">
        <w:rPr>
          <w:rFonts w:ascii="Arial" w:hAnsi="Arial" w:cs="Arial"/>
          <w:sz w:val="24"/>
          <w:szCs w:val="24"/>
        </w:rPr>
        <w:t xml:space="preserve">India offers significant growth potential through rapid middle-class expansion and urbanisation, which are increasing demand for affordable fashion (McKinsey &amp; Company, 2024; World Bank, 2024). The value fashion segment remains underserved, creating space for an international low-price retailer (Technopak, 2024). Growth in organised retail, digital infrastructure, and local textile manufacturing provides opportunities for scalable expansion, omnichannel development, local sourcing, and alignment with “Make in India” initiatives (IBEF, 2024). Seasonal demand from </w:t>
      </w:r>
      <w:r w:rsidRPr="00F97D3B">
        <w:rPr>
          <w:rFonts w:ascii="Arial" w:hAnsi="Arial" w:cs="Arial"/>
          <w:sz w:val="24"/>
          <w:szCs w:val="24"/>
        </w:rPr>
        <w:lastRenderedPageBreak/>
        <w:t>festivals and weddings, along with rising sustainability awareness, further enhances market potential.</w:t>
      </w:r>
    </w:p>
    <w:p w:rsidR="00A50BEA" w:rsidRPr="00F97D3B" w:rsidRDefault="00A50BEA" w:rsidP="00A50BEA">
      <w:pPr>
        <w:rPr>
          <w:rFonts w:ascii="Arial" w:hAnsi="Arial" w:cs="Arial"/>
          <w:sz w:val="24"/>
          <w:szCs w:val="24"/>
        </w:rPr>
      </w:pPr>
    </w:p>
    <w:p w:rsidR="00A50BEA" w:rsidRPr="00F97D3B" w:rsidRDefault="00A50BEA" w:rsidP="00A50BEA">
      <w:pPr>
        <w:pStyle w:val="Heading2"/>
        <w:rPr>
          <w:rFonts w:ascii="Arial" w:hAnsi="Arial" w:cs="Arial"/>
          <w:sz w:val="24"/>
          <w:szCs w:val="24"/>
        </w:rPr>
      </w:pPr>
      <w:bookmarkStart w:id="24" w:name="_Toc217242887"/>
      <w:r w:rsidRPr="00F97D3B">
        <w:rPr>
          <w:rFonts w:ascii="Arial" w:hAnsi="Arial" w:cs="Arial"/>
          <w:sz w:val="24"/>
          <w:szCs w:val="24"/>
        </w:rPr>
        <w:t>Threats</w:t>
      </w:r>
      <w:bookmarkEnd w:id="24"/>
    </w:p>
    <w:p w:rsidR="00A50BEA" w:rsidRPr="00F97D3B" w:rsidRDefault="00A50BEA" w:rsidP="00A50BEA">
      <w:pPr>
        <w:rPr>
          <w:rFonts w:ascii="Arial" w:hAnsi="Arial" w:cs="Arial"/>
          <w:sz w:val="24"/>
          <w:szCs w:val="24"/>
        </w:rPr>
      </w:pPr>
      <w:r w:rsidRPr="00F97D3B">
        <w:rPr>
          <w:rFonts w:ascii="Arial" w:hAnsi="Arial" w:cs="Arial"/>
          <w:sz w:val="24"/>
          <w:szCs w:val="24"/>
        </w:rPr>
        <w:t>Primark faces intense competition from both international and domestic fashion retailers, leading to price pressure and competition for prime locations (Euromonitor International, 2024). Regulatory complexity, high real estate costs in major cities, and currency volatility pose financial and operational risks (Government of India, 2024; CBRE, 2024). Additional threats include cultural misalignment, supply-chain disruptions, economic slowdowns affecting discretionary spending, strong e-commerce competition, talent retention challenges, nationalist sentiment favouring local brands, and increasing criticism of fast fashion’s environmental impact.</w:t>
      </w:r>
    </w:p>
    <w:p w:rsidR="00A50BEA" w:rsidRPr="00F97D3B" w:rsidRDefault="00A50BEA" w:rsidP="00A50BEA">
      <w:pPr>
        <w:pStyle w:val="NormalWeb"/>
        <w:shd w:val="clear" w:color="auto" w:fill="FFFFFF"/>
        <w:spacing w:before="120" w:beforeAutospacing="0" w:after="0" w:afterAutospacing="0"/>
        <w:rPr>
          <w:rFonts w:ascii="Arial" w:hAnsi="Arial" w:cs="Arial"/>
          <w:color w:val="161D1A"/>
          <w:spacing w:val="1"/>
        </w:rPr>
      </w:pPr>
    </w:p>
    <w:p w:rsidR="00873C1B" w:rsidRPr="00F97D3B" w:rsidRDefault="00873C1B" w:rsidP="00873C1B">
      <w:pPr>
        <w:pStyle w:val="Heading1"/>
        <w:rPr>
          <w:rFonts w:ascii="Arial" w:eastAsia="Times New Roman" w:hAnsi="Arial" w:cs="Arial"/>
          <w:sz w:val="24"/>
          <w:szCs w:val="24"/>
          <w:lang w:eastAsia="en-IN" w:bidi="hi-IN"/>
        </w:rPr>
      </w:pPr>
      <w:bookmarkStart w:id="25" w:name="_Toc217242888"/>
      <w:r w:rsidRPr="00F97D3B">
        <w:rPr>
          <w:rFonts w:ascii="Arial" w:eastAsia="Times New Roman" w:hAnsi="Arial" w:cs="Arial"/>
          <w:sz w:val="24"/>
          <w:szCs w:val="24"/>
          <w:lang w:eastAsia="en-IN" w:bidi="hi-IN"/>
        </w:rPr>
        <w:t>5. Strategy Development and Formulation</w:t>
      </w:r>
      <w:bookmarkEnd w:id="25"/>
    </w:p>
    <w:p w:rsidR="00873C1B" w:rsidRPr="00F97D3B" w:rsidRDefault="00873C1B" w:rsidP="00873C1B">
      <w:pPr>
        <w:pStyle w:val="Heading2"/>
        <w:rPr>
          <w:rFonts w:ascii="Arial" w:eastAsia="Times New Roman" w:hAnsi="Arial" w:cs="Arial"/>
          <w:sz w:val="24"/>
          <w:szCs w:val="24"/>
          <w:lang w:eastAsia="en-IN" w:bidi="hi-IN"/>
        </w:rPr>
      </w:pPr>
      <w:bookmarkStart w:id="26" w:name="_Toc217242889"/>
      <w:r w:rsidRPr="00F97D3B">
        <w:rPr>
          <w:rFonts w:ascii="Arial" w:eastAsia="Times New Roman" w:hAnsi="Arial" w:cs="Arial"/>
          <w:sz w:val="24"/>
          <w:szCs w:val="24"/>
          <w:lang w:eastAsia="en-IN" w:bidi="hi-IN"/>
        </w:rPr>
        <w:t>5.1 Strategic Direction: Market Development via Ansoff Matrix</w:t>
      </w:r>
      <w:bookmarkEnd w:id="26"/>
    </w:p>
    <w:p w:rsidR="00873C1B" w:rsidRPr="00F97D3B" w:rsidRDefault="00873C1B" w:rsidP="00873C1B">
      <w:pPr>
        <w:keepNext/>
        <w:rPr>
          <w:rFonts w:ascii="Arial" w:hAnsi="Arial" w:cs="Arial"/>
          <w:sz w:val="24"/>
          <w:szCs w:val="24"/>
        </w:rPr>
      </w:pPr>
      <w:r w:rsidRPr="00F97D3B">
        <w:rPr>
          <w:rFonts w:ascii="Arial" w:hAnsi="Arial" w:cs="Arial"/>
          <w:noProof/>
          <w:sz w:val="24"/>
          <w:szCs w:val="24"/>
          <w:lang w:eastAsia="en-IN" w:bidi="hi-IN"/>
        </w:rPr>
        <w:drawing>
          <wp:inline distT="0" distB="0" distL="0" distR="0">
            <wp:extent cx="2622550" cy="2622550"/>
            <wp:effectExtent l="0" t="0" r="6350" b="6350"/>
            <wp:docPr id="11" name="Picture 11" descr="Using The Ansoff Matrix to Develop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sing The Ansoff Matrix to Develop Marketing Strate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2550" cy="2622550"/>
                    </a:xfrm>
                    <a:prstGeom prst="rect">
                      <a:avLst/>
                    </a:prstGeom>
                    <a:noFill/>
                    <a:ln>
                      <a:noFill/>
                    </a:ln>
                  </pic:spPr>
                </pic:pic>
              </a:graphicData>
            </a:graphic>
          </wp:inline>
        </w:drawing>
      </w:r>
    </w:p>
    <w:p w:rsidR="00873C1B" w:rsidRPr="00F97D3B" w:rsidRDefault="00873C1B" w:rsidP="00873C1B">
      <w:pPr>
        <w:pStyle w:val="Caption"/>
        <w:rPr>
          <w:rFonts w:ascii="Arial" w:hAnsi="Arial" w:cs="Arial"/>
          <w:sz w:val="24"/>
          <w:szCs w:val="24"/>
          <w:lang w:eastAsia="en-IN" w:bidi="hi-IN"/>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7</w:t>
      </w:r>
      <w:r w:rsidR="00F97D3B" w:rsidRPr="00F97D3B">
        <w:rPr>
          <w:rFonts w:ascii="Arial" w:hAnsi="Arial" w:cs="Arial"/>
          <w:noProof/>
          <w:sz w:val="24"/>
          <w:szCs w:val="24"/>
        </w:rPr>
        <w:fldChar w:fldCharType="end"/>
      </w:r>
      <w:r w:rsidRPr="00F97D3B">
        <w:rPr>
          <w:rFonts w:ascii="Arial" w:hAnsi="Arial" w:cs="Arial"/>
          <w:sz w:val="24"/>
          <w:szCs w:val="24"/>
        </w:rPr>
        <w:t>https://blog.oxfordcollegeofmarketing.com/2016/08/01/using-ansoff-matrix-develop-marketing-strategy/</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Primark’s expansion into India exemplifies a </w:t>
      </w:r>
      <w:r w:rsidRPr="00F97D3B">
        <w:rPr>
          <w:rStyle w:val="Strong"/>
          <w:rFonts w:ascii="Arial" w:hAnsi="Arial" w:cs="Arial"/>
          <w:sz w:val="24"/>
          <w:szCs w:val="24"/>
        </w:rPr>
        <w:t>market development strategy</w:t>
      </w:r>
      <w:r w:rsidRPr="00F97D3B">
        <w:rPr>
          <w:rFonts w:ascii="Arial" w:hAnsi="Arial" w:cs="Arial"/>
          <w:sz w:val="24"/>
          <w:szCs w:val="24"/>
        </w:rPr>
        <w:t>, introducing existing product categories fashion apparel, accessories, and homeware into a new geographic market (Ansoff, 1957). This approach leverages Primark’s core competencies in value fashion retail and addresses the maturation of its UK and European markets by targeting high-growth emerging markets. Market development offers a balanced growth opportunity, combining expansion ambition with manageable risk, unlike diversification strategies that require simultaneous development of new products and markets beyond current organizational capabilities.</w:t>
      </w:r>
    </w:p>
    <w:p w:rsidR="00873C1B" w:rsidRPr="00F97D3B" w:rsidRDefault="00873C1B" w:rsidP="00873C1B">
      <w:pPr>
        <w:rPr>
          <w:rFonts w:ascii="Arial" w:hAnsi="Arial" w:cs="Arial"/>
          <w:b/>
          <w:sz w:val="24"/>
          <w:szCs w:val="24"/>
        </w:rPr>
      </w:pPr>
      <w:r w:rsidRPr="00F97D3B">
        <w:rPr>
          <w:rFonts w:ascii="Arial" w:hAnsi="Arial" w:cs="Arial"/>
          <w:b/>
          <w:sz w:val="24"/>
          <w:szCs w:val="24"/>
        </w:rPr>
        <w:t>Product Adaptation for the Indian Market</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To support market development, Primark can implement </w:t>
      </w:r>
      <w:r w:rsidRPr="00F97D3B">
        <w:rPr>
          <w:rStyle w:val="Strong"/>
          <w:rFonts w:ascii="Arial" w:hAnsi="Arial" w:cs="Arial"/>
          <w:sz w:val="24"/>
          <w:szCs w:val="24"/>
        </w:rPr>
        <w:t>product adaptation initiatives</w:t>
      </w:r>
      <w:r w:rsidRPr="00F97D3B">
        <w:rPr>
          <w:rFonts w:ascii="Arial" w:hAnsi="Arial" w:cs="Arial"/>
          <w:sz w:val="24"/>
          <w:szCs w:val="24"/>
        </w:rPr>
        <w:t xml:space="preserve"> tailored to Indian consumer preferences:</w:t>
      </w:r>
    </w:p>
    <w:p w:rsidR="00873C1B" w:rsidRPr="00F97D3B" w:rsidRDefault="00873C1B" w:rsidP="00873C1B">
      <w:pPr>
        <w:rPr>
          <w:rFonts w:ascii="Arial" w:hAnsi="Arial" w:cs="Arial"/>
          <w:b/>
          <w:sz w:val="24"/>
          <w:szCs w:val="24"/>
        </w:rPr>
      </w:pPr>
      <w:r w:rsidRPr="00F97D3B">
        <w:rPr>
          <w:rFonts w:ascii="Arial" w:hAnsi="Arial" w:cs="Arial"/>
          <w:b/>
          <w:sz w:val="24"/>
          <w:szCs w:val="24"/>
        </w:rPr>
        <w:t>Cultural Adaptation</w:t>
      </w:r>
    </w:p>
    <w:p w:rsidR="00873C1B" w:rsidRPr="00F97D3B" w:rsidRDefault="00873C1B" w:rsidP="00873C1B">
      <w:pPr>
        <w:rPr>
          <w:rFonts w:ascii="Arial" w:hAnsi="Arial" w:cs="Arial"/>
          <w:sz w:val="24"/>
          <w:szCs w:val="24"/>
        </w:rPr>
      </w:pPr>
      <w:r w:rsidRPr="00F97D3B">
        <w:rPr>
          <w:rFonts w:ascii="Arial" w:hAnsi="Arial" w:cs="Arial"/>
          <w:sz w:val="24"/>
          <w:szCs w:val="24"/>
        </w:rPr>
        <w:t>Collections should incorporate local aesthetics, color preferences, and silhouette variations, particularly for women’s ethnic fusion wear and modest fashion options.</w:t>
      </w:r>
    </w:p>
    <w:p w:rsidR="00873C1B" w:rsidRPr="00F97D3B" w:rsidRDefault="00873C1B" w:rsidP="00873C1B">
      <w:pPr>
        <w:rPr>
          <w:rFonts w:ascii="Arial" w:hAnsi="Arial" w:cs="Arial"/>
          <w:b/>
          <w:sz w:val="24"/>
          <w:szCs w:val="24"/>
        </w:rPr>
      </w:pPr>
      <w:r w:rsidRPr="00F97D3B">
        <w:rPr>
          <w:rFonts w:ascii="Arial" w:hAnsi="Arial" w:cs="Arial"/>
          <w:b/>
          <w:sz w:val="24"/>
          <w:szCs w:val="24"/>
        </w:rPr>
        <w:t>Sizing Localization</w:t>
      </w:r>
    </w:p>
    <w:p w:rsidR="00873C1B" w:rsidRPr="00F97D3B" w:rsidRDefault="00873C1B" w:rsidP="00873C1B">
      <w:pPr>
        <w:rPr>
          <w:rFonts w:ascii="Arial" w:hAnsi="Arial" w:cs="Arial"/>
          <w:sz w:val="24"/>
          <w:szCs w:val="24"/>
        </w:rPr>
      </w:pPr>
      <w:r w:rsidRPr="00F97D3B">
        <w:rPr>
          <w:rFonts w:ascii="Arial" w:hAnsi="Arial" w:cs="Arial"/>
          <w:sz w:val="24"/>
          <w:szCs w:val="24"/>
        </w:rPr>
        <w:lastRenderedPageBreak/>
        <w:t>Indian body types differ from European standards; therefore, local size charts, pattern adjustments, and fit testing are necessary to ensure product suitability.</w:t>
      </w:r>
    </w:p>
    <w:p w:rsidR="00873C1B" w:rsidRPr="00F97D3B" w:rsidRDefault="00873C1B" w:rsidP="00873C1B">
      <w:pPr>
        <w:rPr>
          <w:rFonts w:ascii="Arial" w:hAnsi="Arial" w:cs="Arial"/>
          <w:b/>
          <w:sz w:val="24"/>
          <w:szCs w:val="24"/>
        </w:rPr>
      </w:pPr>
      <w:r w:rsidRPr="00F97D3B">
        <w:rPr>
          <w:rFonts w:ascii="Arial" w:hAnsi="Arial" w:cs="Arial"/>
          <w:b/>
          <w:sz w:val="24"/>
          <w:szCs w:val="24"/>
        </w:rPr>
        <w:t>Festival Collections</w:t>
      </w:r>
    </w:p>
    <w:p w:rsidR="00873C1B" w:rsidRPr="00F97D3B" w:rsidRDefault="00873C1B" w:rsidP="00873C1B">
      <w:pPr>
        <w:rPr>
          <w:rFonts w:ascii="Arial" w:hAnsi="Arial" w:cs="Arial"/>
          <w:sz w:val="24"/>
          <w:szCs w:val="24"/>
        </w:rPr>
      </w:pPr>
      <w:r w:rsidRPr="00F97D3B">
        <w:rPr>
          <w:rFonts w:ascii="Arial" w:hAnsi="Arial" w:cs="Arial"/>
          <w:sz w:val="24"/>
          <w:szCs w:val="24"/>
        </w:rPr>
        <w:t>Seasonal collections aligned with Indian festivals such as Diwali, Holi, and Eid can capitalise on consumption spikes, rather than relying solely on Western holidays.</w:t>
      </w:r>
    </w:p>
    <w:p w:rsidR="00873C1B" w:rsidRPr="00F97D3B" w:rsidRDefault="00873C1B" w:rsidP="00873C1B">
      <w:pPr>
        <w:rPr>
          <w:rFonts w:ascii="Arial" w:hAnsi="Arial" w:cs="Arial"/>
          <w:b/>
          <w:sz w:val="24"/>
          <w:szCs w:val="24"/>
        </w:rPr>
      </w:pPr>
      <w:r w:rsidRPr="00F97D3B">
        <w:rPr>
          <w:rFonts w:ascii="Arial" w:hAnsi="Arial" w:cs="Arial"/>
          <w:b/>
          <w:sz w:val="24"/>
          <w:szCs w:val="24"/>
        </w:rPr>
        <w:t>Climate Responsiveness</w:t>
      </w:r>
    </w:p>
    <w:p w:rsidR="00873C1B" w:rsidRPr="00F97D3B" w:rsidRDefault="00873C1B" w:rsidP="00873C1B">
      <w:pPr>
        <w:rPr>
          <w:rFonts w:ascii="Arial" w:hAnsi="Arial" w:cs="Arial"/>
          <w:sz w:val="24"/>
          <w:szCs w:val="24"/>
        </w:rPr>
      </w:pPr>
      <w:r w:rsidRPr="00F97D3B">
        <w:rPr>
          <w:rFonts w:ascii="Arial" w:hAnsi="Arial" w:cs="Arial"/>
          <w:sz w:val="24"/>
          <w:szCs w:val="24"/>
        </w:rPr>
        <w:t>Lightweight, breathable fabrics should dominate most of India’s warm climate, while winter ranges remain for northern regions.</w:t>
      </w:r>
    </w:p>
    <w:p w:rsidR="00873C1B" w:rsidRPr="00F97D3B" w:rsidRDefault="00873C1B" w:rsidP="00873C1B">
      <w:pPr>
        <w:rPr>
          <w:rFonts w:ascii="Arial" w:hAnsi="Arial" w:cs="Arial"/>
          <w:b/>
          <w:sz w:val="24"/>
          <w:szCs w:val="24"/>
        </w:rPr>
      </w:pPr>
      <w:r w:rsidRPr="00F97D3B">
        <w:rPr>
          <w:rFonts w:ascii="Arial" w:hAnsi="Arial" w:cs="Arial"/>
          <w:b/>
          <w:sz w:val="24"/>
          <w:szCs w:val="24"/>
        </w:rPr>
        <w:t>Modest Fashion Offerings</w:t>
      </w:r>
    </w:p>
    <w:p w:rsidR="00873C1B" w:rsidRPr="00F97D3B" w:rsidRDefault="00873C1B" w:rsidP="00873C1B">
      <w:pPr>
        <w:rPr>
          <w:rFonts w:ascii="Arial" w:hAnsi="Arial" w:cs="Arial"/>
          <w:sz w:val="24"/>
          <w:szCs w:val="24"/>
        </w:rPr>
      </w:pPr>
      <w:r w:rsidRPr="00F97D3B">
        <w:rPr>
          <w:rFonts w:ascii="Arial" w:hAnsi="Arial" w:cs="Arial"/>
          <w:sz w:val="24"/>
          <w:szCs w:val="24"/>
        </w:rPr>
        <w:t>Expanding modest fashion options, including longer tunics, full-sleeve tops, and hijab-friendly styles, addresses cultural and religious preferences.</w:t>
      </w:r>
    </w:p>
    <w:p w:rsidR="00873C1B" w:rsidRPr="00F97D3B" w:rsidRDefault="00873C1B" w:rsidP="00873C1B">
      <w:pPr>
        <w:rPr>
          <w:rFonts w:ascii="Arial" w:hAnsi="Arial" w:cs="Arial"/>
          <w:b/>
          <w:sz w:val="24"/>
          <w:szCs w:val="24"/>
        </w:rPr>
      </w:pPr>
      <w:r w:rsidRPr="00F97D3B">
        <w:rPr>
          <w:rFonts w:ascii="Arial" w:hAnsi="Arial" w:cs="Arial"/>
          <w:b/>
          <w:sz w:val="24"/>
          <w:szCs w:val="24"/>
        </w:rPr>
        <w:t>Strategic Implications</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This </w:t>
      </w:r>
      <w:r w:rsidRPr="00F97D3B">
        <w:rPr>
          <w:rStyle w:val="Strong"/>
          <w:rFonts w:ascii="Arial" w:hAnsi="Arial" w:cs="Arial"/>
          <w:sz w:val="24"/>
          <w:szCs w:val="24"/>
        </w:rPr>
        <w:t>hybrid strategy</w:t>
      </w:r>
      <w:r w:rsidRPr="00F97D3B">
        <w:rPr>
          <w:rFonts w:ascii="Arial" w:hAnsi="Arial" w:cs="Arial"/>
          <w:sz w:val="24"/>
          <w:szCs w:val="24"/>
        </w:rPr>
        <w:t xml:space="preserve">, combining market development with product adaptation, leverages existing operational strengths while demonstrating cultural respect and responsiveness. Such an approach optimises the risk-return profile and is crucial for achieving sustainable success in emerging markets (Hill </w:t>
      </w:r>
      <w:r w:rsidRPr="00F97D3B">
        <w:rPr>
          <w:rStyle w:val="Emphasis"/>
          <w:rFonts w:ascii="Arial" w:hAnsi="Arial" w:cs="Arial"/>
          <w:sz w:val="24"/>
          <w:szCs w:val="24"/>
        </w:rPr>
        <w:t>et al.</w:t>
      </w:r>
      <w:r w:rsidRPr="00F97D3B">
        <w:rPr>
          <w:rFonts w:ascii="Arial" w:hAnsi="Arial" w:cs="Arial"/>
          <w:sz w:val="24"/>
          <w:szCs w:val="24"/>
        </w:rPr>
        <w:t>, 2023).</w:t>
      </w:r>
    </w:p>
    <w:p w:rsidR="00873C1B" w:rsidRPr="00F97D3B" w:rsidRDefault="00873C1B" w:rsidP="00873C1B">
      <w:pPr>
        <w:pStyle w:val="Heading2"/>
        <w:rPr>
          <w:rFonts w:ascii="Arial" w:hAnsi="Arial" w:cs="Arial"/>
          <w:sz w:val="24"/>
          <w:szCs w:val="24"/>
        </w:rPr>
      </w:pPr>
      <w:bookmarkStart w:id="27" w:name="_Toc217242890"/>
      <w:r w:rsidRPr="00F97D3B">
        <w:rPr>
          <w:rFonts w:ascii="Arial" w:hAnsi="Arial" w:cs="Arial"/>
          <w:sz w:val="24"/>
          <w:szCs w:val="24"/>
        </w:rPr>
        <w:t>5.2 Market Entry Mode: Joint Venture Approach</w:t>
      </w:r>
      <w:bookmarkEnd w:id="27"/>
    </w:p>
    <w:p w:rsidR="00B57A48" w:rsidRPr="00F97D3B" w:rsidRDefault="00B57A48" w:rsidP="00B57A48">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7BEB3C67" wp14:editId="0A792332">
            <wp:extent cx="4057650" cy="2876550"/>
            <wp:effectExtent l="0" t="0" r="0" b="0"/>
            <wp:docPr id="693730607" name="Picture 1"/>
            <wp:cNvGraphicFramePr/>
            <a:graphic xmlns:a="http://schemas.openxmlformats.org/drawingml/2006/main">
              <a:graphicData uri="http://schemas.openxmlformats.org/drawingml/2006/picture">
                <pic:pic xmlns:pic="http://schemas.openxmlformats.org/drawingml/2006/picture">
                  <pic:nvPicPr>
                    <pic:cNvPr id="693730607" name="Picture 1"/>
                    <pic:cNvPicPr/>
                  </pic:nvPicPr>
                  <pic:blipFill>
                    <a:blip r:embed="rId14"/>
                    <a:stretch>
                      <a:fillRect/>
                    </a:stretch>
                  </pic:blipFill>
                  <pic:spPr>
                    <a:xfrm>
                      <a:off x="0" y="0"/>
                      <a:ext cx="4057650" cy="2876550"/>
                    </a:xfrm>
                    <a:prstGeom prst="rect">
                      <a:avLst/>
                    </a:prstGeom>
                  </pic:spPr>
                </pic:pic>
              </a:graphicData>
            </a:graphic>
          </wp:inline>
        </w:drawing>
      </w:r>
    </w:p>
    <w:p w:rsidR="00B57A48" w:rsidRPr="00F97D3B" w:rsidRDefault="00B57A48" w:rsidP="00B57A48">
      <w:pPr>
        <w:pStyle w:val="Caption"/>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Pr="00F97D3B">
        <w:rPr>
          <w:rFonts w:ascii="Arial" w:hAnsi="Arial" w:cs="Arial"/>
          <w:noProof/>
          <w:sz w:val="24"/>
          <w:szCs w:val="24"/>
        </w:rPr>
        <w:t>8</w:t>
      </w:r>
      <w:r w:rsidR="00F97D3B" w:rsidRPr="00F97D3B">
        <w:rPr>
          <w:rFonts w:ascii="Arial" w:hAnsi="Arial" w:cs="Arial"/>
          <w:noProof/>
          <w:sz w:val="24"/>
          <w:szCs w:val="24"/>
        </w:rPr>
        <w:fldChar w:fldCharType="end"/>
      </w:r>
      <w:r w:rsidRPr="00F97D3B">
        <w:rPr>
          <w:rFonts w:ascii="Arial" w:hAnsi="Arial" w:cs="Arial"/>
          <w:sz w:val="24"/>
          <w:szCs w:val="24"/>
        </w:rPr>
        <w:t>common international expansion entry modes (Manuel, 2022)</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After evaluating entry modes such as wholly-owned subsidiaries, franchising, and licensing, a </w:t>
      </w:r>
      <w:r w:rsidRPr="00F97D3B">
        <w:rPr>
          <w:rStyle w:val="Strong"/>
          <w:rFonts w:ascii="Arial" w:hAnsi="Arial" w:cs="Arial"/>
          <w:sz w:val="24"/>
          <w:szCs w:val="24"/>
        </w:rPr>
        <w:t>joint venture</w:t>
      </w:r>
      <w:r w:rsidRPr="00F97D3B">
        <w:rPr>
          <w:rFonts w:ascii="Arial" w:hAnsi="Arial" w:cs="Arial"/>
          <w:sz w:val="24"/>
          <w:szCs w:val="24"/>
        </w:rPr>
        <w:t xml:space="preserve"> emerges as the optimal strategy for Primark in India, balancing control, resource requirements, risk mitigation, and local market access.</w:t>
      </w:r>
    </w:p>
    <w:p w:rsidR="00873C1B" w:rsidRPr="00F97D3B" w:rsidRDefault="00873C1B" w:rsidP="00873C1B">
      <w:pPr>
        <w:rPr>
          <w:rFonts w:ascii="Arial" w:hAnsi="Arial" w:cs="Arial"/>
          <w:b/>
          <w:sz w:val="24"/>
          <w:szCs w:val="24"/>
        </w:rPr>
      </w:pPr>
      <w:r w:rsidRPr="00F97D3B">
        <w:rPr>
          <w:rFonts w:ascii="Arial" w:hAnsi="Arial" w:cs="Arial"/>
          <w:b/>
          <w:sz w:val="24"/>
          <w:szCs w:val="24"/>
        </w:rPr>
        <w:t>Phase 1 (Years 1–3): Joint Venture Establishment</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Primark should form a joint venture with a reputable Indian retail conglomerate, targeting a 51% Primark 49% partner ownership structure to retain operational control (Hill </w:t>
      </w:r>
      <w:r w:rsidRPr="00F97D3B">
        <w:rPr>
          <w:rStyle w:val="Emphasis"/>
          <w:rFonts w:ascii="Arial" w:hAnsi="Arial" w:cs="Arial"/>
          <w:sz w:val="24"/>
          <w:szCs w:val="24"/>
        </w:rPr>
        <w:t>et al.</w:t>
      </w:r>
      <w:r w:rsidRPr="00F97D3B">
        <w:rPr>
          <w:rFonts w:ascii="Arial" w:hAnsi="Arial" w:cs="Arial"/>
          <w:sz w:val="24"/>
          <w:szCs w:val="24"/>
        </w:rPr>
        <w:t>, 2023). Ideal partners should provide:</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t>Retail real estate expertise and landlord relationships</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t>Regulatory knowledge and government relations capability</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t>Supply chain infrastructure and local vendor access</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lastRenderedPageBreak/>
        <w:t>Talent networks and HR support</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t>Financial strength and co-investment willingness</w:t>
      </w:r>
    </w:p>
    <w:p w:rsidR="00873C1B" w:rsidRPr="00F97D3B" w:rsidRDefault="00873C1B" w:rsidP="00873C1B">
      <w:pPr>
        <w:pStyle w:val="ListParagraph"/>
        <w:numPr>
          <w:ilvl w:val="0"/>
          <w:numId w:val="10"/>
        </w:numPr>
        <w:rPr>
          <w:rFonts w:ascii="Arial" w:hAnsi="Arial" w:cs="Arial"/>
          <w:sz w:val="24"/>
          <w:szCs w:val="24"/>
        </w:rPr>
      </w:pPr>
      <w:r w:rsidRPr="00F97D3B">
        <w:rPr>
          <w:rFonts w:ascii="Arial" w:hAnsi="Arial" w:cs="Arial"/>
          <w:sz w:val="24"/>
          <w:szCs w:val="24"/>
        </w:rPr>
        <w:t>Cultural alignment and commitment to partnership</w:t>
      </w:r>
    </w:p>
    <w:p w:rsidR="00873C1B" w:rsidRPr="00F97D3B" w:rsidRDefault="00873C1B" w:rsidP="00873C1B">
      <w:pPr>
        <w:rPr>
          <w:rFonts w:ascii="Arial" w:hAnsi="Arial" w:cs="Arial"/>
          <w:sz w:val="24"/>
          <w:szCs w:val="24"/>
        </w:rPr>
      </w:pPr>
      <w:r w:rsidRPr="00F97D3B">
        <w:rPr>
          <w:rFonts w:ascii="Arial" w:hAnsi="Arial" w:cs="Arial"/>
          <w:sz w:val="24"/>
          <w:szCs w:val="24"/>
        </w:rPr>
        <w:t>Potential partners include Aditya Birla Group (Pantaloons), Tata Group (Trent), or Reliance Industries. Benefits of this JV structure include shared investment, local market insight, regulatory navigation, real estate access, talent acquisition, and risk mitigation.</w:t>
      </w:r>
    </w:p>
    <w:p w:rsidR="00873C1B" w:rsidRPr="00F97D3B" w:rsidRDefault="00873C1B" w:rsidP="00873C1B">
      <w:pPr>
        <w:rPr>
          <w:rFonts w:ascii="Arial" w:hAnsi="Arial" w:cs="Arial"/>
          <w:b/>
          <w:sz w:val="24"/>
          <w:szCs w:val="24"/>
        </w:rPr>
      </w:pPr>
      <w:r w:rsidRPr="00F97D3B">
        <w:rPr>
          <w:rFonts w:ascii="Arial" w:hAnsi="Arial" w:cs="Arial"/>
          <w:b/>
          <w:sz w:val="24"/>
          <w:szCs w:val="24"/>
        </w:rPr>
        <w:t>Phase 2 (Years 4–7): Selective Franchising</w:t>
      </w:r>
    </w:p>
    <w:p w:rsidR="00873C1B" w:rsidRPr="00F97D3B" w:rsidRDefault="00873C1B" w:rsidP="00873C1B">
      <w:pPr>
        <w:rPr>
          <w:rFonts w:ascii="Arial" w:hAnsi="Arial" w:cs="Arial"/>
          <w:sz w:val="24"/>
          <w:szCs w:val="24"/>
        </w:rPr>
      </w:pPr>
      <w:r w:rsidRPr="00F97D3B">
        <w:rPr>
          <w:rFonts w:ascii="Arial" w:hAnsi="Arial" w:cs="Arial"/>
          <w:sz w:val="24"/>
          <w:szCs w:val="24"/>
        </w:rPr>
        <w:t>Following pilot validation, selective franchising in tier 2 cities allows expansion while retaining company-operated stores in tier 1 cities. Advantages include:</w:t>
      </w:r>
    </w:p>
    <w:p w:rsidR="00873C1B" w:rsidRPr="00F97D3B" w:rsidRDefault="00873C1B" w:rsidP="00873C1B">
      <w:pPr>
        <w:pStyle w:val="ListParagraph"/>
        <w:numPr>
          <w:ilvl w:val="0"/>
          <w:numId w:val="11"/>
        </w:numPr>
        <w:rPr>
          <w:rFonts w:ascii="Arial" w:hAnsi="Arial" w:cs="Arial"/>
          <w:sz w:val="24"/>
          <w:szCs w:val="24"/>
        </w:rPr>
      </w:pPr>
      <w:r w:rsidRPr="00F97D3B">
        <w:rPr>
          <w:rFonts w:ascii="Arial" w:hAnsi="Arial" w:cs="Arial"/>
          <w:sz w:val="24"/>
          <w:szCs w:val="24"/>
        </w:rPr>
        <w:t>Capital-efficient expansion funded by franchisees</w:t>
      </w:r>
    </w:p>
    <w:p w:rsidR="00873C1B" w:rsidRPr="00F97D3B" w:rsidRDefault="00873C1B" w:rsidP="00873C1B">
      <w:pPr>
        <w:pStyle w:val="ListParagraph"/>
        <w:numPr>
          <w:ilvl w:val="0"/>
          <w:numId w:val="11"/>
        </w:numPr>
        <w:rPr>
          <w:rFonts w:ascii="Arial" w:hAnsi="Arial" w:cs="Arial"/>
          <w:sz w:val="24"/>
          <w:szCs w:val="24"/>
        </w:rPr>
      </w:pPr>
      <w:r w:rsidRPr="00F97D3B">
        <w:rPr>
          <w:rFonts w:ascii="Arial" w:hAnsi="Arial" w:cs="Arial"/>
          <w:sz w:val="24"/>
          <w:szCs w:val="24"/>
        </w:rPr>
        <w:t>Local market knowledge improving responsiveness</w:t>
      </w:r>
    </w:p>
    <w:p w:rsidR="00873C1B" w:rsidRPr="00F97D3B" w:rsidRDefault="00873C1B" w:rsidP="00873C1B">
      <w:pPr>
        <w:pStyle w:val="ListParagraph"/>
        <w:numPr>
          <w:ilvl w:val="0"/>
          <w:numId w:val="11"/>
        </w:numPr>
        <w:rPr>
          <w:rFonts w:ascii="Arial" w:hAnsi="Arial" w:cs="Arial"/>
          <w:sz w:val="24"/>
          <w:szCs w:val="24"/>
        </w:rPr>
      </w:pPr>
      <w:r w:rsidRPr="00F97D3B">
        <w:rPr>
          <w:rFonts w:ascii="Arial" w:hAnsi="Arial" w:cs="Arial"/>
          <w:sz w:val="24"/>
          <w:szCs w:val="24"/>
        </w:rPr>
        <w:t>Distribution of operational risk while maintaining brand and supply chain control</w:t>
      </w:r>
    </w:p>
    <w:p w:rsidR="00873C1B" w:rsidRPr="00F97D3B" w:rsidRDefault="00873C1B" w:rsidP="00873C1B">
      <w:pPr>
        <w:pStyle w:val="ListParagraph"/>
        <w:numPr>
          <w:ilvl w:val="0"/>
          <w:numId w:val="11"/>
        </w:numPr>
        <w:rPr>
          <w:rFonts w:ascii="Arial" w:hAnsi="Arial" w:cs="Arial"/>
          <w:sz w:val="24"/>
          <w:szCs w:val="24"/>
        </w:rPr>
      </w:pPr>
      <w:r w:rsidRPr="00F97D3B">
        <w:rPr>
          <w:rFonts w:ascii="Arial" w:hAnsi="Arial" w:cs="Arial"/>
          <w:sz w:val="24"/>
          <w:szCs w:val="24"/>
        </w:rPr>
        <w:t>Scalability in otherwise uneconomical markets</w:t>
      </w:r>
    </w:p>
    <w:p w:rsidR="00873C1B" w:rsidRPr="00F97D3B" w:rsidRDefault="00873C1B" w:rsidP="00873C1B">
      <w:pPr>
        <w:rPr>
          <w:rFonts w:ascii="Arial" w:hAnsi="Arial" w:cs="Arial"/>
          <w:sz w:val="24"/>
          <w:szCs w:val="24"/>
        </w:rPr>
      </w:pPr>
      <w:r w:rsidRPr="00F97D3B">
        <w:rPr>
          <w:rFonts w:ascii="Arial" w:hAnsi="Arial" w:cs="Arial"/>
          <w:sz w:val="24"/>
          <w:szCs w:val="24"/>
        </w:rPr>
        <w:t>Comprehensive franchise support encompasses store design, merchandising, operations manuals, training, technology platforms, marketing support, and supply chain integration. Franchisee selection criteria include minimum net worth, retail experience, store commitment, cultural alignment, real estate access, and exclusivity agreements.</w:t>
      </w:r>
    </w:p>
    <w:p w:rsidR="00873C1B" w:rsidRPr="00F97D3B" w:rsidRDefault="00873C1B" w:rsidP="00873C1B">
      <w:pPr>
        <w:rPr>
          <w:rFonts w:ascii="Arial" w:hAnsi="Arial" w:cs="Arial"/>
          <w:sz w:val="24"/>
          <w:szCs w:val="24"/>
        </w:rPr>
      </w:pPr>
    </w:p>
    <w:p w:rsidR="00873C1B" w:rsidRPr="00F97D3B" w:rsidRDefault="00873C1B" w:rsidP="00873C1B">
      <w:pPr>
        <w:pStyle w:val="Heading2"/>
        <w:rPr>
          <w:rFonts w:ascii="Arial" w:hAnsi="Arial" w:cs="Arial"/>
          <w:sz w:val="24"/>
          <w:szCs w:val="24"/>
        </w:rPr>
      </w:pPr>
      <w:bookmarkStart w:id="28" w:name="_Toc217242891"/>
      <w:r w:rsidRPr="00F97D3B">
        <w:rPr>
          <w:rFonts w:ascii="Arial" w:hAnsi="Arial" w:cs="Arial"/>
          <w:sz w:val="24"/>
          <w:szCs w:val="24"/>
        </w:rPr>
        <w:t>5.3 Competitive Positioning: Cost Leadership with Differentiation</w:t>
      </w:r>
      <w:bookmarkEnd w:id="28"/>
    </w:p>
    <w:p w:rsidR="00857DE3" w:rsidRPr="00F97D3B" w:rsidRDefault="00857DE3" w:rsidP="00857DE3">
      <w:pPr>
        <w:rPr>
          <w:rFonts w:ascii="Arial" w:hAnsi="Arial" w:cs="Arial"/>
          <w:sz w:val="24"/>
          <w:szCs w:val="24"/>
        </w:rPr>
      </w:pPr>
    </w:p>
    <w:p w:rsidR="00873C1B" w:rsidRPr="00F97D3B" w:rsidRDefault="00873C1B" w:rsidP="00873C1B">
      <w:pPr>
        <w:rPr>
          <w:rFonts w:ascii="Arial" w:hAnsi="Arial" w:cs="Arial"/>
          <w:sz w:val="24"/>
          <w:szCs w:val="24"/>
        </w:rPr>
      </w:pPr>
      <w:r w:rsidRPr="00F97D3B">
        <w:rPr>
          <w:rFonts w:ascii="Arial" w:hAnsi="Arial" w:cs="Arial"/>
          <w:sz w:val="24"/>
          <w:szCs w:val="24"/>
        </w:rPr>
        <w:t xml:space="preserve">Primark’s strategy combines </w:t>
      </w:r>
      <w:r w:rsidRPr="00F97D3B">
        <w:rPr>
          <w:rStyle w:val="Strong"/>
          <w:rFonts w:ascii="Arial" w:hAnsi="Arial" w:cs="Arial"/>
          <w:sz w:val="24"/>
          <w:szCs w:val="24"/>
        </w:rPr>
        <w:t>cost leadership</w:t>
      </w:r>
      <w:r w:rsidRPr="00F97D3B">
        <w:rPr>
          <w:rFonts w:ascii="Arial" w:hAnsi="Arial" w:cs="Arial"/>
          <w:sz w:val="24"/>
          <w:szCs w:val="24"/>
        </w:rPr>
        <w:t xml:space="preserve"> with selective </w:t>
      </w:r>
      <w:r w:rsidRPr="00F97D3B">
        <w:rPr>
          <w:rStyle w:val="Strong"/>
          <w:rFonts w:ascii="Arial" w:hAnsi="Arial" w:cs="Arial"/>
          <w:sz w:val="24"/>
          <w:szCs w:val="24"/>
        </w:rPr>
        <w:t>differentiation</w:t>
      </w:r>
      <w:r w:rsidRPr="00F97D3B">
        <w:rPr>
          <w:rFonts w:ascii="Arial" w:hAnsi="Arial" w:cs="Arial"/>
          <w:sz w:val="24"/>
          <w:szCs w:val="24"/>
        </w:rPr>
        <w:t>, targeting the value fashion segment via a “best-cost” or “value leadership” approach (Porter, 1985; Grant, 2021).</w:t>
      </w:r>
    </w:p>
    <w:p w:rsidR="00857DE3" w:rsidRPr="00F97D3B" w:rsidRDefault="00857DE3" w:rsidP="00873C1B">
      <w:pPr>
        <w:rPr>
          <w:rFonts w:ascii="Arial" w:hAnsi="Arial" w:cs="Arial"/>
          <w:sz w:val="24"/>
          <w:szCs w:val="24"/>
        </w:rPr>
      </w:pPr>
    </w:p>
    <w:p w:rsidR="00873C1B" w:rsidRPr="00F97D3B" w:rsidRDefault="00873C1B" w:rsidP="00873C1B">
      <w:pPr>
        <w:rPr>
          <w:rFonts w:ascii="Arial" w:hAnsi="Arial" w:cs="Arial"/>
          <w:b/>
          <w:sz w:val="24"/>
          <w:szCs w:val="24"/>
        </w:rPr>
      </w:pPr>
      <w:r w:rsidRPr="00F97D3B">
        <w:rPr>
          <w:rFonts w:ascii="Arial" w:hAnsi="Arial" w:cs="Arial"/>
          <w:b/>
          <w:sz w:val="24"/>
          <w:szCs w:val="24"/>
        </w:rPr>
        <w:t>Cost Leadership Foundations</w:t>
      </w:r>
    </w:p>
    <w:p w:rsidR="00873C1B" w:rsidRPr="00F97D3B" w:rsidRDefault="00873C1B" w:rsidP="00873C1B">
      <w:pPr>
        <w:rPr>
          <w:rFonts w:ascii="Arial" w:hAnsi="Arial" w:cs="Arial"/>
          <w:sz w:val="24"/>
          <w:szCs w:val="24"/>
        </w:rPr>
      </w:pPr>
      <w:r w:rsidRPr="00F97D3B">
        <w:rPr>
          <w:rFonts w:ascii="Arial" w:hAnsi="Arial" w:cs="Arial"/>
          <w:sz w:val="24"/>
          <w:szCs w:val="24"/>
        </w:rPr>
        <w:t>Operational efficiency enables prices 30–40% below international and 15–25% below domestic competitors:</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Direct Sourcing:</w:t>
      </w:r>
      <w:r w:rsidRPr="00F97D3B">
        <w:rPr>
          <w:rFonts w:ascii="Arial" w:hAnsi="Arial" w:cs="Arial"/>
          <w:sz w:val="24"/>
          <w:szCs w:val="24"/>
        </w:rPr>
        <w:t xml:space="preserve"> Minimizes intermediaries; potential Indian supplier integration</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Economies of Scale:</w:t>
      </w:r>
      <w:r w:rsidRPr="00F97D3B">
        <w:rPr>
          <w:rFonts w:ascii="Arial" w:hAnsi="Arial" w:cs="Arial"/>
          <w:sz w:val="24"/>
          <w:szCs w:val="24"/>
        </w:rPr>
        <w:t xml:space="preserve"> Large SKUs achieve volume discounts</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Minimal Marketing:</w:t>
      </w:r>
      <w:r w:rsidRPr="00F97D3B">
        <w:rPr>
          <w:rFonts w:ascii="Arial" w:hAnsi="Arial" w:cs="Arial"/>
          <w:sz w:val="24"/>
          <w:szCs w:val="24"/>
        </w:rPr>
        <w:t xml:space="preserve"> Less than 0.5% of revenue compared to 3–5% industry norms (Panigyrakis </w:t>
      </w:r>
      <w:r w:rsidRPr="00F97D3B">
        <w:rPr>
          <w:rStyle w:val="Emphasis"/>
          <w:rFonts w:ascii="Arial" w:hAnsi="Arial" w:cs="Arial"/>
          <w:sz w:val="24"/>
          <w:szCs w:val="24"/>
        </w:rPr>
        <w:t>et al.</w:t>
      </w:r>
      <w:r w:rsidRPr="00F97D3B">
        <w:rPr>
          <w:rFonts w:ascii="Arial" w:hAnsi="Arial" w:cs="Arial"/>
          <w:sz w:val="24"/>
          <w:szCs w:val="24"/>
        </w:rPr>
        <w:t>, 2021)</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Efficient Store Operations:</w:t>
      </w:r>
      <w:r w:rsidRPr="00F97D3B">
        <w:rPr>
          <w:rFonts w:ascii="Arial" w:hAnsi="Arial" w:cs="Arial"/>
          <w:sz w:val="24"/>
          <w:szCs w:val="24"/>
        </w:rPr>
        <w:t xml:space="preserve"> Large-format stores (35,000–50,000 sq ft) targeting ₹18,000–22,000 sales per sq ft</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Rapid Inventory Turnover:</w:t>
      </w:r>
      <w:r w:rsidRPr="00F97D3B">
        <w:rPr>
          <w:rFonts w:ascii="Arial" w:hAnsi="Arial" w:cs="Arial"/>
          <w:sz w:val="24"/>
          <w:szCs w:val="24"/>
        </w:rPr>
        <w:t xml:space="preserve"> 8–10 turns per year</w:t>
      </w:r>
    </w:p>
    <w:p w:rsidR="00873C1B" w:rsidRPr="00F97D3B" w:rsidRDefault="00873C1B" w:rsidP="00857DE3">
      <w:pPr>
        <w:pStyle w:val="ListParagraph"/>
        <w:numPr>
          <w:ilvl w:val="0"/>
          <w:numId w:val="12"/>
        </w:numPr>
        <w:rPr>
          <w:rFonts w:ascii="Arial" w:hAnsi="Arial" w:cs="Arial"/>
          <w:sz w:val="24"/>
          <w:szCs w:val="24"/>
        </w:rPr>
      </w:pPr>
      <w:r w:rsidRPr="00F97D3B">
        <w:rPr>
          <w:rStyle w:val="Strong"/>
          <w:rFonts w:ascii="Arial" w:hAnsi="Arial" w:cs="Arial"/>
          <w:sz w:val="24"/>
          <w:szCs w:val="24"/>
        </w:rPr>
        <w:t>Lean Structure:</w:t>
      </w:r>
      <w:r w:rsidRPr="00F97D3B">
        <w:rPr>
          <w:rFonts w:ascii="Arial" w:hAnsi="Arial" w:cs="Arial"/>
          <w:sz w:val="24"/>
          <w:szCs w:val="24"/>
        </w:rPr>
        <w:t xml:space="preserve"> Reduced overhead and store-level autonomy</w:t>
      </w:r>
    </w:p>
    <w:p w:rsidR="00857DE3" w:rsidRPr="00F97D3B" w:rsidRDefault="00857DE3" w:rsidP="00857DE3">
      <w:pPr>
        <w:pStyle w:val="ListParagraph"/>
        <w:rPr>
          <w:rFonts w:ascii="Arial" w:hAnsi="Arial" w:cs="Arial"/>
          <w:sz w:val="24"/>
          <w:szCs w:val="24"/>
        </w:rPr>
      </w:pPr>
    </w:p>
    <w:p w:rsidR="00873C1B" w:rsidRPr="00F97D3B" w:rsidRDefault="00873C1B" w:rsidP="00873C1B">
      <w:pPr>
        <w:rPr>
          <w:rFonts w:ascii="Arial" w:hAnsi="Arial" w:cs="Arial"/>
          <w:sz w:val="24"/>
          <w:szCs w:val="24"/>
        </w:rPr>
      </w:pPr>
      <w:r w:rsidRPr="00F97D3B">
        <w:rPr>
          <w:rStyle w:val="Strong"/>
          <w:rFonts w:ascii="Arial" w:hAnsi="Arial" w:cs="Arial"/>
          <w:sz w:val="24"/>
          <w:szCs w:val="24"/>
        </w:rPr>
        <w:t>Price Positioning:</w:t>
      </w:r>
    </w:p>
    <w:p w:rsidR="00873C1B" w:rsidRPr="00F97D3B" w:rsidRDefault="00873C1B" w:rsidP="00873C1B">
      <w:pPr>
        <w:rPr>
          <w:rFonts w:ascii="Arial" w:hAnsi="Arial" w:cs="Arial"/>
          <w:sz w:val="24"/>
          <w:szCs w:val="24"/>
        </w:rPr>
      </w:pPr>
      <w:r w:rsidRPr="00F97D3B">
        <w:rPr>
          <w:rFonts w:ascii="Arial" w:hAnsi="Arial" w:cs="Arial"/>
          <w:sz w:val="24"/>
          <w:szCs w:val="24"/>
        </w:rPr>
        <w:t>Women’s tops: ₹299–599 (vs. Zara ₹1,490–2,990; H&amp;M ₹799–1,499)</w:t>
      </w:r>
    </w:p>
    <w:p w:rsidR="00873C1B" w:rsidRPr="00F97D3B" w:rsidRDefault="00873C1B" w:rsidP="00873C1B">
      <w:pPr>
        <w:rPr>
          <w:rFonts w:ascii="Arial" w:hAnsi="Arial" w:cs="Arial"/>
          <w:sz w:val="24"/>
          <w:szCs w:val="24"/>
        </w:rPr>
      </w:pPr>
      <w:r w:rsidRPr="00F97D3B">
        <w:rPr>
          <w:rFonts w:ascii="Arial" w:hAnsi="Arial" w:cs="Arial"/>
          <w:sz w:val="24"/>
          <w:szCs w:val="24"/>
        </w:rPr>
        <w:t>Women’s dresses: ₹699–1,299</w:t>
      </w:r>
    </w:p>
    <w:p w:rsidR="00873C1B" w:rsidRPr="00F97D3B" w:rsidRDefault="00873C1B" w:rsidP="00873C1B">
      <w:pPr>
        <w:rPr>
          <w:rFonts w:ascii="Arial" w:hAnsi="Arial" w:cs="Arial"/>
          <w:sz w:val="24"/>
          <w:szCs w:val="24"/>
        </w:rPr>
      </w:pPr>
      <w:r w:rsidRPr="00F97D3B">
        <w:rPr>
          <w:rFonts w:ascii="Arial" w:hAnsi="Arial" w:cs="Arial"/>
          <w:sz w:val="24"/>
          <w:szCs w:val="24"/>
        </w:rPr>
        <w:t>Men’s shirts: ₹399–799</w:t>
      </w:r>
    </w:p>
    <w:p w:rsidR="00873C1B" w:rsidRPr="00F97D3B" w:rsidRDefault="00873C1B" w:rsidP="00873C1B">
      <w:pPr>
        <w:rPr>
          <w:rFonts w:ascii="Arial" w:hAnsi="Arial" w:cs="Arial"/>
          <w:sz w:val="24"/>
          <w:szCs w:val="24"/>
        </w:rPr>
      </w:pPr>
      <w:r w:rsidRPr="00F97D3B">
        <w:rPr>
          <w:rFonts w:ascii="Arial" w:hAnsi="Arial" w:cs="Arial"/>
          <w:sz w:val="24"/>
          <w:szCs w:val="24"/>
        </w:rPr>
        <w:t>Denim: ₹799–1,299</w:t>
      </w:r>
    </w:p>
    <w:p w:rsidR="00873C1B" w:rsidRPr="00F97D3B" w:rsidRDefault="00873C1B" w:rsidP="00873C1B">
      <w:pPr>
        <w:rPr>
          <w:rFonts w:ascii="Arial" w:hAnsi="Arial" w:cs="Arial"/>
          <w:sz w:val="24"/>
          <w:szCs w:val="24"/>
        </w:rPr>
      </w:pPr>
      <w:r w:rsidRPr="00F97D3B">
        <w:rPr>
          <w:rFonts w:ascii="Arial" w:hAnsi="Arial" w:cs="Arial"/>
          <w:sz w:val="24"/>
          <w:szCs w:val="24"/>
        </w:rPr>
        <w:t>Children’s apparel: ₹199–599</w:t>
      </w:r>
    </w:p>
    <w:p w:rsidR="00857DE3" w:rsidRPr="00F97D3B" w:rsidRDefault="00857DE3" w:rsidP="00873C1B">
      <w:pPr>
        <w:rPr>
          <w:rFonts w:ascii="Arial" w:hAnsi="Arial" w:cs="Arial"/>
          <w:sz w:val="24"/>
          <w:szCs w:val="24"/>
        </w:rPr>
      </w:pPr>
    </w:p>
    <w:p w:rsidR="00873C1B" w:rsidRPr="00F97D3B" w:rsidRDefault="00873C1B" w:rsidP="00873C1B">
      <w:pPr>
        <w:rPr>
          <w:rFonts w:ascii="Arial" w:hAnsi="Arial" w:cs="Arial"/>
          <w:b/>
          <w:sz w:val="24"/>
          <w:szCs w:val="24"/>
        </w:rPr>
      </w:pPr>
      <w:r w:rsidRPr="00F97D3B">
        <w:rPr>
          <w:rFonts w:ascii="Arial" w:hAnsi="Arial" w:cs="Arial"/>
          <w:b/>
          <w:sz w:val="24"/>
          <w:szCs w:val="24"/>
        </w:rPr>
        <w:t>Differentiation Elements</w:t>
      </w:r>
    </w:p>
    <w:p w:rsidR="00873C1B" w:rsidRPr="00F97D3B" w:rsidRDefault="00873C1B" w:rsidP="00873C1B">
      <w:pPr>
        <w:rPr>
          <w:rFonts w:ascii="Arial" w:hAnsi="Arial" w:cs="Arial"/>
          <w:b/>
          <w:sz w:val="24"/>
          <w:szCs w:val="24"/>
        </w:rPr>
      </w:pPr>
      <w:r w:rsidRPr="00F97D3B">
        <w:rPr>
          <w:rFonts w:ascii="Arial" w:hAnsi="Arial" w:cs="Arial"/>
          <w:b/>
          <w:sz w:val="24"/>
          <w:szCs w:val="24"/>
        </w:rPr>
        <w:t>Primark mitigates commoditization risk through:</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International Fashion Credibility:</w:t>
      </w:r>
      <w:r w:rsidRPr="00F97D3B">
        <w:rPr>
          <w:rFonts w:ascii="Arial" w:hAnsi="Arial" w:cs="Arial"/>
          <w:sz w:val="24"/>
          <w:szCs w:val="24"/>
        </w:rPr>
        <w:t xml:space="preserve"> European design pedigree</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Trend Responsiveness:</w:t>
      </w:r>
      <w:r w:rsidRPr="00F97D3B">
        <w:rPr>
          <w:rFonts w:ascii="Arial" w:hAnsi="Arial" w:cs="Arial"/>
          <w:sz w:val="24"/>
          <w:szCs w:val="24"/>
        </w:rPr>
        <w:t xml:space="preserve"> 6–8 week design-to-store cycles</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Store Experience:</w:t>
      </w:r>
      <w:r w:rsidRPr="00F97D3B">
        <w:rPr>
          <w:rFonts w:ascii="Arial" w:hAnsi="Arial" w:cs="Arial"/>
          <w:sz w:val="24"/>
          <w:szCs w:val="24"/>
        </w:rPr>
        <w:t xml:space="preserve"> Modern, well-organized shopping environment</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Breadth of Assortment:</w:t>
      </w:r>
      <w:r w:rsidRPr="00F97D3B">
        <w:rPr>
          <w:rFonts w:ascii="Arial" w:hAnsi="Arial" w:cs="Arial"/>
          <w:sz w:val="24"/>
          <w:szCs w:val="24"/>
        </w:rPr>
        <w:t xml:space="preserve"> 10,000+ SKUs</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Quality Consistency:</w:t>
      </w:r>
      <w:r w:rsidRPr="00F97D3B">
        <w:rPr>
          <w:rFonts w:ascii="Arial" w:hAnsi="Arial" w:cs="Arial"/>
          <w:sz w:val="24"/>
          <w:szCs w:val="24"/>
        </w:rPr>
        <w:t xml:space="preserve"> Rigorous quality control</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Sustainability:</w:t>
      </w:r>
      <w:r w:rsidRPr="00F97D3B">
        <w:rPr>
          <w:rFonts w:ascii="Arial" w:hAnsi="Arial" w:cs="Arial"/>
          <w:sz w:val="24"/>
          <w:szCs w:val="24"/>
        </w:rPr>
        <w:t xml:space="preserve"> “Primark Cares” initiatives</w:t>
      </w:r>
    </w:p>
    <w:p w:rsidR="00873C1B" w:rsidRPr="00F97D3B" w:rsidRDefault="00873C1B" w:rsidP="00857DE3">
      <w:pPr>
        <w:pStyle w:val="ListParagraph"/>
        <w:numPr>
          <w:ilvl w:val="0"/>
          <w:numId w:val="13"/>
        </w:numPr>
        <w:rPr>
          <w:rFonts w:ascii="Arial" w:hAnsi="Arial" w:cs="Arial"/>
          <w:sz w:val="24"/>
          <w:szCs w:val="24"/>
        </w:rPr>
      </w:pPr>
      <w:r w:rsidRPr="00F97D3B">
        <w:rPr>
          <w:rStyle w:val="Strong"/>
          <w:rFonts w:ascii="Arial" w:hAnsi="Arial" w:cs="Arial"/>
          <w:sz w:val="24"/>
          <w:szCs w:val="24"/>
        </w:rPr>
        <w:t>Cultural Respect:</w:t>
      </w:r>
      <w:r w:rsidRPr="00F97D3B">
        <w:rPr>
          <w:rFonts w:ascii="Arial" w:hAnsi="Arial" w:cs="Arial"/>
          <w:sz w:val="24"/>
          <w:szCs w:val="24"/>
        </w:rPr>
        <w:t xml:space="preserve"> India-specific adaptations in products, stores, and marketing</w:t>
      </w:r>
    </w:p>
    <w:p w:rsidR="00873C1B" w:rsidRPr="00F97D3B" w:rsidRDefault="00873C1B" w:rsidP="00873C1B">
      <w:pPr>
        <w:rPr>
          <w:rFonts w:ascii="Arial" w:hAnsi="Arial" w:cs="Arial"/>
          <w:sz w:val="24"/>
          <w:szCs w:val="24"/>
        </w:rPr>
      </w:pPr>
      <w:r w:rsidRPr="00F97D3B">
        <w:rPr>
          <w:rFonts w:ascii="Arial" w:hAnsi="Arial" w:cs="Arial"/>
          <w:sz w:val="24"/>
          <w:szCs w:val="24"/>
        </w:rPr>
        <w:t xml:space="preserve">This </w:t>
      </w:r>
      <w:r w:rsidRPr="00F97D3B">
        <w:rPr>
          <w:rStyle w:val="Strong"/>
          <w:rFonts w:ascii="Arial" w:hAnsi="Arial" w:cs="Arial"/>
          <w:sz w:val="24"/>
          <w:szCs w:val="24"/>
        </w:rPr>
        <w:t>value leadership positioning</w:t>
      </w:r>
      <w:r w:rsidRPr="00F97D3B">
        <w:rPr>
          <w:rFonts w:ascii="Arial" w:hAnsi="Arial" w:cs="Arial"/>
          <w:sz w:val="24"/>
          <w:szCs w:val="24"/>
        </w:rPr>
        <w:t xml:space="preserve"> targets the “masstige” segment seeking fashion credibility, modern retail experience, and accessible prices (Deloitte, 2024).</w:t>
      </w:r>
    </w:p>
    <w:p w:rsidR="00857DE3" w:rsidRPr="00F97D3B" w:rsidRDefault="00857DE3" w:rsidP="00857DE3">
      <w:pPr>
        <w:pStyle w:val="Heading2"/>
        <w:rPr>
          <w:rFonts w:ascii="Arial" w:hAnsi="Arial" w:cs="Arial"/>
          <w:sz w:val="24"/>
          <w:szCs w:val="24"/>
        </w:rPr>
      </w:pPr>
      <w:bookmarkStart w:id="29" w:name="_Toc217242892"/>
      <w:r w:rsidRPr="00F97D3B">
        <w:rPr>
          <w:rFonts w:ascii="Arial" w:hAnsi="Arial" w:cs="Arial"/>
          <w:sz w:val="24"/>
          <w:szCs w:val="24"/>
        </w:rPr>
        <w:t>5.4 Strategic Capability Assessment: VRIO Analysis</w:t>
      </w:r>
      <w:bookmarkEnd w:id="29"/>
    </w:p>
    <w:p w:rsidR="00857DE3" w:rsidRPr="00F97D3B" w:rsidRDefault="00857DE3" w:rsidP="00857DE3">
      <w:pPr>
        <w:rPr>
          <w:rFonts w:ascii="Arial" w:hAnsi="Arial" w:cs="Arial"/>
          <w:sz w:val="24"/>
          <w:szCs w:val="24"/>
        </w:rPr>
      </w:pPr>
      <w:r w:rsidRPr="00F97D3B">
        <w:rPr>
          <w:rFonts w:ascii="Arial" w:hAnsi="Arial" w:cs="Arial"/>
          <w:sz w:val="24"/>
          <w:szCs w:val="24"/>
        </w:rPr>
        <w:t xml:space="preserve">The </w:t>
      </w:r>
      <w:r w:rsidRPr="00F97D3B">
        <w:rPr>
          <w:rStyle w:val="Strong"/>
          <w:rFonts w:ascii="Arial" w:hAnsi="Arial" w:cs="Arial"/>
          <w:sz w:val="24"/>
          <w:szCs w:val="24"/>
        </w:rPr>
        <w:t>VRIO framework</w:t>
      </w:r>
      <w:r w:rsidRPr="00F97D3B">
        <w:rPr>
          <w:rFonts w:ascii="Arial" w:hAnsi="Arial" w:cs="Arial"/>
          <w:sz w:val="24"/>
          <w:szCs w:val="24"/>
        </w:rPr>
        <w:t xml:space="preserve"> evaluates Primark’s resources and capabilities based on Value, Rarity, Imitability, and Organizational exploitation to assess sustainable competitive advantage (Barney, 1991).</w:t>
      </w:r>
    </w:p>
    <w:p w:rsidR="00857DE3" w:rsidRPr="00F97D3B" w:rsidRDefault="00857DE3" w:rsidP="00857DE3">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7CEA4DD1" wp14:editId="43B840DD">
            <wp:extent cx="4282440" cy="2406827"/>
            <wp:effectExtent l="0" t="0" r="3810" b="0"/>
            <wp:docPr id="12" name="Picture 12"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VRIO Framework EXPLAINED with EXAMPLES | B2U"/>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06021" cy="2420080"/>
                    </a:xfrm>
                    <a:prstGeom prst="rect">
                      <a:avLst/>
                    </a:prstGeom>
                    <a:noFill/>
                    <a:ln>
                      <a:noFill/>
                    </a:ln>
                  </pic:spPr>
                </pic:pic>
              </a:graphicData>
            </a:graphic>
          </wp:inline>
        </w:drawing>
      </w:r>
    </w:p>
    <w:p w:rsidR="00857DE3" w:rsidRPr="00F97D3B" w:rsidRDefault="00857DE3" w:rsidP="00857DE3">
      <w:pPr>
        <w:pStyle w:val="Caption"/>
        <w:rPr>
          <w:rFonts w:ascii="Arial" w:hAnsi="Arial" w:cs="Arial"/>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00B57A48" w:rsidRPr="00F97D3B">
        <w:rPr>
          <w:rFonts w:ascii="Arial" w:hAnsi="Arial" w:cs="Arial"/>
          <w:noProof/>
          <w:sz w:val="24"/>
          <w:szCs w:val="24"/>
        </w:rPr>
        <w:t>9</w:t>
      </w:r>
      <w:r w:rsidR="00F97D3B" w:rsidRPr="00F97D3B">
        <w:rPr>
          <w:rFonts w:ascii="Arial" w:hAnsi="Arial" w:cs="Arial"/>
          <w:noProof/>
          <w:sz w:val="24"/>
          <w:szCs w:val="24"/>
        </w:rPr>
        <w:fldChar w:fldCharType="end"/>
      </w:r>
      <w:r w:rsidRPr="00F97D3B">
        <w:rPr>
          <w:rFonts w:ascii="Arial" w:hAnsi="Arial" w:cs="Arial"/>
          <w:sz w:val="24"/>
          <w:szCs w:val="24"/>
        </w:rPr>
        <w:t>https://www.business-to-you.com/vrio-from-firm-resources-to-competitive-advantage/</w:t>
      </w:r>
    </w:p>
    <w:p w:rsidR="00857DE3" w:rsidRPr="00F97D3B" w:rsidRDefault="00857DE3" w:rsidP="00857DE3">
      <w:pPr>
        <w:rPr>
          <w:rFonts w:ascii="Arial" w:hAnsi="Arial" w:cs="Arial"/>
          <w:b/>
          <w:sz w:val="24"/>
          <w:szCs w:val="24"/>
        </w:rPr>
      </w:pPr>
      <w:r w:rsidRPr="00F97D3B">
        <w:rPr>
          <w:rFonts w:ascii="Arial" w:hAnsi="Arial" w:cs="Arial"/>
          <w:b/>
          <w:sz w:val="24"/>
          <w:szCs w:val="24"/>
        </w:rPr>
        <w:t>Valuable Resources and Capabilities</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Brand Heritage:</w:t>
      </w:r>
      <w:r w:rsidRPr="00F97D3B">
        <w:rPr>
          <w:rFonts w:ascii="Arial" w:hAnsi="Arial" w:cs="Arial"/>
          <w:sz w:val="24"/>
          <w:szCs w:val="24"/>
        </w:rPr>
        <w:t xml:space="preserve"> 55-year history and European provenance providing credibility, requiring awareness-building in India.</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Cost Structure:</w:t>
      </w:r>
      <w:r w:rsidRPr="00F97D3B">
        <w:rPr>
          <w:rFonts w:ascii="Arial" w:hAnsi="Arial" w:cs="Arial"/>
          <w:sz w:val="24"/>
          <w:szCs w:val="24"/>
        </w:rPr>
        <w:t xml:space="preserve"> Low-cost operations enabling competitive pricing with maintained profitability.</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Sourcing Expertise:</w:t>
      </w:r>
      <w:r w:rsidRPr="00F97D3B">
        <w:rPr>
          <w:rFonts w:ascii="Arial" w:hAnsi="Arial" w:cs="Arial"/>
          <w:sz w:val="24"/>
          <w:szCs w:val="24"/>
        </w:rPr>
        <w:t xml:space="preserve"> Direct manufacturer relationships and quality assurance systems ensuring cost and quality advantages.</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Store Operations Excellence:</w:t>
      </w:r>
      <w:r w:rsidRPr="00F97D3B">
        <w:rPr>
          <w:rFonts w:ascii="Arial" w:hAnsi="Arial" w:cs="Arial"/>
          <w:sz w:val="24"/>
          <w:szCs w:val="24"/>
        </w:rPr>
        <w:t xml:space="preserve"> Efficient merchandising, inventory, customer flow, and productivity systems.</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Financial Resources:</w:t>
      </w:r>
      <w:r w:rsidRPr="00F97D3B">
        <w:rPr>
          <w:rFonts w:ascii="Arial" w:hAnsi="Arial" w:cs="Arial"/>
          <w:sz w:val="24"/>
          <w:szCs w:val="24"/>
        </w:rPr>
        <w:t xml:space="preserve"> Backing by Associated British Foods allowing patient capital deployment.</w:t>
      </w:r>
    </w:p>
    <w:p w:rsidR="00857DE3" w:rsidRPr="00F97D3B" w:rsidRDefault="00857DE3" w:rsidP="00857DE3">
      <w:pPr>
        <w:pStyle w:val="ListParagraph"/>
        <w:numPr>
          <w:ilvl w:val="0"/>
          <w:numId w:val="30"/>
        </w:numPr>
        <w:rPr>
          <w:rFonts w:ascii="Arial" w:hAnsi="Arial" w:cs="Arial"/>
          <w:sz w:val="24"/>
          <w:szCs w:val="24"/>
        </w:rPr>
      </w:pPr>
      <w:r w:rsidRPr="00F97D3B">
        <w:rPr>
          <w:rStyle w:val="Strong"/>
          <w:rFonts w:ascii="Arial" w:hAnsi="Arial" w:cs="Arial"/>
          <w:sz w:val="24"/>
          <w:szCs w:val="24"/>
        </w:rPr>
        <w:t>International Expansion Capability:</w:t>
      </w:r>
      <w:r w:rsidRPr="00F97D3B">
        <w:rPr>
          <w:rFonts w:ascii="Arial" w:hAnsi="Arial" w:cs="Arial"/>
          <w:sz w:val="24"/>
          <w:szCs w:val="24"/>
        </w:rPr>
        <w:t xml:space="preserve"> Prior experience in diverse markets providing learning and process advantages.</w:t>
      </w:r>
    </w:p>
    <w:p w:rsidR="00857DE3" w:rsidRPr="00F97D3B" w:rsidRDefault="00857DE3" w:rsidP="00857DE3">
      <w:pPr>
        <w:rPr>
          <w:rFonts w:ascii="Arial" w:hAnsi="Arial" w:cs="Arial"/>
          <w:b/>
          <w:sz w:val="24"/>
          <w:szCs w:val="24"/>
        </w:rPr>
      </w:pPr>
      <w:r w:rsidRPr="00F97D3B">
        <w:rPr>
          <w:rFonts w:ascii="Arial" w:hAnsi="Arial" w:cs="Arial"/>
          <w:b/>
          <w:sz w:val="24"/>
          <w:szCs w:val="24"/>
        </w:rPr>
        <w:t>Rare Resources and Capabilities</w:t>
      </w:r>
    </w:p>
    <w:p w:rsidR="00857DE3" w:rsidRPr="00F97D3B" w:rsidRDefault="00857DE3" w:rsidP="00857DE3">
      <w:pPr>
        <w:pStyle w:val="ListParagraph"/>
        <w:numPr>
          <w:ilvl w:val="0"/>
          <w:numId w:val="31"/>
        </w:numPr>
        <w:rPr>
          <w:rFonts w:ascii="Arial" w:hAnsi="Arial" w:cs="Arial"/>
          <w:sz w:val="24"/>
          <w:szCs w:val="24"/>
        </w:rPr>
      </w:pPr>
      <w:r w:rsidRPr="00F97D3B">
        <w:rPr>
          <w:rStyle w:val="Strong"/>
          <w:rFonts w:ascii="Arial" w:hAnsi="Arial" w:cs="Arial"/>
          <w:sz w:val="24"/>
          <w:szCs w:val="24"/>
        </w:rPr>
        <w:lastRenderedPageBreak/>
        <w:t>Integrated Value Model:</w:t>
      </w:r>
      <w:r w:rsidRPr="00F97D3B">
        <w:rPr>
          <w:rFonts w:ascii="Arial" w:hAnsi="Arial" w:cs="Arial"/>
          <w:sz w:val="24"/>
          <w:szCs w:val="24"/>
        </w:rPr>
        <w:t xml:space="preserve"> Combination of international fashion credibility with aggressive value pricing uncommon in India.</w:t>
      </w:r>
    </w:p>
    <w:p w:rsidR="00857DE3" w:rsidRPr="00F97D3B" w:rsidRDefault="00857DE3" w:rsidP="00857DE3">
      <w:pPr>
        <w:pStyle w:val="ListParagraph"/>
        <w:numPr>
          <w:ilvl w:val="0"/>
          <w:numId w:val="31"/>
        </w:numPr>
        <w:rPr>
          <w:rFonts w:ascii="Arial" w:hAnsi="Arial" w:cs="Arial"/>
          <w:sz w:val="24"/>
          <w:szCs w:val="24"/>
        </w:rPr>
      </w:pPr>
      <w:r w:rsidRPr="00F97D3B">
        <w:rPr>
          <w:rStyle w:val="Strong"/>
          <w:rFonts w:ascii="Arial" w:hAnsi="Arial" w:cs="Arial"/>
          <w:sz w:val="24"/>
          <w:szCs w:val="24"/>
        </w:rPr>
        <w:t>Scale Economies:</w:t>
      </w:r>
      <w:r w:rsidRPr="00F97D3B">
        <w:rPr>
          <w:rFonts w:ascii="Arial" w:hAnsi="Arial" w:cs="Arial"/>
          <w:sz w:val="24"/>
          <w:szCs w:val="24"/>
        </w:rPr>
        <w:t xml:space="preserve"> Global volume leverage surpassing domestic competitors (Associated British Foods, 2024).</w:t>
      </w:r>
    </w:p>
    <w:p w:rsidR="00857DE3" w:rsidRPr="00F97D3B" w:rsidRDefault="00857DE3" w:rsidP="00857DE3">
      <w:pPr>
        <w:pStyle w:val="ListParagraph"/>
        <w:numPr>
          <w:ilvl w:val="0"/>
          <w:numId w:val="31"/>
        </w:numPr>
        <w:rPr>
          <w:rFonts w:ascii="Arial" w:hAnsi="Arial" w:cs="Arial"/>
          <w:sz w:val="24"/>
          <w:szCs w:val="24"/>
        </w:rPr>
      </w:pPr>
      <w:r w:rsidRPr="00F97D3B">
        <w:rPr>
          <w:rStyle w:val="Strong"/>
          <w:rFonts w:ascii="Arial" w:hAnsi="Arial" w:cs="Arial"/>
          <w:sz w:val="24"/>
          <w:szCs w:val="24"/>
        </w:rPr>
        <w:t>Zero Traditional Marketing Model:</w:t>
      </w:r>
      <w:r w:rsidRPr="00F97D3B">
        <w:rPr>
          <w:rFonts w:ascii="Arial" w:hAnsi="Arial" w:cs="Arial"/>
          <w:sz w:val="24"/>
          <w:szCs w:val="24"/>
        </w:rPr>
        <w:t xml:space="preserve"> Reliance on organic growth and word-of-mouth rare in India.</w:t>
      </w:r>
    </w:p>
    <w:p w:rsidR="00857DE3" w:rsidRPr="00F97D3B" w:rsidRDefault="00857DE3" w:rsidP="00857DE3">
      <w:pPr>
        <w:pStyle w:val="ListParagraph"/>
        <w:numPr>
          <w:ilvl w:val="0"/>
          <w:numId w:val="31"/>
        </w:numPr>
        <w:rPr>
          <w:rFonts w:ascii="Arial" w:hAnsi="Arial" w:cs="Arial"/>
          <w:sz w:val="24"/>
          <w:szCs w:val="24"/>
        </w:rPr>
      </w:pPr>
      <w:r w:rsidRPr="00F97D3B">
        <w:rPr>
          <w:rStyle w:val="Strong"/>
          <w:rFonts w:ascii="Arial" w:hAnsi="Arial" w:cs="Arial"/>
          <w:sz w:val="24"/>
          <w:szCs w:val="24"/>
        </w:rPr>
        <w:t>Sustainability at Value:</w:t>
      </w:r>
      <w:r w:rsidRPr="00F97D3B">
        <w:rPr>
          <w:rFonts w:ascii="Arial" w:hAnsi="Arial" w:cs="Arial"/>
          <w:sz w:val="24"/>
          <w:szCs w:val="24"/>
        </w:rPr>
        <w:t xml:space="preserve"> "Primark Cares" initiatives demonstrating environmental responsibility at low price points (Primark, 2024).</w:t>
      </w:r>
    </w:p>
    <w:p w:rsidR="00857DE3" w:rsidRPr="00F97D3B" w:rsidRDefault="00857DE3" w:rsidP="00857DE3">
      <w:pPr>
        <w:rPr>
          <w:rFonts w:ascii="Arial" w:hAnsi="Arial" w:cs="Arial"/>
          <w:b/>
          <w:sz w:val="24"/>
          <w:szCs w:val="24"/>
        </w:rPr>
      </w:pPr>
      <w:r w:rsidRPr="00F97D3B">
        <w:rPr>
          <w:rFonts w:ascii="Arial" w:hAnsi="Arial" w:cs="Arial"/>
          <w:b/>
          <w:sz w:val="24"/>
          <w:szCs w:val="24"/>
        </w:rPr>
        <w:t>Inimitable Resources and Capabilities</w:t>
      </w:r>
    </w:p>
    <w:p w:rsidR="00857DE3" w:rsidRPr="00F97D3B" w:rsidRDefault="00857DE3" w:rsidP="00857DE3">
      <w:pPr>
        <w:pStyle w:val="ListParagraph"/>
        <w:numPr>
          <w:ilvl w:val="0"/>
          <w:numId w:val="32"/>
        </w:numPr>
        <w:rPr>
          <w:rFonts w:ascii="Arial" w:hAnsi="Arial" w:cs="Arial"/>
          <w:sz w:val="24"/>
          <w:szCs w:val="24"/>
        </w:rPr>
      </w:pPr>
      <w:r w:rsidRPr="00F97D3B">
        <w:rPr>
          <w:rStyle w:val="Strong"/>
          <w:rFonts w:ascii="Arial" w:hAnsi="Arial" w:cs="Arial"/>
          <w:sz w:val="24"/>
          <w:szCs w:val="24"/>
        </w:rPr>
        <w:t>Organizational Culture:</w:t>
      </w:r>
      <w:r w:rsidRPr="00F97D3B">
        <w:rPr>
          <w:rFonts w:ascii="Arial" w:hAnsi="Arial" w:cs="Arial"/>
          <w:sz w:val="24"/>
          <w:szCs w:val="24"/>
        </w:rPr>
        <w:t xml:space="preserve"> 55-year customer-centric, value-focused culture difficult to replicate.</w:t>
      </w:r>
    </w:p>
    <w:p w:rsidR="00857DE3" w:rsidRPr="00F97D3B" w:rsidRDefault="00857DE3" w:rsidP="00857DE3">
      <w:pPr>
        <w:pStyle w:val="ListParagraph"/>
        <w:numPr>
          <w:ilvl w:val="0"/>
          <w:numId w:val="32"/>
        </w:numPr>
        <w:rPr>
          <w:rFonts w:ascii="Arial" w:hAnsi="Arial" w:cs="Arial"/>
          <w:sz w:val="24"/>
          <w:szCs w:val="24"/>
        </w:rPr>
      </w:pPr>
      <w:r w:rsidRPr="00F97D3B">
        <w:rPr>
          <w:rStyle w:val="Strong"/>
          <w:rFonts w:ascii="Arial" w:hAnsi="Arial" w:cs="Arial"/>
          <w:sz w:val="24"/>
          <w:szCs w:val="24"/>
        </w:rPr>
        <w:t>Supply Chain Relationships:</w:t>
      </w:r>
      <w:r w:rsidRPr="00F97D3B">
        <w:rPr>
          <w:rFonts w:ascii="Arial" w:hAnsi="Arial" w:cs="Arial"/>
          <w:sz w:val="24"/>
          <w:szCs w:val="24"/>
        </w:rPr>
        <w:t xml:space="preserve"> Long-term manufacturer partnerships ensuring trust and collaboration.</w:t>
      </w:r>
    </w:p>
    <w:p w:rsidR="00857DE3" w:rsidRPr="00F97D3B" w:rsidRDefault="00857DE3" w:rsidP="00857DE3">
      <w:pPr>
        <w:pStyle w:val="ListParagraph"/>
        <w:numPr>
          <w:ilvl w:val="0"/>
          <w:numId w:val="32"/>
        </w:numPr>
        <w:rPr>
          <w:rFonts w:ascii="Arial" w:hAnsi="Arial" w:cs="Arial"/>
          <w:sz w:val="24"/>
          <w:szCs w:val="24"/>
        </w:rPr>
      </w:pPr>
      <w:r w:rsidRPr="00F97D3B">
        <w:rPr>
          <w:rStyle w:val="Strong"/>
          <w:rFonts w:ascii="Arial" w:hAnsi="Arial" w:cs="Arial"/>
          <w:sz w:val="24"/>
          <w:szCs w:val="24"/>
        </w:rPr>
        <w:t>Operational Systems:</w:t>
      </w:r>
      <w:r w:rsidRPr="00F97D3B">
        <w:rPr>
          <w:rFonts w:ascii="Arial" w:hAnsi="Arial" w:cs="Arial"/>
          <w:sz w:val="24"/>
          <w:szCs w:val="24"/>
        </w:rPr>
        <w:t xml:space="preserve"> Proprietary processes in merchandising, inventory, and store operations.</w:t>
      </w:r>
    </w:p>
    <w:p w:rsidR="00857DE3" w:rsidRPr="00F97D3B" w:rsidRDefault="00857DE3" w:rsidP="00857DE3">
      <w:pPr>
        <w:pStyle w:val="ListParagraph"/>
        <w:numPr>
          <w:ilvl w:val="0"/>
          <w:numId w:val="32"/>
        </w:numPr>
        <w:rPr>
          <w:rFonts w:ascii="Arial" w:hAnsi="Arial" w:cs="Arial"/>
          <w:sz w:val="24"/>
          <w:szCs w:val="24"/>
        </w:rPr>
      </w:pPr>
      <w:r w:rsidRPr="00F97D3B">
        <w:rPr>
          <w:rStyle w:val="Strong"/>
          <w:rFonts w:ascii="Arial" w:hAnsi="Arial" w:cs="Arial"/>
          <w:sz w:val="24"/>
          <w:szCs w:val="24"/>
        </w:rPr>
        <w:t>Brand Positioning:</w:t>
      </w:r>
      <w:r w:rsidRPr="00F97D3B">
        <w:rPr>
          <w:rFonts w:ascii="Arial" w:hAnsi="Arial" w:cs="Arial"/>
          <w:sz w:val="24"/>
          <w:szCs w:val="24"/>
        </w:rPr>
        <w:t xml:space="preserve"> “International fashion at local prices” creates perceptual anchoring hard for competitors to displace.</w:t>
      </w:r>
    </w:p>
    <w:p w:rsidR="00857DE3" w:rsidRPr="00F97D3B" w:rsidRDefault="00857DE3" w:rsidP="00857DE3">
      <w:pPr>
        <w:rPr>
          <w:rFonts w:ascii="Arial" w:hAnsi="Arial" w:cs="Arial"/>
          <w:b/>
          <w:sz w:val="24"/>
          <w:szCs w:val="24"/>
        </w:rPr>
      </w:pPr>
      <w:r w:rsidRPr="00F97D3B">
        <w:rPr>
          <w:rFonts w:ascii="Arial" w:hAnsi="Arial" w:cs="Arial"/>
          <w:b/>
          <w:sz w:val="24"/>
          <w:szCs w:val="24"/>
        </w:rPr>
        <w:t>Imitability Risks</w:t>
      </w:r>
    </w:p>
    <w:p w:rsidR="00857DE3" w:rsidRPr="00F97D3B" w:rsidRDefault="00857DE3" w:rsidP="00857DE3">
      <w:pPr>
        <w:rPr>
          <w:rFonts w:ascii="Arial" w:hAnsi="Arial" w:cs="Arial"/>
          <w:sz w:val="24"/>
          <w:szCs w:val="24"/>
        </w:rPr>
      </w:pPr>
      <w:r w:rsidRPr="00F97D3B">
        <w:rPr>
          <w:rFonts w:ascii="Arial" w:hAnsi="Arial" w:cs="Arial"/>
          <w:sz w:val="24"/>
          <w:szCs w:val="24"/>
        </w:rPr>
        <w:t>Store formats, visual merchandising, pricing strategies, promotional tactics, product designs, and technology platforms are observable and potentially imitable. Rapid product cycles and proprietary practices help mitigate imitation.</w:t>
      </w:r>
    </w:p>
    <w:p w:rsidR="00857DE3" w:rsidRPr="00F97D3B" w:rsidRDefault="00857DE3" w:rsidP="00857DE3">
      <w:pPr>
        <w:rPr>
          <w:rFonts w:ascii="Arial" w:hAnsi="Arial" w:cs="Arial"/>
          <w:b/>
          <w:sz w:val="24"/>
          <w:szCs w:val="24"/>
        </w:rPr>
      </w:pPr>
      <w:r w:rsidRPr="00F97D3B">
        <w:rPr>
          <w:rFonts w:ascii="Arial" w:hAnsi="Arial" w:cs="Arial"/>
          <w:b/>
          <w:sz w:val="24"/>
          <w:szCs w:val="24"/>
        </w:rPr>
        <w:t>Organizational Exploitation</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Strengths:</w:t>
      </w:r>
    </w:p>
    <w:p w:rsidR="00857DE3" w:rsidRPr="00F97D3B" w:rsidRDefault="00857DE3" w:rsidP="00857DE3">
      <w:pPr>
        <w:pStyle w:val="ListParagraph"/>
        <w:numPr>
          <w:ilvl w:val="0"/>
          <w:numId w:val="33"/>
        </w:numPr>
        <w:rPr>
          <w:rFonts w:ascii="Arial" w:hAnsi="Arial" w:cs="Arial"/>
          <w:sz w:val="24"/>
          <w:szCs w:val="24"/>
        </w:rPr>
      </w:pPr>
      <w:r w:rsidRPr="00F97D3B">
        <w:rPr>
          <w:rFonts w:ascii="Arial" w:hAnsi="Arial" w:cs="Arial"/>
          <w:sz w:val="24"/>
          <w:szCs w:val="24"/>
        </w:rPr>
        <w:t>Management systems coordinating multi-country operations</w:t>
      </w:r>
    </w:p>
    <w:p w:rsidR="00857DE3" w:rsidRPr="00F97D3B" w:rsidRDefault="00857DE3" w:rsidP="00857DE3">
      <w:pPr>
        <w:pStyle w:val="ListParagraph"/>
        <w:numPr>
          <w:ilvl w:val="0"/>
          <w:numId w:val="33"/>
        </w:numPr>
        <w:rPr>
          <w:rFonts w:ascii="Arial" w:hAnsi="Arial" w:cs="Arial"/>
          <w:sz w:val="24"/>
          <w:szCs w:val="24"/>
        </w:rPr>
      </w:pPr>
      <w:r w:rsidRPr="00F97D3B">
        <w:rPr>
          <w:rFonts w:ascii="Arial" w:hAnsi="Arial" w:cs="Arial"/>
          <w:sz w:val="24"/>
          <w:szCs w:val="24"/>
        </w:rPr>
        <w:t>Talent development programs</w:t>
      </w:r>
    </w:p>
    <w:p w:rsidR="00857DE3" w:rsidRPr="00F97D3B" w:rsidRDefault="00857DE3" w:rsidP="00857DE3">
      <w:pPr>
        <w:pStyle w:val="ListParagraph"/>
        <w:numPr>
          <w:ilvl w:val="0"/>
          <w:numId w:val="33"/>
        </w:numPr>
        <w:rPr>
          <w:rFonts w:ascii="Arial" w:hAnsi="Arial" w:cs="Arial"/>
          <w:sz w:val="24"/>
          <w:szCs w:val="24"/>
        </w:rPr>
      </w:pPr>
      <w:r w:rsidRPr="00F97D3B">
        <w:rPr>
          <w:rFonts w:ascii="Arial" w:hAnsi="Arial" w:cs="Arial"/>
          <w:sz w:val="24"/>
          <w:szCs w:val="24"/>
        </w:rPr>
        <w:t>Advanced technology infrastructure</w:t>
      </w:r>
    </w:p>
    <w:p w:rsidR="00857DE3" w:rsidRPr="00F97D3B" w:rsidRDefault="00857DE3" w:rsidP="00857DE3">
      <w:pPr>
        <w:pStyle w:val="ListParagraph"/>
        <w:numPr>
          <w:ilvl w:val="0"/>
          <w:numId w:val="33"/>
        </w:numPr>
        <w:rPr>
          <w:rFonts w:ascii="Arial" w:hAnsi="Arial" w:cs="Arial"/>
          <w:sz w:val="24"/>
          <w:szCs w:val="24"/>
        </w:rPr>
      </w:pPr>
      <w:r w:rsidRPr="00F97D3B">
        <w:rPr>
          <w:rFonts w:ascii="Arial" w:hAnsi="Arial" w:cs="Arial"/>
          <w:sz w:val="24"/>
          <w:szCs w:val="24"/>
        </w:rPr>
        <w:t>Financial management discipline</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Gaps:</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Limited Asian market experience</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Absence of online transactional platform</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Minimal Indian talent networks</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Limited cultural intelligence for India-specific adaptations</w:t>
      </w:r>
    </w:p>
    <w:p w:rsidR="00857DE3" w:rsidRPr="00F97D3B" w:rsidRDefault="00857DE3" w:rsidP="00481309">
      <w:pPr>
        <w:rPr>
          <w:rFonts w:ascii="Arial" w:hAnsi="Arial" w:cs="Arial"/>
          <w:b/>
          <w:sz w:val="24"/>
          <w:szCs w:val="24"/>
        </w:rPr>
      </w:pPr>
      <w:r w:rsidRPr="00F97D3B">
        <w:rPr>
          <w:rFonts w:ascii="Arial" w:hAnsi="Arial" w:cs="Arial"/>
          <w:b/>
          <w:sz w:val="24"/>
          <w:szCs w:val="24"/>
        </w:rPr>
        <w:t>Competitive Advantage Conclusion</w:t>
      </w:r>
    </w:p>
    <w:p w:rsidR="00857DE3" w:rsidRPr="00F97D3B" w:rsidRDefault="00857DE3" w:rsidP="00481309">
      <w:pPr>
        <w:rPr>
          <w:rFonts w:ascii="Arial" w:hAnsi="Arial" w:cs="Arial"/>
          <w:sz w:val="24"/>
          <w:szCs w:val="24"/>
        </w:rPr>
      </w:pPr>
      <w:r w:rsidRPr="00F97D3B">
        <w:rPr>
          <w:rFonts w:ascii="Arial" w:hAnsi="Arial" w:cs="Arial"/>
          <w:sz w:val="24"/>
          <w:szCs w:val="24"/>
        </w:rPr>
        <w:t xml:space="preserve">Primark holds </w:t>
      </w:r>
      <w:r w:rsidRPr="00F97D3B">
        <w:rPr>
          <w:rStyle w:val="Strong"/>
          <w:rFonts w:ascii="Arial" w:hAnsi="Arial" w:cs="Arial"/>
          <w:sz w:val="24"/>
          <w:szCs w:val="24"/>
        </w:rPr>
        <w:t>temporary competitive advantage</w:t>
      </w:r>
      <w:r w:rsidRPr="00F97D3B">
        <w:rPr>
          <w:rFonts w:ascii="Arial" w:hAnsi="Arial" w:cs="Arial"/>
          <w:sz w:val="24"/>
          <w:szCs w:val="24"/>
        </w:rPr>
        <w:t xml:space="preserve"> in India due to valuable financial resources, a rare integrated value model, and certain inimitable capabilities. Sustained advantage requires:</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India-specific talent and organizational capabilities</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Brand equity development</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Deep supply chain partnerships</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Continuous product and operational innovation</w:t>
      </w:r>
    </w:p>
    <w:p w:rsidR="00857DE3" w:rsidRPr="00F97D3B" w:rsidRDefault="00857DE3" w:rsidP="00857DE3">
      <w:pPr>
        <w:pStyle w:val="ListParagraph"/>
        <w:numPr>
          <w:ilvl w:val="0"/>
          <w:numId w:val="34"/>
        </w:numPr>
        <w:rPr>
          <w:rFonts w:ascii="Arial" w:hAnsi="Arial" w:cs="Arial"/>
          <w:sz w:val="24"/>
          <w:szCs w:val="24"/>
        </w:rPr>
      </w:pPr>
      <w:r w:rsidRPr="00F97D3B">
        <w:rPr>
          <w:rFonts w:ascii="Arial" w:hAnsi="Arial" w:cs="Arial"/>
          <w:sz w:val="24"/>
          <w:szCs w:val="24"/>
        </w:rPr>
        <w:t>Scale development exceeding competitors’ imitation economics (Grant, 2021)</w:t>
      </w:r>
    </w:p>
    <w:p w:rsidR="00857DE3" w:rsidRPr="00F97D3B" w:rsidRDefault="00857DE3" w:rsidP="00857DE3">
      <w:pPr>
        <w:rPr>
          <w:rFonts w:ascii="Arial" w:hAnsi="Arial" w:cs="Arial"/>
          <w:sz w:val="24"/>
          <w:szCs w:val="24"/>
        </w:rPr>
      </w:pPr>
    </w:p>
    <w:p w:rsidR="00857DE3" w:rsidRPr="00F97D3B" w:rsidRDefault="00857DE3" w:rsidP="00481309">
      <w:pPr>
        <w:pStyle w:val="Heading2"/>
        <w:rPr>
          <w:rFonts w:ascii="Arial" w:hAnsi="Arial" w:cs="Arial"/>
          <w:sz w:val="24"/>
          <w:szCs w:val="24"/>
        </w:rPr>
      </w:pPr>
      <w:bookmarkStart w:id="30" w:name="_Toc217242893"/>
      <w:r w:rsidRPr="00F97D3B">
        <w:rPr>
          <w:rFonts w:ascii="Arial" w:hAnsi="Arial" w:cs="Arial"/>
          <w:sz w:val="24"/>
          <w:szCs w:val="24"/>
        </w:rPr>
        <w:lastRenderedPageBreak/>
        <w:t>5.5 Implementation Framework</w:t>
      </w:r>
      <w:bookmarkEnd w:id="30"/>
    </w:p>
    <w:p w:rsidR="00B57A48" w:rsidRPr="00F97D3B" w:rsidRDefault="00B57A48" w:rsidP="00B57A48">
      <w:pPr>
        <w:keepNext/>
        <w:rPr>
          <w:rFonts w:ascii="Arial" w:hAnsi="Arial" w:cs="Arial"/>
          <w:sz w:val="24"/>
          <w:szCs w:val="24"/>
        </w:rPr>
      </w:pPr>
      <w:r w:rsidRPr="00F97D3B">
        <w:rPr>
          <w:rFonts w:ascii="Arial" w:hAnsi="Arial" w:cs="Arial"/>
          <w:noProof/>
          <w:sz w:val="24"/>
          <w:szCs w:val="24"/>
          <w:lang w:eastAsia="en-IN" w:bidi="hi-IN"/>
        </w:rPr>
        <w:drawing>
          <wp:inline distT="0" distB="0" distL="0" distR="0" wp14:anchorId="6C54A0A7" wp14:editId="05A424C7">
            <wp:extent cx="3864610" cy="2395220"/>
            <wp:effectExtent l="0" t="0" r="2540" b="5080"/>
            <wp:docPr id="898478788" name="Picture 1"/>
            <wp:cNvGraphicFramePr/>
            <a:graphic xmlns:a="http://schemas.openxmlformats.org/drawingml/2006/main">
              <a:graphicData uri="http://schemas.openxmlformats.org/drawingml/2006/picture">
                <pic:pic xmlns:pic="http://schemas.openxmlformats.org/drawingml/2006/picture">
                  <pic:nvPicPr>
                    <pic:cNvPr id="898478788" name="Picture 1"/>
                    <pic:cNvPicPr/>
                  </pic:nvPicPr>
                  <pic:blipFill>
                    <a:blip r:embed="rId16"/>
                    <a:stretch>
                      <a:fillRect/>
                    </a:stretch>
                  </pic:blipFill>
                  <pic:spPr>
                    <a:xfrm>
                      <a:off x="0" y="0"/>
                      <a:ext cx="3864610" cy="2395220"/>
                    </a:xfrm>
                    <a:prstGeom prst="rect">
                      <a:avLst/>
                    </a:prstGeom>
                  </pic:spPr>
                </pic:pic>
              </a:graphicData>
            </a:graphic>
          </wp:inline>
        </w:drawing>
      </w:r>
    </w:p>
    <w:p w:rsidR="00481309" w:rsidRPr="00F97D3B" w:rsidRDefault="00B57A48" w:rsidP="00B57A48">
      <w:pPr>
        <w:pStyle w:val="Caption"/>
        <w:rPr>
          <w:rFonts w:ascii="Arial" w:hAnsi="Arial" w:cs="Arial"/>
          <w:b/>
          <w:sz w:val="24"/>
          <w:szCs w:val="24"/>
        </w:rPr>
      </w:pPr>
      <w:r w:rsidRPr="00F97D3B">
        <w:rPr>
          <w:rFonts w:ascii="Arial" w:hAnsi="Arial" w:cs="Arial"/>
          <w:sz w:val="24"/>
          <w:szCs w:val="24"/>
        </w:rPr>
        <w:t xml:space="preserve">Figure </w:t>
      </w:r>
      <w:r w:rsidR="00F97D3B" w:rsidRPr="00F97D3B">
        <w:rPr>
          <w:rFonts w:ascii="Arial" w:hAnsi="Arial" w:cs="Arial"/>
          <w:sz w:val="24"/>
          <w:szCs w:val="24"/>
        </w:rPr>
        <w:fldChar w:fldCharType="begin"/>
      </w:r>
      <w:r w:rsidR="00F97D3B" w:rsidRPr="00F97D3B">
        <w:rPr>
          <w:rFonts w:ascii="Arial" w:hAnsi="Arial" w:cs="Arial"/>
          <w:sz w:val="24"/>
          <w:szCs w:val="24"/>
        </w:rPr>
        <w:instrText xml:space="preserve"> SEQ Figure \* ARABIC </w:instrText>
      </w:r>
      <w:r w:rsidR="00F97D3B" w:rsidRPr="00F97D3B">
        <w:rPr>
          <w:rFonts w:ascii="Arial" w:hAnsi="Arial" w:cs="Arial"/>
          <w:sz w:val="24"/>
          <w:szCs w:val="24"/>
        </w:rPr>
        <w:fldChar w:fldCharType="separate"/>
      </w:r>
      <w:r w:rsidRPr="00F97D3B">
        <w:rPr>
          <w:rFonts w:ascii="Arial" w:hAnsi="Arial" w:cs="Arial"/>
          <w:noProof/>
          <w:sz w:val="24"/>
          <w:szCs w:val="24"/>
        </w:rPr>
        <w:t>10</w:t>
      </w:r>
      <w:r w:rsidR="00F97D3B" w:rsidRPr="00F97D3B">
        <w:rPr>
          <w:rFonts w:ascii="Arial" w:hAnsi="Arial" w:cs="Arial"/>
          <w:noProof/>
          <w:sz w:val="24"/>
          <w:szCs w:val="24"/>
        </w:rPr>
        <w:fldChar w:fldCharType="end"/>
      </w:r>
      <w:r w:rsidRPr="00F97D3B">
        <w:rPr>
          <w:rFonts w:ascii="Arial" w:hAnsi="Arial" w:cs="Arial"/>
          <w:sz w:val="24"/>
          <w:szCs w:val="24"/>
        </w:rPr>
        <w:t>Balanced Scorecard performance measurement (Nguyen (Rose), 2023)</w:t>
      </w:r>
    </w:p>
    <w:p w:rsidR="00857DE3" w:rsidRPr="00F97D3B" w:rsidRDefault="00857DE3" w:rsidP="00857DE3">
      <w:pPr>
        <w:rPr>
          <w:rFonts w:ascii="Arial" w:hAnsi="Arial" w:cs="Arial"/>
          <w:b/>
          <w:sz w:val="24"/>
          <w:szCs w:val="24"/>
        </w:rPr>
      </w:pPr>
      <w:r w:rsidRPr="00F97D3B">
        <w:rPr>
          <w:rFonts w:ascii="Arial" w:hAnsi="Arial" w:cs="Arial"/>
          <w:b/>
          <w:sz w:val="24"/>
          <w:szCs w:val="24"/>
        </w:rPr>
        <w:t>Organizational Structure</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Primark India Private Limited</w:t>
      </w:r>
      <w:r w:rsidRPr="00F97D3B">
        <w:rPr>
          <w:rFonts w:ascii="Arial" w:hAnsi="Arial" w:cs="Arial"/>
          <w:sz w:val="24"/>
          <w:szCs w:val="24"/>
        </w:rPr>
        <w:t xml:space="preserve"> established as a joint venture with balanced governance:</w:t>
      </w:r>
    </w:p>
    <w:p w:rsidR="00857DE3" w:rsidRPr="00F97D3B" w:rsidRDefault="00857DE3" w:rsidP="00481309">
      <w:pPr>
        <w:pStyle w:val="ListParagraph"/>
        <w:numPr>
          <w:ilvl w:val="0"/>
          <w:numId w:val="35"/>
        </w:numPr>
        <w:rPr>
          <w:rFonts w:ascii="Arial" w:hAnsi="Arial" w:cs="Arial"/>
          <w:sz w:val="24"/>
          <w:szCs w:val="24"/>
        </w:rPr>
      </w:pPr>
      <w:r w:rsidRPr="00F97D3B">
        <w:rPr>
          <w:rStyle w:val="Strong"/>
          <w:rFonts w:ascii="Arial" w:hAnsi="Arial" w:cs="Arial"/>
          <w:sz w:val="24"/>
          <w:szCs w:val="24"/>
        </w:rPr>
        <w:t>Board of Directors:</w:t>
      </w:r>
      <w:r w:rsidRPr="00F97D3B">
        <w:rPr>
          <w:rFonts w:ascii="Arial" w:hAnsi="Arial" w:cs="Arial"/>
          <w:sz w:val="24"/>
          <w:szCs w:val="24"/>
        </w:rPr>
        <w:t xml:space="preserve"> 5–7 directors including Primark CEO India, CFO, partner representatives, and independent retail/India experts</w:t>
      </w:r>
    </w:p>
    <w:p w:rsidR="00857DE3" w:rsidRPr="00F97D3B" w:rsidRDefault="00857DE3" w:rsidP="00481309">
      <w:pPr>
        <w:pStyle w:val="ListParagraph"/>
        <w:numPr>
          <w:ilvl w:val="0"/>
          <w:numId w:val="35"/>
        </w:numPr>
        <w:rPr>
          <w:rFonts w:ascii="Arial" w:hAnsi="Arial" w:cs="Arial"/>
          <w:sz w:val="24"/>
          <w:szCs w:val="24"/>
        </w:rPr>
      </w:pPr>
      <w:r w:rsidRPr="00F97D3B">
        <w:rPr>
          <w:rStyle w:val="Strong"/>
          <w:rFonts w:ascii="Arial" w:hAnsi="Arial" w:cs="Arial"/>
          <w:sz w:val="24"/>
          <w:szCs w:val="24"/>
        </w:rPr>
        <w:t>Management Team:</w:t>
      </w:r>
      <w:r w:rsidRPr="00F97D3B">
        <w:rPr>
          <w:rFonts w:ascii="Arial" w:hAnsi="Arial" w:cs="Arial"/>
          <w:sz w:val="24"/>
          <w:szCs w:val="24"/>
        </w:rPr>
        <w:t xml:space="preserve"> Functional leadership includes COO, CFO, Chief Merchandising Officer, CMO, CHRO, Head of Real Estate, and Head of Technology reporting to CEO India</w:t>
      </w:r>
    </w:p>
    <w:p w:rsidR="00857DE3" w:rsidRPr="00F97D3B" w:rsidRDefault="00857DE3" w:rsidP="00857DE3">
      <w:pPr>
        <w:rPr>
          <w:rFonts w:ascii="Arial" w:hAnsi="Arial" w:cs="Arial"/>
          <w:sz w:val="24"/>
          <w:szCs w:val="24"/>
        </w:rPr>
      </w:pPr>
    </w:p>
    <w:p w:rsidR="00857DE3" w:rsidRPr="00F97D3B" w:rsidRDefault="00857DE3" w:rsidP="00857DE3">
      <w:pPr>
        <w:rPr>
          <w:rFonts w:ascii="Arial" w:hAnsi="Arial" w:cs="Arial"/>
          <w:b/>
          <w:sz w:val="24"/>
          <w:szCs w:val="24"/>
        </w:rPr>
      </w:pPr>
      <w:r w:rsidRPr="00F97D3B">
        <w:rPr>
          <w:rFonts w:ascii="Arial" w:hAnsi="Arial" w:cs="Arial"/>
          <w:b/>
          <w:sz w:val="24"/>
          <w:szCs w:val="24"/>
        </w:rPr>
        <w:t>Supply Chain Development</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Multi-sourced strategy balancing cost, quality, speed, and risk:</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International Sourcing:</w:t>
      </w:r>
      <w:r w:rsidRPr="00F97D3B">
        <w:rPr>
          <w:rFonts w:ascii="Arial" w:hAnsi="Arial" w:cs="Arial"/>
          <w:sz w:val="24"/>
          <w:szCs w:val="24"/>
        </w:rPr>
        <w:t xml:space="preserve"> Existing Asian suppliers for core basics</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Indian Sourcing Development:</w:t>
      </w:r>
      <w:r w:rsidRPr="00F97D3B">
        <w:rPr>
          <w:rFonts w:ascii="Arial" w:hAnsi="Arial" w:cs="Arial"/>
          <w:sz w:val="24"/>
          <w:szCs w:val="24"/>
        </w:rPr>
        <w:t xml:space="preserve"> Targeting 50–60% local content by Year 5 (cotton apparel from Tiruppur, Bangalore; home textiles from Panipat, Karur, Surat)</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Import Infrastructure:</w:t>
      </w:r>
      <w:r w:rsidRPr="00F97D3B">
        <w:rPr>
          <w:rFonts w:ascii="Arial" w:hAnsi="Arial" w:cs="Arial"/>
          <w:sz w:val="24"/>
          <w:szCs w:val="24"/>
        </w:rPr>
        <w:t xml:space="preserve"> Customs clearance, bonded warehousing, duty optimization</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Distribution Network:</w:t>
      </w:r>
      <w:r w:rsidRPr="00F97D3B">
        <w:rPr>
          <w:rFonts w:ascii="Arial" w:hAnsi="Arial" w:cs="Arial"/>
          <w:sz w:val="24"/>
          <w:szCs w:val="24"/>
        </w:rPr>
        <w:t xml:space="preserve"> National DC (200,000–250,000 sq ft), regional DCs in Bangalore/Chennai, cross-docking, 48–72 hour replenishment</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Inventory Management:</w:t>
      </w:r>
      <w:r w:rsidRPr="00F97D3B">
        <w:rPr>
          <w:rFonts w:ascii="Arial" w:hAnsi="Arial" w:cs="Arial"/>
          <w:sz w:val="24"/>
          <w:szCs w:val="24"/>
        </w:rPr>
        <w:t xml:space="preserve"> RFID technology for real-time tracking and automated replenishment</w:t>
      </w:r>
    </w:p>
    <w:p w:rsidR="00857DE3" w:rsidRPr="00F97D3B" w:rsidRDefault="00857DE3" w:rsidP="00481309">
      <w:pPr>
        <w:pStyle w:val="ListParagraph"/>
        <w:numPr>
          <w:ilvl w:val="0"/>
          <w:numId w:val="36"/>
        </w:numPr>
        <w:rPr>
          <w:rFonts w:ascii="Arial" w:hAnsi="Arial" w:cs="Arial"/>
          <w:sz w:val="24"/>
          <w:szCs w:val="24"/>
        </w:rPr>
      </w:pPr>
      <w:r w:rsidRPr="00F97D3B">
        <w:rPr>
          <w:rStyle w:val="Strong"/>
          <w:rFonts w:ascii="Arial" w:hAnsi="Arial" w:cs="Arial"/>
          <w:sz w:val="24"/>
          <w:szCs w:val="24"/>
        </w:rPr>
        <w:t>Logistics Partnerships:</w:t>
      </w:r>
      <w:r w:rsidRPr="00F97D3B">
        <w:rPr>
          <w:rFonts w:ascii="Arial" w:hAnsi="Arial" w:cs="Arial"/>
          <w:sz w:val="24"/>
          <w:szCs w:val="24"/>
        </w:rPr>
        <w:t xml:space="preserve"> Third-party logistics with service level agreements</w:t>
      </w:r>
    </w:p>
    <w:p w:rsidR="00857DE3" w:rsidRPr="00F97D3B" w:rsidRDefault="00857DE3" w:rsidP="00857DE3">
      <w:pPr>
        <w:rPr>
          <w:rFonts w:ascii="Arial" w:hAnsi="Arial" w:cs="Arial"/>
          <w:sz w:val="24"/>
          <w:szCs w:val="24"/>
        </w:rPr>
      </w:pPr>
    </w:p>
    <w:p w:rsidR="00857DE3" w:rsidRPr="00F97D3B" w:rsidRDefault="00857DE3" w:rsidP="00857DE3">
      <w:pPr>
        <w:rPr>
          <w:rFonts w:ascii="Arial" w:hAnsi="Arial" w:cs="Arial"/>
          <w:b/>
          <w:sz w:val="24"/>
          <w:szCs w:val="24"/>
        </w:rPr>
      </w:pPr>
      <w:r w:rsidRPr="00F97D3B">
        <w:rPr>
          <w:rFonts w:ascii="Arial" w:hAnsi="Arial" w:cs="Arial"/>
          <w:b/>
          <w:sz w:val="24"/>
          <w:szCs w:val="24"/>
        </w:rPr>
        <w:t>Technology Deployment</w:t>
      </w:r>
    </w:p>
    <w:p w:rsidR="00857DE3" w:rsidRPr="00F97D3B" w:rsidRDefault="00857DE3" w:rsidP="00481309">
      <w:pPr>
        <w:pStyle w:val="ListParagraph"/>
        <w:numPr>
          <w:ilvl w:val="0"/>
          <w:numId w:val="37"/>
        </w:numPr>
        <w:rPr>
          <w:rFonts w:ascii="Arial" w:hAnsi="Arial" w:cs="Arial"/>
          <w:sz w:val="24"/>
          <w:szCs w:val="24"/>
        </w:rPr>
      </w:pPr>
      <w:r w:rsidRPr="00F97D3B">
        <w:rPr>
          <w:rStyle w:val="Strong"/>
          <w:rFonts w:ascii="Arial" w:hAnsi="Arial" w:cs="Arial"/>
          <w:sz w:val="24"/>
          <w:szCs w:val="24"/>
        </w:rPr>
        <w:t>Enterprise Systems:</w:t>
      </w:r>
      <w:r w:rsidRPr="00F97D3B">
        <w:rPr>
          <w:rFonts w:ascii="Arial" w:hAnsi="Arial" w:cs="Arial"/>
          <w:sz w:val="24"/>
          <w:szCs w:val="24"/>
        </w:rPr>
        <w:t xml:space="preserve"> ERP (SAP/Oracle), merchandise planning, WMS</w:t>
      </w:r>
    </w:p>
    <w:p w:rsidR="00857DE3" w:rsidRPr="00F97D3B" w:rsidRDefault="00857DE3" w:rsidP="00481309">
      <w:pPr>
        <w:pStyle w:val="ListParagraph"/>
        <w:numPr>
          <w:ilvl w:val="0"/>
          <w:numId w:val="37"/>
        </w:numPr>
        <w:rPr>
          <w:rFonts w:ascii="Arial" w:hAnsi="Arial" w:cs="Arial"/>
          <w:sz w:val="24"/>
          <w:szCs w:val="24"/>
        </w:rPr>
      </w:pPr>
      <w:r w:rsidRPr="00F97D3B">
        <w:rPr>
          <w:rStyle w:val="Strong"/>
          <w:rFonts w:ascii="Arial" w:hAnsi="Arial" w:cs="Arial"/>
          <w:sz w:val="24"/>
          <w:szCs w:val="24"/>
        </w:rPr>
        <w:t>Store Systems:</w:t>
      </w:r>
      <w:r w:rsidRPr="00F97D3B">
        <w:rPr>
          <w:rFonts w:ascii="Arial" w:hAnsi="Arial" w:cs="Arial"/>
          <w:sz w:val="24"/>
          <w:szCs w:val="24"/>
        </w:rPr>
        <w:t xml:space="preserve"> POS with integrated payments, electronic shelf labels, video analytics</w:t>
      </w:r>
    </w:p>
    <w:p w:rsidR="00857DE3" w:rsidRPr="00F97D3B" w:rsidRDefault="00857DE3" w:rsidP="00481309">
      <w:pPr>
        <w:pStyle w:val="ListParagraph"/>
        <w:numPr>
          <w:ilvl w:val="0"/>
          <w:numId w:val="37"/>
        </w:numPr>
        <w:rPr>
          <w:rFonts w:ascii="Arial" w:hAnsi="Arial" w:cs="Arial"/>
          <w:sz w:val="24"/>
          <w:szCs w:val="24"/>
        </w:rPr>
      </w:pPr>
      <w:r w:rsidRPr="00F97D3B">
        <w:rPr>
          <w:rStyle w:val="Strong"/>
          <w:rFonts w:ascii="Arial" w:hAnsi="Arial" w:cs="Arial"/>
          <w:sz w:val="24"/>
          <w:szCs w:val="24"/>
        </w:rPr>
        <w:t>Customer Engagement:</w:t>
      </w:r>
      <w:r w:rsidRPr="00F97D3B">
        <w:rPr>
          <w:rFonts w:ascii="Arial" w:hAnsi="Arial" w:cs="Arial"/>
          <w:sz w:val="24"/>
          <w:szCs w:val="24"/>
        </w:rPr>
        <w:t xml:space="preserve"> Mobile app, CRM, loyalty program, phased e-commerce (via third-party initially)</w:t>
      </w:r>
    </w:p>
    <w:p w:rsidR="00857DE3" w:rsidRPr="00F97D3B" w:rsidRDefault="00857DE3" w:rsidP="00481309">
      <w:pPr>
        <w:pStyle w:val="ListParagraph"/>
        <w:numPr>
          <w:ilvl w:val="0"/>
          <w:numId w:val="37"/>
        </w:numPr>
        <w:rPr>
          <w:rFonts w:ascii="Arial" w:hAnsi="Arial" w:cs="Arial"/>
          <w:sz w:val="24"/>
          <w:szCs w:val="24"/>
        </w:rPr>
      </w:pPr>
      <w:r w:rsidRPr="00F97D3B">
        <w:rPr>
          <w:rStyle w:val="Strong"/>
          <w:rFonts w:ascii="Arial" w:hAnsi="Arial" w:cs="Arial"/>
          <w:sz w:val="24"/>
          <w:szCs w:val="24"/>
        </w:rPr>
        <w:t>Data Analytics &amp; Cybersecurity:</w:t>
      </w:r>
      <w:r w:rsidRPr="00F97D3B">
        <w:rPr>
          <w:rFonts w:ascii="Arial" w:hAnsi="Arial" w:cs="Arial"/>
          <w:sz w:val="24"/>
          <w:szCs w:val="24"/>
        </w:rPr>
        <w:t xml:space="preserve"> Business intelligence and robust protection of customer and operational data</w:t>
      </w:r>
    </w:p>
    <w:p w:rsidR="00857DE3" w:rsidRPr="00F97D3B" w:rsidRDefault="00857DE3" w:rsidP="00857DE3">
      <w:pPr>
        <w:rPr>
          <w:rFonts w:ascii="Arial" w:hAnsi="Arial" w:cs="Arial"/>
          <w:sz w:val="24"/>
          <w:szCs w:val="24"/>
        </w:rPr>
      </w:pPr>
    </w:p>
    <w:p w:rsidR="00857DE3" w:rsidRPr="00F97D3B" w:rsidRDefault="00857DE3" w:rsidP="00857DE3">
      <w:pPr>
        <w:rPr>
          <w:rFonts w:ascii="Arial" w:hAnsi="Arial" w:cs="Arial"/>
          <w:b/>
          <w:sz w:val="24"/>
          <w:szCs w:val="24"/>
        </w:rPr>
      </w:pPr>
      <w:r w:rsidRPr="00F97D3B">
        <w:rPr>
          <w:rFonts w:ascii="Arial" w:hAnsi="Arial" w:cs="Arial"/>
          <w:b/>
          <w:sz w:val="24"/>
          <w:szCs w:val="24"/>
        </w:rPr>
        <w:t>Marketing Strategy</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lastRenderedPageBreak/>
        <w:t>Phased Approach:</w:t>
      </w:r>
    </w:p>
    <w:p w:rsidR="00857DE3" w:rsidRPr="00F97D3B" w:rsidRDefault="00857DE3" w:rsidP="00481309">
      <w:pPr>
        <w:pStyle w:val="ListParagraph"/>
        <w:numPr>
          <w:ilvl w:val="0"/>
          <w:numId w:val="38"/>
        </w:numPr>
        <w:rPr>
          <w:rFonts w:ascii="Arial" w:hAnsi="Arial" w:cs="Arial"/>
          <w:sz w:val="24"/>
          <w:szCs w:val="24"/>
        </w:rPr>
      </w:pPr>
      <w:r w:rsidRPr="00F97D3B">
        <w:rPr>
          <w:rStyle w:val="Strong"/>
          <w:rFonts w:ascii="Arial" w:hAnsi="Arial" w:cs="Arial"/>
          <w:sz w:val="24"/>
          <w:szCs w:val="24"/>
        </w:rPr>
        <w:t>Pre-Launch (Months -6 to 0):</w:t>
      </w:r>
      <w:r w:rsidRPr="00F97D3B">
        <w:rPr>
          <w:rFonts w:ascii="Arial" w:hAnsi="Arial" w:cs="Arial"/>
          <w:sz w:val="24"/>
          <w:szCs w:val="24"/>
        </w:rPr>
        <w:t xml:space="preserve"> Teaser campaigns, influencer partnerships, PR outreach, social media setup</w:t>
      </w:r>
    </w:p>
    <w:p w:rsidR="00857DE3" w:rsidRPr="00F97D3B" w:rsidRDefault="00857DE3" w:rsidP="00481309">
      <w:pPr>
        <w:pStyle w:val="ListParagraph"/>
        <w:numPr>
          <w:ilvl w:val="0"/>
          <w:numId w:val="38"/>
        </w:numPr>
        <w:rPr>
          <w:rFonts w:ascii="Arial" w:hAnsi="Arial" w:cs="Arial"/>
          <w:sz w:val="24"/>
          <w:szCs w:val="24"/>
        </w:rPr>
      </w:pPr>
      <w:r w:rsidRPr="00F97D3B">
        <w:rPr>
          <w:rStyle w:val="Strong"/>
          <w:rFonts w:ascii="Arial" w:hAnsi="Arial" w:cs="Arial"/>
          <w:sz w:val="24"/>
          <w:szCs w:val="24"/>
        </w:rPr>
        <w:t>Launch (Months 0–6):</w:t>
      </w:r>
      <w:r w:rsidRPr="00F97D3B">
        <w:rPr>
          <w:rFonts w:ascii="Arial" w:hAnsi="Arial" w:cs="Arial"/>
          <w:sz w:val="24"/>
          <w:szCs w:val="24"/>
        </w:rPr>
        <w:t xml:space="preserve"> Grand openings, digital marketing, PR, product sampling, local area marketing</w:t>
      </w:r>
    </w:p>
    <w:p w:rsidR="00857DE3" w:rsidRPr="00F97D3B" w:rsidRDefault="00857DE3" w:rsidP="00481309">
      <w:pPr>
        <w:pStyle w:val="ListParagraph"/>
        <w:numPr>
          <w:ilvl w:val="0"/>
          <w:numId w:val="38"/>
        </w:numPr>
        <w:rPr>
          <w:rFonts w:ascii="Arial" w:hAnsi="Arial" w:cs="Arial"/>
          <w:sz w:val="24"/>
          <w:szCs w:val="24"/>
        </w:rPr>
      </w:pPr>
      <w:r w:rsidRPr="00F97D3B">
        <w:rPr>
          <w:rStyle w:val="Strong"/>
          <w:rFonts w:ascii="Arial" w:hAnsi="Arial" w:cs="Arial"/>
          <w:sz w:val="24"/>
          <w:szCs w:val="24"/>
        </w:rPr>
        <w:t>Growth (Months 7–24):</w:t>
      </w:r>
      <w:r w:rsidRPr="00F97D3B">
        <w:rPr>
          <w:rFonts w:ascii="Arial" w:hAnsi="Arial" w:cs="Arial"/>
          <w:sz w:val="24"/>
          <w:szCs w:val="24"/>
        </w:rPr>
        <w:t xml:space="preserve"> Sustained digital campaigns, loyalty programs, festival collections, influencer collaborations, user-generated content</w:t>
      </w:r>
    </w:p>
    <w:p w:rsidR="00857DE3" w:rsidRPr="00F97D3B" w:rsidRDefault="00857DE3" w:rsidP="00481309">
      <w:pPr>
        <w:pStyle w:val="ListParagraph"/>
        <w:numPr>
          <w:ilvl w:val="0"/>
          <w:numId w:val="38"/>
        </w:numPr>
        <w:rPr>
          <w:rFonts w:ascii="Arial" w:hAnsi="Arial" w:cs="Arial"/>
          <w:sz w:val="24"/>
          <w:szCs w:val="24"/>
        </w:rPr>
      </w:pPr>
      <w:r w:rsidRPr="00F97D3B">
        <w:rPr>
          <w:rStyle w:val="Strong"/>
          <w:rFonts w:ascii="Arial" w:hAnsi="Arial" w:cs="Arial"/>
          <w:sz w:val="24"/>
          <w:szCs w:val="24"/>
        </w:rPr>
        <w:t>Maturity (Year 3+):</w:t>
      </w:r>
      <w:r w:rsidRPr="00F97D3B">
        <w:rPr>
          <w:rFonts w:ascii="Arial" w:hAnsi="Arial" w:cs="Arial"/>
          <w:sz w:val="24"/>
          <w:szCs w:val="24"/>
        </w:rPr>
        <w:t xml:space="preserve"> Brand building, sustainability focus, targeted campaigns, potential selective traditional media</w:t>
      </w:r>
    </w:p>
    <w:p w:rsidR="00857DE3" w:rsidRPr="00F97D3B" w:rsidRDefault="00857DE3" w:rsidP="00481309">
      <w:pPr>
        <w:pStyle w:val="ListParagraph"/>
        <w:numPr>
          <w:ilvl w:val="0"/>
          <w:numId w:val="38"/>
        </w:numPr>
        <w:rPr>
          <w:rFonts w:ascii="Arial" w:hAnsi="Arial" w:cs="Arial"/>
          <w:sz w:val="24"/>
          <w:szCs w:val="24"/>
        </w:rPr>
      </w:pPr>
      <w:r w:rsidRPr="00F97D3B">
        <w:rPr>
          <w:rStyle w:val="Strong"/>
          <w:rFonts w:ascii="Arial" w:hAnsi="Arial" w:cs="Arial"/>
          <w:sz w:val="24"/>
          <w:szCs w:val="24"/>
        </w:rPr>
        <w:t>Media Mix:</w:t>
      </w:r>
      <w:r w:rsidRPr="00F97D3B">
        <w:rPr>
          <w:rFonts w:ascii="Arial" w:hAnsi="Arial" w:cs="Arial"/>
          <w:sz w:val="24"/>
          <w:szCs w:val="24"/>
        </w:rPr>
        <w:t xml:space="preserve"> Digital 70%, Outdoor 15%, PR/Events 10%, Traditional 5%</w:t>
      </w:r>
      <w:r w:rsidRPr="00F97D3B">
        <w:rPr>
          <w:rFonts w:ascii="Arial" w:hAnsi="Arial" w:cs="Arial"/>
          <w:sz w:val="24"/>
          <w:szCs w:val="24"/>
        </w:rPr>
        <w:br/>
      </w:r>
      <w:r w:rsidRPr="00F97D3B">
        <w:rPr>
          <w:rStyle w:val="Strong"/>
          <w:rFonts w:ascii="Arial" w:hAnsi="Arial" w:cs="Arial"/>
          <w:sz w:val="24"/>
          <w:szCs w:val="24"/>
        </w:rPr>
        <w:t>Communication Themes:</w:t>
      </w:r>
      <w:r w:rsidRPr="00F97D3B">
        <w:rPr>
          <w:rFonts w:ascii="Arial" w:hAnsi="Arial" w:cs="Arial"/>
          <w:sz w:val="24"/>
          <w:szCs w:val="24"/>
        </w:rPr>
        <w:t xml:space="preserve"> Value proposition, fashion credibility, inclusivity, cultural respect, sustainability</w:t>
      </w:r>
    </w:p>
    <w:p w:rsidR="00857DE3" w:rsidRPr="00F97D3B" w:rsidRDefault="00857DE3" w:rsidP="00857DE3">
      <w:pPr>
        <w:rPr>
          <w:rFonts w:ascii="Arial" w:hAnsi="Arial" w:cs="Arial"/>
          <w:sz w:val="24"/>
          <w:szCs w:val="24"/>
        </w:rPr>
      </w:pPr>
    </w:p>
    <w:p w:rsidR="00857DE3" w:rsidRPr="00F97D3B" w:rsidRDefault="00857DE3" w:rsidP="00857DE3">
      <w:pPr>
        <w:rPr>
          <w:rFonts w:ascii="Arial" w:hAnsi="Arial" w:cs="Arial"/>
          <w:b/>
          <w:sz w:val="24"/>
          <w:szCs w:val="24"/>
        </w:rPr>
      </w:pPr>
      <w:r w:rsidRPr="00F97D3B">
        <w:rPr>
          <w:rFonts w:ascii="Arial" w:hAnsi="Arial" w:cs="Arial"/>
          <w:b/>
          <w:sz w:val="24"/>
          <w:szCs w:val="24"/>
        </w:rPr>
        <w:t>Talent Management</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Recruitment:</w:t>
      </w:r>
    </w:p>
    <w:p w:rsidR="00857DE3" w:rsidRPr="00F97D3B" w:rsidRDefault="00857DE3" w:rsidP="00481309">
      <w:pPr>
        <w:pStyle w:val="ListParagraph"/>
        <w:numPr>
          <w:ilvl w:val="0"/>
          <w:numId w:val="39"/>
        </w:numPr>
        <w:rPr>
          <w:rFonts w:ascii="Arial" w:hAnsi="Arial" w:cs="Arial"/>
          <w:sz w:val="24"/>
          <w:szCs w:val="24"/>
        </w:rPr>
      </w:pPr>
      <w:r w:rsidRPr="00F97D3B">
        <w:rPr>
          <w:rFonts w:ascii="Arial" w:hAnsi="Arial" w:cs="Arial"/>
          <w:sz w:val="24"/>
          <w:szCs w:val="24"/>
        </w:rPr>
        <w:t>Leadership: Competitive packages, equity participation</w:t>
      </w:r>
    </w:p>
    <w:p w:rsidR="00857DE3" w:rsidRPr="00F97D3B" w:rsidRDefault="00857DE3" w:rsidP="00481309">
      <w:pPr>
        <w:pStyle w:val="ListParagraph"/>
        <w:numPr>
          <w:ilvl w:val="0"/>
          <w:numId w:val="39"/>
        </w:numPr>
        <w:rPr>
          <w:rFonts w:ascii="Arial" w:hAnsi="Arial" w:cs="Arial"/>
          <w:sz w:val="24"/>
          <w:szCs w:val="24"/>
        </w:rPr>
      </w:pPr>
      <w:r w:rsidRPr="00F97D3B">
        <w:rPr>
          <w:rFonts w:ascii="Arial" w:hAnsi="Arial" w:cs="Arial"/>
          <w:sz w:val="24"/>
          <w:szCs w:val="24"/>
        </w:rPr>
        <w:t>Management: Campus and experienced hires from retail/FMCG</w:t>
      </w:r>
    </w:p>
    <w:p w:rsidR="00857DE3" w:rsidRPr="00F97D3B" w:rsidRDefault="00857DE3" w:rsidP="00481309">
      <w:pPr>
        <w:pStyle w:val="ListParagraph"/>
        <w:numPr>
          <w:ilvl w:val="0"/>
          <w:numId w:val="39"/>
        </w:numPr>
        <w:rPr>
          <w:rFonts w:ascii="Arial" w:hAnsi="Arial" w:cs="Arial"/>
          <w:sz w:val="24"/>
          <w:szCs w:val="24"/>
        </w:rPr>
      </w:pPr>
      <w:r w:rsidRPr="00F97D3B">
        <w:rPr>
          <w:rFonts w:ascii="Arial" w:hAnsi="Arial" w:cs="Arial"/>
          <w:sz w:val="24"/>
          <w:szCs w:val="24"/>
        </w:rPr>
        <w:t>Store Staff: Local and campus recruitment, attitude-focused</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Training and Development:</w:t>
      </w:r>
    </w:p>
    <w:p w:rsidR="00857DE3" w:rsidRPr="00F97D3B" w:rsidRDefault="00857DE3" w:rsidP="00481309">
      <w:pPr>
        <w:pStyle w:val="ListParagraph"/>
        <w:numPr>
          <w:ilvl w:val="0"/>
          <w:numId w:val="40"/>
        </w:numPr>
        <w:rPr>
          <w:rFonts w:ascii="Arial" w:hAnsi="Arial" w:cs="Arial"/>
          <w:sz w:val="24"/>
          <w:szCs w:val="24"/>
        </w:rPr>
      </w:pPr>
      <w:r w:rsidRPr="00F97D3B">
        <w:rPr>
          <w:rFonts w:ascii="Arial" w:hAnsi="Arial" w:cs="Arial"/>
          <w:sz w:val="24"/>
          <w:szCs w:val="24"/>
        </w:rPr>
        <w:t>Induction, role-specific training, international exposure, leadership programs, continuous learning</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Compensation and Benefits:</w:t>
      </w:r>
    </w:p>
    <w:p w:rsidR="00857DE3" w:rsidRPr="00F97D3B" w:rsidRDefault="00857DE3" w:rsidP="00481309">
      <w:pPr>
        <w:pStyle w:val="ListParagraph"/>
        <w:numPr>
          <w:ilvl w:val="0"/>
          <w:numId w:val="40"/>
        </w:numPr>
        <w:rPr>
          <w:rFonts w:ascii="Arial" w:hAnsi="Arial" w:cs="Arial"/>
          <w:sz w:val="24"/>
          <w:szCs w:val="24"/>
        </w:rPr>
      </w:pPr>
      <w:r w:rsidRPr="00F97D3B">
        <w:rPr>
          <w:rFonts w:ascii="Arial" w:hAnsi="Arial" w:cs="Arial"/>
          <w:sz w:val="24"/>
          <w:szCs w:val="24"/>
        </w:rPr>
        <w:t>Competitive salaries, performance bonuses, long-term incentives, employee discounts</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Culture Building:</w:t>
      </w:r>
    </w:p>
    <w:p w:rsidR="00857DE3" w:rsidRPr="00F97D3B" w:rsidRDefault="00857DE3" w:rsidP="00481309">
      <w:pPr>
        <w:pStyle w:val="ListParagraph"/>
        <w:numPr>
          <w:ilvl w:val="0"/>
          <w:numId w:val="40"/>
        </w:numPr>
        <w:rPr>
          <w:rFonts w:ascii="Arial" w:hAnsi="Arial" w:cs="Arial"/>
          <w:sz w:val="24"/>
          <w:szCs w:val="24"/>
        </w:rPr>
      </w:pPr>
      <w:r w:rsidRPr="00F97D3B">
        <w:rPr>
          <w:rFonts w:ascii="Arial" w:hAnsi="Arial" w:cs="Arial"/>
          <w:sz w:val="24"/>
          <w:szCs w:val="24"/>
        </w:rPr>
        <w:t>Values integration, open communication, diversity and inclusion, recognition programs, engagement surveys</w:t>
      </w:r>
    </w:p>
    <w:p w:rsidR="00857DE3" w:rsidRPr="00F97D3B" w:rsidRDefault="00857DE3" w:rsidP="00857DE3">
      <w:pPr>
        <w:rPr>
          <w:rFonts w:ascii="Arial" w:hAnsi="Arial" w:cs="Arial"/>
          <w:sz w:val="24"/>
          <w:szCs w:val="24"/>
        </w:rPr>
      </w:pPr>
      <w:r w:rsidRPr="00F97D3B">
        <w:rPr>
          <w:rStyle w:val="Strong"/>
          <w:rFonts w:ascii="Arial" w:hAnsi="Arial" w:cs="Arial"/>
          <w:sz w:val="24"/>
          <w:szCs w:val="24"/>
        </w:rPr>
        <w:t>Retention Strategies:</w:t>
      </w:r>
    </w:p>
    <w:p w:rsidR="00857DE3" w:rsidRPr="00F97D3B" w:rsidRDefault="00857DE3" w:rsidP="00481309">
      <w:pPr>
        <w:pStyle w:val="ListParagraph"/>
        <w:numPr>
          <w:ilvl w:val="0"/>
          <w:numId w:val="40"/>
        </w:numPr>
        <w:rPr>
          <w:rFonts w:ascii="Arial" w:hAnsi="Arial" w:cs="Arial"/>
          <w:sz w:val="24"/>
          <w:szCs w:val="24"/>
        </w:rPr>
      </w:pPr>
      <w:r w:rsidRPr="00F97D3B">
        <w:rPr>
          <w:rFonts w:ascii="Arial" w:hAnsi="Arial" w:cs="Arial"/>
          <w:sz w:val="24"/>
          <w:szCs w:val="24"/>
        </w:rPr>
        <w:t>Career pathways, internal promotions, work-life balance policies, exit interviews</w:t>
      </w:r>
    </w:p>
    <w:p w:rsidR="00B2189C" w:rsidRPr="00F97D3B" w:rsidRDefault="00B2189C" w:rsidP="00B2189C">
      <w:pPr>
        <w:pStyle w:val="ListParagraph"/>
        <w:rPr>
          <w:rFonts w:ascii="Arial" w:hAnsi="Arial" w:cs="Arial"/>
          <w:sz w:val="24"/>
          <w:szCs w:val="24"/>
        </w:rPr>
      </w:pPr>
    </w:p>
    <w:p w:rsidR="00B2189C" w:rsidRPr="00F97D3B" w:rsidRDefault="00B2189C" w:rsidP="00B2189C">
      <w:pPr>
        <w:rPr>
          <w:rFonts w:ascii="Arial" w:hAnsi="Arial" w:cs="Arial"/>
          <w:sz w:val="24"/>
          <w:szCs w:val="24"/>
          <w:lang w:eastAsia="en-IN" w:bidi="hi-IN"/>
        </w:rPr>
      </w:pPr>
      <w:r w:rsidRPr="00F97D3B">
        <w:rPr>
          <w:rFonts w:ascii="Arial" w:hAnsi="Arial" w:cs="Arial"/>
          <w:b/>
          <w:bCs/>
          <w:sz w:val="24"/>
          <w:szCs w:val="24"/>
          <w:lang w:eastAsia="en-IN" w:bidi="hi-IN"/>
        </w:rPr>
        <w:t>Talent &amp; Supply Chain Development</w:t>
      </w:r>
      <w:r w:rsidRPr="00F97D3B">
        <w:rPr>
          <w:rFonts w:ascii="Arial" w:hAnsi="Arial" w:cs="Arial"/>
          <w:sz w:val="24"/>
          <w:szCs w:val="24"/>
          <w:lang w:eastAsia="en-IN" w:bidi="hi-IN"/>
        </w:rPr>
        <w:br/>
        <w:t xml:space="preserve">Primark will build a robust retail talent pipeline through structured training and career progression programs. Local sourcing will support </w:t>
      </w:r>
      <w:r w:rsidRPr="00F97D3B">
        <w:rPr>
          <w:rFonts w:ascii="Arial" w:hAnsi="Arial" w:cs="Arial"/>
          <w:i/>
          <w:iCs/>
          <w:sz w:val="24"/>
          <w:szCs w:val="24"/>
          <w:lang w:eastAsia="en-IN" w:bidi="hi-IN"/>
        </w:rPr>
        <w:t>Make in India</w:t>
      </w:r>
      <w:r w:rsidRPr="00F97D3B">
        <w:rPr>
          <w:rFonts w:ascii="Arial" w:hAnsi="Arial" w:cs="Arial"/>
          <w:sz w:val="24"/>
          <w:szCs w:val="24"/>
          <w:lang w:eastAsia="en-IN" w:bidi="hi-IN"/>
        </w:rPr>
        <w:t>, with supplier development initiatives improving quality, compliance, and productivity. Fair payment terms and long-term partnerships will enhance supplier stability and investment capacity.</w:t>
      </w:r>
    </w:p>
    <w:p w:rsidR="00B2189C" w:rsidRPr="00F97D3B" w:rsidRDefault="00B2189C" w:rsidP="00B2189C">
      <w:pPr>
        <w:rPr>
          <w:rFonts w:ascii="Arial" w:hAnsi="Arial" w:cs="Arial"/>
          <w:sz w:val="24"/>
          <w:szCs w:val="24"/>
          <w:lang w:eastAsia="en-IN" w:bidi="hi-IN"/>
        </w:rPr>
      </w:pPr>
      <w:r w:rsidRPr="00F97D3B">
        <w:rPr>
          <w:rFonts w:ascii="Arial" w:hAnsi="Arial" w:cs="Arial"/>
          <w:b/>
          <w:bCs/>
          <w:sz w:val="24"/>
          <w:szCs w:val="24"/>
          <w:lang w:eastAsia="en-IN" w:bidi="hi-IN"/>
        </w:rPr>
        <w:t>Social Sustainability</w:t>
      </w:r>
      <w:r w:rsidRPr="00F97D3B">
        <w:rPr>
          <w:rFonts w:ascii="Arial" w:hAnsi="Arial" w:cs="Arial"/>
          <w:sz w:val="24"/>
          <w:szCs w:val="24"/>
          <w:lang w:eastAsia="en-IN" w:bidi="hi-IN"/>
        </w:rPr>
        <w:br/>
        <w:t>Primark commits to fair wages above statutory minimums, comprehensive employee benefits, safe working conditions, and inclusive career development. Diversity targets include gender balance, employment of persons with disabilities, and supplier diversity. Community engagement will focus on local hiring, education and skills programs, product donations, and employee volunteering. Consumer accessibility will be ensured through affordable pricing, inclusive sizing, accessible stores, and transparent product labeling.</w:t>
      </w:r>
    </w:p>
    <w:p w:rsidR="00B2189C" w:rsidRPr="00F97D3B" w:rsidRDefault="00B2189C" w:rsidP="00B2189C">
      <w:pPr>
        <w:rPr>
          <w:rFonts w:ascii="Arial" w:hAnsi="Arial" w:cs="Arial"/>
          <w:sz w:val="24"/>
          <w:szCs w:val="24"/>
          <w:lang w:eastAsia="en-IN" w:bidi="hi-IN"/>
        </w:rPr>
      </w:pPr>
      <w:r w:rsidRPr="00F97D3B">
        <w:rPr>
          <w:rFonts w:ascii="Arial" w:hAnsi="Arial" w:cs="Arial"/>
          <w:b/>
          <w:bCs/>
          <w:sz w:val="24"/>
          <w:szCs w:val="24"/>
          <w:lang w:eastAsia="en-IN" w:bidi="hi-IN"/>
        </w:rPr>
        <w:lastRenderedPageBreak/>
        <w:t>Environmental Sustainability</w:t>
      </w:r>
      <w:r w:rsidRPr="00F97D3B">
        <w:rPr>
          <w:rFonts w:ascii="Arial" w:hAnsi="Arial" w:cs="Arial"/>
          <w:sz w:val="24"/>
          <w:szCs w:val="24"/>
          <w:lang w:eastAsia="en-IN" w:bidi="hi-IN"/>
        </w:rPr>
        <w:br/>
        <w:t>The strategy prioritizes energy and water efficiency, waste reduction, and sustainable sourcing (cotton, viscose, recycled polyester, packaging). Circular fashion initiatives take-back, resale pilots, repair services, and durable design will reduce environmental impact. Clear carbon reduction targets, renewable energy adoption, and responsible waste and biodiversity management underpin environmental commitments, tracked through defined KPIs.</w:t>
      </w:r>
    </w:p>
    <w:p w:rsidR="00B2189C" w:rsidRPr="00F97D3B" w:rsidRDefault="00B2189C" w:rsidP="00B2189C">
      <w:pPr>
        <w:rPr>
          <w:rFonts w:ascii="Arial" w:hAnsi="Arial" w:cs="Arial"/>
          <w:sz w:val="24"/>
          <w:szCs w:val="24"/>
          <w:lang w:eastAsia="en-IN" w:bidi="hi-IN"/>
        </w:rPr>
      </w:pPr>
      <w:r w:rsidRPr="00F97D3B">
        <w:rPr>
          <w:rFonts w:ascii="Arial" w:hAnsi="Arial" w:cs="Arial"/>
          <w:b/>
          <w:bCs/>
          <w:sz w:val="24"/>
          <w:szCs w:val="24"/>
          <w:lang w:eastAsia="en-IN" w:bidi="hi-IN"/>
        </w:rPr>
        <w:t>Governance &amp; Controls</w:t>
      </w:r>
      <w:r w:rsidRPr="00F97D3B">
        <w:rPr>
          <w:rFonts w:ascii="Arial" w:hAnsi="Arial" w:cs="Arial"/>
          <w:sz w:val="24"/>
          <w:szCs w:val="24"/>
          <w:lang w:eastAsia="en-IN" w:bidi="hi-IN"/>
        </w:rPr>
        <w:br/>
        <w:t>A robust joint-venture governance framework includes board oversight, specialized committees, and close alignment with Primark plc and Associated British Foods. Strong internal controls, enterprise risk management, regulatory and ethical compliance systems, and transparent performance reporting ensure accountability and resilience.</w:t>
      </w:r>
    </w:p>
    <w:p w:rsidR="00B2189C" w:rsidRPr="00F97D3B" w:rsidRDefault="00B2189C" w:rsidP="00B2189C">
      <w:pPr>
        <w:pStyle w:val="ListParagraph"/>
        <w:rPr>
          <w:rFonts w:ascii="Arial" w:hAnsi="Arial" w:cs="Arial"/>
          <w:sz w:val="24"/>
          <w:szCs w:val="24"/>
        </w:rPr>
      </w:pPr>
    </w:p>
    <w:p w:rsidR="00A50BEA" w:rsidRPr="00F97D3B" w:rsidRDefault="00F83838" w:rsidP="00F97D3B">
      <w:pPr>
        <w:pStyle w:val="Heading1"/>
        <w:rPr>
          <w:rFonts w:ascii="Arial" w:hAnsi="Arial" w:cs="Arial"/>
          <w:sz w:val="24"/>
          <w:szCs w:val="24"/>
        </w:rPr>
      </w:pPr>
      <w:r w:rsidRPr="00F97D3B">
        <w:rPr>
          <w:rFonts w:ascii="Arial" w:hAnsi="Arial" w:cs="Arial"/>
          <w:sz w:val="24"/>
          <w:szCs w:val="24"/>
        </w:rPr>
        <w:t>6.Conclusion</w:t>
      </w:r>
    </w:p>
    <w:p w:rsidR="00A50BEA" w:rsidRPr="00F97D3B" w:rsidRDefault="00F97D3B" w:rsidP="00F97D3B">
      <w:pPr>
        <w:rPr>
          <w:rFonts w:ascii="Arial" w:hAnsi="Arial" w:cs="Arial"/>
          <w:color w:val="161D1A"/>
          <w:spacing w:val="1"/>
          <w:sz w:val="24"/>
          <w:szCs w:val="24"/>
        </w:rPr>
      </w:pPr>
      <w:r w:rsidRPr="00F97D3B">
        <w:rPr>
          <w:rFonts w:ascii="Arial" w:hAnsi="Arial" w:cs="Arial"/>
          <w:sz w:val="24"/>
          <w:szCs w:val="24"/>
        </w:rPr>
        <w:t>Primark’s proposed expansion into the Indian market using established strategic management frameworks. The analysis demonstrates that India offers strong growth potential driven by favourable demographics, rising disposable incomes, urbanisation, and increasing demand for affordable fashion. While the market presents challenges such as intense competition, regulatory complexity, and cultural differences, Primark’s cost leadership model, operational efficiency, and financial strength position it well to succeed. A joint venture entry strategy combined with product localisation, phased expansion, and a strong focus on sustainability is recommended to mitigate risks and enhance long-term competitiveness. Overall, the study concludes that with careful implementation and strategic adaptation, India represents a viable and strategically attractive market for Primark’s international growth.</w:t>
      </w:r>
    </w:p>
    <w:p w:rsidR="00A50BEA" w:rsidRPr="00F97D3B" w:rsidRDefault="00A50BEA" w:rsidP="00873C1B">
      <w:pPr>
        <w:rPr>
          <w:rFonts w:ascii="Arial" w:hAnsi="Arial" w:cs="Arial"/>
          <w:color w:val="161D1A"/>
          <w:spacing w:val="1"/>
          <w:sz w:val="24"/>
          <w:szCs w:val="24"/>
        </w:rPr>
      </w:pPr>
    </w:p>
    <w:p w:rsidR="00A50BEA" w:rsidRPr="00F97D3B" w:rsidRDefault="00A50BEA" w:rsidP="00A50BEA">
      <w:pPr>
        <w:pStyle w:val="NormalWeb"/>
        <w:shd w:val="clear" w:color="auto" w:fill="FFFFFF"/>
        <w:spacing w:before="120" w:beforeAutospacing="0" w:after="0" w:afterAutospacing="0"/>
        <w:rPr>
          <w:rFonts w:ascii="Arial" w:hAnsi="Arial" w:cs="Arial"/>
          <w:color w:val="161D1A"/>
          <w:spacing w:val="1"/>
        </w:rPr>
      </w:pPr>
    </w:p>
    <w:p w:rsidR="00424B2A" w:rsidRPr="00F97D3B" w:rsidRDefault="00424B2A" w:rsidP="00952D19">
      <w:pPr>
        <w:ind w:left="360"/>
        <w:rPr>
          <w:rFonts w:ascii="Arial" w:hAnsi="Arial" w:cs="Arial"/>
          <w:sz w:val="24"/>
          <w:szCs w:val="24"/>
          <w:lang w:eastAsia="en-IN" w:bidi="hi-IN"/>
        </w:rPr>
      </w:pPr>
    </w:p>
    <w:p w:rsidR="00952D19" w:rsidRPr="00F97D3B" w:rsidRDefault="00952D19" w:rsidP="00952D19">
      <w:pPr>
        <w:ind w:left="360"/>
        <w:rPr>
          <w:rFonts w:ascii="Arial" w:hAnsi="Arial" w:cs="Arial"/>
          <w:sz w:val="24"/>
          <w:szCs w:val="24"/>
          <w:lang w:eastAsia="en-IN" w:bidi="hi-IN"/>
        </w:rPr>
      </w:pPr>
    </w:p>
    <w:p w:rsidR="00F83838" w:rsidRPr="00F97D3B" w:rsidRDefault="00F83838" w:rsidP="00952D19">
      <w:pPr>
        <w:ind w:left="360"/>
        <w:rPr>
          <w:rFonts w:ascii="Arial" w:hAnsi="Arial" w:cs="Arial"/>
          <w:sz w:val="24"/>
          <w:szCs w:val="24"/>
          <w:lang w:eastAsia="en-IN" w:bidi="hi-IN"/>
        </w:rPr>
      </w:pPr>
    </w:p>
    <w:p w:rsidR="00F83838" w:rsidRDefault="00F83838"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Default="005B1FD4" w:rsidP="00952D19">
      <w:pPr>
        <w:ind w:left="360"/>
        <w:rPr>
          <w:rFonts w:ascii="Arial" w:hAnsi="Arial" w:cs="Arial"/>
          <w:sz w:val="24"/>
          <w:szCs w:val="24"/>
          <w:lang w:eastAsia="en-IN" w:bidi="hi-IN"/>
        </w:rPr>
      </w:pPr>
    </w:p>
    <w:p w:rsidR="005B1FD4" w:rsidRPr="00F97D3B" w:rsidRDefault="005B1FD4" w:rsidP="00952D19">
      <w:pPr>
        <w:ind w:left="360"/>
        <w:rPr>
          <w:rFonts w:ascii="Arial" w:hAnsi="Arial" w:cs="Arial"/>
          <w:sz w:val="24"/>
          <w:szCs w:val="24"/>
          <w:lang w:eastAsia="en-IN" w:bidi="hi-IN"/>
        </w:rPr>
      </w:pPr>
    </w:p>
    <w:p w:rsidR="00952D19" w:rsidRDefault="00F83838" w:rsidP="00952D19">
      <w:pPr>
        <w:pStyle w:val="Heading1"/>
        <w:rPr>
          <w:rFonts w:ascii="Arial" w:hAnsi="Arial" w:cs="Arial"/>
          <w:sz w:val="24"/>
          <w:szCs w:val="24"/>
          <w:lang w:eastAsia="en-IN" w:bidi="hi-IN"/>
        </w:rPr>
      </w:pPr>
      <w:bookmarkStart w:id="31" w:name="_Toc217242894"/>
      <w:r w:rsidRPr="00F97D3B">
        <w:rPr>
          <w:rFonts w:ascii="Arial" w:hAnsi="Arial" w:cs="Arial"/>
          <w:sz w:val="24"/>
          <w:szCs w:val="24"/>
          <w:lang w:eastAsia="en-IN" w:bidi="hi-IN"/>
        </w:rPr>
        <w:lastRenderedPageBreak/>
        <w:t>7.</w:t>
      </w:r>
      <w:r w:rsidR="00952D19" w:rsidRPr="00F97D3B">
        <w:rPr>
          <w:rFonts w:ascii="Arial" w:hAnsi="Arial" w:cs="Arial"/>
          <w:sz w:val="24"/>
          <w:szCs w:val="24"/>
          <w:lang w:eastAsia="en-IN" w:bidi="hi-IN"/>
        </w:rPr>
        <w:t>Refrences</w:t>
      </w:r>
      <w:bookmarkEnd w:id="31"/>
      <w:r w:rsidR="00952D19" w:rsidRPr="00F97D3B">
        <w:rPr>
          <w:rFonts w:ascii="Arial" w:hAnsi="Arial" w:cs="Arial"/>
          <w:sz w:val="24"/>
          <w:szCs w:val="24"/>
          <w:lang w:eastAsia="en-IN" w:bidi="hi-IN"/>
        </w:rPr>
        <w:t xml:space="preserve"> </w:t>
      </w:r>
    </w:p>
    <w:p w:rsidR="005B1FD4" w:rsidRPr="005B1FD4" w:rsidRDefault="005B1FD4" w:rsidP="005B1FD4">
      <w:pPr>
        <w:rPr>
          <w:lang w:eastAsia="en-IN" w:bidi="hi-IN"/>
        </w:rPr>
      </w:pPr>
    </w:p>
    <w:p w:rsidR="006D4FDF" w:rsidRPr="006D4FDF" w:rsidRDefault="006D4FDF" w:rsidP="006D4FDF">
      <w:pPr>
        <w:pStyle w:val="NormalWeb"/>
        <w:rPr>
          <w:rFonts w:ascii="Arial" w:hAnsi="Arial" w:cs="Arial"/>
        </w:rPr>
      </w:pPr>
      <w:r w:rsidRPr="006D4FDF">
        <w:rPr>
          <w:rFonts w:ascii="Arial" w:hAnsi="Arial" w:cs="Arial"/>
        </w:rPr>
        <w:t xml:space="preserve">Ansoff, H.I. (1957) ‘Strategies for diversification’, </w:t>
      </w:r>
      <w:r w:rsidRPr="006D4FDF">
        <w:rPr>
          <w:rStyle w:val="Emphasis"/>
          <w:rFonts w:ascii="Arial" w:hAnsi="Arial" w:cs="Arial"/>
        </w:rPr>
        <w:t>Harvard Business Review</w:t>
      </w:r>
      <w:r w:rsidRPr="006D4FDF">
        <w:rPr>
          <w:rFonts w:ascii="Arial" w:hAnsi="Arial" w:cs="Arial"/>
        </w:rPr>
        <w:t>, 35(5), pp. 113–124.</w:t>
      </w:r>
    </w:p>
    <w:p w:rsidR="006D4FDF" w:rsidRPr="006D4FDF" w:rsidRDefault="006D4FDF" w:rsidP="006D4FDF">
      <w:pPr>
        <w:pStyle w:val="NormalWeb"/>
        <w:rPr>
          <w:rFonts w:ascii="Arial" w:hAnsi="Arial" w:cs="Arial"/>
        </w:rPr>
      </w:pPr>
      <w:r w:rsidRPr="006D4FDF">
        <w:rPr>
          <w:rFonts w:ascii="Arial" w:hAnsi="Arial" w:cs="Arial"/>
        </w:rPr>
        <w:t xml:space="preserve">Associated British Foods (2024) </w:t>
      </w:r>
      <w:r w:rsidRPr="006D4FDF">
        <w:rPr>
          <w:rStyle w:val="Emphasis"/>
          <w:rFonts w:ascii="Arial" w:hAnsi="Arial" w:cs="Arial"/>
        </w:rPr>
        <w:t>Annual Report and Accounts 2023</w:t>
      </w:r>
      <w:r w:rsidRPr="006D4FDF">
        <w:rPr>
          <w:rFonts w:ascii="Arial" w:hAnsi="Arial" w:cs="Arial"/>
        </w:rPr>
        <w:t>. London: Associated British Foods plc</w:t>
      </w:r>
      <w:bookmarkStart w:id="32" w:name="_GoBack"/>
      <w:bookmarkEnd w:id="32"/>
      <w:r w:rsidRPr="006D4FDF">
        <w:rPr>
          <w:rFonts w:ascii="Arial" w:hAnsi="Arial" w:cs="Arial"/>
        </w:rPr>
        <w:t>.</w:t>
      </w:r>
    </w:p>
    <w:p w:rsidR="006D4FDF" w:rsidRPr="006D4FDF" w:rsidRDefault="006D4FDF" w:rsidP="006D4FDF">
      <w:pPr>
        <w:pStyle w:val="NormalWeb"/>
        <w:rPr>
          <w:rFonts w:ascii="Arial" w:hAnsi="Arial" w:cs="Arial"/>
        </w:rPr>
      </w:pPr>
      <w:r w:rsidRPr="006D4FDF">
        <w:rPr>
          <w:rFonts w:ascii="Arial" w:hAnsi="Arial" w:cs="Arial"/>
        </w:rPr>
        <w:t xml:space="preserve">Bain &amp; Company (2024) </w:t>
      </w:r>
      <w:r w:rsidRPr="006D4FDF">
        <w:rPr>
          <w:rStyle w:val="Emphasis"/>
          <w:rFonts w:ascii="Arial" w:hAnsi="Arial" w:cs="Arial"/>
        </w:rPr>
        <w:t>India E-commerce Market Report 2024</w:t>
      </w:r>
      <w:r w:rsidRPr="006D4FDF">
        <w:rPr>
          <w:rFonts w:ascii="Arial" w:hAnsi="Arial" w:cs="Arial"/>
        </w:rPr>
        <w:t>. Mumbai: Bain &amp; Company India.</w:t>
      </w:r>
    </w:p>
    <w:p w:rsidR="006D4FDF" w:rsidRPr="006D4FDF" w:rsidRDefault="006D4FDF" w:rsidP="006D4FDF">
      <w:pPr>
        <w:pStyle w:val="NormalWeb"/>
        <w:rPr>
          <w:rFonts w:ascii="Arial" w:hAnsi="Arial" w:cs="Arial"/>
        </w:rPr>
      </w:pPr>
      <w:r w:rsidRPr="006D4FDF">
        <w:rPr>
          <w:rFonts w:ascii="Arial" w:hAnsi="Arial" w:cs="Arial"/>
        </w:rPr>
        <w:t xml:space="preserve">Bain &amp; Company (2024) </w:t>
      </w:r>
      <w:r w:rsidRPr="006D4FDF">
        <w:rPr>
          <w:rStyle w:val="Emphasis"/>
          <w:rFonts w:ascii="Arial" w:hAnsi="Arial" w:cs="Arial"/>
        </w:rPr>
        <w:t>India Retail and Fashion Outlook</w:t>
      </w:r>
      <w:r w:rsidRPr="006D4FDF">
        <w:rPr>
          <w:rFonts w:ascii="Arial" w:hAnsi="Arial" w:cs="Arial"/>
        </w:rPr>
        <w:t>. Mumbai: Bain &amp; Company.</w:t>
      </w:r>
    </w:p>
    <w:p w:rsidR="006D4FDF" w:rsidRPr="006D4FDF" w:rsidRDefault="006D4FDF" w:rsidP="006D4FDF">
      <w:pPr>
        <w:pStyle w:val="NormalWeb"/>
        <w:rPr>
          <w:rFonts w:ascii="Arial" w:hAnsi="Arial" w:cs="Arial"/>
        </w:rPr>
      </w:pPr>
      <w:r w:rsidRPr="006D4FDF">
        <w:rPr>
          <w:rFonts w:ascii="Arial" w:hAnsi="Arial" w:cs="Arial"/>
        </w:rPr>
        <w:t xml:space="preserve">Barney, J.B. (1991) ‘Firm resources and sustained competitive advantage’, </w:t>
      </w:r>
      <w:r w:rsidRPr="006D4FDF">
        <w:rPr>
          <w:rStyle w:val="Emphasis"/>
          <w:rFonts w:ascii="Arial" w:hAnsi="Arial" w:cs="Arial"/>
        </w:rPr>
        <w:t>Journal of Management</w:t>
      </w:r>
      <w:r w:rsidRPr="006D4FDF">
        <w:rPr>
          <w:rFonts w:ascii="Arial" w:hAnsi="Arial" w:cs="Arial"/>
        </w:rPr>
        <w:t>, 17(1), pp. 99–120.</w:t>
      </w:r>
    </w:p>
    <w:p w:rsidR="006D4FDF" w:rsidRPr="006D4FDF" w:rsidRDefault="006D4FDF" w:rsidP="006D4FDF">
      <w:pPr>
        <w:pStyle w:val="NormalWeb"/>
        <w:rPr>
          <w:rFonts w:ascii="Arial" w:hAnsi="Arial" w:cs="Arial"/>
        </w:rPr>
      </w:pPr>
      <w:r w:rsidRPr="006D4FDF">
        <w:rPr>
          <w:rFonts w:ascii="Arial" w:hAnsi="Arial" w:cs="Arial"/>
        </w:rPr>
        <w:t xml:space="preserve">Bhardwaj, V. and Fairhurst, A. (2010) ‘Fast fashion: response to changes in the fashion industry’, </w:t>
      </w:r>
      <w:r w:rsidRPr="006D4FDF">
        <w:rPr>
          <w:rStyle w:val="Emphasis"/>
          <w:rFonts w:ascii="Arial" w:hAnsi="Arial" w:cs="Arial"/>
        </w:rPr>
        <w:t>The International Review of Retail, Distribution and Consumer Research</w:t>
      </w:r>
      <w:r w:rsidRPr="006D4FDF">
        <w:rPr>
          <w:rFonts w:ascii="Arial" w:hAnsi="Arial" w:cs="Arial"/>
        </w:rPr>
        <w:t>, 20(1), pp. 165–173.</w:t>
      </w:r>
    </w:p>
    <w:p w:rsidR="006D4FDF" w:rsidRPr="006D4FDF" w:rsidRDefault="006D4FDF" w:rsidP="006D4FDF">
      <w:pPr>
        <w:pStyle w:val="NormalWeb"/>
        <w:rPr>
          <w:rFonts w:ascii="Arial" w:hAnsi="Arial" w:cs="Arial"/>
        </w:rPr>
      </w:pPr>
      <w:r w:rsidRPr="006D4FDF">
        <w:rPr>
          <w:rFonts w:ascii="Arial" w:hAnsi="Arial" w:cs="Arial"/>
        </w:rPr>
        <w:t xml:space="preserve">CBRE (2024) </w:t>
      </w:r>
      <w:r w:rsidRPr="006D4FDF">
        <w:rPr>
          <w:rStyle w:val="Emphasis"/>
          <w:rFonts w:ascii="Arial" w:hAnsi="Arial" w:cs="Arial"/>
        </w:rPr>
        <w:t>India Retail Market Outlook 2024</w:t>
      </w:r>
      <w:r w:rsidRPr="006D4FDF">
        <w:rPr>
          <w:rFonts w:ascii="Arial" w:hAnsi="Arial" w:cs="Arial"/>
        </w:rPr>
        <w:t>. Mumbai: CBRE South Asia.</w:t>
      </w:r>
    </w:p>
    <w:p w:rsidR="006D4FDF" w:rsidRPr="006D4FDF" w:rsidRDefault="006D4FDF" w:rsidP="006D4FDF">
      <w:pPr>
        <w:pStyle w:val="NormalWeb"/>
        <w:rPr>
          <w:rFonts w:ascii="Arial" w:hAnsi="Arial" w:cs="Arial"/>
        </w:rPr>
      </w:pPr>
      <w:r w:rsidRPr="006D4FDF">
        <w:rPr>
          <w:rFonts w:ascii="Arial" w:hAnsi="Arial" w:cs="Arial"/>
        </w:rPr>
        <w:t xml:space="preserve">Competition Commission of India (2024) </w:t>
      </w:r>
      <w:r w:rsidRPr="006D4FDF">
        <w:rPr>
          <w:rStyle w:val="Emphasis"/>
          <w:rFonts w:ascii="Arial" w:hAnsi="Arial" w:cs="Arial"/>
        </w:rPr>
        <w:t>Competition Law Compliance Guidelines for Businesses</w:t>
      </w:r>
      <w:r w:rsidRPr="006D4FDF">
        <w:rPr>
          <w:rFonts w:ascii="Arial" w:hAnsi="Arial" w:cs="Arial"/>
        </w:rPr>
        <w:t>. New Delhi: CCI.</w:t>
      </w:r>
    </w:p>
    <w:p w:rsidR="006D4FDF" w:rsidRPr="006D4FDF" w:rsidRDefault="006D4FDF" w:rsidP="006D4FDF">
      <w:pPr>
        <w:pStyle w:val="NormalWeb"/>
        <w:rPr>
          <w:rFonts w:ascii="Arial" w:hAnsi="Arial" w:cs="Arial"/>
        </w:rPr>
      </w:pPr>
      <w:r w:rsidRPr="006D4FDF">
        <w:rPr>
          <w:rFonts w:ascii="Arial" w:hAnsi="Arial" w:cs="Arial"/>
        </w:rPr>
        <w:t xml:space="preserve">Deloitte (2024) </w:t>
      </w:r>
      <w:r w:rsidRPr="006D4FDF">
        <w:rPr>
          <w:rStyle w:val="Emphasis"/>
          <w:rFonts w:ascii="Arial" w:hAnsi="Arial" w:cs="Arial"/>
        </w:rPr>
        <w:t>Consumer Behaviour and Fashion Retail Trends in India</w:t>
      </w:r>
      <w:r w:rsidRPr="006D4FDF">
        <w:rPr>
          <w:rFonts w:ascii="Arial" w:hAnsi="Arial" w:cs="Arial"/>
        </w:rPr>
        <w:t>. New Delhi: Deloitte India.</w:t>
      </w:r>
    </w:p>
    <w:p w:rsidR="006D4FDF" w:rsidRPr="006D4FDF" w:rsidRDefault="006D4FDF" w:rsidP="006D4FDF">
      <w:pPr>
        <w:pStyle w:val="NormalWeb"/>
        <w:rPr>
          <w:rFonts w:ascii="Arial" w:hAnsi="Arial" w:cs="Arial"/>
        </w:rPr>
      </w:pPr>
      <w:r w:rsidRPr="006D4FDF">
        <w:rPr>
          <w:rFonts w:ascii="Arial" w:hAnsi="Arial" w:cs="Arial"/>
        </w:rPr>
        <w:t xml:space="preserve">Deloitte (2024) </w:t>
      </w:r>
      <w:r w:rsidRPr="006D4FDF">
        <w:rPr>
          <w:rStyle w:val="Emphasis"/>
          <w:rFonts w:ascii="Arial" w:hAnsi="Arial" w:cs="Arial"/>
        </w:rPr>
        <w:t>Digital Influence and Consumer Behaviour in India</w:t>
      </w:r>
      <w:r w:rsidRPr="006D4FDF">
        <w:rPr>
          <w:rFonts w:ascii="Arial" w:hAnsi="Arial" w:cs="Arial"/>
        </w:rPr>
        <w:t>. New Delhi: Deloitte India.</w:t>
      </w:r>
    </w:p>
    <w:p w:rsidR="006D4FDF" w:rsidRPr="006D4FDF" w:rsidRDefault="006D4FDF" w:rsidP="006D4FDF">
      <w:pPr>
        <w:pStyle w:val="NormalWeb"/>
        <w:rPr>
          <w:rFonts w:ascii="Arial" w:hAnsi="Arial" w:cs="Arial"/>
        </w:rPr>
      </w:pPr>
      <w:r w:rsidRPr="006D4FDF">
        <w:rPr>
          <w:rFonts w:ascii="Arial" w:hAnsi="Arial" w:cs="Arial"/>
        </w:rPr>
        <w:t xml:space="preserve">Deloitte (2024) </w:t>
      </w:r>
      <w:r w:rsidRPr="006D4FDF">
        <w:rPr>
          <w:rStyle w:val="Emphasis"/>
          <w:rFonts w:ascii="Arial" w:hAnsi="Arial" w:cs="Arial"/>
        </w:rPr>
        <w:t>India Consumer Trends 2024: Navigating the Next Wave of Growth</w:t>
      </w:r>
      <w:r w:rsidRPr="006D4FDF">
        <w:rPr>
          <w:rFonts w:ascii="Arial" w:hAnsi="Arial" w:cs="Arial"/>
        </w:rPr>
        <w:t>. Mumbai: Deloitte India.</w:t>
      </w:r>
    </w:p>
    <w:p w:rsidR="006D4FDF" w:rsidRPr="006D4FDF" w:rsidRDefault="006D4FDF" w:rsidP="006D4FDF">
      <w:pPr>
        <w:pStyle w:val="NormalWeb"/>
        <w:rPr>
          <w:rFonts w:ascii="Arial" w:hAnsi="Arial" w:cs="Arial"/>
        </w:rPr>
      </w:pPr>
      <w:r w:rsidRPr="006D4FDF">
        <w:rPr>
          <w:rFonts w:ascii="Arial" w:hAnsi="Arial" w:cs="Arial"/>
        </w:rPr>
        <w:t xml:space="preserve">Deloitte (2024) </w:t>
      </w:r>
      <w:r w:rsidRPr="006D4FDF">
        <w:rPr>
          <w:rStyle w:val="Emphasis"/>
          <w:rFonts w:ascii="Arial" w:hAnsi="Arial" w:cs="Arial"/>
        </w:rPr>
        <w:t>Indian Fashion Retail Consumer Trends</w:t>
      </w:r>
      <w:r w:rsidRPr="006D4FDF">
        <w:rPr>
          <w:rFonts w:ascii="Arial" w:hAnsi="Arial" w:cs="Arial"/>
        </w:rPr>
        <w:t>. Mumbai: Deloitte Insights.</w:t>
      </w:r>
    </w:p>
    <w:p w:rsidR="006D4FDF" w:rsidRPr="006D4FDF" w:rsidRDefault="006D4FDF" w:rsidP="006D4FDF">
      <w:pPr>
        <w:pStyle w:val="NormalWeb"/>
        <w:rPr>
          <w:rFonts w:ascii="Arial" w:hAnsi="Arial" w:cs="Arial"/>
        </w:rPr>
      </w:pPr>
      <w:r w:rsidRPr="006D4FDF">
        <w:rPr>
          <w:rFonts w:ascii="Arial" w:hAnsi="Arial" w:cs="Arial"/>
        </w:rPr>
        <w:t xml:space="preserve">Elkington, J. (1997) </w:t>
      </w:r>
      <w:r w:rsidRPr="006D4FDF">
        <w:rPr>
          <w:rStyle w:val="Emphasis"/>
          <w:rFonts w:ascii="Arial" w:hAnsi="Arial" w:cs="Arial"/>
        </w:rPr>
        <w:t>Cannibals with Forks: The Triple Bottom Line of 21st Century Business</w:t>
      </w:r>
      <w:r w:rsidRPr="006D4FDF">
        <w:rPr>
          <w:rFonts w:ascii="Arial" w:hAnsi="Arial" w:cs="Arial"/>
        </w:rPr>
        <w:t>. Oxford: Capstone Publishing.</w:t>
      </w:r>
    </w:p>
    <w:p w:rsidR="006D4FDF" w:rsidRPr="006D4FDF" w:rsidRDefault="006D4FDF" w:rsidP="006D4FDF">
      <w:pPr>
        <w:pStyle w:val="NormalWeb"/>
        <w:rPr>
          <w:rFonts w:ascii="Arial" w:hAnsi="Arial" w:cs="Arial"/>
        </w:rPr>
      </w:pPr>
      <w:r w:rsidRPr="006D4FDF">
        <w:rPr>
          <w:rFonts w:ascii="Arial" w:hAnsi="Arial" w:cs="Arial"/>
        </w:rPr>
        <w:t xml:space="preserve">Euromonitor International (2024) </w:t>
      </w:r>
      <w:r w:rsidRPr="006D4FDF">
        <w:rPr>
          <w:rStyle w:val="Emphasis"/>
          <w:rFonts w:ascii="Arial" w:hAnsi="Arial" w:cs="Arial"/>
        </w:rPr>
        <w:t>Apparel and Footwear in India: Country Report</w:t>
      </w:r>
      <w:r w:rsidRPr="006D4FDF">
        <w:rPr>
          <w:rFonts w:ascii="Arial" w:hAnsi="Arial" w:cs="Arial"/>
        </w:rPr>
        <w:t>. London: Euromonitor International.</w:t>
      </w:r>
    </w:p>
    <w:p w:rsidR="006D4FDF" w:rsidRPr="006D4FDF" w:rsidRDefault="006D4FDF" w:rsidP="006D4FDF">
      <w:pPr>
        <w:pStyle w:val="NormalWeb"/>
        <w:rPr>
          <w:rFonts w:ascii="Arial" w:hAnsi="Arial" w:cs="Arial"/>
        </w:rPr>
      </w:pPr>
      <w:r w:rsidRPr="006D4FDF">
        <w:rPr>
          <w:rFonts w:ascii="Arial" w:hAnsi="Arial" w:cs="Arial"/>
        </w:rPr>
        <w:t xml:space="preserve">FSSAI (2024) </w:t>
      </w:r>
      <w:r w:rsidRPr="006D4FDF">
        <w:rPr>
          <w:rStyle w:val="Emphasis"/>
          <w:rFonts w:ascii="Arial" w:hAnsi="Arial" w:cs="Arial"/>
        </w:rPr>
        <w:t>Food Safety and Standards Regulations</w:t>
      </w:r>
      <w:r w:rsidRPr="006D4FDF">
        <w:rPr>
          <w:rFonts w:ascii="Arial" w:hAnsi="Arial" w:cs="Arial"/>
        </w:rPr>
        <w:t>. New Delhi: Food Safety and Standards Authority of India.</w:t>
      </w:r>
    </w:p>
    <w:p w:rsidR="006D4FDF" w:rsidRPr="006D4FDF" w:rsidRDefault="006D4FDF" w:rsidP="006D4FDF">
      <w:pPr>
        <w:pStyle w:val="NormalWeb"/>
        <w:rPr>
          <w:rFonts w:ascii="Arial" w:hAnsi="Arial" w:cs="Arial"/>
        </w:rPr>
      </w:pPr>
      <w:r w:rsidRPr="006D4FDF">
        <w:rPr>
          <w:rFonts w:ascii="Arial" w:hAnsi="Arial" w:cs="Arial"/>
        </w:rPr>
        <w:t xml:space="preserve">Government of India (2019) </w:t>
      </w:r>
      <w:r w:rsidRPr="006D4FDF">
        <w:rPr>
          <w:rStyle w:val="Emphasis"/>
          <w:rFonts w:ascii="Arial" w:hAnsi="Arial" w:cs="Arial"/>
        </w:rPr>
        <w:t>The Consumer Protection Act 2019</w:t>
      </w:r>
      <w:r w:rsidRPr="006D4FDF">
        <w:rPr>
          <w:rFonts w:ascii="Arial" w:hAnsi="Arial" w:cs="Arial"/>
        </w:rPr>
        <w:t>. New Delhi: Ministry of Law and Justice.</w:t>
      </w:r>
    </w:p>
    <w:p w:rsidR="006D4FDF" w:rsidRPr="006D4FDF" w:rsidRDefault="006D4FDF" w:rsidP="006D4FDF">
      <w:pPr>
        <w:pStyle w:val="NormalWeb"/>
        <w:rPr>
          <w:rFonts w:ascii="Arial" w:hAnsi="Arial" w:cs="Arial"/>
        </w:rPr>
      </w:pPr>
      <w:r w:rsidRPr="006D4FDF">
        <w:rPr>
          <w:rFonts w:ascii="Arial" w:hAnsi="Arial" w:cs="Arial"/>
        </w:rPr>
        <w:t xml:space="preserve">Government of India (2023) </w:t>
      </w:r>
      <w:r w:rsidRPr="006D4FDF">
        <w:rPr>
          <w:rStyle w:val="Emphasis"/>
          <w:rFonts w:ascii="Arial" w:hAnsi="Arial" w:cs="Arial"/>
        </w:rPr>
        <w:t>The Digital Personal Data Protection Act 2023</w:t>
      </w:r>
      <w:r w:rsidRPr="006D4FDF">
        <w:rPr>
          <w:rFonts w:ascii="Arial" w:hAnsi="Arial" w:cs="Arial"/>
        </w:rPr>
        <w:t>. New Delhi: Ministry of Electronics and Information Technology.</w:t>
      </w:r>
    </w:p>
    <w:p w:rsidR="006D4FDF" w:rsidRPr="006D4FDF" w:rsidRDefault="006D4FDF" w:rsidP="006D4FDF">
      <w:pPr>
        <w:pStyle w:val="NormalWeb"/>
        <w:rPr>
          <w:rFonts w:ascii="Arial" w:hAnsi="Arial" w:cs="Arial"/>
        </w:rPr>
      </w:pPr>
      <w:r w:rsidRPr="006D4FDF">
        <w:rPr>
          <w:rFonts w:ascii="Arial" w:hAnsi="Arial" w:cs="Arial"/>
        </w:rPr>
        <w:t xml:space="preserve">Government of India (2024) </w:t>
      </w:r>
      <w:r w:rsidRPr="006D4FDF">
        <w:rPr>
          <w:rStyle w:val="Emphasis"/>
          <w:rFonts w:ascii="Arial" w:hAnsi="Arial" w:cs="Arial"/>
        </w:rPr>
        <w:t>Consolidated FDI Policy Circular 2024</w:t>
      </w:r>
      <w:r w:rsidRPr="006D4FDF">
        <w:rPr>
          <w:rFonts w:ascii="Arial" w:hAnsi="Arial" w:cs="Arial"/>
        </w:rPr>
        <w:t>. New Delhi: Department for Promotion of Industry and Internal Trade.</w:t>
      </w:r>
    </w:p>
    <w:p w:rsidR="006D4FDF" w:rsidRPr="006D4FDF" w:rsidRDefault="006D4FDF" w:rsidP="006D4FDF">
      <w:pPr>
        <w:pStyle w:val="NormalWeb"/>
        <w:rPr>
          <w:rFonts w:ascii="Arial" w:hAnsi="Arial" w:cs="Arial"/>
        </w:rPr>
      </w:pPr>
      <w:r w:rsidRPr="006D4FDF">
        <w:rPr>
          <w:rFonts w:ascii="Arial" w:hAnsi="Arial" w:cs="Arial"/>
        </w:rPr>
        <w:t xml:space="preserve">Grant, R.M. (2021) </w:t>
      </w:r>
      <w:r w:rsidRPr="006D4FDF">
        <w:rPr>
          <w:rStyle w:val="Emphasis"/>
          <w:rFonts w:ascii="Arial" w:hAnsi="Arial" w:cs="Arial"/>
        </w:rPr>
        <w:t>Contemporary Strategy Analysis</w:t>
      </w:r>
      <w:r w:rsidRPr="006D4FDF">
        <w:rPr>
          <w:rFonts w:ascii="Arial" w:hAnsi="Arial" w:cs="Arial"/>
        </w:rPr>
        <w:t>. 11th edn. Hoboken, NJ: John Wiley &amp; Sons.</w:t>
      </w:r>
    </w:p>
    <w:p w:rsidR="006D4FDF" w:rsidRPr="006D4FDF" w:rsidRDefault="006D4FDF" w:rsidP="006D4FDF">
      <w:pPr>
        <w:pStyle w:val="NormalWeb"/>
        <w:rPr>
          <w:rFonts w:ascii="Arial" w:hAnsi="Arial" w:cs="Arial"/>
        </w:rPr>
      </w:pPr>
      <w:r w:rsidRPr="006D4FDF">
        <w:rPr>
          <w:rFonts w:ascii="Arial" w:hAnsi="Arial" w:cs="Arial"/>
        </w:rPr>
        <w:t xml:space="preserve">Hill, C.W.L., Jones, G.R. and Schilling, M.A. (2023) </w:t>
      </w:r>
      <w:r w:rsidRPr="006D4FDF">
        <w:rPr>
          <w:rStyle w:val="Emphasis"/>
          <w:rFonts w:ascii="Arial" w:hAnsi="Arial" w:cs="Arial"/>
        </w:rPr>
        <w:t>Strategic Management: Theory and Cases</w:t>
      </w:r>
      <w:r w:rsidRPr="006D4FDF">
        <w:rPr>
          <w:rFonts w:ascii="Arial" w:hAnsi="Arial" w:cs="Arial"/>
        </w:rPr>
        <w:t>. 14th edn. Boston: Cengage Learning.</w:t>
      </w:r>
    </w:p>
    <w:p w:rsidR="006D4FDF" w:rsidRPr="006D4FDF" w:rsidRDefault="006D4FDF" w:rsidP="006D4FDF">
      <w:pPr>
        <w:pStyle w:val="NormalWeb"/>
        <w:rPr>
          <w:rFonts w:ascii="Arial" w:hAnsi="Arial" w:cs="Arial"/>
        </w:rPr>
      </w:pPr>
      <w:r w:rsidRPr="006D4FDF">
        <w:rPr>
          <w:rFonts w:ascii="Arial" w:hAnsi="Arial" w:cs="Arial"/>
        </w:rPr>
        <w:lastRenderedPageBreak/>
        <w:t xml:space="preserve">IBEF (India Brand Equity Foundation) (2024) </w:t>
      </w:r>
      <w:r w:rsidRPr="006D4FDF">
        <w:rPr>
          <w:rStyle w:val="Emphasis"/>
          <w:rFonts w:ascii="Arial" w:hAnsi="Arial" w:cs="Arial"/>
        </w:rPr>
        <w:t>Retail and Textiles Industry in India</w:t>
      </w:r>
      <w:r w:rsidRPr="006D4FDF">
        <w:rPr>
          <w:rFonts w:ascii="Arial" w:hAnsi="Arial" w:cs="Arial"/>
        </w:rPr>
        <w:t>. New Delhi: IBEF.</w:t>
      </w:r>
    </w:p>
    <w:p w:rsidR="006D4FDF" w:rsidRPr="006D4FDF" w:rsidRDefault="006D4FDF" w:rsidP="006D4FDF">
      <w:pPr>
        <w:pStyle w:val="NormalWeb"/>
        <w:rPr>
          <w:rFonts w:ascii="Arial" w:hAnsi="Arial" w:cs="Arial"/>
        </w:rPr>
      </w:pPr>
      <w:r w:rsidRPr="006D4FDF">
        <w:rPr>
          <w:rFonts w:ascii="Arial" w:hAnsi="Arial" w:cs="Arial"/>
        </w:rPr>
        <w:t xml:space="preserve">IPCC (2023) </w:t>
      </w:r>
      <w:r w:rsidRPr="006D4FDF">
        <w:rPr>
          <w:rStyle w:val="Emphasis"/>
          <w:rFonts w:ascii="Arial" w:hAnsi="Arial" w:cs="Arial"/>
        </w:rPr>
        <w:t>Climate Change 2023: Impacts, Adaptation and Vulnerability</w:t>
      </w:r>
      <w:r w:rsidRPr="006D4FDF">
        <w:rPr>
          <w:rFonts w:ascii="Arial" w:hAnsi="Arial" w:cs="Arial"/>
        </w:rPr>
        <w:t>. Geneva: Intergovernmental Panel on Climate Change.</w:t>
      </w:r>
    </w:p>
    <w:p w:rsidR="006D4FDF" w:rsidRPr="006D4FDF" w:rsidRDefault="006D4FDF" w:rsidP="006D4FDF">
      <w:pPr>
        <w:pStyle w:val="NormalWeb"/>
        <w:rPr>
          <w:rFonts w:ascii="Arial" w:hAnsi="Arial" w:cs="Arial"/>
        </w:rPr>
      </w:pPr>
      <w:r w:rsidRPr="006D4FDF">
        <w:rPr>
          <w:rFonts w:ascii="Arial" w:hAnsi="Arial" w:cs="Arial"/>
        </w:rPr>
        <w:t xml:space="preserve">Johnson, G., Whittington, R., Scholes, K., Angwin, D. and Regnér, P. (2020) </w:t>
      </w:r>
      <w:r w:rsidRPr="006D4FDF">
        <w:rPr>
          <w:rStyle w:val="Emphasis"/>
          <w:rFonts w:ascii="Arial" w:hAnsi="Arial" w:cs="Arial"/>
        </w:rPr>
        <w:t>Exploring Strategy: Text and Cases</w:t>
      </w:r>
      <w:r w:rsidRPr="006D4FDF">
        <w:rPr>
          <w:rFonts w:ascii="Arial" w:hAnsi="Arial" w:cs="Arial"/>
        </w:rPr>
        <w:t>. 12th edn. Harlow: Pearson Education.</w:t>
      </w:r>
    </w:p>
    <w:p w:rsidR="006D4FDF" w:rsidRPr="006D4FDF" w:rsidRDefault="006D4FDF" w:rsidP="006D4FDF">
      <w:pPr>
        <w:pStyle w:val="NormalWeb"/>
        <w:rPr>
          <w:rFonts w:ascii="Arial" w:hAnsi="Arial" w:cs="Arial"/>
        </w:rPr>
      </w:pPr>
      <w:r w:rsidRPr="006D4FDF">
        <w:rPr>
          <w:rFonts w:ascii="Arial" w:hAnsi="Arial" w:cs="Arial"/>
        </w:rPr>
        <w:t xml:space="preserve">Kaplan, R.S. and Norton, D.P. (1996) </w:t>
      </w:r>
      <w:r w:rsidRPr="006D4FDF">
        <w:rPr>
          <w:rStyle w:val="Emphasis"/>
          <w:rFonts w:ascii="Arial" w:hAnsi="Arial" w:cs="Arial"/>
        </w:rPr>
        <w:t>The Balanced Scorecard: Translating Strategy into Action</w:t>
      </w:r>
      <w:r w:rsidRPr="006D4FDF">
        <w:rPr>
          <w:rFonts w:ascii="Arial" w:hAnsi="Arial" w:cs="Arial"/>
        </w:rPr>
        <w:t>. Boston, MA: Harvard Business School Press.</w:t>
      </w:r>
    </w:p>
    <w:p w:rsidR="006D4FDF" w:rsidRPr="006D4FDF" w:rsidRDefault="006D4FDF" w:rsidP="006D4FDF">
      <w:pPr>
        <w:pStyle w:val="NormalWeb"/>
        <w:rPr>
          <w:rFonts w:ascii="Arial" w:hAnsi="Arial" w:cs="Arial"/>
        </w:rPr>
      </w:pPr>
      <w:r w:rsidRPr="006D4FDF">
        <w:rPr>
          <w:rFonts w:ascii="Arial" w:hAnsi="Arial" w:cs="Arial"/>
        </w:rPr>
        <w:t xml:space="preserve">McKinsey &amp; Company (2024) </w:t>
      </w:r>
      <w:r w:rsidRPr="006D4FDF">
        <w:rPr>
          <w:rStyle w:val="Emphasis"/>
          <w:rFonts w:ascii="Arial" w:hAnsi="Arial" w:cs="Arial"/>
        </w:rPr>
        <w:t>The Rise of India’s Middle Class</w:t>
      </w:r>
      <w:r w:rsidRPr="006D4FDF">
        <w:rPr>
          <w:rFonts w:ascii="Arial" w:hAnsi="Arial" w:cs="Arial"/>
        </w:rPr>
        <w:t>. Mumbai: McKinsey Global Institute.</w:t>
      </w:r>
    </w:p>
    <w:p w:rsidR="006D4FDF" w:rsidRPr="006D4FDF" w:rsidRDefault="006D4FDF" w:rsidP="006D4FDF">
      <w:pPr>
        <w:pStyle w:val="NormalWeb"/>
        <w:rPr>
          <w:rFonts w:ascii="Arial" w:hAnsi="Arial" w:cs="Arial"/>
        </w:rPr>
      </w:pPr>
      <w:r w:rsidRPr="006D4FDF">
        <w:rPr>
          <w:rFonts w:ascii="Arial" w:hAnsi="Arial" w:cs="Arial"/>
        </w:rPr>
        <w:t xml:space="preserve">McKinsey &amp; Company (2024) </w:t>
      </w:r>
      <w:r w:rsidRPr="006D4FDF">
        <w:rPr>
          <w:rStyle w:val="Emphasis"/>
          <w:rFonts w:ascii="Arial" w:hAnsi="Arial" w:cs="Arial"/>
        </w:rPr>
        <w:t>The Future of Consumption in India</w:t>
      </w:r>
      <w:r w:rsidRPr="006D4FDF">
        <w:rPr>
          <w:rFonts w:ascii="Arial" w:hAnsi="Arial" w:cs="Arial"/>
        </w:rPr>
        <w:t>. Mumbai: McKinsey &amp; Company India.</w:t>
      </w:r>
    </w:p>
    <w:p w:rsidR="006D4FDF" w:rsidRPr="006D4FDF" w:rsidRDefault="006D4FDF" w:rsidP="006D4FDF">
      <w:pPr>
        <w:pStyle w:val="NormalWeb"/>
        <w:rPr>
          <w:rFonts w:ascii="Arial" w:hAnsi="Arial" w:cs="Arial"/>
        </w:rPr>
      </w:pPr>
      <w:r w:rsidRPr="006D4FDF">
        <w:rPr>
          <w:rFonts w:ascii="Arial" w:hAnsi="Arial" w:cs="Arial"/>
        </w:rPr>
        <w:t xml:space="preserve">Ministry of Environment, Forest and Climate Change (2024) </w:t>
      </w:r>
      <w:r w:rsidRPr="006D4FDF">
        <w:rPr>
          <w:rStyle w:val="Emphasis"/>
          <w:rFonts w:ascii="Arial" w:hAnsi="Arial" w:cs="Arial"/>
        </w:rPr>
        <w:t>Plastic Waste Management Amendment Rules 2024</w:t>
      </w:r>
      <w:r w:rsidRPr="006D4FDF">
        <w:rPr>
          <w:rFonts w:ascii="Arial" w:hAnsi="Arial" w:cs="Arial"/>
        </w:rPr>
        <w:t>. New Delhi: Government of India.</w:t>
      </w:r>
    </w:p>
    <w:p w:rsidR="006D4FDF" w:rsidRPr="006D4FDF" w:rsidRDefault="006D4FDF" w:rsidP="006D4FDF">
      <w:pPr>
        <w:pStyle w:val="NormalWeb"/>
        <w:rPr>
          <w:rFonts w:ascii="Arial" w:hAnsi="Arial" w:cs="Arial"/>
        </w:rPr>
      </w:pPr>
      <w:r w:rsidRPr="006D4FDF">
        <w:rPr>
          <w:rFonts w:ascii="Arial" w:hAnsi="Arial" w:cs="Arial"/>
        </w:rPr>
        <w:t xml:space="preserve">NPCI (National Payments Corporation of India) (2024) </w:t>
      </w:r>
      <w:r w:rsidRPr="006D4FDF">
        <w:rPr>
          <w:rStyle w:val="Emphasis"/>
          <w:rFonts w:ascii="Arial" w:hAnsi="Arial" w:cs="Arial"/>
        </w:rPr>
        <w:t>UPI Transaction Statistics 2024</w:t>
      </w:r>
      <w:r w:rsidRPr="006D4FDF">
        <w:rPr>
          <w:rFonts w:ascii="Arial" w:hAnsi="Arial" w:cs="Arial"/>
        </w:rPr>
        <w:t>. Mumbai: NPCI.</w:t>
      </w:r>
    </w:p>
    <w:p w:rsidR="006D4FDF" w:rsidRPr="006D4FDF" w:rsidRDefault="006D4FDF" w:rsidP="006D4FDF">
      <w:pPr>
        <w:pStyle w:val="NormalWeb"/>
        <w:rPr>
          <w:rFonts w:ascii="Arial" w:hAnsi="Arial" w:cs="Arial"/>
        </w:rPr>
      </w:pPr>
      <w:r w:rsidRPr="006D4FDF">
        <w:rPr>
          <w:rFonts w:ascii="Arial" w:hAnsi="Arial" w:cs="Arial"/>
        </w:rPr>
        <w:t xml:space="preserve">Panigyrakis, G., Theodoridis, P. and Veloutsou, C. (2021) </w:t>
      </w:r>
      <w:r w:rsidRPr="006D4FDF">
        <w:rPr>
          <w:rStyle w:val="Emphasis"/>
          <w:rFonts w:ascii="Arial" w:hAnsi="Arial" w:cs="Arial"/>
        </w:rPr>
        <w:t>Retail Marketing and Branding</w:t>
      </w:r>
      <w:r w:rsidRPr="006D4FDF">
        <w:rPr>
          <w:rFonts w:ascii="Arial" w:hAnsi="Arial" w:cs="Arial"/>
        </w:rPr>
        <w:t>. London: Routledge.</w:t>
      </w:r>
    </w:p>
    <w:p w:rsidR="006D4FDF" w:rsidRPr="006D4FDF" w:rsidRDefault="006D4FDF" w:rsidP="006D4FDF">
      <w:pPr>
        <w:pStyle w:val="NormalWeb"/>
        <w:rPr>
          <w:rFonts w:ascii="Arial" w:hAnsi="Arial" w:cs="Arial"/>
        </w:rPr>
      </w:pPr>
      <w:r w:rsidRPr="006D4FDF">
        <w:rPr>
          <w:rFonts w:ascii="Arial" w:hAnsi="Arial" w:cs="Arial"/>
        </w:rPr>
        <w:t xml:space="preserve">Panigyrakis, G., Panopoulos, A. and Koronaki, E. (2021) ‘All for one – one for all: a mutual environmental marketing strategy’, </w:t>
      </w:r>
      <w:r w:rsidRPr="006D4FDF">
        <w:rPr>
          <w:rStyle w:val="Emphasis"/>
          <w:rFonts w:ascii="Arial" w:hAnsi="Arial" w:cs="Arial"/>
        </w:rPr>
        <w:t>Journal of Business &amp; Industrial Marketing</w:t>
      </w:r>
      <w:r w:rsidRPr="006D4FDF">
        <w:rPr>
          <w:rFonts w:ascii="Arial" w:hAnsi="Arial" w:cs="Arial"/>
        </w:rPr>
        <w:t>, 36(5), pp. 846–861.</w:t>
      </w:r>
    </w:p>
    <w:p w:rsidR="006D4FDF" w:rsidRPr="006D4FDF" w:rsidRDefault="006D4FDF" w:rsidP="006D4FDF">
      <w:pPr>
        <w:pStyle w:val="NormalWeb"/>
        <w:rPr>
          <w:rFonts w:ascii="Arial" w:hAnsi="Arial" w:cs="Arial"/>
        </w:rPr>
      </w:pPr>
      <w:r w:rsidRPr="006D4FDF">
        <w:rPr>
          <w:rFonts w:ascii="Arial" w:hAnsi="Arial" w:cs="Arial"/>
        </w:rPr>
        <w:t xml:space="preserve">Porter, M.E. (1980) </w:t>
      </w:r>
      <w:r w:rsidRPr="006D4FDF">
        <w:rPr>
          <w:rStyle w:val="Emphasis"/>
          <w:rFonts w:ascii="Arial" w:hAnsi="Arial" w:cs="Arial"/>
        </w:rPr>
        <w:t>Competitive Strategy: Techniques for Analyzing Industries and Competitors</w:t>
      </w:r>
      <w:r w:rsidRPr="006D4FDF">
        <w:rPr>
          <w:rFonts w:ascii="Arial" w:hAnsi="Arial" w:cs="Arial"/>
        </w:rPr>
        <w:t>. New York: Free Press.</w:t>
      </w:r>
    </w:p>
    <w:p w:rsidR="006D4FDF" w:rsidRPr="006D4FDF" w:rsidRDefault="006D4FDF" w:rsidP="006D4FDF">
      <w:pPr>
        <w:pStyle w:val="NormalWeb"/>
        <w:rPr>
          <w:rFonts w:ascii="Arial" w:hAnsi="Arial" w:cs="Arial"/>
        </w:rPr>
      </w:pPr>
      <w:r w:rsidRPr="006D4FDF">
        <w:rPr>
          <w:rFonts w:ascii="Arial" w:hAnsi="Arial" w:cs="Arial"/>
        </w:rPr>
        <w:t xml:space="preserve">Porter, M.E. (1985) </w:t>
      </w:r>
      <w:r w:rsidRPr="006D4FDF">
        <w:rPr>
          <w:rStyle w:val="Emphasis"/>
          <w:rFonts w:ascii="Arial" w:hAnsi="Arial" w:cs="Arial"/>
        </w:rPr>
        <w:t>Competitive Advantage: Creating and Sustaining Superior Performance</w:t>
      </w:r>
      <w:r w:rsidRPr="006D4FDF">
        <w:rPr>
          <w:rFonts w:ascii="Arial" w:hAnsi="Arial" w:cs="Arial"/>
        </w:rPr>
        <w:t>. New York: Free Press.</w:t>
      </w:r>
    </w:p>
    <w:p w:rsidR="006D4FDF" w:rsidRPr="006D4FDF" w:rsidRDefault="006D4FDF" w:rsidP="006D4FDF">
      <w:pPr>
        <w:pStyle w:val="NormalWeb"/>
        <w:rPr>
          <w:rFonts w:ascii="Arial" w:hAnsi="Arial" w:cs="Arial"/>
        </w:rPr>
      </w:pPr>
      <w:r w:rsidRPr="006D4FDF">
        <w:rPr>
          <w:rFonts w:ascii="Arial" w:hAnsi="Arial" w:cs="Arial"/>
        </w:rPr>
        <w:t xml:space="preserve">Primark (2024) </w:t>
      </w:r>
      <w:r w:rsidRPr="006D4FDF">
        <w:rPr>
          <w:rStyle w:val="Emphasis"/>
          <w:rFonts w:ascii="Arial" w:hAnsi="Arial" w:cs="Arial"/>
        </w:rPr>
        <w:t>Primark Cares: Our Commitment to People and Planet</w:t>
      </w:r>
      <w:r w:rsidRPr="006D4FDF">
        <w:rPr>
          <w:rFonts w:ascii="Arial" w:hAnsi="Arial" w:cs="Arial"/>
        </w:rPr>
        <w:t xml:space="preserve">. Available at: </w:t>
      </w:r>
      <w:hyperlink r:id="rId17" w:tgtFrame="_new" w:history="1">
        <w:r w:rsidRPr="006D4FDF">
          <w:rPr>
            <w:rStyle w:val="Hyperlink"/>
            <w:rFonts w:ascii="Arial" w:hAnsi="Arial" w:cs="Arial"/>
          </w:rPr>
          <w:t>https://www.primark.com/en-gb/primark-cares</w:t>
        </w:r>
      </w:hyperlink>
      <w:r w:rsidRPr="006D4FDF">
        <w:rPr>
          <w:rFonts w:ascii="Arial" w:hAnsi="Arial" w:cs="Arial"/>
        </w:rPr>
        <w:t xml:space="preserve"> (Accessed: 2 December 2024).</w:t>
      </w:r>
    </w:p>
    <w:p w:rsidR="006D4FDF" w:rsidRPr="006D4FDF" w:rsidRDefault="006D4FDF" w:rsidP="006D4FDF">
      <w:pPr>
        <w:pStyle w:val="NormalWeb"/>
        <w:rPr>
          <w:rFonts w:ascii="Arial" w:hAnsi="Arial" w:cs="Arial"/>
        </w:rPr>
      </w:pPr>
      <w:r w:rsidRPr="006D4FDF">
        <w:rPr>
          <w:rFonts w:ascii="Arial" w:hAnsi="Arial" w:cs="Arial"/>
        </w:rPr>
        <w:t xml:space="preserve">Technopak (2024) </w:t>
      </w:r>
      <w:r w:rsidRPr="006D4FDF">
        <w:rPr>
          <w:rStyle w:val="Emphasis"/>
          <w:rFonts w:ascii="Arial" w:hAnsi="Arial" w:cs="Arial"/>
        </w:rPr>
        <w:t>Indian Fashion Retail Market and Sourcing Landscape</w:t>
      </w:r>
      <w:r w:rsidRPr="006D4FDF">
        <w:rPr>
          <w:rFonts w:ascii="Arial" w:hAnsi="Arial" w:cs="Arial"/>
        </w:rPr>
        <w:t>. Gurugram: Technopak Advisors.</w:t>
      </w:r>
    </w:p>
    <w:p w:rsidR="006D4FDF" w:rsidRPr="006D4FDF" w:rsidRDefault="006D4FDF" w:rsidP="006D4FDF">
      <w:pPr>
        <w:pStyle w:val="NormalWeb"/>
        <w:rPr>
          <w:rFonts w:ascii="Arial" w:hAnsi="Arial" w:cs="Arial"/>
        </w:rPr>
      </w:pPr>
      <w:r w:rsidRPr="006D4FDF">
        <w:rPr>
          <w:rFonts w:ascii="Arial" w:hAnsi="Arial" w:cs="Arial"/>
        </w:rPr>
        <w:t xml:space="preserve">UK Government (2024) </w:t>
      </w:r>
      <w:r w:rsidRPr="006D4FDF">
        <w:rPr>
          <w:rStyle w:val="Emphasis"/>
          <w:rFonts w:ascii="Arial" w:hAnsi="Arial" w:cs="Arial"/>
        </w:rPr>
        <w:t>UK–India Trade Relationship: Current Status and FTA Negotiations</w:t>
      </w:r>
      <w:r w:rsidRPr="006D4FDF">
        <w:rPr>
          <w:rFonts w:ascii="Arial" w:hAnsi="Arial" w:cs="Arial"/>
        </w:rPr>
        <w:t>. London: Department for Business and Trade.</w:t>
      </w:r>
    </w:p>
    <w:p w:rsidR="006D4FDF" w:rsidRPr="006D4FDF" w:rsidRDefault="006D4FDF" w:rsidP="006D4FDF">
      <w:pPr>
        <w:pStyle w:val="NormalWeb"/>
        <w:rPr>
          <w:rFonts w:ascii="Arial" w:hAnsi="Arial" w:cs="Arial"/>
        </w:rPr>
      </w:pPr>
      <w:r w:rsidRPr="006D4FDF">
        <w:rPr>
          <w:rFonts w:ascii="Arial" w:hAnsi="Arial" w:cs="Arial"/>
        </w:rPr>
        <w:t xml:space="preserve">World Bank (2024) </w:t>
      </w:r>
      <w:r w:rsidRPr="006D4FDF">
        <w:rPr>
          <w:rStyle w:val="Emphasis"/>
          <w:rFonts w:ascii="Arial" w:hAnsi="Arial" w:cs="Arial"/>
        </w:rPr>
        <w:t>India Development Update: Sustaining Growth amid Global Uncertainty</w:t>
      </w:r>
      <w:r w:rsidRPr="006D4FDF">
        <w:rPr>
          <w:rFonts w:ascii="Arial" w:hAnsi="Arial" w:cs="Arial"/>
        </w:rPr>
        <w:t>. Washington, DC: World Bank Group.</w:t>
      </w:r>
    </w:p>
    <w:p w:rsidR="00857DE3" w:rsidRPr="00F97D3B" w:rsidRDefault="00857DE3" w:rsidP="00F83838">
      <w:pPr>
        <w:rPr>
          <w:rFonts w:ascii="Arial" w:hAnsi="Arial" w:cs="Arial"/>
          <w:sz w:val="24"/>
          <w:szCs w:val="24"/>
        </w:rPr>
      </w:pPr>
    </w:p>
    <w:p w:rsidR="00873C1B" w:rsidRPr="00F97D3B" w:rsidRDefault="00873C1B" w:rsidP="00873C1B">
      <w:pPr>
        <w:pStyle w:val="NormalWeb"/>
        <w:rPr>
          <w:rFonts w:ascii="Arial" w:hAnsi="Arial" w:cs="Arial"/>
        </w:rPr>
      </w:pPr>
    </w:p>
    <w:p w:rsidR="00952D19" w:rsidRPr="00F97D3B" w:rsidRDefault="00952D19" w:rsidP="00952D19">
      <w:pPr>
        <w:rPr>
          <w:rFonts w:ascii="Arial" w:hAnsi="Arial" w:cs="Arial"/>
          <w:sz w:val="24"/>
          <w:szCs w:val="24"/>
          <w:lang w:eastAsia="en-IN" w:bidi="hi-IN"/>
        </w:rPr>
      </w:pPr>
    </w:p>
    <w:p w:rsidR="00A52F73" w:rsidRPr="00F97D3B" w:rsidRDefault="00A52F73" w:rsidP="000D0EA0">
      <w:pPr>
        <w:rPr>
          <w:rFonts w:ascii="Arial" w:hAnsi="Arial" w:cs="Arial"/>
          <w:sz w:val="24"/>
          <w:szCs w:val="24"/>
        </w:rPr>
      </w:pPr>
    </w:p>
    <w:sectPr w:rsidR="00A52F73" w:rsidRPr="00F97D3B" w:rsidSect="00B4669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B58AB"/>
    <w:multiLevelType w:val="hybridMultilevel"/>
    <w:tmpl w:val="B5588F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091ABB"/>
    <w:multiLevelType w:val="multilevel"/>
    <w:tmpl w:val="741CE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04512"/>
    <w:multiLevelType w:val="multilevel"/>
    <w:tmpl w:val="2A986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601F7"/>
    <w:multiLevelType w:val="multilevel"/>
    <w:tmpl w:val="2A2E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94AA3"/>
    <w:multiLevelType w:val="multilevel"/>
    <w:tmpl w:val="07E65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F6B87"/>
    <w:multiLevelType w:val="hybridMultilevel"/>
    <w:tmpl w:val="C94CF8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41009D"/>
    <w:multiLevelType w:val="multilevel"/>
    <w:tmpl w:val="6C883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614C59"/>
    <w:multiLevelType w:val="hybridMultilevel"/>
    <w:tmpl w:val="77C072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707248E"/>
    <w:multiLevelType w:val="hybridMultilevel"/>
    <w:tmpl w:val="2F7AC6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B217248"/>
    <w:multiLevelType w:val="multilevel"/>
    <w:tmpl w:val="2D94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6075A3"/>
    <w:multiLevelType w:val="hybridMultilevel"/>
    <w:tmpl w:val="6EC266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E37E7A"/>
    <w:multiLevelType w:val="multilevel"/>
    <w:tmpl w:val="D8AE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E66592"/>
    <w:multiLevelType w:val="hybridMultilevel"/>
    <w:tmpl w:val="BCD60B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984351B"/>
    <w:multiLevelType w:val="hybridMultilevel"/>
    <w:tmpl w:val="2A36AF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AF868D6"/>
    <w:multiLevelType w:val="multilevel"/>
    <w:tmpl w:val="364A0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C2D99"/>
    <w:multiLevelType w:val="hybridMultilevel"/>
    <w:tmpl w:val="0E9023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2906BA"/>
    <w:multiLevelType w:val="hybridMultilevel"/>
    <w:tmpl w:val="876496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1CD1F81"/>
    <w:multiLevelType w:val="multilevel"/>
    <w:tmpl w:val="C500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5C43C2"/>
    <w:multiLevelType w:val="multilevel"/>
    <w:tmpl w:val="3C587B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6A7F86"/>
    <w:multiLevelType w:val="multilevel"/>
    <w:tmpl w:val="00700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A77BDE"/>
    <w:multiLevelType w:val="multilevel"/>
    <w:tmpl w:val="A17223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9C36E3"/>
    <w:multiLevelType w:val="multilevel"/>
    <w:tmpl w:val="E772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3227AA"/>
    <w:multiLevelType w:val="hybridMultilevel"/>
    <w:tmpl w:val="C1DCC9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A626807"/>
    <w:multiLevelType w:val="hybridMultilevel"/>
    <w:tmpl w:val="3B103E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4836A31"/>
    <w:multiLevelType w:val="multilevel"/>
    <w:tmpl w:val="550A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0C59C5"/>
    <w:multiLevelType w:val="multilevel"/>
    <w:tmpl w:val="2A820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6C3EDC"/>
    <w:multiLevelType w:val="multilevel"/>
    <w:tmpl w:val="9C74B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DB4A73"/>
    <w:multiLevelType w:val="multilevel"/>
    <w:tmpl w:val="BF26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AF3818"/>
    <w:multiLevelType w:val="hybridMultilevel"/>
    <w:tmpl w:val="51A48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0520533"/>
    <w:multiLevelType w:val="hybridMultilevel"/>
    <w:tmpl w:val="4FD899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1AC493E"/>
    <w:multiLevelType w:val="hybridMultilevel"/>
    <w:tmpl w:val="F72CFDB0"/>
    <w:lvl w:ilvl="0" w:tplc="B092655C">
      <w:start w:val="1"/>
      <w:numFmt w:val="decimal"/>
      <w:lvlText w:val="%1."/>
      <w:lvlJc w:val="left"/>
      <w:pPr>
        <w:ind w:left="396" w:hanging="396"/>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1" w15:restartNumberingAfterBreak="0">
    <w:nsid w:val="64A550E2"/>
    <w:multiLevelType w:val="hybridMultilevel"/>
    <w:tmpl w:val="84EA9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CB7B1D"/>
    <w:multiLevelType w:val="multilevel"/>
    <w:tmpl w:val="D4C64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FC288F"/>
    <w:multiLevelType w:val="multilevel"/>
    <w:tmpl w:val="6BFA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9E3D4B"/>
    <w:multiLevelType w:val="multilevel"/>
    <w:tmpl w:val="441AF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93173E"/>
    <w:multiLevelType w:val="multilevel"/>
    <w:tmpl w:val="BAEE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102F66"/>
    <w:multiLevelType w:val="hybridMultilevel"/>
    <w:tmpl w:val="470E72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49D6DD9"/>
    <w:multiLevelType w:val="multilevel"/>
    <w:tmpl w:val="BBD0B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C94456"/>
    <w:multiLevelType w:val="multilevel"/>
    <w:tmpl w:val="CFFA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DE422E"/>
    <w:multiLevelType w:val="hybridMultilevel"/>
    <w:tmpl w:val="531E0B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88C5D2A"/>
    <w:multiLevelType w:val="multilevel"/>
    <w:tmpl w:val="AFA4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36"/>
  </w:num>
  <w:num w:numId="3">
    <w:abstractNumId w:val="20"/>
  </w:num>
  <w:num w:numId="4">
    <w:abstractNumId w:val="18"/>
  </w:num>
  <w:num w:numId="5">
    <w:abstractNumId w:val="6"/>
  </w:num>
  <w:num w:numId="6">
    <w:abstractNumId w:val="2"/>
  </w:num>
  <w:num w:numId="7">
    <w:abstractNumId w:val="3"/>
  </w:num>
  <w:num w:numId="8">
    <w:abstractNumId w:val="9"/>
  </w:num>
  <w:num w:numId="9">
    <w:abstractNumId w:val="40"/>
  </w:num>
  <w:num w:numId="10">
    <w:abstractNumId w:val="22"/>
  </w:num>
  <w:num w:numId="11">
    <w:abstractNumId w:val="15"/>
  </w:num>
  <w:num w:numId="12">
    <w:abstractNumId w:val="13"/>
  </w:num>
  <w:num w:numId="13">
    <w:abstractNumId w:val="7"/>
  </w:num>
  <w:num w:numId="14">
    <w:abstractNumId w:val="11"/>
  </w:num>
  <w:num w:numId="15">
    <w:abstractNumId w:val="32"/>
  </w:num>
  <w:num w:numId="16">
    <w:abstractNumId w:val="34"/>
  </w:num>
  <w:num w:numId="17">
    <w:abstractNumId w:val="27"/>
  </w:num>
  <w:num w:numId="18">
    <w:abstractNumId w:val="1"/>
  </w:num>
  <w:num w:numId="19">
    <w:abstractNumId w:val="17"/>
  </w:num>
  <w:num w:numId="20">
    <w:abstractNumId w:val="14"/>
  </w:num>
  <w:num w:numId="21">
    <w:abstractNumId w:val="26"/>
  </w:num>
  <w:num w:numId="22">
    <w:abstractNumId w:val="24"/>
  </w:num>
  <w:num w:numId="23">
    <w:abstractNumId w:val="35"/>
  </w:num>
  <w:num w:numId="24">
    <w:abstractNumId w:val="37"/>
  </w:num>
  <w:num w:numId="25">
    <w:abstractNumId w:val="19"/>
  </w:num>
  <w:num w:numId="26">
    <w:abstractNumId w:val="21"/>
  </w:num>
  <w:num w:numId="27">
    <w:abstractNumId w:val="4"/>
  </w:num>
  <w:num w:numId="28">
    <w:abstractNumId w:val="33"/>
  </w:num>
  <w:num w:numId="29">
    <w:abstractNumId w:val="38"/>
  </w:num>
  <w:num w:numId="30">
    <w:abstractNumId w:val="28"/>
  </w:num>
  <w:num w:numId="31">
    <w:abstractNumId w:val="39"/>
  </w:num>
  <w:num w:numId="32">
    <w:abstractNumId w:val="10"/>
  </w:num>
  <w:num w:numId="33">
    <w:abstractNumId w:val="8"/>
  </w:num>
  <w:num w:numId="34">
    <w:abstractNumId w:val="0"/>
  </w:num>
  <w:num w:numId="35">
    <w:abstractNumId w:val="29"/>
  </w:num>
  <w:num w:numId="36">
    <w:abstractNumId w:val="5"/>
  </w:num>
  <w:num w:numId="37">
    <w:abstractNumId w:val="23"/>
  </w:num>
  <w:num w:numId="38">
    <w:abstractNumId w:val="16"/>
  </w:num>
  <w:num w:numId="39">
    <w:abstractNumId w:val="31"/>
  </w:num>
  <w:num w:numId="40">
    <w:abstractNumId w:val="12"/>
  </w:num>
  <w:num w:numId="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8B2"/>
    <w:rsid w:val="000C54A1"/>
    <w:rsid w:val="000D0EA0"/>
    <w:rsid w:val="00127FB2"/>
    <w:rsid w:val="00193A0D"/>
    <w:rsid w:val="00235467"/>
    <w:rsid w:val="003C4685"/>
    <w:rsid w:val="00406BFE"/>
    <w:rsid w:val="00410CAE"/>
    <w:rsid w:val="00424B2A"/>
    <w:rsid w:val="00481309"/>
    <w:rsid w:val="00561E0B"/>
    <w:rsid w:val="005666C8"/>
    <w:rsid w:val="00585E5B"/>
    <w:rsid w:val="005B1FD4"/>
    <w:rsid w:val="006D4FDF"/>
    <w:rsid w:val="0079750E"/>
    <w:rsid w:val="007A7AEB"/>
    <w:rsid w:val="00857DE3"/>
    <w:rsid w:val="00873C1B"/>
    <w:rsid w:val="008B18D6"/>
    <w:rsid w:val="00952D19"/>
    <w:rsid w:val="009833AF"/>
    <w:rsid w:val="00A1203C"/>
    <w:rsid w:val="00A50BEA"/>
    <w:rsid w:val="00A52F73"/>
    <w:rsid w:val="00AA1CE9"/>
    <w:rsid w:val="00AE1ECE"/>
    <w:rsid w:val="00B2189C"/>
    <w:rsid w:val="00B4669E"/>
    <w:rsid w:val="00B57A48"/>
    <w:rsid w:val="00B837E6"/>
    <w:rsid w:val="00BA6B7D"/>
    <w:rsid w:val="00C27355"/>
    <w:rsid w:val="00C5067E"/>
    <w:rsid w:val="00CB3DF7"/>
    <w:rsid w:val="00D36134"/>
    <w:rsid w:val="00D448B2"/>
    <w:rsid w:val="00D62004"/>
    <w:rsid w:val="00DA395E"/>
    <w:rsid w:val="00DF3A2C"/>
    <w:rsid w:val="00F1545E"/>
    <w:rsid w:val="00F83838"/>
    <w:rsid w:val="00F86988"/>
    <w:rsid w:val="00F9426D"/>
    <w:rsid w:val="00F97D3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501304-B839-4340-9C13-1FE303793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6BFE"/>
  </w:style>
  <w:style w:type="paragraph" w:styleId="Heading1">
    <w:name w:val="heading 1"/>
    <w:basedOn w:val="Normal"/>
    <w:next w:val="Normal"/>
    <w:link w:val="Heading1Char"/>
    <w:uiPriority w:val="9"/>
    <w:qFormat/>
    <w:rsid w:val="00C50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2D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57DE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BFE"/>
    <w:pPr>
      <w:ind w:left="720"/>
      <w:contextualSpacing/>
    </w:pPr>
  </w:style>
  <w:style w:type="character" w:customStyle="1" w:styleId="Heading1Char">
    <w:name w:val="Heading 1 Char"/>
    <w:basedOn w:val="DefaultParagraphFont"/>
    <w:link w:val="Heading1"/>
    <w:uiPriority w:val="9"/>
    <w:rsid w:val="00C5067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52F73"/>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paragraph" w:styleId="TOCHeading">
    <w:name w:val="TOC Heading"/>
    <w:basedOn w:val="Heading1"/>
    <w:next w:val="Normal"/>
    <w:uiPriority w:val="39"/>
    <w:unhideWhenUsed/>
    <w:qFormat/>
    <w:rsid w:val="00B4669E"/>
    <w:pPr>
      <w:outlineLvl w:val="9"/>
    </w:pPr>
    <w:rPr>
      <w:lang w:val="en-US"/>
    </w:rPr>
  </w:style>
  <w:style w:type="paragraph" w:styleId="TOC2">
    <w:name w:val="toc 2"/>
    <w:basedOn w:val="Normal"/>
    <w:next w:val="Normal"/>
    <w:autoRedefine/>
    <w:uiPriority w:val="39"/>
    <w:unhideWhenUsed/>
    <w:rsid w:val="00B4669E"/>
    <w:pPr>
      <w:spacing w:after="100"/>
      <w:ind w:left="220"/>
    </w:pPr>
  </w:style>
  <w:style w:type="paragraph" w:styleId="TOC1">
    <w:name w:val="toc 1"/>
    <w:basedOn w:val="Normal"/>
    <w:next w:val="Normal"/>
    <w:autoRedefine/>
    <w:uiPriority w:val="39"/>
    <w:unhideWhenUsed/>
    <w:rsid w:val="00B4669E"/>
    <w:pPr>
      <w:spacing w:after="100"/>
    </w:pPr>
  </w:style>
  <w:style w:type="paragraph" w:styleId="TOC3">
    <w:name w:val="toc 3"/>
    <w:basedOn w:val="Normal"/>
    <w:next w:val="Normal"/>
    <w:autoRedefine/>
    <w:uiPriority w:val="39"/>
    <w:unhideWhenUsed/>
    <w:rsid w:val="00B4669E"/>
    <w:pPr>
      <w:spacing w:after="100"/>
      <w:ind w:left="440"/>
    </w:pPr>
  </w:style>
  <w:style w:type="character" w:styleId="Hyperlink">
    <w:name w:val="Hyperlink"/>
    <w:basedOn w:val="DefaultParagraphFont"/>
    <w:uiPriority w:val="99"/>
    <w:unhideWhenUsed/>
    <w:rsid w:val="00B4669E"/>
    <w:rPr>
      <w:color w:val="0563C1" w:themeColor="hyperlink"/>
      <w:u w:val="single"/>
    </w:rPr>
  </w:style>
  <w:style w:type="paragraph" w:styleId="Caption">
    <w:name w:val="caption"/>
    <w:basedOn w:val="Normal"/>
    <w:next w:val="Normal"/>
    <w:uiPriority w:val="35"/>
    <w:unhideWhenUsed/>
    <w:qFormat/>
    <w:rsid w:val="00B4669E"/>
    <w:pPr>
      <w:spacing w:after="200" w:line="240" w:lineRule="auto"/>
    </w:pPr>
    <w:rPr>
      <w:i/>
      <w:iCs/>
      <w:color w:val="44546A" w:themeColor="text2"/>
      <w:sz w:val="18"/>
      <w:szCs w:val="18"/>
    </w:rPr>
  </w:style>
  <w:style w:type="character" w:styleId="Strong">
    <w:name w:val="Strong"/>
    <w:basedOn w:val="DefaultParagraphFont"/>
    <w:uiPriority w:val="22"/>
    <w:qFormat/>
    <w:rsid w:val="00B4669E"/>
    <w:rPr>
      <w:b/>
      <w:bCs/>
    </w:rPr>
  </w:style>
  <w:style w:type="character" w:customStyle="1" w:styleId="whitespace-normal">
    <w:name w:val="whitespace-normal"/>
    <w:basedOn w:val="DefaultParagraphFont"/>
    <w:rsid w:val="00B4669E"/>
  </w:style>
  <w:style w:type="character" w:styleId="Emphasis">
    <w:name w:val="Emphasis"/>
    <w:basedOn w:val="DefaultParagraphFont"/>
    <w:uiPriority w:val="20"/>
    <w:qFormat/>
    <w:rsid w:val="00B4669E"/>
    <w:rPr>
      <w:i/>
      <w:iCs/>
    </w:rPr>
  </w:style>
  <w:style w:type="character" w:customStyle="1" w:styleId="Heading2Char">
    <w:name w:val="Heading 2 Char"/>
    <w:basedOn w:val="DefaultParagraphFont"/>
    <w:link w:val="Heading2"/>
    <w:uiPriority w:val="9"/>
    <w:rsid w:val="00B466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2D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57DE3"/>
    <w:rPr>
      <w:rFonts w:asciiTheme="majorHAnsi" w:eastAsiaTheme="majorEastAsia" w:hAnsiTheme="majorHAnsi" w:cstheme="majorBidi"/>
      <w:i/>
      <w:iCs/>
      <w:color w:val="2F5496" w:themeColor="accent1" w:themeShade="BF"/>
    </w:rPr>
  </w:style>
  <w:style w:type="paragraph" w:customStyle="1" w:styleId="font-claude-response-body">
    <w:name w:val="font-claude-response-body"/>
    <w:basedOn w:val="Normal"/>
    <w:rsid w:val="00B2189C"/>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styleId="FollowedHyperlink">
    <w:name w:val="FollowedHyperlink"/>
    <w:basedOn w:val="DefaultParagraphFont"/>
    <w:uiPriority w:val="99"/>
    <w:semiHidden/>
    <w:unhideWhenUsed/>
    <w:rsid w:val="00F97D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7433">
      <w:bodyDiv w:val="1"/>
      <w:marLeft w:val="0"/>
      <w:marRight w:val="0"/>
      <w:marTop w:val="0"/>
      <w:marBottom w:val="0"/>
      <w:divBdr>
        <w:top w:val="none" w:sz="0" w:space="0" w:color="auto"/>
        <w:left w:val="none" w:sz="0" w:space="0" w:color="auto"/>
        <w:bottom w:val="none" w:sz="0" w:space="0" w:color="auto"/>
        <w:right w:val="none" w:sz="0" w:space="0" w:color="auto"/>
      </w:divBdr>
      <w:divsChild>
        <w:div w:id="1280530520">
          <w:marLeft w:val="0"/>
          <w:marRight w:val="0"/>
          <w:marTop w:val="0"/>
          <w:marBottom w:val="0"/>
          <w:divBdr>
            <w:top w:val="none" w:sz="0" w:space="0" w:color="auto"/>
            <w:left w:val="none" w:sz="0" w:space="0" w:color="auto"/>
            <w:bottom w:val="none" w:sz="0" w:space="0" w:color="auto"/>
            <w:right w:val="none" w:sz="0" w:space="0" w:color="auto"/>
          </w:divBdr>
          <w:divsChild>
            <w:div w:id="1433546343">
              <w:marLeft w:val="0"/>
              <w:marRight w:val="0"/>
              <w:marTop w:val="0"/>
              <w:marBottom w:val="0"/>
              <w:divBdr>
                <w:top w:val="none" w:sz="0" w:space="0" w:color="auto"/>
                <w:left w:val="none" w:sz="0" w:space="0" w:color="auto"/>
                <w:bottom w:val="none" w:sz="0" w:space="0" w:color="auto"/>
                <w:right w:val="none" w:sz="0" w:space="0" w:color="auto"/>
              </w:divBdr>
            </w:div>
          </w:divsChild>
        </w:div>
        <w:div w:id="1819566811">
          <w:marLeft w:val="0"/>
          <w:marRight w:val="0"/>
          <w:marTop w:val="0"/>
          <w:marBottom w:val="0"/>
          <w:divBdr>
            <w:top w:val="single" w:sz="6" w:space="9" w:color="D1D1D1"/>
            <w:left w:val="none" w:sz="0" w:space="0" w:color="auto"/>
            <w:bottom w:val="none" w:sz="0" w:space="0" w:color="auto"/>
            <w:right w:val="none" w:sz="0" w:space="0" w:color="auto"/>
          </w:divBdr>
          <w:divsChild>
            <w:div w:id="842547261">
              <w:marLeft w:val="0"/>
              <w:marRight w:val="0"/>
              <w:marTop w:val="0"/>
              <w:marBottom w:val="0"/>
              <w:divBdr>
                <w:top w:val="none" w:sz="0" w:space="0" w:color="auto"/>
                <w:left w:val="none" w:sz="0" w:space="0" w:color="auto"/>
                <w:bottom w:val="none" w:sz="0" w:space="0" w:color="auto"/>
                <w:right w:val="none" w:sz="0" w:space="0" w:color="auto"/>
              </w:divBdr>
              <w:divsChild>
                <w:div w:id="1339773709">
                  <w:marLeft w:val="0"/>
                  <w:marRight w:val="0"/>
                  <w:marTop w:val="0"/>
                  <w:marBottom w:val="0"/>
                  <w:divBdr>
                    <w:top w:val="none" w:sz="0" w:space="0" w:color="auto"/>
                    <w:left w:val="none" w:sz="0" w:space="0" w:color="auto"/>
                    <w:bottom w:val="none" w:sz="0" w:space="0" w:color="auto"/>
                    <w:right w:val="none" w:sz="0" w:space="0" w:color="auto"/>
                  </w:divBdr>
                  <w:divsChild>
                    <w:div w:id="1204441873">
                      <w:marLeft w:val="0"/>
                      <w:marRight w:val="0"/>
                      <w:marTop w:val="0"/>
                      <w:marBottom w:val="0"/>
                      <w:divBdr>
                        <w:top w:val="none" w:sz="0" w:space="0" w:color="auto"/>
                        <w:left w:val="none" w:sz="0" w:space="0" w:color="auto"/>
                        <w:bottom w:val="none" w:sz="0" w:space="0" w:color="auto"/>
                        <w:right w:val="none" w:sz="0" w:space="0" w:color="auto"/>
                      </w:divBdr>
                      <w:divsChild>
                        <w:div w:id="322973447">
                          <w:marLeft w:val="0"/>
                          <w:marRight w:val="0"/>
                          <w:marTop w:val="0"/>
                          <w:marBottom w:val="0"/>
                          <w:divBdr>
                            <w:top w:val="none" w:sz="0" w:space="0" w:color="auto"/>
                            <w:left w:val="none" w:sz="0" w:space="0" w:color="auto"/>
                            <w:bottom w:val="none" w:sz="0" w:space="0" w:color="auto"/>
                            <w:right w:val="none" w:sz="0" w:space="0" w:color="auto"/>
                          </w:divBdr>
                          <w:divsChild>
                            <w:div w:id="95159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12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60659">
      <w:bodyDiv w:val="1"/>
      <w:marLeft w:val="0"/>
      <w:marRight w:val="0"/>
      <w:marTop w:val="0"/>
      <w:marBottom w:val="0"/>
      <w:divBdr>
        <w:top w:val="none" w:sz="0" w:space="0" w:color="auto"/>
        <w:left w:val="none" w:sz="0" w:space="0" w:color="auto"/>
        <w:bottom w:val="none" w:sz="0" w:space="0" w:color="auto"/>
        <w:right w:val="none" w:sz="0" w:space="0" w:color="auto"/>
      </w:divBdr>
    </w:div>
    <w:div w:id="45644749">
      <w:bodyDiv w:val="1"/>
      <w:marLeft w:val="0"/>
      <w:marRight w:val="0"/>
      <w:marTop w:val="0"/>
      <w:marBottom w:val="0"/>
      <w:divBdr>
        <w:top w:val="none" w:sz="0" w:space="0" w:color="auto"/>
        <w:left w:val="none" w:sz="0" w:space="0" w:color="auto"/>
        <w:bottom w:val="none" w:sz="0" w:space="0" w:color="auto"/>
        <w:right w:val="none" w:sz="0" w:space="0" w:color="auto"/>
      </w:divBdr>
    </w:div>
    <w:div w:id="65733762">
      <w:bodyDiv w:val="1"/>
      <w:marLeft w:val="0"/>
      <w:marRight w:val="0"/>
      <w:marTop w:val="0"/>
      <w:marBottom w:val="0"/>
      <w:divBdr>
        <w:top w:val="none" w:sz="0" w:space="0" w:color="auto"/>
        <w:left w:val="none" w:sz="0" w:space="0" w:color="auto"/>
        <w:bottom w:val="none" w:sz="0" w:space="0" w:color="auto"/>
        <w:right w:val="none" w:sz="0" w:space="0" w:color="auto"/>
      </w:divBdr>
    </w:div>
    <w:div w:id="139426568">
      <w:bodyDiv w:val="1"/>
      <w:marLeft w:val="0"/>
      <w:marRight w:val="0"/>
      <w:marTop w:val="0"/>
      <w:marBottom w:val="0"/>
      <w:divBdr>
        <w:top w:val="none" w:sz="0" w:space="0" w:color="auto"/>
        <w:left w:val="none" w:sz="0" w:space="0" w:color="auto"/>
        <w:bottom w:val="none" w:sz="0" w:space="0" w:color="auto"/>
        <w:right w:val="none" w:sz="0" w:space="0" w:color="auto"/>
      </w:divBdr>
    </w:div>
    <w:div w:id="305474232">
      <w:bodyDiv w:val="1"/>
      <w:marLeft w:val="0"/>
      <w:marRight w:val="0"/>
      <w:marTop w:val="0"/>
      <w:marBottom w:val="0"/>
      <w:divBdr>
        <w:top w:val="none" w:sz="0" w:space="0" w:color="auto"/>
        <w:left w:val="none" w:sz="0" w:space="0" w:color="auto"/>
        <w:bottom w:val="none" w:sz="0" w:space="0" w:color="auto"/>
        <w:right w:val="none" w:sz="0" w:space="0" w:color="auto"/>
      </w:divBdr>
    </w:div>
    <w:div w:id="404769596">
      <w:bodyDiv w:val="1"/>
      <w:marLeft w:val="0"/>
      <w:marRight w:val="0"/>
      <w:marTop w:val="0"/>
      <w:marBottom w:val="0"/>
      <w:divBdr>
        <w:top w:val="none" w:sz="0" w:space="0" w:color="auto"/>
        <w:left w:val="none" w:sz="0" w:space="0" w:color="auto"/>
        <w:bottom w:val="none" w:sz="0" w:space="0" w:color="auto"/>
        <w:right w:val="none" w:sz="0" w:space="0" w:color="auto"/>
      </w:divBdr>
    </w:div>
    <w:div w:id="450126049">
      <w:bodyDiv w:val="1"/>
      <w:marLeft w:val="0"/>
      <w:marRight w:val="0"/>
      <w:marTop w:val="0"/>
      <w:marBottom w:val="0"/>
      <w:divBdr>
        <w:top w:val="none" w:sz="0" w:space="0" w:color="auto"/>
        <w:left w:val="none" w:sz="0" w:space="0" w:color="auto"/>
        <w:bottom w:val="none" w:sz="0" w:space="0" w:color="auto"/>
        <w:right w:val="none" w:sz="0" w:space="0" w:color="auto"/>
      </w:divBdr>
    </w:div>
    <w:div w:id="499122645">
      <w:bodyDiv w:val="1"/>
      <w:marLeft w:val="0"/>
      <w:marRight w:val="0"/>
      <w:marTop w:val="0"/>
      <w:marBottom w:val="0"/>
      <w:divBdr>
        <w:top w:val="none" w:sz="0" w:space="0" w:color="auto"/>
        <w:left w:val="none" w:sz="0" w:space="0" w:color="auto"/>
        <w:bottom w:val="none" w:sz="0" w:space="0" w:color="auto"/>
        <w:right w:val="none" w:sz="0" w:space="0" w:color="auto"/>
      </w:divBdr>
    </w:div>
    <w:div w:id="499858311">
      <w:bodyDiv w:val="1"/>
      <w:marLeft w:val="0"/>
      <w:marRight w:val="0"/>
      <w:marTop w:val="0"/>
      <w:marBottom w:val="0"/>
      <w:divBdr>
        <w:top w:val="none" w:sz="0" w:space="0" w:color="auto"/>
        <w:left w:val="none" w:sz="0" w:space="0" w:color="auto"/>
        <w:bottom w:val="none" w:sz="0" w:space="0" w:color="auto"/>
        <w:right w:val="none" w:sz="0" w:space="0" w:color="auto"/>
      </w:divBdr>
    </w:div>
    <w:div w:id="509414994">
      <w:bodyDiv w:val="1"/>
      <w:marLeft w:val="0"/>
      <w:marRight w:val="0"/>
      <w:marTop w:val="0"/>
      <w:marBottom w:val="0"/>
      <w:divBdr>
        <w:top w:val="none" w:sz="0" w:space="0" w:color="auto"/>
        <w:left w:val="none" w:sz="0" w:space="0" w:color="auto"/>
        <w:bottom w:val="none" w:sz="0" w:space="0" w:color="auto"/>
        <w:right w:val="none" w:sz="0" w:space="0" w:color="auto"/>
      </w:divBdr>
    </w:div>
    <w:div w:id="539240934">
      <w:bodyDiv w:val="1"/>
      <w:marLeft w:val="0"/>
      <w:marRight w:val="0"/>
      <w:marTop w:val="0"/>
      <w:marBottom w:val="0"/>
      <w:divBdr>
        <w:top w:val="none" w:sz="0" w:space="0" w:color="auto"/>
        <w:left w:val="none" w:sz="0" w:space="0" w:color="auto"/>
        <w:bottom w:val="none" w:sz="0" w:space="0" w:color="auto"/>
        <w:right w:val="none" w:sz="0" w:space="0" w:color="auto"/>
      </w:divBdr>
    </w:div>
    <w:div w:id="586184770">
      <w:bodyDiv w:val="1"/>
      <w:marLeft w:val="0"/>
      <w:marRight w:val="0"/>
      <w:marTop w:val="0"/>
      <w:marBottom w:val="0"/>
      <w:divBdr>
        <w:top w:val="none" w:sz="0" w:space="0" w:color="auto"/>
        <w:left w:val="none" w:sz="0" w:space="0" w:color="auto"/>
        <w:bottom w:val="none" w:sz="0" w:space="0" w:color="auto"/>
        <w:right w:val="none" w:sz="0" w:space="0" w:color="auto"/>
      </w:divBdr>
    </w:div>
    <w:div w:id="598298776">
      <w:bodyDiv w:val="1"/>
      <w:marLeft w:val="0"/>
      <w:marRight w:val="0"/>
      <w:marTop w:val="0"/>
      <w:marBottom w:val="0"/>
      <w:divBdr>
        <w:top w:val="none" w:sz="0" w:space="0" w:color="auto"/>
        <w:left w:val="none" w:sz="0" w:space="0" w:color="auto"/>
        <w:bottom w:val="none" w:sz="0" w:space="0" w:color="auto"/>
        <w:right w:val="none" w:sz="0" w:space="0" w:color="auto"/>
      </w:divBdr>
    </w:div>
    <w:div w:id="689449544">
      <w:bodyDiv w:val="1"/>
      <w:marLeft w:val="0"/>
      <w:marRight w:val="0"/>
      <w:marTop w:val="0"/>
      <w:marBottom w:val="0"/>
      <w:divBdr>
        <w:top w:val="none" w:sz="0" w:space="0" w:color="auto"/>
        <w:left w:val="none" w:sz="0" w:space="0" w:color="auto"/>
        <w:bottom w:val="none" w:sz="0" w:space="0" w:color="auto"/>
        <w:right w:val="none" w:sz="0" w:space="0" w:color="auto"/>
      </w:divBdr>
    </w:div>
    <w:div w:id="702906102">
      <w:bodyDiv w:val="1"/>
      <w:marLeft w:val="0"/>
      <w:marRight w:val="0"/>
      <w:marTop w:val="0"/>
      <w:marBottom w:val="0"/>
      <w:divBdr>
        <w:top w:val="none" w:sz="0" w:space="0" w:color="auto"/>
        <w:left w:val="none" w:sz="0" w:space="0" w:color="auto"/>
        <w:bottom w:val="none" w:sz="0" w:space="0" w:color="auto"/>
        <w:right w:val="none" w:sz="0" w:space="0" w:color="auto"/>
      </w:divBdr>
    </w:div>
    <w:div w:id="769393403">
      <w:bodyDiv w:val="1"/>
      <w:marLeft w:val="0"/>
      <w:marRight w:val="0"/>
      <w:marTop w:val="0"/>
      <w:marBottom w:val="0"/>
      <w:divBdr>
        <w:top w:val="none" w:sz="0" w:space="0" w:color="auto"/>
        <w:left w:val="none" w:sz="0" w:space="0" w:color="auto"/>
        <w:bottom w:val="none" w:sz="0" w:space="0" w:color="auto"/>
        <w:right w:val="none" w:sz="0" w:space="0" w:color="auto"/>
      </w:divBdr>
    </w:div>
    <w:div w:id="896664823">
      <w:bodyDiv w:val="1"/>
      <w:marLeft w:val="0"/>
      <w:marRight w:val="0"/>
      <w:marTop w:val="0"/>
      <w:marBottom w:val="0"/>
      <w:divBdr>
        <w:top w:val="none" w:sz="0" w:space="0" w:color="auto"/>
        <w:left w:val="none" w:sz="0" w:space="0" w:color="auto"/>
        <w:bottom w:val="none" w:sz="0" w:space="0" w:color="auto"/>
        <w:right w:val="none" w:sz="0" w:space="0" w:color="auto"/>
      </w:divBdr>
    </w:div>
    <w:div w:id="978847460">
      <w:bodyDiv w:val="1"/>
      <w:marLeft w:val="0"/>
      <w:marRight w:val="0"/>
      <w:marTop w:val="0"/>
      <w:marBottom w:val="0"/>
      <w:divBdr>
        <w:top w:val="none" w:sz="0" w:space="0" w:color="auto"/>
        <w:left w:val="none" w:sz="0" w:space="0" w:color="auto"/>
        <w:bottom w:val="none" w:sz="0" w:space="0" w:color="auto"/>
        <w:right w:val="none" w:sz="0" w:space="0" w:color="auto"/>
      </w:divBdr>
    </w:div>
    <w:div w:id="1111974231">
      <w:bodyDiv w:val="1"/>
      <w:marLeft w:val="0"/>
      <w:marRight w:val="0"/>
      <w:marTop w:val="0"/>
      <w:marBottom w:val="0"/>
      <w:divBdr>
        <w:top w:val="none" w:sz="0" w:space="0" w:color="auto"/>
        <w:left w:val="none" w:sz="0" w:space="0" w:color="auto"/>
        <w:bottom w:val="none" w:sz="0" w:space="0" w:color="auto"/>
        <w:right w:val="none" w:sz="0" w:space="0" w:color="auto"/>
      </w:divBdr>
    </w:div>
    <w:div w:id="1309170855">
      <w:bodyDiv w:val="1"/>
      <w:marLeft w:val="0"/>
      <w:marRight w:val="0"/>
      <w:marTop w:val="0"/>
      <w:marBottom w:val="0"/>
      <w:divBdr>
        <w:top w:val="none" w:sz="0" w:space="0" w:color="auto"/>
        <w:left w:val="none" w:sz="0" w:space="0" w:color="auto"/>
        <w:bottom w:val="none" w:sz="0" w:space="0" w:color="auto"/>
        <w:right w:val="none" w:sz="0" w:space="0" w:color="auto"/>
      </w:divBdr>
    </w:div>
    <w:div w:id="1480070519">
      <w:bodyDiv w:val="1"/>
      <w:marLeft w:val="0"/>
      <w:marRight w:val="0"/>
      <w:marTop w:val="0"/>
      <w:marBottom w:val="0"/>
      <w:divBdr>
        <w:top w:val="none" w:sz="0" w:space="0" w:color="auto"/>
        <w:left w:val="none" w:sz="0" w:space="0" w:color="auto"/>
        <w:bottom w:val="none" w:sz="0" w:space="0" w:color="auto"/>
        <w:right w:val="none" w:sz="0" w:space="0" w:color="auto"/>
      </w:divBdr>
    </w:div>
    <w:div w:id="1526559494">
      <w:bodyDiv w:val="1"/>
      <w:marLeft w:val="0"/>
      <w:marRight w:val="0"/>
      <w:marTop w:val="0"/>
      <w:marBottom w:val="0"/>
      <w:divBdr>
        <w:top w:val="none" w:sz="0" w:space="0" w:color="auto"/>
        <w:left w:val="none" w:sz="0" w:space="0" w:color="auto"/>
        <w:bottom w:val="none" w:sz="0" w:space="0" w:color="auto"/>
        <w:right w:val="none" w:sz="0" w:space="0" w:color="auto"/>
      </w:divBdr>
    </w:div>
    <w:div w:id="1578905914">
      <w:bodyDiv w:val="1"/>
      <w:marLeft w:val="0"/>
      <w:marRight w:val="0"/>
      <w:marTop w:val="0"/>
      <w:marBottom w:val="0"/>
      <w:divBdr>
        <w:top w:val="none" w:sz="0" w:space="0" w:color="auto"/>
        <w:left w:val="none" w:sz="0" w:space="0" w:color="auto"/>
        <w:bottom w:val="none" w:sz="0" w:space="0" w:color="auto"/>
        <w:right w:val="none" w:sz="0" w:space="0" w:color="auto"/>
      </w:divBdr>
    </w:div>
    <w:div w:id="1725524502">
      <w:bodyDiv w:val="1"/>
      <w:marLeft w:val="0"/>
      <w:marRight w:val="0"/>
      <w:marTop w:val="0"/>
      <w:marBottom w:val="0"/>
      <w:divBdr>
        <w:top w:val="none" w:sz="0" w:space="0" w:color="auto"/>
        <w:left w:val="none" w:sz="0" w:space="0" w:color="auto"/>
        <w:bottom w:val="none" w:sz="0" w:space="0" w:color="auto"/>
        <w:right w:val="none" w:sz="0" w:space="0" w:color="auto"/>
      </w:divBdr>
    </w:div>
    <w:div w:id="1792822539">
      <w:bodyDiv w:val="1"/>
      <w:marLeft w:val="0"/>
      <w:marRight w:val="0"/>
      <w:marTop w:val="0"/>
      <w:marBottom w:val="0"/>
      <w:divBdr>
        <w:top w:val="none" w:sz="0" w:space="0" w:color="auto"/>
        <w:left w:val="none" w:sz="0" w:space="0" w:color="auto"/>
        <w:bottom w:val="none" w:sz="0" w:space="0" w:color="auto"/>
        <w:right w:val="none" w:sz="0" w:space="0" w:color="auto"/>
      </w:divBdr>
    </w:div>
    <w:div w:id="1831821537">
      <w:bodyDiv w:val="1"/>
      <w:marLeft w:val="0"/>
      <w:marRight w:val="0"/>
      <w:marTop w:val="0"/>
      <w:marBottom w:val="0"/>
      <w:divBdr>
        <w:top w:val="none" w:sz="0" w:space="0" w:color="auto"/>
        <w:left w:val="none" w:sz="0" w:space="0" w:color="auto"/>
        <w:bottom w:val="none" w:sz="0" w:space="0" w:color="auto"/>
        <w:right w:val="none" w:sz="0" w:space="0" w:color="auto"/>
      </w:divBdr>
    </w:div>
    <w:div w:id="1841652695">
      <w:bodyDiv w:val="1"/>
      <w:marLeft w:val="0"/>
      <w:marRight w:val="0"/>
      <w:marTop w:val="0"/>
      <w:marBottom w:val="0"/>
      <w:divBdr>
        <w:top w:val="none" w:sz="0" w:space="0" w:color="auto"/>
        <w:left w:val="none" w:sz="0" w:space="0" w:color="auto"/>
        <w:bottom w:val="none" w:sz="0" w:space="0" w:color="auto"/>
        <w:right w:val="none" w:sz="0" w:space="0" w:color="auto"/>
      </w:divBdr>
    </w:div>
    <w:div w:id="195540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primark.com/en-gb/primark-cares" TargetMode="Externa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8786-2FAA-4CAE-BA0F-87641543A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7256</Words>
  <Characters>41363</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cp:revision>
  <dcterms:created xsi:type="dcterms:W3CDTF">2025-12-22T00:10:00Z</dcterms:created>
  <dcterms:modified xsi:type="dcterms:W3CDTF">2025-12-22T00:25:00Z</dcterms:modified>
</cp:coreProperties>
</file>