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1AE8A" w14:textId="77777777" w:rsidR="0064068B" w:rsidRDefault="0064068B" w:rsidP="0064068B">
      <w:r>
        <w:rPr>
          <w:noProof/>
        </w:rPr>
        <w:drawing>
          <wp:inline distT="0" distB="0" distL="0" distR="0" wp14:anchorId="6C8D05C8" wp14:editId="7923B70C">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4A1B222" w14:textId="77777777" w:rsidR="0064068B" w:rsidRPr="00A47621" w:rsidRDefault="0064068B" w:rsidP="0064068B">
      <w:pPr>
        <w:rPr>
          <w:rFonts w:ascii="Times New Roman" w:hAnsi="Times New Roman" w:cs="Times New Roman"/>
          <w:sz w:val="24"/>
          <w:szCs w:val="24"/>
        </w:rPr>
      </w:pPr>
    </w:p>
    <w:p w14:paraId="5A3B9F90" w14:textId="77777777" w:rsidR="0064068B" w:rsidRPr="00F927A1" w:rsidRDefault="0064068B" w:rsidP="0064068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3C652FA7" w14:textId="77777777" w:rsidR="0064068B" w:rsidRPr="00DC2924" w:rsidRDefault="0064068B" w:rsidP="0064068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10E1F96E" w14:textId="77777777" w:rsidR="0064068B" w:rsidRPr="0085230E" w:rsidRDefault="0064068B" w:rsidP="0064068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82AA9AE" w14:textId="77777777" w:rsidR="0064068B" w:rsidRDefault="0064068B" w:rsidP="0064068B">
      <w:pPr>
        <w:overflowPunct/>
        <w:autoSpaceDE/>
        <w:autoSpaceDN/>
        <w:adjustRightInd/>
        <w:ind w:right="-957"/>
        <w:textAlignment w:val="auto"/>
        <w:rPr>
          <w:rFonts w:ascii="Times New Roman" w:hAnsi="Times New Roman" w:cs="Times New Roman"/>
          <w:b/>
          <w:color w:val="auto"/>
          <w:sz w:val="48"/>
        </w:rPr>
      </w:pPr>
    </w:p>
    <w:p w14:paraId="27BC654F" w14:textId="77777777" w:rsidR="0064068B" w:rsidRPr="00FE5F90" w:rsidRDefault="0064068B" w:rsidP="0064068B">
      <w:pPr>
        <w:overflowPunct/>
        <w:autoSpaceDE/>
        <w:autoSpaceDN/>
        <w:adjustRightInd/>
        <w:ind w:right="-957"/>
        <w:textAlignment w:val="auto"/>
        <w:rPr>
          <w:rFonts w:ascii="Times New Roman" w:hAnsi="Times New Roman" w:cs="Times New Roman"/>
          <w:b/>
          <w:color w:val="auto"/>
          <w:sz w:val="18"/>
          <w:szCs w:val="2"/>
        </w:rPr>
      </w:pPr>
    </w:p>
    <w:p w14:paraId="01874D29" w14:textId="77777777" w:rsidR="0064068B" w:rsidRPr="00F927A1" w:rsidRDefault="0064068B" w:rsidP="0064068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3EA7DFFB" w14:textId="77777777" w:rsidR="0064068B" w:rsidRPr="00706BB5" w:rsidRDefault="0064068B" w:rsidP="0064068B">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494881F7" w14:textId="77777777" w:rsidR="0064068B" w:rsidRPr="00FE5F90" w:rsidRDefault="0064068B" w:rsidP="0064068B">
      <w:pPr>
        <w:overflowPunct/>
        <w:autoSpaceDE/>
        <w:autoSpaceDN/>
        <w:adjustRightInd/>
        <w:ind w:right="-957"/>
        <w:textAlignment w:val="auto"/>
        <w:rPr>
          <w:rFonts w:ascii="Times New Roman" w:hAnsi="Times New Roman" w:cs="Times New Roman"/>
          <w:b/>
          <w:color w:val="auto"/>
          <w:sz w:val="14"/>
          <w:szCs w:val="2"/>
        </w:rPr>
      </w:pPr>
    </w:p>
    <w:p w14:paraId="7DAEC79B" w14:textId="77777777" w:rsidR="0064068B" w:rsidRPr="00F927A1" w:rsidRDefault="0064068B" w:rsidP="0064068B">
      <w:pPr>
        <w:overflowPunct/>
        <w:autoSpaceDE/>
        <w:autoSpaceDN/>
        <w:adjustRightInd/>
        <w:ind w:right="-957"/>
        <w:textAlignment w:val="auto"/>
        <w:rPr>
          <w:rFonts w:ascii="Times New Roman" w:hAnsi="Times New Roman" w:cs="Times New Roman"/>
          <w:b/>
          <w:color w:val="auto"/>
          <w:sz w:val="48"/>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64068B" w:rsidRPr="005D3F07" w14:paraId="0DFCE5CB" w14:textId="77777777" w:rsidTr="0064068B">
        <w:tc>
          <w:tcPr>
            <w:tcW w:w="9634" w:type="dxa"/>
            <w:shd w:val="clear" w:color="auto" w:fill="auto"/>
          </w:tcPr>
          <w:p w14:paraId="352C6E36" w14:textId="77777777" w:rsidR="0064068B" w:rsidRDefault="0064068B" w:rsidP="001F417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p>
          <w:p w14:paraId="048CCC7C" w14:textId="77777777" w:rsidR="0064068B" w:rsidRDefault="0064068B" w:rsidP="001F4176">
            <w:pPr>
              <w:overflowPunct/>
              <w:autoSpaceDE/>
              <w:autoSpaceDN/>
              <w:adjustRightInd/>
              <w:ind w:right="-957"/>
              <w:textAlignment w:val="auto"/>
              <w:rPr>
                <w:rFonts w:ascii="Times New Roman" w:hAnsi="Times New Roman" w:cs="Times New Roman"/>
                <w:b/>
                <w:color w:val="auto"/>
                <w:sz w:val="48"/>
              </w:rPr>
            </w:pPr>
          </w:p>
          <w:p w14:paraId="288D73BC" w14:textId="77777777" w:rsidR="0064068B" w:rsidRDefault="0064068B" w:rsidP="001F417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Sioned Williams</w:t>
            </w:r>
          </w:p>
          <w:p w14:paraId="559DC019" w14:textId="77777777" w:rsidR="0064068B" w:rsidRDefault="0064068B" w:rsidP="001F4176">
            <w:pPr>
              <w:overflowPunct/>
              <w:autoSpaceDE/>
              <w:autoSpaceDN/>
              <w:adjustRightInd/>
              <w:ind w:right="-957"/>
              <w:textAlignment w:val="auto"/>
              <w:rPr>
                <w:rFonts w:ascii="Times New Roman" w:hAnsi="Times New Roman" w:cs="Times New Roman"/>
                <w:b/>
                <w:color w:val="auto"/>
                <w:sz w:val="48"/>
              </w:rPr>
            </w:pPr>
          </w:p>
          <w:p w14:paraId="1FDF5FE4" w14:textId="77777777" w:rsidR="0064068B" w:rsidRDefault="0064068B" w:rsidP="001F417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576E7B61" w14:textId="77777777" w:rsidR="0064068B" w:rsidRDefault="0064068B" w:rsidP="001F4176">
            <w:pPr>
              <w:overflowPunct/>
              <w:autoSpaceDE/>
              <w:autoSpaceDN/>
              <w:adjustRightInd/>
              <w:ind w:right="-957"/>
              <w:textAlignment w:val="auto"/>
              <w:rPr>
                <w:rFonts w:ascii="Times New Roman" w:hAnsi="Times New Roman" w:cs="Times New Roman"/>
                <w:b/>
                <w:color w:val="auto"/>
                <w:sz w:val="48"/>
              </w:rPr>
            </w:pPr>
          </w:p>
          <w:p w14:paraId="44801201" w14:textId="77777777" w:rsidR="0064068B" w:rsidRPr="005D3F07" w:rsidRDefault="0064068B" w:rsidP="001F4176">
            <w:pPr>
              <w:overflowPunct/>
              <w:autoSpaceDE/>
              <w:autoSpaceDN/>
              <w:adjustRightInd/>
              <w:ind w:right="-957"/>
              <w:textAlignment w:val="auto"/>
              <w:rPr>
                <w:rFonts w:ascii="Times New Roman" w:hAnsi="Times New Roman" w:cs="Times New Roman"/>
                <w:b/>
                <w:color w:val="auto"/>
                <w:sz w:val="48"/>
              </w:rPr>
            </w:pPr>
            <w:r w:rsidRPr="00610A8B">
              <w:rPr>
                <w:rFonts w:ascii="Times New Roman" w:hAnsi="Times New Roman" w:cs="Times New Roman"/>
                <w:b/>
                <w:color w:val="auto"/>
                <w:sz w:val="48"/>
              </w:rPr>
              <w:t>2127455</w:t>
            </w:r>
          </w:p>
          <w:p w14:paraId="003F7B12" w14:textId="77777777" w:rsidR="0064068B" w:rsidRPr="005D3F07" w:rsidRDefault="0064068B" w:rsidP="001F4176">
            <w:pPr>
              <w:overflowPunct/>
              <w:autoSpaceDE/>
              <w:autoSpaceDN/>
              <w:adjustRightInd/>
              <w:ind w:right="-957"/>
              <w:textAlignment w:val="auto"/>
              <w:rPr>
                <w:rFonts w:ascii="Times New Roman" w:hAnsi="Times New Roman" w:cs="Times New Roman"/>
                <w:b/>
                <w:color w:val="auto"/>
                <w:sz w:val="48"/>
              </w:rPr>
            </w:pPr>
          </w:p>
          <w:p w14:paraId="1E6118B0" w14:textId="77777777" w:rsidR="0064068B" w:rsidRPr="005D3F07" w:rsidRDefault="0064068B" w:rsidP="001F417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Pr>
                <w:rFonts w:ascii="Times New Roman" w:hAnsi="Times New Roman" w:cs="Times New Roman"/>
                <w:b/>
                <w:color w:val="auto"/>
                <w:sz w:val="48"/>
              </w:rPr>
              <w:t xml:space="preserve"> onwards</w:t>
            </w:r>
          </w:p>
        </w:tc>
      </w:tr>
    </w:tbl>
    <w:p w14:paraId="3A08540B" w14:textId="77777777" w:rsidR="0064068B" w:rsidRPr="00F927A1" w:rsidRDefault="0064068B" w:rsidP="0064068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0DDB3C8" w14:textId="707AA36C" w:rsidR="0064068B" w:rsidRDefault="0064068B" w:rsidP="008D49CB">
      <w:pPr>
        <w:jc w:val="center"/>
        <w:rPr>
          <w:b/>
          <w:sz w:val="28"/>
          <w:szCs w:val="28"/>
        </w:rPr>
      </w:pPr>
    </w:p>
    <w:p w14:paraId="2BDC65EA" w14:textId="413E8944" w:rsidR="0064068B" w:rsidRDefault="0064068B" w:rsidP="008D49CB">
      <w:pPr>
        <w:jc w:val="center"/>
        <w:rPr>
          <w:b/>
          <w:sz w:val="28"/>
          <w:szCs w:val="28"/>
        </w:rPr>
      </w:pPr>
    </w:p>
    <w:p w14:paraId="1724C594" w14:textId="78BC8A5D" w:rsidR="0064068B" w:rsidRDefault="0064068B" w:rsidP="008D49CB">
      <w:pPr>
        <w:jc w:val="center"/>
        <w:rPr>
          <w:b/>
          <w:sz w:val="28"/>
          <w:szCs w:val="28"/>
        </w:rPr>
      </w:pPr>
    </w:p>
    <w:p w14:paraId="74151C8D" w14:textId="77777777" w:rsidR="0064068B" w:rsidRDefault="0064068B" w:rsidP="008D49CB">
      <w:pPr>
        <w:jc w:val="center"/>
        <w:rPr>
          <w:b/>
          <w:sz w:val="28"/>
          <w:szCs w:val="28"/>
        </w:rPr>
      </w:pPr>
    </w:p>
    <w:p w14:paraId="31C9F891" w14:textId="77777777" w:rsidR="0064068B" w:rsidRDefault="0064068B" w:rsidP="008D49CB">
      <w:pPr>
        <w:jc w:val="center"/>
        <w:rPr>
          <w:b/>
          <w:sz w:val="28"/>
          <w:szCs w:val="28"/>
        </w:rPr>
      </w:pPr>
    </w:p>
    <w:p w14:paraId="2E78F368" w14:textId="0446F8F8" w:rsidR="008D49CB" w:rsidRPr="00EE5BC3" w:rsidRDefault="008D49CB" w:rsidP="008D49CB">
      <w:pPr>
        <w:jc w:val="center"/>
        <w:rPr>
          <w:sz w:val="28"/>
          <w:szCs w:val="28"/>
        </w:rPr>
      </w:pPr>
      <w:r w:rsidRPr="00EE5BC3">
        <w:rPr>
          <w:b/>
          <w:sz w:val="28"/>
          <w:szCs w:val="28"/>
        </w:rPr>
        <w:lastRenderedPageBreak/>
        <w:t>Task 3</w:t>
      </w:r>
    </w:p>
    <w:p w14:paraId="711EA22A" w14:textId="77777777" w:rsidR="008D49CB" w:rsidRPr="00EE5BC3" w:rsidRDefault="008D49CB" w:rsidP="008D49CB">
      <w:pPr>
        <w:jc w:val="center"/>
        <w:rPr>
          <w:b/>
          <w:sz w:val="28"/>
          <w:szCs w:val="28"/>
        </w:rPr>
      </w:pPr>
    </w:p>
    <w:p w14:paraId="3F4006BD" w14:textId="77777777" w:rsidR="008D49CB" w:rsidRPr="00EE5BC3" w:rsidRDefault="008D49CB" w:rsidP="008D49CB">
      <w:pPr>
        <w:jc w:val="center"/>
        <w:rPr>
          <w:b/>
          <w:color w:val="auto"/>
          <w:sz w:val="28"/>
          <w:szCs w:val="28"/>
        </w:rPr>
      </w:pPr>
      <w:r w:rsidRPr="00EE5BC3">
        <w:rPr>
          <w:b/>
          <w:color w:val="auto"/>
          <w:sz w:val="28"/>
          <w:szCs w:val="28"/>
        </w:rPr>
        <w:t>Safeguarding and working in complex situations – Case Study</w:t>
      </w:r>
    </w:p>
    <w:p w14:paraId="164F66A4" w14:textId="77777777" w:rsidR="008D49CB" w:rsidRDefault="008D49CB" w:rsidP="008D49CB">
      <w:pPr>
        <w:rPr>
          <w:b/>
          <w:color w:val="auto"/>
          <w:sz w:val="24"/>
          <w:szCs w:val="24"/>
        </w:rPr>
      </w:pPr>
    </w:p>
    <w:p w14:paraId="7F215D38" w14:textId="77777777" w:rsidR="008D49CB" w:rsidRDefault="008D49CB" w:rsidP="008D49CB">
      <w:pPr>
        <w:rPr>
          <w:b/>
          <w:color w:val="auto"/>
          <w:sz w:val="24"/>
          <w:szCs w:val="24"/>
        </w:rPr>
      </w:pPr>
      <w:proofErr w:type="gramStart"/>
      <w:r>
        <w:rPr>
          <w:b/>
          <w:color w:val="auto"/>
          <w:sz w:val="24"/>
          <w:szCs w:val="24"/>
        </w:rPr>
        <w:t>Guidance;</w:t>
      </w:r>
      <w:proofErr w:type="gramEnd"/>
    </w:p>
    <w:p w14:paraId="3E021DA9" w14:textId="77777777" w:rsidR="008D49CB" w:rsidRPr="00706BB5" w:rsidRDefault="008D49CB" w:rsidP="008D49CB">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7238C105" w14:textId="77777777" w:rsidR="008D49CB" w:rsidRDefault="008D49CB" w:rsidP="008D49C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D49CB" w:rsidRPr="008B28E7" w14:paraId="514F2359" w14:textId="77777777" w:rsidTr="001F4176">
        <w:tc>
          <w:tcPr>
            <w:tcW w:w="10031" w:type="dxa"/>
            <w:shd w:val="clear" w:color="auto" w:fill="auto"/>
          </w:tcPr>
          <w:p w14:paraId="0651DADA" w14:textId="77777777" w:rsidR="008D49CB" w:rsidRDefault="008D49CB" w:rsidP="001F4176">
            <w:pPr>
              <w:jc w:val="both"/>
              <w:rPr>
                <w:b/>
                <w:sz w:val="24"/>
                <w:szCs w:val="24"/>
              </w:rPr>
            </w:pPr>
            <w:r w:rsidRPr="006872A0">
              <w:rPr>
                <w:b/>
                <w:sz w:val="24"/>
                <w:szCs w:val="24"/>
              </w:rPr>
              <w:t>Question</w:t>
            </w:r>
            <w:r>
              <w:rPr>
                <w:b/>
                <w:sz w:val="24"/>
                <w:szCs w:val="24"/>
              </w:rPr>
              <w:t>:</w:t>
            </w:r>
          </w:p>
          <w:p w14:paraId="0D457E64" w14:textId="77777777" w:rsidR="008D49CB" w:rsidRPr="006872A0" w:rsidRDefault="008D49CB" w:rsidP="001F4176">
            <w:pPr>
              <w:jc w:val="both"/>
              <w:rPr>
                <w:b/>
                <w:sz w:val="24"/>
                <w:szCs w:val="24"/>
              </w:rPr>
            </w:pPr>
          </w:p>
          <w:p w14:paraId="3E0E87B6" w14:textId="31CC1CFC" w:rsidR="008D49CB" w:rsidRPr="00706BB5" w:rsidRDefault="008D49CB" w:rsidP="001F4176">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4E793299" w14:textId="77777777" w:rsidR="008D49CB" w:rsidRDefault="008D49CB" w:rsidP="001F4176">
            <w:pPr>
              <w:jc w:val="both"/>
              <w:rPr>
                <w:sz w:val="24"/>
                <w:szCs w:val="24"/>
              </w:rPr>
            </w:pPr>
          </w:p>
          <w:p w14:paraId="1A96FD7D" w14:textId="77777777" w:rsidR="008D49CB" w:rsidRDefault="008D49CB" w:rsidP="001F4176">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2D875916" w14:textId="77777777" w:rsidR="008D49CB" w:rsidRDefault="008D49CB" w:rsidP="001F4176">
            <w:pPr>
              <w:jc w:val="both"/>
              <w:rPr>
                <w:i/>
                <w:sz w:val="24"/>
                <w:szCs w:val="24"/>
              </w:rPr>
            </w:pPr>
          </w:p>
          <w:p w14:paraId="3C716F11" w14:textId="3731D45C" w:rsidR="008D49CB" w:rsidRDefault="008D49CB" w:rsidP="001F4176">
            <w:pPr>
              <w:jc w:val="both"/>
              <w:rPr>
                <w:sz w:val="24"/>
                <w:szCs w:val="24"/>
              </w:rPr>
            </w:pPr>
            <w:r w:rsidRPr="00FD10BB">
              <w:rPr>
                <w:sz w:val="24"/>
                <w:szCs w:val="24"/>
              </w:rPr>
              <w:t xml:space="preserve">My chosen case study is a family of four; a single mother (Adult 1) and her three children, aged 12, 5 and 18 months (Child 2, Child 3, and Child 4). Neither child is in contact with their father due to previous issues of domestic violence. The family are white Welsh, from a working-class background. They live in a very rural, Welsh-speaking area of Wales, with very limited transport links, no local amenities, and no phone / internet service. </w:t>
            </w:r>
            <w:proofErr w:type="gramStart"/>
            <w:r w:rsidRPr="00FD10BB">
              <w:rPr>
                <w:sz w:val="24"/>
                <w:szCs w:val="24"/>
              </w:rPr>
              <w:t>Child</w:t>
            </w:r>
            <w:proofErr w:type="gramEnd"/>
            <w:r w:rsidRPr="00FD10BB">
              <w:rPr>
                <w:sz w:val="24"/>
                <w:szCs w:val="24"/>
              </w:rPr>
              <w:t xml:space="preserve"> 2 and 3 attend the local primary school; Child 4 in not yet of school age. The family’s spoken language is English, and they are not able to converse in the Welsh-language. </w:t>
            </w:r>
          </w:p>
          <w:p w14:paraId="66BEC35A" w14:textId="77777777" w:rsidR="008D49CB" w:rsidRPr="00FD10BB" w:rsidRDefault="008D49CB" w:rsidP="001F4176">
            <w:pPr>
              <w:jc w:val="both"/>
              <w:rPr>
                <w:sz w:val="24"/>
                <w:szCs w:val="24"/>
              </w:rPr>
            </w:pPr>
          </w:p>
          <w:p w14:paraId="3F594E47" w14:textId="77777777" w:rsidR="008D49CB" w:rsidRDefault="008D49CB" w:rsidP="001F4176">
            <w:pPr>
              <w:jc w:val="both"/>
              <w:rPr>
                <w:sz w:val="24"/>
                <w:szCs w:val="24"/>
              </w:rPr>
            </w:pPr>
            <w:r w:rsidRPr="00FD10BB">
              <w:rPr>
                <w:sz w:val="24"/>
                <w:szCs w:val="24"/>
              </w:rPr>
              <w:t xml:space="preserve">The main issue in this case relates to Adult 1’s poor and fluctuating mental health, which impacts her capacity to care for the children on a consistent basis. Adult 1 has sadly experienced adversities in her childhood and is diagnosed with ‘emotional unstable personality disorder’; characterised by emotional dysregulation, impulsivity, extreme emotions, and thoughts of self-harm / suicide. Adult 1’s poor mental health has been reoccurring throughout her adult life and she also has a chronic pattern of poor engagement with mental health professionals; she will only engage at a point of crisis. She uses alcohol and cannabis to cope with life stressors. </w:t>
            </w:r>
          </w:p>
          <w:p w14:paraId="601CD9ED" w14:textId="77777777" w:rsidR="008D49CB" w:rsidRPr="00FD10BB" w:rsidRDefault="008D49CB" w:rsidP="001F4176">
            <w:pPr>
              <w:jc w:val="both"/>
              <w:rPr>
                <w:sz w:val="24"/>
                <w:szCs w:val="24"/>
              </w:rPr>
            </w:pPr>
          </w:p>
          <w:p w14:paraId="4DE134A9" w14:textId="77777777" w:rsidR="008D49CB" w:rsidRDefault="008D49CB" w:rsidP="001F4176">
            <w:pPr>
              <w:jc w:val="both"/>
              <w:rPr>
                <w:sz w:val="24"/>
                <w:szCs w:val="24"/>
              </w:rPr>
            </w:pPr>
            <w:r w:rsidRPr="00FD10BB">
              <w:rPr>
                <w:sz w:val="24"/>
                <w:szCs w:val="24"/>
              </w:rPr>
              <w:t>I was allocated the case after all three children’s name were placed on the Child Protection (CP) Register, after safeguarding concerns for the children’s welfare was shared by the Police. The duty to safeguard children is enshrined in Section 7 of the Social Services and Wellbeing (Wales) Act 2014 (hereby referred to as the SSWW Act 2014). The Act also mandated Local Authority to establish Local Safeguarding Boards, responsible for the review and development of statutory guidance and procedures around safeguarding children</w:t>
            </w:r>
            <w:r>
              <w:rPr>
                <w:sz w:val="24"/>
                <w:szCs w:val="24"/>
              </w:rPr>
              <w:t xml:space="preserve">; </w:t>
            </w:r>
            <w:r w:rsidRPr="00FD10BB">
              <w:rPr>
                <w:sz w:val="24"/>
                <w:szCs w:val="24"/>
              </w:rPr>
              <w:t>result</w:t>
            </w:r>
            <w:r>
              <w:rPr>
                <w:sz w:val="24"/>
                <w:szCs w:val="24"/>
              </w:rPr>
              <w:t>ing</w:t>
            </w:r>
            <w:r w:rsidRPr="00FD10BB">
              <w:rPr>
                <w:sz w:val="24"/>
                <w:szCs w:val="24"/>
              </w:rPr>
              <w:t xml:space="preserve"> in the publication of the Wales Safeguarding Procedures in 2019</w:t>
            </w:r>
            <w:r>
              <w:rPr>
                <w:sz w:val="24"/>
                <w:szCs w:val="24"/>
              </w:rPr>
              <w:t>,</w:t>
            </w:r>
            <w:r w:rsidRPr="00FD10BB">
              <w:rPr>
                <w:sz w:val="24"/>
                <w:szCs w:val="24"/>
              </w:rPr>
              <w:t xml:space="preserve"> which I </w:t>
            </w:r>
            <w:r>
              <w:rPr>
                <w:sz w:val="24"/>
                <w:szCs w:val="24"/>
              </w:rPr>
              <w:t xml:space="preserve">adhered to throughout </w:t>
            </w:r>
            <w:r w:rsidRPr="00FD10BB">
              <w:rPr>
                <w:sz w:val="24"/>
                <w:szCs w:val="24"/>
              </w:rPr>
              <w:t xml:space="preserve">my practice </w:t>
            </w:r>
            <w:r>
              <w:rPr>
                <w:sz w:val="24"/>
                <w:szCs w:val="24"/>
              </w:rPr>
              <w:t>to ensure it met</w:t>
            </w:r>
            <w:r w:rsidRPr="00FD10BB">
              <w:rPr>
                <w:sz w:val="24"/>
                <w:szCs w:val="24"/>
              </w:rPr>
              <w:t xml:space="preserve"> legal requirements. </w:t>
            </w:r>
          </w:p>
          <w:p w14:paraId="53AE0FE2" w14:textId="77777777" w:rsidR="008D49CB" w:rsidRPr="00FD10BB" w:rsidRDefault="008D49CB" w:rsidP="001F4176">
            <w:pPr>
              <w:jc w:val="both"/>
              <w:rPr>
                <w:sz w:val="24"/>
                <w:szCs w:val="24"/>
              </w:rPr>
            </w:pPr>
          </w:p>
          <w:p w14:paraId="57A43ECC" w14:textId="25C43B8C" w:rsidR="008D49CB" w:rsidRDefault="008D49CB" w:rsidP="001F4176">
            <w:pPr>
              <w:jc w:val="both"/>
              <w:rPr>
                <w:sz w:val="24"/>
                <w:szCs w:val="24"/>
              </w:rPr>
            </w:pPr>
            <w:r w:rsidRPr="00FD10BB">
              <w:rPr>
                <w:sz w:val="24"/>
                <w:szCs w:val="24"/>
              </w:rPr>
              <w:t>Prior to my involvement, the family had been subject to a Section 47 Investigation, triggered by the safeguarding referral. Section 47 of the Children Act 1989 places a duty on a Local Authority to make enquiries if there is “</w:t>
            </w:r>
            <w:r w:rsidRPr="00FD10BB">
              <w:rPr>
                <w:i/>
                <w:sz w:val="24"/>
                <w:szCs w:val="24"/>
              </w:rPr>
              <w:t>reasonable cause to suspect that a child who lives, or is found, in their area if suffering, or is likely to suffer significant harm</w:t>
            </w:r>
            <w:r w:rsidRPr="00FD10BB">
              <w:rPr>
                <w:sz w:val="24"/>
                <w:szCs w:val="24"/>
              </w:rPr>
              <w:t xml:space="preserve">” to determine whether further action is required to safeguard the welfare of a child. The investigation concluded that the threshold of significant harm was met, which led to an Initial Child Protection Case Conference (ICPCC) meeting (Wales Safeguarding Procedures, 2019). The IPCC is where all professionals working with the family come together to share information and collectively determine if the threshold of significant harm is met and a child’s name should be placed on the Local Authority’s CP register. In this case, a unanimous decision was made for all three children were placed on the CP register under categories emotional harm and neglect. </w:t>
            </w:r>
          </w:p>
          <w:p w14:paraId="5309EEF3" w14:textId="77777777" w:rsidR="008D49CB" w:rsidRPr="00FD10BB" w:rsidRDefault="008D49CB" w:rsidP="001F4176">
            <w:pPr>
              <w:jc w:val="both"/>
              <w:rPr>
                <w:sz w:val="24"/>
                <w:szCs w:val="24"/>
              </w:rPr>
            </w:pPr>
          </w:p>
          <w:p w14:paraId="3F20CE1F" w14:textId="02131AAF" w:rsidR="008D49CB" w:rsidRDefault="008D49CB" w:rsidP="001F4176">
            <w:pPr>
              <w:jc w:val="both"/>
              <w:rPr>
                <w:sz w:val="24"/>
                <w:szCs w:val="24"/>
              </w:rPr>
            </w:pPr>
            <w:r w:rsidRPr="00FD10BB">
              <w:rPr>
                <w:sz w:val="24"/>
                <w:szCs w:val="24"/>
              </w:rPr>
              <w:t xml:space="preserve">Following registration, my role was to complete an assessment of the family’s needs within 42 days from the start of the section 47 enquiry (Wales Safeguarding Procedures, 2019). Section 3 (21) of the SSWW Act 2014 places a duty on Local Authorities to assess the needs of a child in their area identified as needing care and support. The Social Services and Well-being (Wales) Act 2014 (SSWW Act 2014) Part 3 Code of Practice (assessing the needs of individuals) (Welsh Government, 2014a) states that assessments must be conducted in a child-centred approach; meaning that the child perspective and their welfare must be focal point throughout the assessment process. However, Sheppard and </w:t>
            </w:r>
            <w:proofErr w:type="spellStart"/>
            <w:r w:rsidRPr="00FD10BB">
              <w:rPr>
                <w:sz w:val="24"/>
                <w:szCs w:val="24"/>
              </w:rPr>
              <w:t>Grohn</w:t>
            </w:r>
            <w:proofErr w:type="spellEnd"/>
            <w:r w:rsidRPr="00FD10BB">
              <w:rPr>
                <w:sz w:val="24"/>
                <w:szCs w:val="24"/>
              </w:rPr>
              <w:t xml:space="preserve"> (2003) argue that, whilst the child’s welfare is paramount, social workers should avoid focusing solely on child and overlook significant family members as promoting a child’s best interest involves working also with their social networks. Therefore, it was crucial that my assessments of </w:t>
            </w:r>
            <w:proofErr w:type="gramStart"/>
            <w:r w:rsidRPr="00FD10BB">
              <w:rPr>
                <w:sz w:val="24"/>
                <w:szCs w:val="24"/>
              </w:rPr>
              <w:t>Child</w:t>
            </w:r>
            <w:proofErr w:type="gramEnd"/>
            <w:r w:rsidRPr="00FD10BB">
              <w:rPr>
                <w:sz w:val="24"/>
                <w:szCs w:val="24"/>
              </w:rPr>
              <w:t xml:space="preserve"> 2, 3 and 4 were both child-centred and holistic, ensuring that their lived experiences were understood within the context of their wider social systems. </w:t>
            </w:r>
          </w:p>
          <w:p w14:paraId="6890600A" w14:textId="77777777" w:rsidR="008D49CB" w:rsidRPr="00FD10BB" w:rsidRDefault="008D49CB" w:rsidP="001F4176">
            <w:pPr>
              <w:jc w:val="both"/>
              <w:rPr>
                <w:sz w:val="24"/>
                <w:szCs w:val="24"/>
              </w:rPr>
            </w:pPr>
          </w:p>
          <w:p w14:paraId="05C1453D" w14:textId="77777777" w:rsidR="008D49CB" w:rsidRDefault="008D49CB" w:rsidP="001F4176">
            <w:pPr>
              <w:jc w:val="both"/>
              <w:rPr>
                <w:sz w:val="24"/>
                <w:szCs w:val="24"/>
              </w:rPr>
            </w:pPr>
            <w:r>
              <w:rPr>
                <w:sz w:val="24"/>
                <w:szCs w:val="24"/>
              </w:rPr>
              <w:t xml:space="preserve">Co-production is a crucial principle the SSWW Act 2014 and is a concept that promotes equal partnership between professionals and individuals by involving them in care planning (Ross et al. 2013). </w:t>
            </w:r>
            <w:r w:rsidRPr="00FD10BB">
              <w:rPr>
                <w:sz w:val="24"/>
                <w:szCs w:val="24"/>
              </w:rPr>
              <w:t xml:space="preserve">To begin my assessment, I visited the family home and spoke with </w:t>
            </w:r>
            <w:proofErr w:type="gramStart"/>
            <w:r w:rsidRPr="00FD10BB">
              <w:rPr>
                <w:sz w:val="24"/>
                <w:szCs w:val="24"/>
              </w:rPr>
              <w:t>Adult</w:t>
            </w:r>
            <w:proofErr w:type="gramEnd"/>
            <w:r w:rsidRPr="00FD10BB">
              <w:rPr>
                <w:sz w:val="24"/>
                <w:szCs w:val="24"/>
              </w:rPr>
              <w:t xml:space="preserve"> 1 and the children separately. Adult 1 was initially angry that the children’s name was placed on the CP register and did not consent to the assessment. However, as the Local Authority considered that </w:t>
            </w:r>
            <w:proofErr w:type="gramStart"/>
            <w:r w:rsidRPr="00FD10BB">
              <w:rPr>
                <w:sz w:val="24"/>
                <w:szCs w:val="24"/>
              </w:rPr>
              <w:t>Child</w:t>
            </w:r>
            <w:proofErr w:type="gramEnd"/>
            <w:r w:rsidRPr="00FD10BB">
              <w:rPr>
                <w:sz w:val="24"/>
                <w:szCs w:val="24"/>
              </w:rPr>
              <w:t xml:space="preserve"> 2, 3 and 4 were at risk of significant harm, her refusal of the assessment was overridden</w:t>
            </w:r>
            <w:r>
              <w:rPr>
                <w:sz w:val="24"/>
                <w:szCs w:val="24"/>
              </w:rPr>
              <w:t>; The SSWW Act 2014 Part 3 Code of Practice (assessing the needs of individuals) (Welsh Government, 2014a, p. 18) states “</w:t>
            </w:r>
            <w:r w:rsidRPr="00AD1866">
              <w:rPr>
                <w:i/>
                <w:sz w:val="24"/>
                <w:szCs w:val="24"/>
              </w:rPr>
              <w:t>the refusal of assessments must be overridden where such refusal would be inconsistent with the child’s wellbeing</w:t>
            </w:r>
            <w:r>
              <w:rPr>
                <w:sz w:val="24"/>
                <w:szCs w:val="24"/>
              </w:rPr>
              <w:t>”</w:t>
            </w:r>
            <w:r w:rsidRPr="00FD10BB">
              <w:rPr>
                <w:sz w:val="24"/>
                <w:szCs w:val="24"/>
              </w:rPr>
              <w:t xml:space="preserve">. I considered that Adult 1’s anger was due to the statutory nature of my involvement, which caused a power imbalance in our relationship from the outset. Mantel (2019) notes that when individuals feel disempowered, it hinders their ability to form constructive, trusting, and meaningful relationships with social workers. I knew that addressing this power imbalance required urgent action to enable Adult 1 to feel empowered to fully participate in the assessment process to benefit the welfare of the children. </w:t>
            </w:r>
          </w:p>
          <w:p w14:paraId="6289F453" w14:textId="77777777" w:rsidR="008D49CB" w:rsidRPr="00FD10BB" w:rsidRDefault="008D49CB" w:rsidP="001F4176">
            <w:pPr>
              <w:jc w:val="both"/>
              <w:rPr>
                <w:sz w:val="24"/>
                <w:szCs w:val="24"/>
              </w:rPr>
            </w:pPr>
          </w:p>
          <w:p w14:paraId="616EF2B6" w14:textId="502373D8" w:rsidR="008D49CB" w:rsidRDefault="008D49CB" w:rsidP="001F4176">
            <w:pPr>
              <w:jc w:val="both"/>
              <w:rPr>
                <w:sz w:val="24"/>
                <w:szCs w:val="24"/>
              </w:rPr>
            </w:pPr>
            <w:r w:rsidRPr="00FD10BB">
              <w:rPr>
                <w:sz w:val="24"/>
                <w:szCs w:val="24"/>
              </w:rPr>
              <w:t xml:space="preserve">Effective communication skills are key when attempting to build trusting relationships with individuals who are obstructive or reluctant to engage (Healy et al. 2016; cited in </w:t>
            </w:r>
            <w:proofErr w:type="spellStart"/>
            <w:r w:rsidRPr="00FD10BB">
              <w:rPr>
                <w:sz w:val="24"/>
                <w:szCs w:val="24"/>
              </w:rPr>
              <w:t>Beesley</w:t>
            </w:r>
            <w:proofErr w:type="spellEnd"/>
            <w:r w:rsidRPr="00FD10BB">
              <w:rPr>
                <w:sz w:val="24"/>
                <w:szCs w:val="24"/>
              </w:rPr>
              <w:t xml:space="preserve">, </w:t>
            </w:r>
            <w:proofErr w:type="gramStart"/>
            <w:r w:rsidRPr="00FD10BB">
              <w:rPr>
                <w:sz w:val="24"/>
                <w:szCs w:val="24"/>
              </w:rPr>
              <w:t>Watts</w:t>
            </w:r>
            <w:proofErr w:type="gramEnd"/>
            <w:r w:rsidRPr="00FD10BB">
              <w:rPr>
                <w:sz w:val="24"/>
                <w:szCs w:val="24"/>
              </w:rPr>
              <w:t xml:space="preserve"> and Harrison; 2018). It is also important to utilise different forms of communication skills; symbolic, verbal, non-verbal and written (Lishman, 2009). I arrived </w:t>
            </w:r>
            <w:proofErr w:type="gramStart"/>
            <w:r w:rsidRPr="00FD10BB">
              <w:rPr>
                <w:sz w:val="24"/>
                <w:szCs w:val="24"/>
              </w:rPr>
              <w:t>to</w:t>
            </w:r>
            <w:proofErr w:type="gramEnd"/>
            <w:r w:rsidRPr="00FD10BB">
              <w:rPr>
                <w:sz w:val="24"/>
                <w:szCs w:val="24"/>
              </w:rPr>
              <w:t xml:space="preserve"> the home on the time agreed and asked permission to enter the home and sit down in the living area. I also dressed in casual clothing to avoid coming across as authoritarian and intimating; an example of symbolic communication (Lishman, 2009). I then verbally explained the purpose of my visit clearly, using simple terminology and allowing plenty of silence pauses. According to Ross (2011), silence pauses individuals time to process information and enables social worker’s opportunity to gage an individual’s emotions and body language. Finally, I also provided written materials in the form of colour coordinator diagrams and asked Adult 1 to identify “what is going well” (green), “what is not going well” (red). Not only did this provide structure to the assessment but prompted Adult 1 to self-identify areas of her life where she felt she required support, whilst also acknowledging her strengths. In doing so, I regarded Adult 1 as an expert in her own situation, which is a form of empowerment-based practice (Hanley, 2009). It also ensured that Adult 1’s views and wishes was incorporated into the assessment, which is another key principle of the SSWW Act 2014. </w:t>
            </w:r>
          </w:p>
          <w:p w14:paraId="786212CB" w14:textId="77777777" w:rsidR="008D49CB" w:rsidRPr="00FD10BB" w:rsidRDefault="008D49CB" w:rsidP="001F4176">
            <w:pPr>
              <w:jc w:val="both"/>
              <w:rPr>
                <w:sz w:val="24"/>
                <w:szCs w:val="24"/>
              </w:rPr>
            </w:pPr>
          </w:p>
          <w:p w14:paraId="6577FE6A" w14:textId="7C543CF0" w:rsidR="008D49CB" w:rsidRDefault="008D49CB" w:rsidP="001F4176">
            <w:pPr>
              <w:jc w:val="both"/>
              <w:rPr>
                <w:sz w:val="24"/>
                <w:szCs w:val="24"/>
              </w:rPr>
            </w:pPr>
            <w:r w:rsidRPr="00FD10BB">
              <w:rPr>
                <w:sz w:val="24"/>
                <w:szCs w:val="24"/>
              </w:rPr>
              <w:t xml:space="preserve">In engaging the children in the assessment, I was aware that I needed to tailor my communication skills to each child, considering the difference in their ages and understanding; as recommended in the SSWW Act 2014 Part 3 Code of Practice (assessing the needs of individuals) (Welsh Government, 2014a).  At age 18 months, my assessment of Child 4 was predominantly based on my own observations of her behaviours and development within her home environment. In doing so, I was aware that I needed to be open-minded and not allow any personal bias or pre-conceptions impact my assessment and judgement-making (Trevithick, 2012). For example, Adult 1 strongly believed in attachment-style parenting, which involves being always physically close to an infant, co-sleeping and prolonged breast feeding. Whilst this differed from my own personal views on parenting, I did not assess this as a child protection issue or a deficit in Adult 1’s parenting. Parker (2010) warns that a social worker’s professional values must no impact professionalism. Instead, I assessed Child 4’s development in accordance with factual and evidenced-based developmental milestones. </w:t>
            </w:r>
          </w:p>
          <w:p w14:paraId="47680E56" w14:textId="77777777" w:rsidR="008D49CB" w:rsidRPr="00FD10BB" w:rsidRDefault="008D49CB" w:rsidP="001F4176">
            <w:pPr>
              <w:jc w:val="both"/>
              <w:rPr>
                <w:sz w:val="24"/>
                <w:szCs w:val="24"/>
              </w:rPr>
            </w:pPr>
          </w:p>
          <w:p w14:paraId="7DFACD4F" w14:textId="5F4F62E5" w:rsidR="008D49CB" w:rsidRDefault="008D49CB" w:rsidP="001F4176">
            <w:pPr>
              <w:jc w:val="both"/>
              <w:rPr>
                <w:sz w:val="24"/>
                <w:szCs w:val="24"/>
              </w:rPr>
            </w:pPr>
            <w:r w:rsidRPr="00FD10BB">
              <w:rPr>
                <w:sz w:val="24"/>
                <w:szCs w:val="24"/>
              </w:rPr>
              <w:t xml:space="preserve">In terms of engaging Child 2 and 3 in the assessment, I used imaginative play techniques and bought toys and arts and crafts with me to visits. It is considered good practice to allow children to lead in play activities and for social workers to prepare play materials in accordance with the age and interests to promote their participation and reduce anxiety (Riley and Dolan, 2016). Prior to my visit, I made enquires with the school about their likes and interests. I found this technique to be invaluable in gaining an understanding of Child 2 and 3’s lived experiences and felt that it enabled them to disclose information about their home life subconsciously. However, a downfall to this approach is that I found it very time consuming and found it difficult to allocate specific time to complete direct work with the children, whilst also balancing and prioritising the demands of my other cases. Research by Riley and Dolan (2016) identified the issue of time as a common primary barrier preventing social workers from completing direct work with children, resulting in their voices being lost within assessment processes. </w:t>
            </w:r>
          </w:p>
          <w:p w14:paraId="19A34843" w14:textId="77777777" w:rsidR="008D49CB" w:rsidRPr="00FD10BB" w:rsidRDefault="008D49CB" w:rsidP="001F4176">
            <w:pPr>
              <w:jc w:val="both"/>
              <w:rPr>
                <w:sz w:val="24"/>
                <w:szCs w:val="24"/>
              </w:rPr>
            </w:pPr>
          </w:p>
          <w:p w14:paraId="2817EFDC" w14:textId="615FF1EA" w:rsidR="008D49CB" w:rsidRDefault="008D49CB" w:rsidP="001F4176">
            <w:pPr>
              <w:jc w:val="both"/>
              <w:rPr>
                <w:sz w:val="24"/>
                <w:szCs w:val="24"/>
              </w:rPr>
            </w:pPr>
            <w:r w:rsidRPr="00FD10BB">
              <w:rPr>
                <w:sz w:val="24"/>
                <w:szCs w:val="24"/>
              </w:rPr>
              <w:t>A model that I incorporated into my assessment approach was the ecological model; which focuses on relationships and connections within an individual’s environments, including family and friends, social and community networks, and wider legal and economic structures; which all influence and impact one another (</w:t>
            </w:r>
            <w:proofErr w:type="spellStart"/>
            <w:r w:rsidRPr="00FD10BB">
              <w:rPr>
                <w:sz w:val="24"/>
                <w:szCs w:val="24"/>
              </w:rPr>
              <w:t>Teater</w:t>
            </w:r>
            <w:proofErr w:type="spellEnd"/>
            <w:r w:rsidRPr="00FD10BB">
              <w:rPr>
                <w:sz w:val="24"/>
                <w:szCs w:val="24"/>
              </w:rPr>
              <w:t xml:space="preserve">, 2014). </w:t>
            </w:r>
            <w:proofErr w:type="spellStart"/>
            <w:r w:rsidRPr="00FD10BB">
              <w:rPr>
                <w:sz w:val="24"/>
                <w:szCs w:val="24"/>
              </w:rPr>
              <w:t>Teater</w:t>
            </w:r>
            <w:proofErr w:type="spellEnd"/>
            <w:r w:rsidRPr="00FD10BB">
              <w:rPr>
                <w:sz w:val="24"/>
                <w:szCs w:val="24"/>
              </w:rPr>
              <w:t xml:space="preserve"> (2014) explains that the concept of “person-environment-fit” is crucial to the model. A positive “person-environment-fit” is whereby individuals feel secure and content in their environment with access to resources to thrive and flourish. A negative “person-environment” is whereby individuals feel unsecure and do not have access to adequate resources to promote their overall wellbeing; resulting in stress, defined as an imbalance between the demands of our environment and out capacity to effectively manage the demands with our available resources (</w:t>
            </w:r>
            <w:proofErr w:type="spellStart"/>
            <w:r w:rsidRPr="00FD10BB">
              <w:rPr>
                <w:sz w:val="24"/>
                <w:szCs w:val="24"/>
              </w:rPr>
              <w:t>Teater</w:t>
            </w:r>
            <w:proofErr w:type="spellEnd"/>
            <w:r w:rsidRPr="00FD10BB">
              <w:rPr>
                <w:sz w:val="24"/>
                <w:szCs w:val="24"/>
              </w:rPr>
              <w:t>, 2014). The model can be applied to child wellbeing as there are a web of interrelated factors within a child’s environment that promotes and hinders their development (</w:t>
            </w:r>
            <w:proofErr w:type="spellStart"/>
            <w:r w:rsidRPr="00FD10BB">
              <w:rPr>
                <w:sz w:val="24"/>
                <w:szCs w:val="24"/>
              </w:rPr>
              <w:t>Garbarino</w:t>
            </w:r>
            <w:proofErr w:type="spellEnd"/>
            <w:r w:rsidRPr="00FD10BB">
              <w:rPr>
                <w:sz w:val="24"/>
                <w:szCs w:val="24"/>
              </w:rPr>
              <w:t xml:space="preserve"> 2014). Within the child protection arena, the model can be utilised </w:t>
            </w:r>
            <w:r>
              <w:rPr>
                <w:sz w:val="24"/>
                <w:szCs w:val="24"/>
              </w:rPr>
              <w:t xml:space="preserve">as a risk assessment tool </w:t>
            </w:r>
            <w:proofErr w:type="gramStart"/>
            <w:r>
              <w:rPr>
                <w:sz w:val="24"/>
                <w:szCs w:val="24"/>
              </w:rPr>
              <w:t>in order to</w:t>
            </w:r>
            <w:proofErr w:type="gramEnd"/>
            <w:r>
              <w:rPr>
                <w:sz w:val="24"/>
                <w:szCs w:val="24"/>
              </w:rPr>
              <w:t xml:space="preserve"> </w:t>
            </w:r>
            <w:r w:rsidRPr="00FD10BB">
              <w:rPr>
                <w:sz w:val="24"/>
                <w:szCs w:val="24"/>
              </w:rPr>
              <w:t>identify risk</w:t>
            </w:r>
            <w:r>
              <w:rPr>
                <w:sz w:val="24"/>
                <w:szCs w:val="24"/>
              </w:rPr>
              <w:t>s</w:t>
            </w:r>
            <w:r w:rsidRPr="00FD10BB">
              <w:rPr>
                <w:sz w:val="24"/>
                <w:szCs w:val="24"/>
              </w:rPr>
              <w:t xml:space="preserve"> and protective factors within a child’s environment and to consider in what system is intervention best placed to improve the “person-environment-fit”.</w:t>
            </w:r>
            <w:r>
              <w:rPr>
                <w:sz w:val="24"/>
                <w:szCs w:val="24"/>
              </w:rPr>
              <w:t xml:space="preserve"> </w:t>
            </w:r>
            <w:r w:rsidRPr="00FD10BB">
              <w:rPr>
                <w:sz w:val="24"/>
                <w:szCs w:val="24"/>
              </w:rPr>
              <w:t xml:space="preserve">An assessment model that is derived from the ecological model is the ‘Framework for the Assessment of Children in Need and their Families’, which is included in the SSWW Act 2014 Part 3 Code of Practice (assessing the needs of individuals) (Welsh Government, 2014a). This promotes a holistic assessment of the developmental needs of children, the capacity of care givers to responds to their needs and family and environmental factors. </w:t>
            </w:r>
          </w:p>
          <w:p w14:paraId="39598345" w14:textId="77777777" w:rsidR="008D49CB" w:rsidRDefault="008D49CB" w:rsidP="001F4176">
            <w:pPr>
              <w:jc w:val="both"/>
              <w:rPr>
                <w:sz w:val="24"/>
                <w:szCs w:val="24"/>
              </w:rPr>
            </w:pPr>
          </w:p>
          <w:p w14:paraId="3A0DB852" w14:textId="08A0DAAC" w:rsidR="008D49CB" w:rsidRDefault="008D49CB" w:rsidP="001F4176">
            <w:pPr>
              <w:jc w:val="both"/>
              <w:rPr>
                <w:sz w:val="24"/>
                <w:szCs w:val="24"/>
              </w:rPr>
            </w:pPr>
            <w:r>
              <w:rPr>
                <w:sz w:val="24"/>
                <w:szCs w:val="24"/>
              </w:rPr>
              <w:t>F</w:t>
            </w:r>
            <w:r w:rsidRPr="00FD10BB">
              <w:rPr>
                <w:sz w:val="24"/>
                <w:szCs w:val="24"/>
              </w:rPr>
              <w:t xml:space="preserve">rom looking at the family and environmental factors, it emerged that Adult 1 had experienced several Adverse Childhood Experiences (ACES) in her formative years (including parental substance misuse, domestic violence, and sexual abuse), which helped me better understand the nature of her mental health difficulties. High ACES scores are linked to poor neurological, social, and emotional development and are associated with high levels of parenting stress, which can influence parenting styles and parent-child relationship (Morris et al. 2021). Moreover, a study conducted by Hughes et al. (2016) found that ACES significantly increased the risk of mental health disorders in later life, which are often passed down to subsequent generations. </w:t>
            </w:r>
          </w:p>
          <w:p w14:paraId="3B64FBDA" w14:textId="77777777" w:rsidR="008D49CB" w:rsidRPr="00FD10BB" w:rsidRDefault="008D49CB" w:rsidP="001F4176">
            <w:pPr>
              <w:jc w:val="both"/>
              <w:rPr>
                <w:sz w:val="24"/>
                <w:szCs w:val="24"/>
              </w:rPr>
            </w:pPr>
          </w:p>
          <w:p w14:paraId="2C1EC0C6" w14:textId="77777777" w:rsidR="008D49CB" w:rsidRDefault="008D49CB" w:rsidP="001F4176">
            <w:pPr>
              <w:jc w:val="both"/>
              <w:rPr>
                <w:sz w:val="24"/>
                <w:szCs w:val="24"/>
              </w:rPr>
            </w:pPr>
            <w:r w:rsidRPr="00FD10BB">
              <w:rPr>
                <w:sz w:val="24"/>
                <w:szCs w:val="24"/>
              </w:rPr>
              <w:t xml:space="preserve">I considered that Adult 1’s ACES contributed to her mental health issues, which significantly impacted her parenting capacity. For example, at times she was unable to carry out basic parenting task such as preparing meals, provide clean clothing and maintain a ‘good enough’ home environment. Her erratic / unpredictable behaviours and habit of self-medicating with cannabis and alcohol presented a direct risk to the children’s safety. She was also unable to provide the children with appropriate boundaries and stimulation. This resulted in children presenting challenging behaviours, which further worsened Adult 1’s mental health. Her poor parenting capacity resulted in the children’s developmental needs being neglected; they missed health appointments, did not attend school regularly, and presented with poor emotional regulation. In this sense, I assessed that some of the children’s human rights, as set out in the UN Convention on the Rights of the Child (UNCRC), were diminished; in particular, right to health and healthcare (Article 24), right to an adequate standard of living (Article 27), and right to education (Article 28). </w:t>
            </w:r>
          </w:p>
          <w:p w14:paraId="32D638F5" w14:textId="77777777" w:rsidR="008D49CB" w:rsidRPr="00FD10BB" w:rsidRDefault="008D49CB" w:rsidP="001F4176">
            <w:pPr>
              <w:jc w:val="both"/>
              <w:rPr>
                <w:sz w:val="24"/>
                <w:szCs w:val="24"/>
              </w:rPr>
            </w:pPr>
          </w:p>
          <w:p w14:paraId="5F53DE5A" w14:textId="422E5709" w:rsidR="008D49CB" w:rsidRDefault="008D49CB" w:rsidP="001F4176">
            <w:pPr>
              <w:jc w:val="both"/>
              <w:rPr>
                <w:sz w:val="24"/>
                <w:szCs w:val="24"/>
              </w:rPr>
            </w:pPr>
            <w:r w:rsidRPr="00FD10BB">
              <w:rPr>
                <w:sz w:val="24"/>
                <w:szCs w:val="24"/>
              </w:rPr>
              <w:t xml:space="preserve">My assessment also identified that Child 2 played a significant role as a ‘young carer’; especially in terms of providing basic care for her younger siblings when Adult 1’s mental health deteriorated (preparing food, cleaning the home, and washing / bathing).  Whilst there is no specific definition of a ‘young carer’ in the SSWW Act 2014, the Welsh Government (2021) uses the term to describe children or young people who take a caring role for a family member. The Act does, however, places a duty on Local Authorities to assess the needs of young carers, with regards to their developmental needs and the extent to which it is appropriate for the child to provide care. Interestingly, Child 2 did not self-identify as a young carer; she thought of her role as ordinary everyday chores and became defensive and closed-off when I attempted to explore the subject further. I considered reasons why she would respond in this way. Feeling of embarrassment, fears of being stigmatised by peers, and fears of intervention and families being broken up are reasons why children may conceal their role as a young carer (Phelps, 2020). Indeed, there is a wealth of research evidencing the detrimental impact a caring role on a child’s wellbeing; including poor educational attainment; increased risk of mental health problems; and isolation from social groups and peers (Carers Trust, 2020). However, research by Gough and Guildford (2020) found that a young caring role-built resilience and protective factors in children, particularly around developing self-worth and inner strength and persistence towards achieving goals. They further argued that resilience is increased by social support. In this sense, I considered that Child 2’s role as a young carer was not necessarily a detriment, but a strength that could be built upon if she was given relevant support, such as intervention from a Young Carers group. </w:t>
            </w:r>
          </w:p>
          <w:p w14:paraId="2F860A3F" w14:textId="77777777" w:rsidR="008D49CB" w:rsidRPr="00FD10BB" w:rsidRDefault="008D49CB" w:rsidP="001F4176">
            <w:pPr>
              <w:jc w:val="both"/>
              <w:rPr>
                <w:sz w:val="24"/>
                <w:szCs w:val="24"/>
              </w:rPr>
            </w:pPr>
          </w:p>
          <w:p w14:paraId="4443EDC6" w14:textId="218E0CA8" w:rsidR="008D49CB" w:rsidRDefault="008D49CB" w:rsidP="001F4176">
            <w:pPr>
              <w:jc w:val="both"/>
              <w:rPr>
                <w:sz w:val="24"/>
                <w:szCs w:val="24"/>
              </w:rPr>
            </w:pPr>
            <w:r w:rsidRPr="00FD10BB">
              <w:rPr>
                <w:sz w:val="24"/>
                <w:szCs w:val="24"/>
              </w:rPr>
              <w:t xml:space="preserve">Adult 1 and Child 2 were also able to self-identify further issues that compounded the family’s difficulties, such as feelings of social isolation, debt / poverty, and a lack formal / unformal support network. The family had recently fled Adult 1’s abusive partner and had been moved to a new county, with support of a domestic abuse support service, to a Welsh-language community in a very rural area of Wales. The community did not have any local amenities, no phone / internet signal, and very limited transport links (and Adult 1 did not drive). Williams and Doyle (2016) assess that rural poverty is a significant but overlooked issue in Wales, with factors such as lack of public transport and access to health care, employment and other services making it extremely difficult for families to escape it. I considered that the family’s geographical location was detrimental to the children’s wellbeing and required addressing. Child 2 also expressed that her wish was to relocate to a populous area, where she could have more opportunity to socialise with peers and participate in extra-curricular activities; the SSWW Act 2014 Part 3 Code of Practice (Welsh Government, 2014) notes the importance of including any outcomes that a child wishes to be achieved within an assessment. </w:t>
            </w:r>
          </w:p>
          <w:p w14:paraId="7D05AB6E" w14:textId="77777777" w:rsidR="008D49CB" w:rsidRPr="00FD10BB" w:rsidRDefault="008D49CB" w:rsidP="001F4176">
            <w:pPr>
              <w:jc w:val="both"/>
              <w:rPr>
                <w:sz w:val="24"/>
                <w:szCs w:val="24"/>
              </w:rPr>
            </w:pPr>
          </w:p>
          <w:p w14:paraId="5D8E8761" w14:textId="77777777" w:rsidR="008D49CB" w:rsidRDefault="008D49CB" w:rsidP="001F4176">
            <w:pPr>
              <w:jc w:val="both"/>
              <w:rPr>
                <w:sz w:val="24"/>
                <w:szCs w:val="24"/>
              </w:rPr>
            </w:pPr>
            <w:r w:rsidRPr="00FD10BB">
              <w:rPr>
                <w:sz w:val="24"/>
                <w:szCs w:val="24"/>
              </w:rPr>
              <w:t xml:space="preserve">In addition to assessing the needs of the family, I was also responsible for formulating and coordinating a care and support protection plan (CASPP), based on my assessment of the family’s needs. The children’s names being placed on the CP register does not impose any protection in itself; therefore, a CASPP must always accompany registration (Wales Safeguarding Procedures, 2019). The Wales Safeguarding Procedures (2019) states that an outline CASPP must be developed in a core group meeting within 10 days of the ICPCC. A core group is whereby all professionals working with the family </w:t>
            </w:r>
            <w:r>
              <w:rPr>
                <w:sz w:val="24"/>
                <w:szCs w:val="24"/>
              </w:rPr>
              <w:t>attend</w:t>
            </w:r>
            <w:r w:rsidRPr="00FD10BB">
              <w:rPr>
                <w:sz w:val="24"/>
                <w:szCs w:val="24"/>
              </w:rPr>
              <w:t xml:space="preserve">, in addition to family members, </w:t>
            </w:r>
            <w:r>
              <w:rPr>
                <w:sz w:val="24"/>
                <w:szCs w:val="24"/>
              </w:rPr>
              <w:t xml:space="preserve">to </w:t>
            </w:r>
            <w:r w:rsidRPr="00FD10BB">
              <w:rPr>
                <w:sz w:val="24"/>
                <w:szCs w:val="24"/>
              </w:rPr>
              <w:t xml:space="preserve">develop, deliver and review and the CASPP. In this case, the professionals working with the family included: Key Worker from the Edge of Care Team; the school that Child 2 and 3 attended, including the school nurse; Child 4’s health visitor; a Key Worker from Young Carers, and a Housing Officer. </w:t>
            </w:r>
          </w:p>
          <w:p w14:paraId="3FEC8E26" w14:textId="77777777" w:rsidR="008D49CB" w:rsidRPr="00FD10BB" w:rsidRDefault="008D49CB" w:rsidP="001F4176">
            <w:pPr>
              <w:jc w:val="both"/>
              <w:rPr>
                <w:sz w:val="24"/>
                <w:szCs w:val="24"/>
              </w:rPr>
            </w:pPr>
          </w:p>
          <w:p w14:paraId="71160F95" w14:textId="42B416D4" w:rsidR="008D49CB" w:rsidRDefault="008D49CB" w:rsidP="001F4176">
            <w:pPr>
              <w:jc w:val="both"/>
              <w:rPr>
                <w:sz w:val="24"/>
                <w:szCs w:val="24"/>
              </w:rPr>
            </w:pPr>
            <w:r w:rsidRPr="00FD10BB">
              <w:rPr>
                <w:sz w:val="24"/>
                <w:szCs w:val="24"/>
              </w:rPr>
              <w:t>Multi-agency working is an important element of the co-production principle in the SSWW Act 2014 and is considered “</w:t>
            </w:r>
            <w:r w:rsidRPr="00FD10BB">
              <w:rPr>
                <w:i/>
                <w:sz w:val="24"/>
                <w:szCs w:val="24"/>
              </w:rPr>
              <w:t>the cornerstone of effective child protection</w:t>
            </w:r>
            <w:r w:rsidRPr="00FD10BB">
              <w:rPr>
                <w:sz w:val="24"/>
                <w:szCs w:val="24"/>
              </w:rPr>
              <w:t>” (Dixon et al. 2022, p. 438). I found the core group meeting invaluable as it provided a forum for other professionals to share different information and advice on the family’s situation to identify appropriate intervention to address the risks. For example, the housing officer was able to signpost Adult A to schemes within their organisation to improve home conditions, such as tenancy support. The meeting was effective in establishing a CASPP for the family; we collaboratively identified realistic outcomes for the family that everyone agreed with. One outcome was to complete an urgent referral to the Community Mental Health Team (CMHT), as Adult 1’s poor mental health was identified as a major risk to the children’s wellbeing and safety. Following the meeting, I wrote up the CASPP in clear and simple format and sent it all members of the core group. I ensured that each action to reach outcomes had a designated professional / family member responsible for it. Professionals taking ownership and responsibility for addressing needs and avoiding duplication is considered a merit of a multi-agency approach (</w:t>
            </w:r>
            <w:proofErr w:type="spellStart"/>
            <w:r w:rsidRPr="00FD10BB">
              <w:rPr>
                <w:sz w:val="24"/>
                <w:szCs w:val="24"/>
              </w:rPr>
              <w:t>Cheminais</w:t>
            </w:r>
            <w:proofErr w:type="spellEnd"/>
            <w:r w:rsidRPr="00FD10BB">
              <w:rPr>
                <w:sz w:val="24"/>
                <w:szCs w:val="24"/>
              </w:rPr>
              <w:t xml:space="preserve">, 2013). </w:t>
            </w:r>
          </w:p>
          <w:p w14:paraId="7660C7C7" w14:textId="77777777" w:rsidR="008D49CB" w:rsidRPr="00FD10BB" w:rsidRDefault="008D49CB" w:rsidP="001F4176">
            <w:pPr>
              <w:jc w:val="both"/>
              <w:rPr>
                <w:sz w:val="24"/>
                <w:szCs w:val="24"/>
              </w:rPr>
            </w:pPr>
          </w:p>
          <w:p w14:paraId="79DD18D9" w14:textId="5906FD62" w:rsidR="008D49CB" w:rsidRDefault="008D49CB" w:rsidP="001F4176">
            <w:pPr>
              <w:jc w:val="both"/>
              <w:rPr>
                <w:sz w:val="24"/>
                <w:szCs w:val="24"/>
              </w:rPr>
            </w:pPr>
            <w:r w:rsidRPr="00FD10BB">
              <w:rPr>
                <w:sz w:val="24"/>
                <w:szCs w:val="24"/>
              </w:rPr>
              <w:t xml:space="preserve">Having said this, I found that working in a multi-agency approach was challenging at times; especially in relation to helping Adult 1 access support from the CMHT. Despite referrals to the service by the GP, highlighting the risks posed to the children as a result of </w:t>
            </w:r>
            <w:proofErr w:type="gramStart"/>
            <w:r w:rsidRPr="00FD10BB">
              <w:rPr>
                <w:sz w:val="24"/>
                <w:szCs w:val="24"/>
              </w:rPr>
              <w:t>Adult</w:t>
            </w:r>
            <w:proofErr w:type="gramEnd"/>
            <w:r w:rsidRPr="00FD10BB">
              <w:rPr>
                <w:sz w:val="24"/>
                <w:szCs w:val="24"/>
              </w:rPr>
              <w:t xml:space="preserve"> 1’r poor mental health, only limited support was provided. Due to the COVID-19 pandemic, Adult 1 was offered an initial assessment via video conference but was unable to attend to having no phone / internet signal in her home, which delayed her access to the service. Research by Mind Cymru (2020) found being unable to use phone or video-call technology was a major barrier preventing individuals from accessing CMHT. Following assessment, the service gave her a diagnosis, prescribed medication and placed her on a lengthy waiting list for psychological therapy; between April 2019 – August 2020 there was on average 747 people waiting longer than a year to access therapy via CMHT in Wales (Mind Cymru, 2021). This made me feel frustrated as I believed CMHT’s procedures and protocols conflicted with their overarching duty to safeguard the children (Welsh Government, 2014c). A delay in actioning appropriate intervention for </w:t>
            </w:r>
            <w:proofErr w:type="gramStart"/>
            <w:r w:rsidRPr="00FD10BB">
              <w:rPr>
                <w:sz w:val="24"/>
                <w:szCs w:val="24"/>
              </w:rPr>
              <w:t>Adult</w:t>
            </w:r>
            <w:proofErr w:type="gramEnd"/>
            <w:r w:rsidRPr="00FD10BB">
              <w:rPr>
                <w:sz w:val="24"/>
                <w:szCs w:val="24"/>
              </w:rPr>
              <w:t xml:space="preserve"> 1 increased the risk to the children’s wellbeing and safety. Having said this, I also acknowledged that the service capacity to provide services is currently hampered by issues such as increased demand in service, staff shortages, and inadequate funding (Care Quality Commissioning, 2022). </w:t>
            </w:r>
          </w:p>
          <w:p w14:paraId="320F2AE7" w14:textId="77777777" w:rsidR="008D49CB" w:rsidRPr="00FD10BB" w:rsidRDefault="008D49CB" w:rsidP="001F4176">
            <w:pPr>
              <w:jc w:val="both"/>
              <w:rPr>
                <w:sz w:val="24"/>
                <w:szCs w:val="24"/>
              </w:rPr>
            </w:pPr>
          </w:p>
          <w:p w14:paraId="0AEDB351" w14:textId="6DEAB307" w:rsidR="008D49CB" w:rsidRDefault="008D49CB" w:rsidP="001F4176">
            <w:pPr>
              <w:jc w:val="both"/>
              <w:rPr>
                <w:sz w:val="24"/>
                <w:szCs w:val="24"/>
              </w:rPr>
            </w:pPr>
            <w:r w:rsidRPr="00FD10BB">
              <w:rPr>
                <w:sz w:val="24"/>
                <w:szCs w:val="24"/>
              </w:rPr>
              <w:t xml:space="preserve">Another conflict that I encountered in my practice was a contrast in how CMHT and </w:t>
            </w:r>
            <w:r>
              <w:rPr>
                <w:sz w:val="24"/>
                <w:szCs w:val="24"/>
              </w:rPr>
              <w:t>children’s social services</w:t>
            </w:r>
            <w:r w:rsidRPr="00FD10BB">
              <w:rPr>
                <w:sz w:val="24"/>
                <w:szCs w:val="24"/>
              </w:rPr>
              <w:t xml:space="preserve"> operated. I considered that the CMHT predominately adhered to the medical model of disability. Derived from a biological perspective, the model views impairments, such as mental health issues, as a disease that can be cured via medical treatments, therapy, counselling, or behavioural programmes. The medical model encourages practitioners to diagnose an illness, suggest a prognosis and prescribe treatment (Rogers and Pilgrim, 2014). To some extent, this model was beneficial for </w:t>
            </w:r>
            <w:proofErr w:type="gramStart"/>
            <w:r w:rsidRPr="00FD10BB">
              <w:rPr>
                <w:sz w:val="24"/>
                <w:szCs w:val="24"/>
              </w:rPr>
              <w:t>Adult</w:t>
            </w:r>
            <w:proofErr w:type="gramEnd"/>
            <w:r w:rsidRPr="00FD10BB">
              <w:rPr>
                <w:sz w:val="24"/>
                <w:szCs w:val="24"/>
              </w:rPr>
              <w:t xml:space="preserve"> 1, as a diagnosis of ‘emotional unstable personality disorder’ enabled her to access additional welfare benefits such as Personal Independent Payments to support the family financially. However, I considered Adult 1’s mental health in the context of the social model of disability. According to this model, a disability is a result of societal discriminatory and oppressive attitudes towards individuals with an impairment, such as discriminatory health and social care services, inaccessible transport, and housing (Shakespeare, 2013; Oliver, 2009). In Adult 1’s case, the housing association refused her application for a house transfer to a more populated area, as the poor housing conditions and damages to her property, because of her mental health, breach her current tenancy agreement. I considered that this is an example of how the housing association’s operating policies discriminated against Adult’1 mental health issue and in turn, had a detrimental impact on the children. It was also an issue</w:t>
            </w:r>
            <w:r>
              <w:rPr>
                <w:sz w:val="24"/>
                <w:szCs w:val="24"/>
              </w:rPr>
              <w:t xml:space="preserve"> that I felt</w:t>
            </w:r>
            <w:r w:rsidRPr="00FD10BB">
              <w:rPr>
                <w:sz w:val="24"/>
                <w:szCs w:val="24"/>
              </w:rPr>
              <w:t xml:space="preserve"> the CMHT overlooked due to their focus on the medical model of disability. </w:t>
            </w:r>
          </w:p>
          <w:p w14:paraId="5C04E445" w14:textId="77777777" w:rsidR="008D49CB" w:rsidRDefault="008D49CB" w:rsidP="001F4176">
            <w:pPr>
              <w:jc w:val="both"/>
              <w:rPr>
                <w:sz w:val="24"/>
                <w:szCs w:val="24"/>
              </w:rPr>
            </w:pPr>
          </w:p>
          <w:p w14:paraId="42B60D99" w14:textId="5485622C" w:rsidR="008D49CB" w:rsidRDefault="008D49CB" w:rsidP="001F4176">
            <w:pPr>
              <w:jc w:val="both"/>
              <w:rPr>
                <w:sz w:val="24"/>
                <w:szCs w:val="24"/>
              </w:rPr>
            </w:pPr>
            <w:r>
              <w:rPr>
                <w:sz w:val="24"/>
                <w:szCs w:val="24"/>
              </w:rPr>
              <w:t>A crucial element of my risk assessment was to assess Adult’1 capacity to change. Capacity to change is significant in relation to decision-making in the child protection arena and involves considering a “</w:t>
            </w:r>
            <w:r w:rsidRPr="00086445">
              <w:rPr>
                <w:i/>
                <w:sz w:val="24"/>
                <w:szCs w:val="24"/>
              </w:rPr>
              <w:t>combination of attributes, capabilities, motivations and contextual factors”</w:t>
            </w:r>
            <w:r>
              <w:rPr>
                <w:sz w:val="24"/>
                <w:szCs w:val="24"/>
              </w:rPr>
              <w:t xml:space="preserve"> that enables parents to make changes to benefit children and demonstrate that they can address identified risks that are detrimental to the child’s welfare (Platt, 2015, p. 4).  A model that I utilised to inform my professional judgement of </w:t>
            </w:r>
            <w:proofErr w:type="gramStart"/>
            <w:r>
              <w:rPr>
                <w:sz w:val="24"/>
                <w:szCs w:val="24"/>
              </w:rPr>
              <w:t>Adult</w:t>
            </w:r>
            <w:proofErr w:type="gramEnd"/>
            <w:r>
              <w:rPr>
                <w:sz w:val="24"/>
                <w:szCs w:val="24"/>
              </w:rPr>
              <w:t xml:space="preserve"> 1’s capacity to change was the ‘stages of change’ model. The model proposes that behavioural change occurs in five different stages</w:t>
            </w:r>
            <w:r w:rsidRPr="00FD10BB">
              <w:rPr>
                <w:sz w:val="24"/>
                <w:szCs w:val="24"/>
              </w:rPr>
              <w:t xml:space="preserve">: pre-contemplation; contemplation; preparation; action and maintenance. I assessed that Adult 1 fluctuated dramatically between contemplation (individual is considering changing a particular problem / behaviour) and preparation stages (individual is intending to act immediate to address problem / behaviour and is reporting small changes) (Trevithick, 2012; Connor et al. 2013). </w:t>
            </w:r>
            <w:r>
              <w:rPr>
                <w:sz w:val="24"/>
                <w:szCs w:val="24"/>
              </w:rPr>
              <w:t xml:space="preserve">A clear pattern began to emerge in terms of her approach to changing her behaviours; she would only engage with available support at a point of crisis (preparation) but would </w:t>
            </w:r>
            <w:proofErr w:type="gramStart"/>
            <w:r>
              <w:rPr>
                <w:sz w:val="24"/>
                <w:szCs w:val="24"/>
              </w:rPr>
              <w:t>revert back</w:t>
            </w:r>
            <w:proofErr w:type="gramEnd"/>
            <w:r>
              <w:rPr>
                <w:sz w:val="24"/>
                <w:szCs w:val="24"/>
              </w:rPr>
              <w:t xml:space="preserve"> to old behaviours (poor engagement, substance misuse, and chaotic behaviours) after a short period of time (contemplation). Trevithick (2012) explains that change is complex; </w:t>
            </w:r>
            <w:r w:rsidRPr="00FD10BB">
              <w:rPr>
                <w:sz w:val="24"/>
                <w:szCs w:val="24"/>
              </w:rPr>
              <w:t>it is not a linear but a spiral process,</w:t>
            </w:r>
            <w:r>
              <w:rPr>
                <w:sz w:val="24"/>
                <w:szCs w:val="24"/>
              </w:rPr>
              <w:t xml:space="preserve"> thus </w:t>
            </w:r>
            <w:r w:rsidRPr="00FD10BB">
              <w:rPr>
                <w:sz w:val="24"/>
                <w:szCs w:val="24"/>
              </w:rPr>
              <w:t>relapse to problematic behaviour</w:t>
            </w:r>
            <w:r>
              <w:rPr>
                <w:sz w:val="24"/>
                <w:szCs w:val="24"/>
              </w:rPr>
              <w:t>s</w:t>
            </w:r>
            <w:r w:rsidRPr="00FD10BB">
              <w:rPr>
                <w:sz w:val="24"/>
                <w:szCs w:val="24"/>
              </w:rPr>
              <w:t xml:space="preserve"> can occur at any time. </w:t>
            </w:r>
            <w:r>
              <w:rPr>
                <w:sz w:val="24"/>
                <w:szCs w:val="24"/>
              </w:rPr>
              <w:t xml:space="preserve">Whilst the model enabled me to assess Adult’1 psychological readiness to change, Ward et al. (2014) warns that it has limitation when assessing individuals with multifaceted problems. This is because readiness to change varies across problems and a parent who is ready to address one problem may not necessarily be ready to address another (Ward et al. 2014). This was an issue that I encountered with Adult 1; whilst she demonstrated her willingness to address her poor mental health, she did not consider her illicit substance misuse to be a problem or a risk to the children welfare and safety (pre-contemplation). </w:t>
            </w:r>
          </w:p>
          <w:p w14:paraId="5D347AF3" w14:textId="77777777" w:rsidR="008D49CB" w:rsidRDefault="008D49CB" w:rsidP="001F4176">
            <w:pPr>
              <w:jc w:val="both"/>
              <w:rPr>
                <w:sz w:val="24"/>
                <w:szCs w:val="24"/>
              </w:rPr>
            </w:pPr>
          </w:p>
          <w:p w14:paraId="415DAA59" w14:textId="77777777" w:rsidR="008D49CB" w:rsidRDefault="008D49CB" w:rsidP="001F4176">
            <w:pPr>
              <w:jc w:val="both"/>
              <w:rPr>
                <w:sz w:val="24"/>
                <w:szCs w:val="24"/>
              </w:rPr>
            </w:pPr>
            <w:r>
              <w:rPr>
                <w:sz w:val="24"/>
                <w:szCs w:val="24"/>
              </w:rPr>
              <w:t xml:space="preserve">The assessment process required me to exercise professional judgement. Turney et al. (2012) states that the ability to utilise professional judgement is dependent on a combination of academic / research knowledge and practice / case-specific knowledge. In this case, I felt my confidence in exercising my professional judgement had grown as I had developed my academic / research knowledge base extensively since qualifying by attending various training sessions. Form using the ecological model, I also felt that I had good insight into the case history and current issues facing the family. However, professional judgement should not be exercised in vacuum and should be open to scrutiny (Turney et al. 2012). Therefore, I discussed the case at length with my manager during reflective supervision sessions. Finding time for supervision was challenging at times due to workload demands. However, I found supervision invaluable in considering the case from different perspectives and obtaining a degree of objectivity to my practice; objectivity helps to counter undesirable attributes of practice such as bias and prejudice, which are often done unconsciously and difficult to eradicate (Munro and Hardie, 2018). Supervision also provided me with space to think more analytically about the risk of harm posed to the children as my manager encouraged me to think more critically. </w:t>
            </w:r>
          </w:p>
          <w:p w14:paraId="415CEBA7" w14:textId="77777777" w:rsidR="008D49CB" w:rsidRDefault="008D49CB" w:rsidP="001F4176">
            <w:pPr>
              <w:jc w:val="both"/>
              <w:rPr>
                <w:sz w:val="24"/>
                <w:szCs w:val="24"/>
              </w:rPr>
            </w:pPr>
          </w:p>
          <w:p w14:paraId="24C93EE9" w14:textId="4C4F3EB2" w:rsidR="008D49CB" w:rsidRDefault="008D49CB" w:rsidP="001F4176">
            <w:pPr>
              <w:jc w:val="both"/>
              <w:rPr>
                <w:sz w:val="24"/>
                <w:szCs w:val="24"/>
              </w:rPr>
            </w:pPr>
            <w:r>
              <w:rPr>
                <w:sz w:val="24"/>
                <w:szCs w:val="24"/>
              </w:rPr>
              <w:t xml:space="preserve">Ultimately, I made the professional judgement that Adult 1 would need to make sufficient changes to reduce the risk of significant harm to the Child 2, 3 and 4, which was not possible within their timeframe. Thus, to safeguard from further harm, I considered that an application to the Court for an Interim Care Order (ICO) under s. 38 of the Children Act 1989 was necessary, in order to remove the children from </w:t>
            </w:r>
            <w:proofErr w:type="gramStart"/>
            <w:r>
              <w:rPr>
                <w:sz w:val="24"/>
                <w:szCs w:val="24"/>
              </w:rPr>
              <w:t>Adult</w:t>
            </w:r>
            <w:proofErr w:type="gramEnd"/>
            <w:r>
              <w:rPr>
                <w:sz w:val="24"/>
                <w:szCs w:val="24"/>
              </w:rPr>
              <w:t xml:space="preserve"> 1’s care. I was aware that this had implications on </w:t>
            </w:r>
            <w:proofErr w:type="gramStart"/>
            <w:r>
              <w:rPr>
                <w:sz w:val="24"/>
                <w:szCs w:val="24"/>
              </w:rPr>
              <w:t>Adult</w:t>
            </w:r>
            <w:proofErr w:type="gramEnd"/>
            <w:r>
              <w:rPr>
                <w:sz w:val="24"/>
                <w:szCs w:val="24"/>
              </w:rPr>
              <w:t xml:space="preserve"> 1 and the children’s human rights. Article 8 of the European Convention of Human Rights (hereby referred to as ECHR) (2023) establishes the right to respect for a private and family life. Removing the children from </w:t>
            </w:r>
            <w:proofErr w:type="gramStart"/>
            <w:r>
              <w:rPr>
                <w:sz w:val="24"/>
                <w:szCs w:val="24"/>
              </w:rPr>
              <w:t>Adult</w:t>
            </w:r>
            <w:proofErr w:type="gramEnd"/>
            <w:r>
              <w:rPr>
                <w:sz w:val="24"/>
                <w:szCs w:val="24"/>
              </w:rPr>
              <w:t xml:space="preserve"> 1’s care would breach this right. However, Article 3 of the ECHR (2023) establishes the “</w:t>
            </w:r>
            <w:r w:rsidRPr="007F378B">
              <w:rPr>
                <w:i/>
                <w:sz w:val="24"/>
                <w:szCs w:val="24"/>
              </w:rPr>
              <w:t>right not to be tortured or treated in an inhumane or degrading way</w:t>
            </w:r>
            <w:r>
              <w:rPr>
                <w:sz w:val="24"/>
                <w:szCs w:val="24"/>
              </w:rPr>
              <w:t xml:space="preserve">”. Likewise, Article 19 of the UNCRC (2023) recognises that children must be protected from violence, </w:t>
            </w:r>
            <w:proofErr w:type="gramStart"/>
            <w:r>
              <w:rPr>
                <w:sz w:val="24"/>
                <w:szCs w:val="24"/>
              </w:rPr>
              <w:t>abuse</w:t>
            </w:r>
            <w:proofErr w:type="gramEnd"/>
            <w:r>
              <w:rPr>
                <w:sz w:val="24"/>
                <w:szCs w:val="24"/>
              </w:rPr>
              <w:t xml:space="preserve"> and neglect and that, in some cases, separation from parents may sometimes be necessary for the child’s best interest (</w:t>
            </w:r>
            <w:proofErr w:type="spellStart"/>
            <w:r>
              <w:rPr>
                <w:sz w:val="24"/>
                <w:szCs w:val="24"/>
              </w:rPr>
              <w:t>Sanberg</w:t>
            </w:r>
            <w:proofErr w:type="spellEnd"/>
            <w:r>
              <w:rPr>
                <w:sz w:val="24"/>
                <w:szCs w:val="24"/>
              </w:rPr>
              <w:t xml:space="preserve">, 2018). </w:t>
            </w:r>
          </w:p>
          <w:p w14:paraId="577F30EF" w14:textId="77777777" w:rsidR="008D49CB" w:rsidRDefault="008D49CB" w:rsidP="001F4176">
            <w:pPr>
              <w:jc w:val="both"/>
              <w:rPr>
                <w:sz w:val="24"/>
                <w:szCs w:val="24"/>
              </w:rPr>
            </w:pPr>
          </w:p>
          <w:p w14:paraId="458514D2" w14:textId="77777777" w:rsidR="008D49CB" w:rsidRDefault="008D49CB" w:rsidP="001F4176">
            <w:pPr>
              <w:jc w:val="both"/>
              <w:rPr>
                <w:sz w:val="24"/>
                <w:szCs w:val="24"/>
              </w:rPr>
            </w:pPr>
            <w:r>
              <w:rPr>
                <w:sz w:val="24"/>
                <w:szCs w:val="24"/>
              </w:rPr>
              <w:t>Sadly, before an application to Court for an ICO was submitted,</w:t>
            </w:r>
            <w:r w:rsidRPr="00FD10BB">
              <w:rPr>
                <w:sz w:val="24"/>
                <w:szCs w:val="24"/>
              </w:rPr>
              <w:t xml:space="preserve"> all three children were removed from </w:t>
            </w:r>
            <w:r>
              <w:rPr>
                <w:sz w:val="24"/>
                <w:szCs w:val="24"/>
              </w:rPr>
              <w:t xml:space="preserve">their mother’s </w:t>
            </w:r>
            <w:r w:rsidRPr="00FD10BB">
              <w:rPr>
                <w:sz w:val="24"/>
                <w:szCs w:val="24"/>
              </w:rPr>
              <w:t>care under emergency Police Protection Order</w:t>
            </w:r>
            <w:r>
              <w:rPr>
                <w:sz w:val="24"/>
                <w:szCs w:val="24"/>
              </w:rPr>
              <w:t>s (PPO) and placed in Local Authority Foster Care (Children Act 1989, section 46). This was because Adult 1 was sectioned under section 5 (2) of the Mental</w:t>
            </w:r>
            <w:r w:rsidRPr="00FD10BB">
              <w:rPr>
                <w:sz w:val="24"/>
                <w:szCs w:val="24"/>
              </w:rPr>
              <w:t xml:space="preserve"> Health Act 1983</w:t>
            </w:r>
            <w:r>
              <w:rPr>
                <w:sz w:val="24"/>
                <w:szCs w:val="24"/>
              </w:rPr>
              <w:t xml:space="preserve"> after experiencing a significant mental health episode, and later sectioned for 28 days under section 2 of the Act; thus, she was not assessed has having any capacity to care or exercise Parental Responsibility for the children.  When the PPO expired, I applied for an Emergency Protection Order (section 44, Children Act 1989) which was granted for a period of 8 days and later an Interim Care Order.</w:t>
            </w:r>
          </w:p>
          <w:p w14:paraId="1D7C8785" w14:textId="77777777" w:rsidR="008D49CB" w:rsidRDefault="008D49CB" w:rsidP="001F4176">
            <w:pPr>
              <w:jc w:val="both"/>
              <w:rPr>
                <w:sz w:val="24"/>
                <w:szCs w:val="24"/>
              </w:rPr>
            </w:pPr>
          </w:p>
          <w:p w14:paraId="4D67BAE1" w14:textId="77777777" w:rsidR="008D49CB" w:rsidRDefault="008D49CB" w:rsidP="001F4176">
            <w:pPr>
              <w:jc w:val="both"/>
              <w:rPr>
                <w:sz w:val="24"/>
                <w:szCs w:val="24"/>
              </w:rPr>
            </w:pPr>
            <w:r>
              <w:rPr>
                <w:sz w:val="24"/>
                <w:szCs w:val="24"/>
              </w:rPr>
              <w:t xml:space="preserve">During this practice, my knowledge of child protection processes and practical skills of working in collaboratively with individuals was greatly enhanced. However, I felt very frustrated due to a weakness in the multi-agency approach, particularly in terms of the input from the CMHT and housing. I considered Adult 1 was not offered the intensive mental health and housing support that she required, which placed in a ‘catch-22’ situation. However, I acknowledge that both services have their own demands and priorities. I also found it difficult maintain my professional conduct as my frustrations impacted my ability to do so. To manage this in future, I will use supervision to reflect on my personal feelings to ensure that it does not impact my practice. </w:t>
            </w:r>
          </w:p>
          <w:p w14:paraId="1F79211B" w14:textId="77777777" w:rsidR="008D49CB" w:rsidRDefault="008D49CB" w:rsidP="001F4176">
            <w:pPr>
              <w:jc w:val="both"/>
              <w:rPr>
                <w:sz w:val="24"/>
                <w:szCs w:val="24"/>
              </w:rPr>
            </w:pPr>
          </w:p>
          <w:p w14:paraId="04F7DAB6" w14:textId="0736202C" w:rsidR="008D49CB" w:rsidRDefault="008D49CB" w:rsidP="001F4176">
            <w:pPr>
              <w:jc w:val="both"/>
              <w:rPr>
                <w:i/>
                <w:sz w:val="24"/>
                <w:szCs w:val="24"/>
              </w:rPr>
            </w:pPr>
            <w:r w:rsidRPr="00DF7F8D">
              <w:rPr>
                <w:i/>
                <w:sz w:val="24"/>
                <w:szCs w:val="24"/>
              </w:rPr>
              <w:t>Word Count: 43</w:t>
            </w:r>
            <w:r>
              <w:rPr>
                <w:i/>
                <w:sz w:val="24"/>
                <w:szCs w:val="24"/>
              </w:rPr>
              <w:t>73</w:t>
            </w:r>
          </w:p>
          <w:p w14:paraId="338E19B0" w14:textId="77777777" w:rsidR="008D49CB" w:rsidRDefault="008D49CB" w:rsidP="001F4176">
            <w:pPr>
              <w:jc w:val="both"/>
              <w:rPr>
                <w:i/>
                <w:sz w:val="24"/>
                <w:szCs w:val="24"/>
              </w:rPr>
            </w:pPr>
          </w:p>
          <w:p w14:paraId="6D7C36CC" w14:textId="77777777" w:rsidR="008D49CB" w:rsidRPr="008B28E7" w:rsidRDefault="008D49CB" w:rsidP="001F4176">
            <w:pPr>
              <w:jc w:val="both"/>
              <w:rPr>
                <w:sz w:val="24"/>
                <w:szCs w:val="24"/>
              </w:rPr>
            </w:pPr>
          </w:p>
        </w:tc>
      </w:tr>
    </w:tbl>
    <w:p w14:paraId="7911FA28" w14:textId="77777777" w:rsidR="008C738F" w:rsidRPr="00B84C97" w:rsidRDefault="008C738F" w:rsidP="0023718B">
      <w:pPr>
        <w:jc w:val="both"/>
        <w:rPr>
          <w:sz w:val="24"/>
          <w:szCs w:val="24"/>
        </w:rPr>
      </w:pPr>
    </w:p>
    <w:sectPr w:rsidR="008C738F" w:rsidRPr="00B84C9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B45A1" w14:textId="77777777" w:rsidR="00A865FE" w:rsidRDefault="00A865FE" w:rsidP="00140DF2">
      <w:r>
        <w:separator/>
      </w:r>
    </w:p>
  </w:endnote>
  <w:endnote w:type="continuationSeparator" w:id="0">
    <w:p w14:paraId="025DC041" w14:textId="77777777" w:rsidR="00A865FE" w:rsidRDefault="00A865FE" w:rsidP="00140D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082059"/>
      <w:docPartObj>
        <w:docPartGallery w:val="Page Numbers (Bottom of Page)"/>
        <w:docPartUnique/>
      </w:docPartObj>
    </w:sdtPr>
    <w:sdtEndPr/>
    <w:sdtContent>
      <w:p w14:paraId="5898519E" w14:textId="77777777" w:rsidR="0051216E" w:rsidRDefault="0051216E">
        <w:pPr>
          <w:pStyle w:val="Troedyn"/>
          <w:jc w:val="center"/>
        </w:pPr>
        <w:r>
          <w:fldChar w:fldCharType="begin"/>
        </w:r>
        <w:r>
          <w:instrText>PAGE   \* MERGEFORMAT</w:instrText>
        </w:r>
        <w:r>
          <w:fldChar w:fldCharType="separate"/>
        </w:r>
        <w:r>
          <w:rPr>
            <w:lang w:val="cy-GB"/>
          </w:rPr>
          <w:t>2</w:t>
        </w:r>
        <w:r>
          <w:fldChar w:fldCharType="end"/>
        </w:r>
      </w:p>
    </w:sdtContent>
  </w:sdt>
  <w:p w14:paraId="668003D2" w14:textId="77777777" w:rsidR="0051216E" w:rsidRDefault="0051216E">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03B3A" w14:textId="77777777" w:rsidR="00A865FE" w:rsidRDefault="00A865FE" w:rsidP="00140DF2">
      <w:r>
        <w:separator/>
      </w:r>
    </w:p>
  </w:footnote>
  <w:footnote w:type="continuationSeparator" w:id="0">
    <w:p w14:paraId="02D4A12C" w14:textId="77777777" w:rsidR="00A865FE" w:rsidRDefault="00A865FE" w:rsidP="00140D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26CCE"/>
    <w:multiLevelType w:val="hybridMultilevel"/>
    <w:tmpl w:val="B3E84A82"/>
    <w:lvl w:ilvl="0" w:tplc="04520005">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2EEE132F"/>
    <w:multiLevelType w:val="hybridMultilevel"/>
    <w:tmpl w:val="37A29830"/>
    <w:lvl w:ilvl="0" w:tplc="04520005">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811"/>
    <w:rsid w:val="00000110"/>
    <w:rsid w:val="000014AE"/>
    <w:rsid w:val="000057CE"/>
    <w:rsid w:val="00006777"/>
    <w:rsid w:val="00011ED2"/>
    <w:rsid w:val="0001292A"/>
    <w:rsid w:val="00013879"/>
    <w:rsid w:val="00017CBF"/>
    <w:rsid w:val="00025B2C"/>
    <w:rsid w:val="00030A0F"/>
    <w:rsid w:val="00032026"/>
    <w:rsid w:val="00047AAF"/>
    <w:rsid w:val="000502DF"/>
    <w:rsid w:val="00061062"/>
    <w:rsid w:val="00062D8F"/>
    <w:rsid w:val="00076956"/>
    <w:rsid w:val="000823D4"/>
    <w:rsid w:val="00086445"/>
    <w:rsid w:val="000878DC"/>
    <w:rsid w:val="00090F57"/>
    <w:rsid w:val="00096D9B"/>
    <w:rsid w:val="00097582"/>
    <w:rsid w:val="000A0D15"/>
    <w:rsid w:val="000A2426"/>
    <w:rsid w:val="000B5D12"/>
    <w:rsid w:val="000B60F7"/>
    <w:rsid w:val="000D1D8E"/>
    <w:rsid w:val="000D1E36"/>
    <w:rsid w:val="000D2010"/>
    <w:rsid w:val="000D6F6F"/>
    <w:rsid w:val="000E1780"/>
    <w:rsid w:val="000E671C"/>
    <w:rsid w:val="00100092"/>
    <w:rsid w:val="00102178"/>
    <w:rsid w:val="00103CEB"/>
    <w:rsid w:val="00105374"/>
    <w:rsid w:val="00106894"/>
    <w:rsid w:val="00110DF6"/>
    <w:rsid w:val="001116B4"/>
    <w:rsid w:val="001157A3"/>
    <w:rsid w:val="00122E6D"/>
    <w:rsid w:val="00137224"/>
    <w:rsid w:val="00140DF2"/>
    <w:rsid w:val="00147216"/>
    <w:rsid w:val="0015292C"/>
    <w:rsid w:val="00153746"/>
    <w:rsid w:val="00154F61"/>
    <w:rsid w:val="00157927"/>
    <w:rsid w:val="0016328B"/>
    <w:rsid w:val="001749B8"/>
    <w:rsid w:val="0019062B"/>
    <w:rsid w:val="00192230"/>
    <w:rsid w:val="00194530"/>
    <w:rsid w:val="00195768"/>
    <w:rsid w:val="00196A6B"/>
    <w:rsid w:val="001A022F"/>
    <w:rsid w:val="001A3B2E"/>
    <w:rsid w:val="001B3AE7"/>
    <w:rsid w:val="001B77EE"/>
    <w:rsid w:val="001D3204"/>
    <w:rsid w:val="001D5620"/>
    <w:rsid w:val="001D6108"/>
    <w:rsid w:val="001D70DB"/>
    <w:rsid w:val="001E19D2"/>
    <w:rsid w:val="001E4538"/>
    <w:rsid w:val="001E7717"/>
    <w:rsid w:val="001F2BC2"/>
    <w:rsid w:val="00203243"/>
    <w:rsid w:val="00204E97"/>
    <w:rsid w:val="002136D3"/>
    <w:rsid w:val="00217ADC"/>
    <w:rsid w:val="00221E57"/>
    <w:rsid w:val="0022321D"/>
    <w:rsid w:val="00224EAF"/>
    <w:rsid w:val="00233486"/>
    <w:rsid w:val="0023718B"/>
    <w:rsid w:val="00240679"/>
    <w:rsid w:val="00240F5B"/>
    <w:rsid w:val="0024476A"/>
    <w:rsid w:val="002515A1"/>
    <w:rsid w:val="00255C5C"/>
    <w:rsid w:val="00281BF1"/>
    <w:rsid w:val="0028295B"/>
    <w:rsid w:val="00291329"/>
    <w:rsid w:val="002A2D0F"/>
    <w:rsid w:val="002A363A"/>
    <w:rsid w:val="002D6019"/>
    <w:rsid w:val="002E2AAA"/>
    <w:rsid w:val="002E3147"/>
    <w:rsid w:val="002E34C5"/>
    <w:rsid w:val="002E3697"/>
    <w:rsid w:val="002F1542"/>
    <w:rsid w:val="002F662E"/>
    <w:rsid w:val="00301AEC"/>
    <w:rsid w:val="00301FE6"/>
    <w:rsid w:val="0030320D"/>
    <w:rsid w:val="003075F2"/>
    <w:rsid w:val="0031018F"/>
    <w:rsid w:val="00311FDC"/>
    <w:rsid w:val="003145B2"/>
    <w:rsid w:val="003267DB"/>
    <w:rsid w:val="003317C9"/>
    <w:rsid w:val="003408D4"/>
    <w:rsid w:val="00341772"/>
    <w:rsid w:val="003442D9"/>
    <w:rsid w:val="00346BD7"/>
    <w:rsid w:val="00350C4E"/>
    <w:rsid w:val="00353E0E"/>
    <w:rsid w:val="0035561D"/>
    <w:rsid w:val="0036095A"/>
    <w:rsid w:val="0037291E"/>
    <w:rsid w:val="003942B4"/>
    <w:rsid w:val="00394D87"/>
    <w:rsid w:val="003B4D04"/>
    <w:rsid w:val="003B5391"/>
    <w:rsid w:val="003B6CBB"/>
    <w:rsid w:val="003C1D88"/>
    <w:rsid w:val="003D1EF7"/>
    <w:rsid w:val="003D5B3D"/>
    <w:rsid w:val="003D752A"/>
    <w:rsid w:val="00406ED7"/>
    <w:rsid w:val="004117AF"/>
    <w:rsid w:val="004212D2"/>
    <w:rsid w:val="00425BE1"/>
    <w:rsid w:val="00426FB4"/>
    <w:rsid w:val="00432585"/>
    <w:rsid w:val="004372A6"/>
    <w:rsid w:val="00441CE5"/>
    <w:rsid w:val="00446994"/>
    <w:rsid w:val="004514C1"/>
    <w:rsid w:val="0045267E"/>
    <w:rsid w:val="00452EDA"/>
    <w:rsid w:val="0045325B"/>
    <w:rsid w:val="00454CF7"/>
    <w:rsid w:val="004551CB"/>
    <w:rsid w:val="00456CCA"/>
    <w:rsid w:val="0047452A"/>
    <w:rsid w:val="00475127"/>
    <w:rsid w:val="00475A73"/>
    <w:rsid w:val="004816B5"/>
    <w:rsid w:val="0048191D"/>
    <w:rsid w:val="00484EC9"/>
    <w:rsid w:val="00490FA8"/>
    <w:rsid w:val="004923A2"/>
    <w:rsid w:val="00496C7B"/>
    <w:rsid w:val="004A0BAE"/>
    <w:rsid w:val="004A25BD"/>
    <w:rsid w:val="004B4363"/>
    <w:rsid w:val="004C13E4"/>
    <w:rsid w:val="004C1B8B"/>
    <w:rsid w:val="004C20A6"/>
    <w:rsid w:val="004C64AD"/>
    <w:rsid w:val="004C6811"/>
    <w:rsid w:val="004D195D"/>
    <w:rsid w:val="004D6C05"/>
    <w:rsid w:val="004D754A"/>
    <w:rsid w:val="004E2C41"/>
    <w:rsid w:val="004E4790"/>
    <w:rsid w:val="004E6C39"/>
    <w:rsid w:val="004F2EFD"/>
    <w:rsid w:val="004F546D"/>
    <w:rsid w:val="005034C4"/>
    <w:rsid w:val="00503897"/>
    <w:rsid w:val="00507128"/>
    <w:rsid w:val="00507181"/>
    <w:rsid w:val="00510427"/>
    <w:rsid w:val="00510FE2"/>
    <w:rsid w:val="005110F8"/>
    <w:rsid w:val="00511EA0"/>
    <w:rsid w:val="0051216E"/>
    <w:rsid w:val="0051556C"/>
    <w:rsid w:val="00522ADC"/>
    <w:rsid w:val="005230A6"/>
    <w:rsid w:val="00540FCA"/>
    <w:rsid w:val="00547247"/>
    <w:rsid w:val="00551D3B"/>
    <w:rsid w:val="00556F62"/>
    <w:rsid w:val="0057055D"/>
    <w:rsid w:val="00572427"/>
    <w:rsid w:val="00575E32"/>
    <w:rsid w:val="0058562C"/>
    <w:rsid w:val="00594661"/>
    <w:rsid w:val="00596E49"/>
    <w:rsid w:val="005A127E"/>
    <w:rsid w:val="005B350A"/>
    <w:rsid w:val="005B38E6"/>
    <w:rsid w:val="005C318B"/>
    <w:rsid w:val="005C4F2F"/>
    <w:rsid w:val="005D09FF"/>
    <w:rsid w:val="005D324B"/>
    <w:rsid w:val="005E32F0"/>
    <w:rsid w:val="005E3B0F"/>
    <w:rsid w:val="005E6923"/>
    <w:rsid w:val="005F182A"/>
    <w:rsid w:val="005F1C00"/>
    <w:rsid w:val="006007AA"/>
    <w:rsid w:val="00611D13"/>
    <w:rsid w:val="00613F44"/>
    <w:rsid w:val="00617DB8"/>
    <w:rsid w:val="0062535A"/>
    <w:rsid w:val="006349A6"/>
    <w:rsid w:val="00635BBF"/>
    <w:rsid w:val="00635CC0"/>
    <w:rsid w:val="006363AE"/>
    <w:rsid w:val="0064068B"/>
    <w:rsid w:val="00647712"/>
    <w:rsid w:val="00650230"/>
    <w:rsid w:val="00654126"/>
    <w:rsid w:val="00656DB3"/>
    <w:rsid w:val="00657183"/>
    <w:rsid w:val="00657570"/>
    <w:rsid w:val="0066039C"/>
    <w:rsid w:val="00661C22"/>
    <w:rsid w:val="006654D1"/>
    <w:rsid w:val="006764A0"/>
    <w:rsid w:val="0067691E"/>
    <w:rsid w:val="006927D0"/>
    <w:rsid w:val="0069543E"/>
    <w:rsid w:val="006967C2"/>
    <w:rsid w:val="0069770A"/>
    <w:rsid w:val="00697B57"/>
    <w:rsid w:val="006A05F5"/>
    <w:rsid w:val="006A680D"/>
    <w:rsid w:val="006B7574"/>
    <w:rsid w:val="006D3FD7"/>
    <w:rsid w:val="006E28D5"/>
    <w:rsid w:val="006F31C4"/>
    <w:rsid w:val="0070073B"/>
    <w:rsid w:val="00701B9F"/>
    <w:rsid w:val="00705D60"/>
    <w:rsid w:val="00706AAC"/>
    <w:rsid w:val="007112DD"/>
    <w:rsid w:val="00717E84"/>
    <w:rsid w:val="00725083"/>
    <w:rsid w:val="00726116"/>
    <w:rsid w:val="00730D66"/>
    <w:rsid w:val="00731B0B"/>
    <w:rsid w:val="007322F9"/>
    <w:rsid w:val="00732847"/>
    <w:rsid w:val="00732D27"/>
    <w:rsid w:val="007337E6"/>
    <w:rsid w:val="00733988"/>
    <w:rsid w:val="007439F8"/>
    <w:rsid w:val="007508A5"/>
    <w:rsid w:val="0075411D"/>
    <w:rsid w:val="00754784"/>
    <w:rsid w:val="00761797"/>
    <w:rsid w:val="007619EB"/>
    <w:rsid w:val="00763C34"/>
    <w:rsid w:val="00774310"/>
    <w:rsid w:val="00775FA2"/>
    <w:rsid w:val="00784F73"/>
    <w:rsid w:val="00786E9C"/>
    <w:rsid w:val="0079167C"/>
    <w:rsid w:val="007947B3"/>
    <w:rsid w:val="007A20B7"/>
    <w:rsid w:val="007A383E"/>
    <w:rsid w:val="007B01DD"/>
    <w:rsid w:val="007B12FE"/>
    <w:rsid w:val="007B170E"/>
    <w:rsid w:val="007C0FDA"/>
    <w:rsid w:val="007C3968"/>
    <w:rsid w:val="007C6697"/>
    <w:rsid w:val="007D0813"/>
    <w:rsid w:val="007D112A"/>
    <w:rsid w:val="007D2C6C"/>
    <w:rsid w:val="007D319C"/>
    <w:rsid w:val="007E2468"/>
    <w:rsid w:val="007E56DC"/>
    <w:rsid w:val="007F378B"/>
    <w:rsid w:val="007F71BC"/>
    <w:rsid w:val="00801EBE"/>
    <w:rsid w:val="00803273"/>
    <w:rsid w:val="00806E01"/>
    <w:rsid w:val="00822DC5"/>
    <w:rsid w:val="00842F2B"/>
    <w:rsid w:val="0087339B"/>
    <w:rsid w:val="00882D65"/>
    <w:rsid w:val="0089334C"/>
    <w:rsid w:val="00893429"/>
    <w:rsid w:val="00894E10"/>
    <w:rsid w:val="008A495E"/>
    <w:rsid w:val="008B6194"/>
    <w:rsid w:val="008C1725"/>
    <w:rsid w:val="008C738F"/>
    <w:rsid w:val="008D1AE8"/>
    <w:rsid w:val="008D2091"/>
    <w:rsid w:val="008D3575"/>
    <w:rsid w:val="008D49CB"/>
    <w:rsid w:val="008E5283"/>
    <w:rsid w:val="008E729D"/>
    <w:rsid w:val="008E7E98"/>
    <w:rsid w:val="008F07C8"/>
    <w:rsid w:val="008F47F5"/>
    <w:rsid w:val="008F4A96"/>
    <w:rsid w:val="008F7B51"/>
    <w:rsid w:val="00907781"/>
    <w:rsid w:val="00922D92"/>
    <w:rsid w:val="00922E96"/>
    <w:rsid w:val="00926E78"/>
    <w:rsid w:val="00931DC6"/>
    <w:rsid w:val="00934C48"/>
    <w:rsid w:val="009374EC"/>
    <w:rsid w:val="009503BE"/>
    <w:rsid w:val="009511AF"/>
    <w:rsid w:val="00951C67"/>
    <w:rsid w:val="00955E1A"/>
    <w:rsid w:val="00957F6D"/>
    <w:rsid w:val="00990A23"/>
    <w:rsid w:val="009A2902"/>
    <w:rsid w:val="009A7FC0"/>
    <w:rsid w:val="009B615E"/>
    <w:rsid w:val="009C3730"/>
    <w:rsid w:val="009C54A5"/>
    <w:rsid w:val="009E341F"/>
    <w:rsid w:val="009E38C8"/>
    <w:rsid w:val="009E3C9D"/>
    <w:rsid w:val="009F31EC"/>
    <w:rsid w:val="00A05455"/>
    <w:rsid w:val="00A06DA0"/>
    <w:rsid w:val="00A06DDA"/>
    <w:rsid w:val="00A15857"/>
    <w:rsid w:val="00A23166"/>
    <w:rsid w:val="00A25ED6"/>
    <w:rsid w:val="00A40321"/>
    <w:rsid w:val="00A4611D"/>
    <w:rsid w:val="00A55A15"/>
    <w:rsid w:val="00A67A3B"/>
    <w:rsid w:val="00A76E35"/>
    <w:rsid w:val="00A865FE"/>
    <w:rsid w:val="00A90868"/>
    <w:rsid w:val="00A93F1A"/>
    <w:rsid w:val="00A95B31"/>
    <w:rsid w:val="00AB23B2"/>
    <w:rsid w:val="00AB48A8"/>
    <w:rsid w:val="00AB4F2C"/>
    <w:rsid w:val="00AB62F0"/>
    <w:rsid w:val="00AC04EE"/>
    <w:rsid w:val="00AC3DE6"/>
    <w:rsid w:val="00AC772A"/>
    <w:rsid w:val="00AD1866"/>
    <w:rsid w:val="00AD452B"/>
    <w:rsid w:val="00AD70A9"/>
    <w:rsid w:val="00AD7FD6"/>
    <w:rsid w:val="00AE2CFC"/>
    <w:rsid w:val="00AE7F58"/>
    <w:rsid w:val="00AF27E6"/>
    <w:rsid w:val="00B00E77"/>
    <w:rsid w:val="00B01617"/>
    <w:rsid w:val="00B05A45"/>
    <w:rsid w:val="00B13F3D"/>
    <w:rsid w:val="00B25462"/>
    <w:rsid w:val="00B25F87"/>
    <w:rsid w:val="00B27AE7"/>
    <w:rsid w:val="00B31EFA"/>
    <w:rsid w:val="00B3453D"/>
    <w:rsid w:val="00B35EF2"/>
    <w:rsid w:val="00B50E3C"/>
    <w:rsid w:val="00B5143B"/>
    <w:rsid w:val="00B52440"/>
    <w:rsid w:val="00B5537F"/>
    <w:rsid w:val="00B562A7"/>
    <w:rsid w:val="00B574E4"/>
    <w:rsid w:val="00B647DC"/>
    <w:rsid w:val="00B64E65"/>
    <w:rsid w:val="00B665B9"/>
    <w:rsid w:val="00B71D26"/>
    <w:rsid w:val="00B725D8"/>
    <w:rsid w:val="00B7389B"/>
    <w:rsid w:val="00B74AFA"/>
    <w:rsid w:val="00B811AB"/>
    <w:rsid w:val="00B84C97"/>
    <w:rsid w:val="00B90151"/>
    <w:rsid w:val="00B9508D"/>
    <w:rsid w:val="00BA2F52"/>
    <w:rsid w:val="00BA7A0E"/>
    <w:rsid w:val="00BB5D39"/>
    <w:rsid w:val="00BC6C2A"/>
    <w:rsid w:val="00BD44F1"/>
    <w:rsid w:val="00BE1CF8"/>
    <w:rsid w:val="00BF1F4A"/>
    <w:rsid w:val="00BF20D1"/>
    <w:rsid w:val="00BF3F60"/>
    <w:rsid w:val="00BF4D97"/>
    <w:rsid w:val="00C000A5"/>
    <w:rsid w:val="00C151D2"/>
    <w:rsid w:val="00C2261B"/>
    <w:rsid w:val="00C23D0E"/>
    <w:rsid w:val="00C43BFE"/>
    <w:rsid w:val="00C467A4"/>
    <w:rsid w:val="00C51BEB"/>
    <w:rsid w:val="00C52D6B"/>
    <w:rsid w:val="00C658DF"/>
    <w:rsid w:val="00C67F5B"/>
    <w:rsid w:val="00C72C26"/>
    <w:rsid w:val="00C7385E"/>
    <w:rsid w:val="00C74ED4"/>
    <w:rsid w:val="00C76581"/>
    <w:rsid w:val="00C77AAC"/>
    <w:rsid w:val="00C80039"/>
    <w:rsid w:val="00C81CE7"/>
    <w:rsid w:val="00C84AF5"/>
    <w:rsid w:val="00C905BC"/>
    <w:rsid w:val="00C91819"/>
    <w:rsid w:val="00CA2767"/>
    <w:rsid w:val="00CB4E5A"/>
    <w:rsid w:val="00CC052A"/>
    <w:rsid w:val="00CC6A9D"/>
    <w:rsid w:val="00CD62B5"/>
    <w:rsid w:val="00CD7508"/>
    <w:rsid w:val="00CE0A19"/>
    <w:rsid w:val="00CE0C88"/>
    <w:rsid w:val="00CE19FD"/>
    <w:rsid w:val="00CF154B"/>
    <w:rsid w:val="00D0150C"/>
    <w:rsid w:val="00D023E1"/>
    <w:rsid w:val="00D17842"/>
    <w:rsid w:val="00D2349A"/>
    <w:rsid w:val="00D43DEC"/>
    <w:rsid w:val="00D445AF"/>
    <w:rsid w:val="00D46DC2"/>
    <w:rsid w:val="00D5789A"/>
    <w:rsid w:val="00D57EC4"/>
    <w:rsid w:val="00D83EBC"/>
    <w:rsid w:val="00D84C61"/>
    <w:rsid w:val="00DA14E8"/>
    <w:rsid w:val="00DB4CA0"/>
    <w:rsid w:val="00DB77B2"/>
    <w:rsid w:val="00DD1497"/>
    <w:rsid w:val="00DD1CEE"/>
    <w:rsid w:val="00DF113D"/>
    <w:rsid w:val="00DF7F8D"/>
    <w:rsid w:val="00E012F1"/>
    <w:rsid w:val="00E01767"/>
    <w:rsid w:val="00E02DB4"/>
    <w:rsid w:val="00E13826"/>
    <w:rsid w:val="00E23842"/>
    <w:rsid w:val="00E33952"/>
    <w:rsid w:val="00E35E17"/>
    <w:rsid w:val="00E36D23"/>
    <w:rsid w:val="00E44BCE"/>
    <w:rsid w:val="00E67659"/>
    <w:rsid w:val="00E67ACA"/>
    <w:rsid w:val="00E7035F"/>
    <w:rsid w:val="00E80958"/>
    <w:rsid w:val="00E84AB0"/>
    <w:rsid w:val="00E91D28"/>
    <w:rsid w:val="00E93500"/>
    <w:rsid w:val="00EB2616"/>
    <w:rsid w:val="00EB3D88"/>
    <w:rsid w:val="00EC023A"/>
    <w:rsid w:val="00EC2849"/>
    <w:rsid w:val="00EC2EBE"/>
    <w:rsid w:val="00ED0DCC"/>
    <w:rsid w:val="00ED182E"/>
    <w:rsid w:val="00ED36A8"/>
    <w:rsid w:val="00ED5332"/>
    <w:rsid w:val="00EE531A"/>
    <w:rsid w:val="00EF74E5"/>
    <w:rsid w:val="00F119A9"/>
    <w:rsid w:val="00F14955"/>
    <w:rsid w:val="00F1520E"/>
    <w:rsid w:val="00F160C8"/>
    <w:rsid w:val="00F221E2"/>
    <w:rsid w:val="00F24761"/>
    <w:rsid w:val="00F3144A"/>
    <w:rsid w:val="00F31506"/>
    <w:rsid w:val="00F53822"/>
    <w:rsid w:val="00F5426E"/>
    <w:rsid w:val="00F60482"/>
    <w:rsid w:val="00F6066C"/>
    <w:rsid w:val="00F62734"/>
    <w:rsid w:val="00F6361A"/>
    <w:rsid w:val="00F70DEC"/>
    <w:rsid w:val="00F7477B"/>
    <w:rsid w:val="00F82501"/>
    <w:rsid w:val="00F83E7D"/>
    <w:rsid w:val="00FA47B4"/>
    <w:rsid w:val="00FA6917"/>
    <w:rsid w:val="00FB3D0E"/>
    <w:rsid w:val="00FB76D9"/>
    <w:rsid w:val="00FC1191"/>
    <w:rsid w:val="00FC4182"/>
    <w:rsid w:val="00FC663F"/>
    <w:rsid w:val="00FD10BB"/>
    <w:rsid w:val="00FD4D8B"/>
    <w:rsid w:val="00FD5837"/>
    <w:rsid w:val="00FE29D3"/>
    <w:rsid w:val="00FE41EB"/>
    <w:rsid w:val="00FF31FA"/>
    <w:rsid w:val="00FF6E2E"/>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E3C41"/>
  <w15:chartTrackingRefBased/>
  <w15:docId w15:val="{E58D584A-8208-4706-B2E0-5BA70D4BB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9CB"/>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val="en-GB" w:eastAsia="en-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aragraffRhestr">
    <w:name w:val="List Paragraph"/>
    <w:basedOn w:val="Normal"/>
    <w:uiPriority w:val="34"/>
    <w:qFormat/>
    <w:rsid w:val="0023718B"/>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character" w:styleId="Hyperddolen">
    <w:name w:val="Hyperlink"/>
    <w:basedOn w:val="FfontParagraffDdiofyn"/>
    <w:uiPriority w:val="99"/>
    <w:unhideWhenUsed/>
    <w:rsid w:val="00D43DEC"/>
    <w:rPr>
      <w:color w:val="0000FF"/>
      <w:u w:val="single"/>
    </w:rPr>
  </w:style>
  <w:style w:type="paragraph" w:styleId="Pennyn">
    <w:name w:val="header"/>
    <w:basedOn w:val="Normal"/>
    <w:link w:val="PennynNod"/>
    <w:uiPriority w:val="99"/>
    <w:unhideWhenUsed/>
    <w:rsid w:val="00140DF2"/>
    <w:pPr>
      <w:tabs>
        <w:tab w:val="center" w:pos="4513"/>
        <w:tab w:val="right" w:pos="9026"/>
      </w:tabs>
      <w:overflowPunct/>
      <w:autoSpaceDE/>
      <w:autoSpaceDN/>
      <w:adjustRightInd/>
      <w:textAlignment w:val="auto"/>
    </w:pPr>
    <w:rPr>
      <w:rFonts w:asciiTheme="minorHAnsi" w:eastAsiaTheme="minorHAnsi" w:hAnsiTheme="minorHAnsi" w:cstheme="minorBidi"/>
      <w:color w:val="auto"/>
      <w:sz w:val="22"/>
      <w:szCs w:val="22"/>
      <w:lang w:eastAsia="en-US"/>
    </w:rPr>
  </w:style>
  <w:style w:type="character" w:customStyle="1" w:styleId="PennynNod">
    <w:name w:val="Pennyn Nod"/>
    <w:basedOn w:val="FfontParagraffDdiofyn"/>
    <w:link w:val="Pennyn"/>
    <w:uiPriority w:val="99"/>
    <w:rsid w:val="00140DF2"/>
    <w:rPr>
      <w:lang w:val="en-GB"/>
    </w:rPr>
  </w:style>
  <w:style w:type="paragraph" w:styleId="Troedyn">
    <w:name w:val="footer"/>
    <w:basedOn w:val="Normal"/>
    <w:link w:val="TroedynNod"/>
    <w:uiPriority w:val="99"/>
    <w:unhideWhenUsed/>
    <w:rsid w:val="00140DF2"/>
    <w:pPr>
      <w:tabs>
        <w:tab w:val="center" w:pos="4513"/>
        <w:tab w:val="right" w:pos="9026"/>
      </w:tabs>
      <w:overflowPunct/>
      <w:autoSpaceDE/>
      <w:autoSpaceDN/>
      <w:adjustRightInd/>
      <w:textAlignment w:val="auto"/>
    </w:pPr>
    <w:rPr>
      <w:rFonts w:asciiTheme="minorHAnsi" w:eastAsiaTheme="minorHAnsi" w:hAnsiTheme="minorHAnsi" w:cstheme="minorBidi"/>
      <w:color w:val="auto"/>
      <w:sz w:val="22"/>
      <w:szCs w:val="22"/>
      <w:lang w:eastAsia="en-US"/>
    </w:rPr>
  </w:style>
  <w:style w:type="character" w:customStyle="1" w:styleId="TroedynNod">
    <w:name w:val="Troedyn Nod"/>
    <w:basedOn w:val="FfontParagraffDdiofyn"/>
    <w:link w:val="Troedyn"/>
    <w:uiPriority w:val="99"/>
    <w:rsid w:val="00140DF2"/>
    <w:rPr>
      <w:lang w:val="en-GB"/>
    </w:rPr>
  </w:style>
  <w:style w:type="character" w:styleId="Pwyslais">
    <w:name w:val="Emphasis"/>
    <w:basedOn w:val="FfontParagraffDdiofyn"/>
    <w:uiPriority w:val="20"/>
    <w:qFormat/>
    <w:rsid w:val="00B50E3C"/>
    <w:rPr>
      <w:i/>
      <w:iCs/>
    </w:rPr>
  </w:style>
  <w:style w:type="character" w:styleId="SnhebeiDdatrys">
    <w:name w:val="Unresolved Mention"/>
    <w:basedOn w:val="FfontParagraffDdiofyn"/>
    <w:uiPriority w:val="99"/>
    <w:semiHidden/>
    <w:unhideWhenUsed/>
    <w:rsid w:val="00FD10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E968AF-DF33-419C-8983-B6B477021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16982</TotalTime>
  <Pages>9</Pages>
  <Words>4341</Words>
  <Characters>24748</Characters>
  <Application>Microsoft Office Word</Application>
  <DocSecurity>0</DocSecurity>
  <Lines>206</Lines>
  <Paragraphs>58</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Haf Williams (PLANT)</dc:creator>
  <cp:keywords/>
  <dc:description/>
  <cp:lastModifiedBy>Sioned Haf Williams (PLANT)</cp:lastModifiedBy>
  <cp:revision>141</cp:revision>
  <dcterms:created xsi:type="dcterms:W3CDTF">2022-11-25T09:26:00Z</dcterms:created>
  <dcterms:modified xsi:type="dcterms:W3CDTF">2023-02-14T15:14:00Z</dcterms:modified>
</cp:coreProperties>
</file>