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6BA4" w:rsidRDefault="00836BA4" w:rsidP="009F44BA">
      <w:pPr>
        <w:jc w:val="center"/>
        <w:rPr>
          <w:rFonts w:ascii="Times New Roman" w:hAnsi="Times New Roman" w:cs="Times New Roman"/>
          <w:b/>
          <w:sz w:val="24"/>
          <w:szCs w:val="24"/>
          <w:lang w:val="en-US"/>
        </w:rPr>
      </w:pPr>
      <w:bookmarkStart w:id="0" w:name="_Toc142619066"/>
      <w:r w:rsidRPr="009F44BA">
        <w:rPr>
          <w:rFonts w:ascii="Times New Roman" w:hAnsi="Times New Roman" w:cs="Times New Roman"/>
          <w:b/>
          <w:noProof/>
          <w:sz w:val="32"/>
          <w:szCs w:val="24"/>
          <w:lang w:val="en-US"/>
        </w:rPr>
        <w:drawing>
          <wp:inline distT="0" distB="0" distL="0" distR="0">
            <wp:extent cx="4906703" cy="2543175"/>
            <wp:effectExtent l="19050" t="0" r="8197" b="0"/>
            <wp:docPr id="1" name="Picture 13"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Jobs - Apply Online at jobs.ac.uk"/>
                    <pic:cNvPicPr>
                      <a:picLocks noChangeAspect="1" noChangeArrowheads="1"/>
                    </pic:cNvPicPr>
                  </pic:nvPicPr>
                  <pic:blipFill>
                    <a:blip r:embed="rId7"/>
                    <a:srcRect/>
                    <a:stretch>
                      <a:fillRect/>
                    </a:stretch>
                  </pic:blipFill>
                  <pic:spPr bwMode="auto">
                    <a:xfrm>
                      <a:off x="0" y="0"/>
                      <a:ext cx="4951383" cy="2566333"/>
                    </a:xfrm>
                    <a:prstGeom prst="rect">
                      <a:avLst/>
                    </a:prstGeom>
                    <a:noFill/>
                    <a:ln w="9525">
                      <a:noFill/>
                      <a:miter lim="800000"/>
                      <a:headEnd/>
                      <a:tailEnd/>
                    </a:ln>
                  </pic:spPr>
                </pic:pic>
              </a:graphicData>
            </a:graphic>
          </wp:inline>
        </w:drawing>
      </w:r>
    </w:p>
    <w:p w:rsidR="00836BA4" w:rsidRDefault="00836BA4" w:rsidP="00836BA4">
      <w:pPr>
        <w:jc w:val="both"/>
        <w:rPr>
          <w:rFonts w:ascii="Times New Roman" w:hAnsi="Times New Roman" w:cs="Times New Roman"/>
          <w:b/>
          <w:sz w:val="36"/>
          <w:szCs w:val="24"/>
          <w:lang w:val="en-US"/>
        </w:rPr>
      </w:pPr>
      <w:r w:rsidRPr="00946DE5">
        <w:rPr>
          <w:rFonts w:ascii="Times New Roman" w:hAnsi="Times New Roman" w:cs="Times New Roman"/>
          <w:b/>
          <w:sz w:val="36"/>
          <w:szCs w:val="24"/>
          <w:lang w:val="en-US"/>
        </w:rPr>
        <w:t xml:space="preserve">                                           </w:t>
      </w:r>
    </w:p>
    <w:p w:rsidR="00836BA4" w:rsidRDefault="00836BA4" w:rsidP="00836BA4">
      <w:pPr>
        <w:jc w:val="center"/>
        <w:rPr>
          <w:rFonts w:ascii="Times New Roman" w:hAnsi="Times New Roman" w:cs="Times New Roman"/>
          <w:b/>
          <w:sz w:val="40"/>
          <w:szCs w:val="24"/>
          <w:u w:val="single"/>
          <w:lang w:val="en-US"/>
        </w:rPr>
      </w:pPr>
      <w:r w:rsidRPr="00946DE5">
        <w:rPr>
          <w:rFonts w:ascii="Times New Roman" w:hAnsi="Times New Roman" w:cs="Times New Roman"/>
          <w:b/>
          <w:sz w:val="40"/>
          <w:szCs w:val="24"/>
          <w:u w:val="single"/>
          <w:lang w:val="en-US"/>
        </w:rPr>
        <w:t>Assessment</w:t>
      </w:r>
      <w:r w:rsidRPr="00946DE5">
        <w:rPr>
          <w:rFonts w:ascii="Times New Roman" w:hAnsi="Times New Roman" w:cs="Times New Roman"/>
          <w:b/>
          <w:sz w:val="28"/>
          <w:szCs w:val="24"/>
          <w:u w:val="single"/>
          <w:lang w:val="en-US"/>
        </w:rPr>
        <w:t xml:space="preserve"> </w:t>
      </w:r>
      <w:r>
        <w:rPr>
          <w:rFonts w:ascii="Times New Roman" w:hAnsi="Times New Roman" w:cs="Times New Roman"/>
          <w:b/>
          <w:sz w:val="28"/>
          <w:szCs w:val="24"/>
          <w:u w:val="single"/>
          <w:lang w:val="en-US"/>
        </w:rPr>
        <w:t>–</w:t>
      </w:r>
      <w:r w:rsidRPr="00946DE5">
        <w:rPr>
          <w:rFonts w:ascii="Times New Roman" w:hAnsi="Times New Roman" w:cs="Times New Roman"/>
          <w:b/>
          <w:sz w:val="28"/>
          <w:szCs w:val="24"/>
          <w:u w:val="single"/>
          <w:lang w:val="en-US"/>
        </w:rPr>
        <w:t xml:space="preserve"> </w:t>
      </w:r>
      <w:r w:rsidRPr="00946DE5">
        <w:rPr>
          <w:rFonts w:ascii="Times New Roman" w:hAnsi="Times New Roman" w:cs="Times New Roman"/>
          <w:b/>
          <w:sz w:val="40"/>
          <w:szCs w:val="24"/>
          <w:u w:val="single"/>
          <w:lang w:val="en-US"/>
        </w:rPr>
        <w:t>1</w:t>
      </w:r>
    </w:p>
    <w:p w:rsidR="00836BA4" w:rsidRDefault="00836BA4" w:rsidP="00836BA4">
      <w:pPr>
        <w:jc w:val="center"/>
        <w:rPr>
          <w:rFonts w:ascii="Times New Roman" w:hAnsi="Times New Roman" w:cs="Times New Roman"/>
          <w:b/>
          <w:sz w:val="40"/>
          <w:szCs w:val="24"/>
          <w:u w:val="single"/>
          <w:lang w:val="en-US"/>
        </w:rPr>
      </w:pPr>
    </w:p>
    <w:p w:rsidR="00836BA4" w:rsidRDefault="00836BA4" w:rsidP="00836BA4">
      <w:pPr>
        <w:jc w:val="center"/>
        <w:rPr>
          <w:rFonts w:ascii="Times New Roman" w:hAnsi="Times New Roman" w:cs="Times New Roman"/>
          <w:b/>
          <w:sz w:val="40"/>
          <w:szCs w:val="24"/>
          <w:u w:val="single"/>
          <w:lang w:val="en-US"/>
        </w:rPr>
      </w:pPr>
    </w:p>
    <w:tbl>
      <w:tblPr>
        <w:tblStyle w:val="TableGrid"/>
        <w:tblW w:w="9614" w:type="dxa"/>
        <w:tblLook w:val="04A0"/>
      </w:tblPr>
      <w:tblGrid>
        <w:gridCol w:w="2358"/>
        <w:gridCol w:w="7256"/>
      </w:tblGrid>
      <w:tr w:rsidR="00836BA4" w:rsidRPr="004F7B78" w:rsidTr="00C64968">
        <w:tc>
          <w:tcPr>
            <w:tcW w:w="2358" w:type="dxa"/>
          </w:tcPr>
          <w:p w:rsidR="00836BA4" w:rsidRPr="004F7B78" w:rsidRDefault="00836BA4" w:rsidP="00C64968">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Name</w:t>
            </w:r>
          </w:p>
        </w:tc>
        <w:tc>
          <w:tcPr>
            <w:tcW w:w="7256" w:type="dxa"/>
          </w:tcPr>
          <w:p w:rsidR="00836BA4" w:rsidRPr="004F7B78" w:rsidRDefault="00836BA4" w:rsidP="00C64968">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Patel Meetkumr Sureshbhai</w:t>
            </w:r>
          </w:p>
        </w:tc>
      </w:tr>
      <w:tr w:rsidR="00836BA4" w:rsidRPr="004F7B78" w:rsidTr="00C64968">
        <w:tc>
          <w:tcPr>
            <w:tcW w:w="2358" w:type="dxa"/>
          </w:tcPr>
          <w:p w:rsidR="00836BA4" w:rsidRPr="004F7B78" w:rsidRDefault="00836BA4" w:rsidP="00C64968">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Id Number</w:t>
            </w:r>
          </w:p>
        </w:tc>
        <w:tc>
          <w:tcPr>
            <w:tcW w:w="7256" w:type="dxa"/>
          </w:tcPr>
          <w:p w:rsidR="00836BA4" w:rsidRPr="004F7B78" w:rsidRDefault="00836BA4" w:rsidP="00C64968">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2241855</w:t>
            </w:r>
          </w:p>
        </w:tc>
      </w:tr>
      <w:tr w:rsidR="00836BA4" w:rsidRPr="004F7B78" w:rsidTr="00C64968">
        <w:tc>
          <w:tcPr>
            <w:tcW w:w="2358" w:type="dxa"/>
          </w:tcPr>
          <w:p w:rsidR="00836BA4" w:rsidRPr="004F7B78" w:rsidRDefault="00836BA4" w:rsidP="00C64968">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Name</w:t>
            </w:r>
          </w:p>
        </w:tc>
        <w:tc>
          <w:tcPr>
            <w:tcW w:w="7256" w:type="dxa"/>
          </w:tcPr>
          <w:p w:rsidR="00836BA4" w:rsidRPr="004F7B78" w:rsidRDefault="00836BA4" w:rsidP="00C64968">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Human Resource Management</w:t>
            </w:r>
          </w:p>
        </w:tc>
      </w:tr>
      <w:tr w:rsidR="00836BA4" w:rsidRPr="004F7B78" w:rsidTr="00C64968">
        <w:tc>
          <w:tcPr>
            <w:tcW w:w="2358" w:type="dxa"/>
          </w:tcPr>
          <w:p w:rsidR="00836BA4" w:rsidRPr="004F7B78" w:rsidRDefault="00836BA4" w:rsidP="00C64968">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Code</w:t>
            </w:r>
          </w:p>
        </w:tc>
        <w:tc>
          <w:tcPr>
            <w:tcW w:w="7256" w:type="dxa"/>
          </w:tcPr>
          <w:p w:rsidR="00836BA4" w:rsidRPr="004F7B78" w:rsidRDefault="00836BA4" w:rsidP="00C64968">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LCMB7000</w:t>
            </w:r>
          </w:p>
        </w:tc>
      </w:tr>
      <w:tr w:rsidR="00836BA4" w:rsidRPr="004F7B78" w:rsidTr="00C64968">
        <w:tc>
          <w:tcPr>
            <w:tcW w:w="2358" w:type="dxa"/>
          </w:tcPr>
          <w:p w:rsidR="00836BA4" w:rsidRPr="004F7B78" w:rsidRDefault="00836BA4" w:rsidP="00C64968">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Lecturer(s)</w:t>
            </w:r>
          </w:p>
        </w:tc>
        <w:tc>
          <w:tcPr>
            <w:tcW w:w="7256" w:type="dxa"/>
          </w:tcPr>
          <w:p w:rsidR="00836BA4" w:rsidRPr="004F7B78" w:rsidRDefault="00836BA4" w:rsidP="00C64968">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Gladius Kulothungan-GP1</w:t>
            </w:r>
          </w:p>
        </w:tc>
      </w:tr>
      <w:tr w:rsidR="00836BA4" w:rsidRPr="004F7B78" w:rsidTr="00C64968">
        <w:tc>
          <w:tcPr>
            <w:tcW w:w="2358" w:type="dxa"/>
          </w:tcPr>
          <w:p w:rsidR="00836BA4" w:rsidRPr="004F7B78" w:rsidRDefault="00836BA4" w:rsidP="00C64968">
            <w:pPr>
              <w:jc w:val="both"/>
              <w:rPr>
                <w:rFonts w:ascii="Times New Roman" w:hAnsi="Times New Roman" w:cs="Times New Roman"/>
                <w:sz w:val="40"/>
                <w:szCs w:val="24"/>
                <w:u w:val="single"/>
                <w:lang w:val="en-US"/>
              </w:rPr>
            </w:pPr>
          </w:p>
        </w:tc>
        <w:tc>
          <w:tcPr>
            <w:tcW w:w="7256" w:type="dxa"/>
          </w:tcPr>
          <w:p w:rsidR="00836BA4" w:rsidRPr="004F7B78" w:rsidRDefault="00836BA4" w:rsidP="00C64968">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Mohamed Asim-GP2</w:t>
            </w:r>
          </w:p>
        </w:tc>
      </w:tr>
    </w:tbl>
    <w:p w:rsidR="00836BA4" w:rsidRDefault="00836BA4">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F63A3C" w:rsidRDefault="00F135C7">
      <w:pPr>
        <w:rPr>
          <w:rFonts w:ascii="Times New Roman" w:hAnsi="Times New Roman" w:cs="Times New Roman"/>
          <w:b/>
          <w:sz w:val="24"/>
          <w:szCs w:val="24"/>
          <w:lang w:val="en-US"/>
        </w:rPr>
      </w:pPr>
    </w:p>
    <w:p w:rsidR="00F135C7" w:rsidRPr="009F44BA" w:rsidRDefault="00F135C7" w:rsidP="00F135C7">
      <w:pPr>
        <w:jc w:val="center"/>
        <w:rPr>
          <w:rFonts w:ascii="Times New Roman" w:eastAsiaTheme="majorEastAsia" w:hAnsi="Times New Roman" w:cs="Times New Roman"/>
          <w:b/>
          <w:sz w:val="32"/>
          <w:szCs w:val="24"/>
          <w:lang w:val="en-US"/>
        </w:rPr>
      </w:pPr>
      <w:r w:rsidRPr="009F44BA">
        <w:rPr>
          <w:rFonts w:ascii="Times New Roman" w:hAnsi="Times New Roman" w:cs="Times New Roman"/>
          <w:b/>
          <w:sz w:val="32"/>
          <w:szCs w:val="24"/>
          <w:lang w:val="en-US"/>
        </w:rPr>
        <w:t xml:space="preserve">CURRENT LABOR MARKET IN UK </w:t>
      </w:r>
      <w:r w:rsidRPr="009F44BA">
        <w:rPr>
          <w:rFonts w:ascii="Times New Roman" w:hAnsi="Times New Roman" w:cs="Times New Roman"/>
          <w:b/>
          <w:sz w:val="32"/>
          <w:szCs w:val="24"/>
          <w:lang w:val="en-US"/>
        </w:rPr>
        <w:br w:type="page"/>
      </w:r>
    </w:p>
    <w:sdt>
      <w:sdtPr>
        <w:rPr>
          <w:rFonts w:ascii="Times New Roman" w:eastAsiaTheme="minorHAnsi" w:hAnsi="Times New Roman" w:cs="Times New Roman"/>
          <w:b/>
          <w:color w:val="auto"/>
          <w:sz w:val="24"/>
          <w:szCs w:val="24"/>
          <w:lang w:val="en-GB"/>
        </w:rPr>
        <w:id w:val="-1625611779"/>
        <w:docPartObj>
          <w:docPartGallery w:val="Table of Contents"/>
          <w:docPartUnique/>
        </w:docPartObj>
      </w:sdtPr>
      <w:sdtEndPr>
        <w:rPr>
          <w:b w:val="0"/>
          <w:bCs/>
          <w:noProof/>
        </w:rPr>
      </w:sdtEndPr>
      <w:sdtContent>
        <w:p w:rsidR="00F135C7" w:rsidRPr="00214191" w:rsidRDefault="00F135C7" w:rsidP="00214191">
          <w:pPr>
            <w:pStyle w:val="TOCHeading"/>
            <w:spacing w:line="360" w:lineRule="auto"/>
            <w:jc w:val="center"/>
            <w:rPr>
              <w:rFonts w:ascii="Times New Roman" w:hAnsi="Times New Roman" w:cs="Times New Roman"/>
              <w:b/>
              <w:color w:val="auto"/>
              <w:sz w:val="24"/>
              <w:szCs w:val="24"/>
            </w:rPr>
          </w:pPr>
          <w:r w:rsidRPr="00214191">
            <w:rPr>
              <w:rFonts w:ascii="Times New Roman" w:hAnsi="Times New Roman" w:cs="Times New Roman"/>
              <w:b/>
              <w:color w:val="auto"/>
              <w:sz w:val="24"/>
              <w:szCs w:val="24"/>
            </w:rPr>
            <w:t>Table of Contents</w:t>
          </w:r>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r w:rsidRPr="00214191">
            <w:rPr>
              <w:rFonts w:ascii="Times New Roman" w:hAnsi="Times New Roman" w:cs="Times New Roman"/>
              <w:bCs/>
              <w:sz w:val="24"/>
              <w:szCs w:val="24"/>
            </w:rPr>
            <w:fldChar w:fldCharType="begin"/>
          </w:r>
          <w:r w:rsidR="00F135C7" w:rsidRPr="00214191">
            <w:rPr>
              <w:rFonts w:ascii="Times New Roman" w:hAnsi="Times New Roman" w:cs="Times New Roman"/>
              <w:bCs/>
              <w:sz w:val="24"/>
              <w:szCs w:val="24"/>
            </w:rPr>
            <w:instrText xml:space="preserve"> TOC \o "1-3" \h \z \u </w:instrText>
          </w:r>
          <w:r w:rsidRPr="00214191">
            <w:rPr>
              <w:rFonts w:ascii="Times New Roman" w:hAnsi="Times New Roman" w:cs="Times New Roman"/>
              <w:bCs/>
              <w:sz w:val="24"/>
              <w:szCs w:val="24"/>
            </w:rPr>
            <w:fldChar w:fldCharType="separate"/>
          </w:r>
          <w:hyperlink w:anchor="_Toc143641336" w:history="1">
            <w:r w:rsidR="00214191" w:rsidRPr="00214191">
              <w:rPr>
                <w:rStyle w:val="Hyperlink"/>
                <w:rFonts w:ascii="Times New Roman" w:hAnsi="Times New Roman" w:cs="Times New Roman"/>
                <w:bCs/>
                <w:noProof/>
                <w:sz w:val="24"/>
                <w:szCs w:val="24"/>
                <w:lang w:val="en-US"/>
              </w:rPr>
              <w:t>Introduction</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_Toc143641336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4</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2"/>
            <w:tabs>
              <w:tab w:val="right" w:leader="dot" w:pos="9350"/>
            </w:tabs>
            <w:spacing w:line="360" w:lineRule="auto"/>
            <w:rPr>
              <w:rFonts w:ascii="Times New Roman" w:eastAsiaTheme="minorEastAsia" w:hAnsi="Times New Roman" w:cs="Times New Roman"/>
              <w:bCs/>
              <w:noProof/>
              <w:sz w:val="24"/>
              <w:szCs w:val="24"/>
              <w:lang w:val="en-US"/>
            </w:rPr>
          </w:pPr>
          <w:hyperlink w:anchor="_Toc143641337" w:history="1">
            <w:r w:rsidR="00214191" w:rsidRPr="00214191">
              <w:rPr>
                <w:rStyle w:val="Hyperlink"/>
                <w:rFonts w:ascii="Times New Roman" w:hAnsi="Times New Roman" w:cs="Times New Roman"/>
                <w:bCs/>
                <w:noProof/>
                <w:sz w:val="24"/>
                <w:szCs w:val="24"/>
                <w:lang w:val="en-US"/>
              </w:rPr>
              <w:t>Purpose of the report</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_Toc143641337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4</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38" w:history="1">
            <w:r w:rsidR="00214191" w:rsidRPr="00214191">
              <w:rPr>
                <w:rStyle w:val="Hyperlink"/>
                <w:rFonts w:ascii="Times New Roman" w:hAnsi="Times New Roman" w:cs="Times New Roman"/>
                <w:bCs/>
                <w:noProof/>
                <w:sz w:val="24"/>
                <w:szCs w:val="24"/>
                <w:lang w:val="en-US"/>
              </w:rPr>
              <w:t>Task 1: Current State of the Labor Market in the UK</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_Toc143641338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4</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39" w:history="1">
            <w:r w:rsidR="00214191" w:rsidRPr="00214191">
              <w:rPr>
                <w:rStyle w:val="Hyperlink"/>
                <w:rFonts w:ascii="Times New Roman" w:hAnsi="Times New Roman" w:cs="Times New Roman"/>
                <w:bCs/>
                <w:noProof/>
                <w:sz w:val="24"/>
                <w:szCs w:val="24"/>
                <w:lang w:val="en-US"/>
              </w:rPr>
              <w:t>Key Indicators and Trends</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_Toc143641339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4</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40" w:history="1">
            <w:r w:rsidR="00214191" w:rsidRPr="00214191">
              <w:rPr>
                <w:rStyle w:val="Hyperlink"/>
                <w:rFonts w:ascii="Times New Roman" w:hAnsi="Times New Roman" w:cs="Times New Roman"/>
                <w:bCs/>
                <w:noProof/>
                <w:sz w:val="24"/>
                <w:szCs w:val="24"/>
                <w:lang w:val="en-US"/>
              </w:rPr>
              <w:t>Challenges and Implications</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_Toc143641340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5</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2"/>
            <w:tabs>
              <w:tab w:val="right" w:leader="dot" w:pos="9350"/>
            </w:tabs>
            <w:spacing w:line="360" w:lineRule="auto"/>
            <w:rPr>
              <w:rFonts w:ascii="Times New Roman" w:eastAsiaTheme="minorEastAsia" w:hAnsi="Times New Roman" w:cs="Times New Roman"/>
              <w:bCs/>
              <w:noProof/>
              <w:sz w:val="24"/>
              <w:szCs w:val="24"/>
              <w:lang w:val="en-US"/>
            </w:rPr>
          </w:pPr>
          <w:hyperlink w:anchor="_Toc143641341" w:history="1">
            <w:r w:rsidR="00214191" w:rsidRPr="00214191">
              <w:rPr>
                <w:rStyle w:val="Hyperlink"/>
                <w:rFonts w:ascii="Times New Roman" w:hAnsi="Times New Roman" w:cs="Times New Roman"/>
                <w:bCs/>
                <w:noProof/>
                <w:sz w:val="24"/>
                <w:szCs w:val="24"/>
                <w:lang w:val="en-US"/>
              </w:rPr>
              <w:t>Opportunities</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_Toc143641341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5</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42" w:history="1">
            <w:r w:rsidR="00214191" w:rsidRPr="00214191">
              <w:rPr>
                <w:rStyle w:val="Hyperlink"/>
                <w:rFonts w:ascii="Times New Roman" w:hAnsi="Times New Roman" w:cs="Times New Roman"/>
                <w:bCs/>
                <w:noProof/>
                <w:sz w:val="24"/>
                <w:szCs w:val="24"/>
                <w:lang w:val="en-US"/>
              </w:rPr>
              <w:t>Government Initiatives</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_Toc143641342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7</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43" w:history="1">
            <w:r w:rsidR="00214191" w:rsidRPr="00214191">
              <w:rPr>
                <w:rStyle w:val="Hyperlink"/>
                <w:rFonts w:ascii="Times New Roman" w:hAnsi="Times New Roman" w:cs="Times New Roman"/>
                <w:bCs/>
                <w:noProof/>
                <w:sz w:val="24"/>
                <w:szCs w:val="24"/>
                <w:lang w:val="en-US"/>
              </w:rPr>
              <w:t>Task 2: Emerging changes in Human Resourcing Strategies in the post-COVID, post-BREXIT external environment: An Organizational Adaptation Theory Perspective</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_Toc143641343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8</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44" w:history="1">
            <w:r w:rsidR="00214191" w:rsidRPr="00214191">
              <w:rPr>
                <w:rStyle w:val="Hyperlink"/>
                <w:rFonts w:ascii="Times New Roman" w:hAnsi="Times New Roman" w:cs="Times New Roman"/>
                <w:bCs/>
                <w:noProof/>
                <w:sz w:val="24"/>
                <w:szCs w:val="24"/>
                <w:lang w:val="en-US"/>
              </w:rPr>
              <w:t>Impact of Post-COVID-19 on Human Resourcing</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_Toc143641344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8</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45" w:history="1">
            <w:r w:rsidR="00214191" w:rsidRPr="00214191">
              <w:rPr>
                <w:rStyle w:val="Hyperlink"/>
                <w:rFonts w:ascii="Times New Roman" w:hAnsi="Times New Roman" w:cs="Times New Roman"/>
                <w:bCs/>
                <w:noProof/>
                <w:sz w:val="24"/>
                <w:szCs w:val="24"/>
                <w:lang w:val="en-US"/>
              </w:rPr>
              <w:t>Synergies and Adaptations</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_Toc143641345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10</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46" w:history="1">
            <w:r w:rsidR="00214191" w:rsidRPr="00214191">
              <w:rPr>
                <w:rStyle w:val="Hyperlink"/>
                <w:rFonts w:ascii="Times New Roman" w:hAnsi="Times New Roman" w:cs="Times New Roman"/>
                <w:bCs/>
                <w:noProof/>
                <w:sz w:val="24"/>
                <w:szCs w:val="24"/>
                <w:lang w:val="en-US"/>
              </w:rPr>
              <w:t>Conclusion</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_Toc143641346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11</w:t>
            </w:r>
            <w:r w:rsidRPr="00214191">
              <w:rPr>
                <w:rFonts w:ascii="Times New Roman" w:hAnsi="Times New Roman" w:cs="Times New Roman"/>
                <w:bCs/>
                <w:noProof/>
                <w:webHidden/>
                <w:sz w:val="24"/>
                <w:szCs w:val="24"/>
              </w:rPr>
              <w:fldChar w:fldCharType="end"/>
            </w:r>
          </w:hyperlink>
        </w:p>
        <w:p w:rsidR="00214191" w:rsidRPr="00214191" w:rsidRDefault="00706723" w:rsidP="00214191">
          <w:pPr>
            <w:pStyle w:val="TOC1"/>
            <w:tabs>
              <w:tab w:val="right" w:leader="dot" w:pos="9350"/>
            </w:tabs>
            <w:spacing w:line="360" w:lineRule="auto"/>
            <w:rPr>
              <w:rFonts w:ascii="Times New Roman" w:eastAsiaTheme="minorEastAsia" w:hAnsi="Times New Roman" w:cs="Times New Roman"/>
              <w:bCs/>
              <w:noProof/>
              <w:sz w:val="24"/>
              <w:szCs w:val="24"/>
              <w:lang w:val="en-US"/>
            </w:rPr>
          </w:pPr>
          <w:hyperlink w:anchor="_Toc143641347" w:history="1">
            <w:r w:rsidR="00214191" w:rsidRPr="00214191">
              <w:rPr>
                <w:rStyle w:val="Hyperlink"/>
                <w:rFonts w:ascii="Times New Roman" w:hAnsi="Times New Roman" w:cs="Times New Roman"/>
                <w:bCs/>
                <w:noProof/>
                <w:sz w:val="24"/>
                <w:szCs w:val="24"/>
              </w:rPr>
              <w:t>References</w:t>
            </w:r>
            <w:r w:rsidR="00214191" w:rsidRPr="00214191">
              <w:rPr>
                <w:rFonts w:ascii="Times New Roman" w:hAnsi="Times New Roman" w:cs="Times New Roman"/>
                <w:bCs/>
                <w:noProof/>
                <w:webHidden/>
                <w:sz w:val="24"/>
                <w:szCs w:val="24"/>
              </w:rPr>
              <w:tab/>
            </w:r>
            <w:r w:rsidRPr="00214191">
              <w:rPr>
                <w:rFonts w:ascii="Times New Roman" w:hAnsi="Times New Roman" w:cs="Times New Roman"/>
                <w:bCs/>
                <w:noProof/>
                <w:webHidden/>
                <w:sz w:val="24"/>
                <w:szCs w:val="24"/>
              </w:rPr>
              <w:fldChar w:fldCharType="begin"/>
            </w:r>
            <w:r w:rsidR="00214191" w:rsidRPr="00214191">
              <w:rPr>
                <w:rFonts w:ascii="Times New Roman" w:hAnsi="Times New Roman" w:cs="Times New Roman"/>
                <w:bCs/>
                <w:noProof/>
                <w:webHidden/>
                <w:sz w:val="24"/>
                <w:szCs w:val="24"/>
              </w:rPr>
              <w:instrText xml:space="preserve"> PAGEREF _Toc143641347 \h </w:instrText>
            </w:r>
            <w:r w:rsidRPr="00214191">
              <w:rPr>
                <w:rFonts w:ascii="Times New Roman" w:hAnsi="Times New Roman" w:cs="Times New Roman"/>
                <w:bCs/>
                <w:noProof/>
                <w:webHidden/>
                <w:sz w:val="24"/>
                <w:szCs w:val="24"/>
              </w:rPr>
            </w:r>
            <w:r w:rsidRPr="00214191">
              <w:rPr>
                <w:rFonts w:ascii="Times New Roman" w:hAnsi="Times New Roman" w:cs="Times New Roman"/>
                <w:bCs/>
                <w:noProof/>
                <w:webHidden/>
                <w:sz w:val="24"/>
                <w:szCs w:val="24"/>
              </w:rPr>
              <w:fldChar w:fldCharType="separate"/>
            </w:r>
            <w:r w:rsidR="009F44BA">
              <w:rPr>
                <w:rFonts w:ascii="Times New Roman" w:hAnsi="Times New Roman" w:cs="Times New Roman"/>
                <w:bCs/>
                <w:noProof/>
                <w:webHidden/>
                <w:sz w:val="24"/>
                <w:szCs w:val="24"/>
              </w:rPr>
              <w:t>13</w:t>
            </w:r>
            <w:r w:rsidRPr="00214191">
              <w:rPr>
                <w:rFonts w:ascii="Times New Roman" w:hAnsi="Times New Roman" w:cs="Times New Roman"/>
                <w:bCs/>
                <w:noProof/>
                <w:webHidden/>
                <w:sz w:val="24"/>
                <w:szCs w:val="24"/>
              </w:rPr>
              <w:fldChar w:fldCharType="end"/>
            </w:r>
          </w:hyperlink>
        </w:p>
        <w:p w:rsidR="00F135C7" w:rsidRPr="00F63A3C" w:rsidRDefault="00706723" w:rsidP="00214191">
          <w:pPr>
            <w:spacing w:line="360" w:lineRule="auto"/>
            <w:jc w:val="center"/>
          </w:pPr>
          <w:r w:rsidRPr="00214191">
            <w:rPr>
              <w:rFonts w:ascii="Times New Roman" w:hAnsi="Times New Roman" w:cs="Times New Roman"/>
              <w:bCs/>
              <w:noProof/>
              <w:sz w:val="24"/>
              <w:szCs w:val="24"/>
            </w:rPr>
            <w:fldChar w:fldCharType="end"/>
          </w:r>
        </w:p>
      </w:sdtContent>
    </w:sdt>
    <w:p w:rsidR="00F135C7" w:rsidRPr="00F63A3C" w:rsidRDefault="00F135C7">
      <w:pPr>
        <w:rPr>
          <w:rFonts w:ascii="Times New Roman" w:eastAsiaTheme="majorEastAsia" w:hAnsi="Times New Roman" w:cs="Times New Roman"/>
          <w:b/>
          <w:sz w:val="24"/>
          <w:szCs w:val="24"/>
          <w:lang w:val="en-US"/>
        </w:rPr>
      </w:pPr>
      <w:r w:rsidRPr="00F63A3C">
        <w:rPr>
          <w:rFonts w:ascii="Times New Roman" w:hAnsi="Times New Roman" w:cs="Times New Roman"/>
          <w:b/>
          <w:sz w:val="24"/>
          <w:szCs w:val="24"/>
          <w:lang w:val="en-US"/>
        </w:rPr>
        <w:br w:type="page"/>
      </w:r>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1" w:name="_Toc143641336"/>
      <w:r w:rsidRPr="00F63A3C">
        <w:rPr>
          <w:rFonts w:ascii="Times New Roman" w:hAnsi="Times New Roman" w:cs="Times New Roman"/>
          <w:b/>
          <w:color w:val="auto"/>
          <w:sz w:val="24"/>
          <w:szCs w:val="24"/>
          <w:lang w:val="en-US"/>
        </w:rPr>
        <w:lastRenderedPageBreak/>
        <w:t>Introduction</w:t>
      </w:r>
      <w:bookmarkEnd w:id="0"/>
      <w:bookmarkEnd w:id="1"/>
    </w:p>
    <w:p w:rsidR="00176165"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Over the last several years, the labor market in the United Kingdom (UK) has been considerably impacted by a wide range of economic, technical, and social variables. This research offers a comprehensive examination of the present situation of the labor market in the United Kingdom, with a particular emphasis on significant trends, difficulties, and possibilities</w:t>
      </w:r>
      <w:r w:rsidR="00214191" w:rsidRPr="00F63A3C">
        <w:rPr>
          <w:rFonts w:ascii="Times New Roman" w:hAnsi="Times New Roman" w:cs="Times New Roman"/>
          <w:sz w:val="24"/>
          <w:szCs w:val="24"/>
          <w:lang w:val="en-US"/>
        </w:rPr>
        <w:t>(</w:t>
      </w:r>
      <w:r w:rsidR="00214191" w:rsidRPr="00F63A3C">
        <w:rPr>
          <w:rFonts w:ascii="Times New Roman" w:hAnsi="Times New Roman" w:cs="Times New Roman"/>
          <w:sz w:val="24"/>
          <w:szCs w:val="24"/>
          <w:shd w:val="clear" w:color="auto" w:fill="FFFFFF"/>
        </w:rPr>
        <w:t>Bell and Blanchflower, 2020</w:t>
      </w:r>
      <w:r w:rsidR="00214191"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214191" w:rsidRPr="00214191" w:rsidRDefault="00214191" w:rsidP="00214191">
      <w:pPr>
        <w:pStyle w:val="Heading2"/>
        <w:spacing w:line="360" w:lineRule="auto"/>
        <w:rPr>
          <w:rFonts w:ascii="Times New Roman" w:hAnsi="Times New Roman" w:cs="Times New Roman"/>
          <w:b/>
          <w:bCs/>
          <w:color w:val="auto"/>
          <w:sz w:val="24"/>
          <w:szCs w:val="24"/>
          <w:lang w:val="en-US"/>
        </w:rPr>
      </w:pPr>
      <w:bookmarkStart w:id="2" w:name="_Toc143641337"/>
      <w:r w:rsidRPr="00214191">
        <w:rPr>
          <w:rFonts w:ascii="Times New Roman" w:hAnsi="Times New Roman" w:cs="Times New Roman"/>
          <w:b/>
          <w:bCs/>
          <w:color w:val="auto"/>
          <w:sz w:val="24"/>
          <w:szCs w:val="24"/>
          <w:lang w:val="en-US"/>
        </w:rPr>
        <w:t>Purpose of the report</w:t>
      </w:r>
      <w:bookmarkEnd w:id="2"/>
    </w:p>
    <w:p w:rsidR="00214191" w:rsidRPr="00214191" w:rsidRDefault="00214191" w:rsidP="00214191">
      <w:pPr>
        <w:spacing w:line="360" w:lineRule="auto"/>
        <w:jc w:val="both"/>
        <w:rPr>
          <w:rFonts w:ascii="Times New Roman" w:hAnsi="Times New Roman" w:cs="Times New Roman"/>
          <w:sz w:val="24"/>
          <w:szCs w:val="24"/>
          <w:lang w:val="en-US"/>
        </w:rPr>
      </w:pPr>
      <w:r w:rsidRPr="00214191">
        <w:rPr>
          <w:rFonts w:ascii="Times New Roman" w:hAnsi="Times New Roman" w:cs="Times New Roman"/>
          <w:sz w:val="24"/>
          <w:szCs w:val="24"/>
          <w:lang w:val="en-US"/>
        </w:rPr>
        <w:t>The study's overarching goal is to provide light on how the external environment has changed for the United Kingdom's labor market and HR strategy in the wake of the Covid and Brexit events. The findings of this study will hopefully shed light on the state of the labor market and the state of human resources, allowing for better decision-making on the part of businesses and governments.</w:t>
      </w:r>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3" w:name="_Toc142619067"/>
      <w:bookmarkStart w:id="4" w:name="_Toc143641338"/>
      <w:r w:rsidRPr="00F63A3C">
        <w:rPr>
          <w:rFonts w:ascii="Times New Roman" w:hAnsi="Times New Roman" w:cs="Times New Roman"/>
          <w:b/>
          <w:color w:val="auto"/>
          <w:sz w:val="24"/>
          <w:szCs w:val="24"/>
          <w:lang w:val="en-US"/>
        </w:rPr>
        <w:t>Task 1: Current State of the Labor Market in the UK</w:t>
      </w:r>
      <w:bookmarkEnd w:id="3"/>
      <w:bookmarkEnd w:id="4"/>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5" w:name="_Toc142619068"/>
      <w:bookmarkStart w:id="6" w:name="_Toc143641339"/>
      <w:r w:rsidRPr="00F63A3C">
        <w:rPr>
          <w:rFonts w:ascii="Times New Roman" w:hAnsi="Times New Roman" w:cs="Times New Roman"/>
          <w:b/>
          <w:color w:val="auto"/>
          <w:sz w:val="24"/>
          <w:szCs w:val="24"/>
          <w:lang w:val="en-US"/>
        </w:rPr>
        <w:t>Key Indicators and Trends</w:t>
      </w:r>
      <w:bookmarkEnd w:id="5"/>
      <w:bookmarkEnd w:id="6"/>
    </w:p>
    <w:p w:rsidR="00BE7468"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t>Employment Rates:</w:t>
      </w:r>
      <w:r w:rsidRPr="00F63A3C">
        <w:rPr>
          <w:rFonts w:ascii="Times New Roman" w:hAnsi="Times New Roman" w:cs="Times New Roman"/>
          <w:sz w:val="24"/>
          <w:szCs w:val="24"/>
          <w:lang w:val="en-US"/>
        </w:rPr>
        <w:t xml:space="preserve"> Variations have been seen in the employment rate in the UK as a result of variables such as the uncertainty around Brexit and the COVID-19 epidemic. On the other hand, it has show</w:t>
      </w:r>
      <w:r w:rsidR="002E4764" w:rsidRPr="00F63A3C">
        <w:rPr>
          <w:rFonts w:ascii="Times New Roman" w:hAnsi="Times New Roman" w:cs="Times New Roman"/>
          <w:sz w:val="24"/>
          <w:szCs w:val="24"/>
          <w:lang w:val="en-US"/>
        </w:rPr>
        <w:t>n</w:t>
      </w:r>
      <w:r w:rsidRPr="00F63A3C">
        <w:rPr>
          <w:rFonts w:ascii="Times New Roman" w:hAnsi="Times New Roman" w:cs="Times New Roman"/>
          <w:sz w:val="24"/>
          <w:szCs w:val="24"/>
          <w:lang w:val="en-US"/>
        </w:rPr>
        <w:t xml:space="preserve"> signs of resiliency in recent years, with the employment rate reaching about 75%</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Bell and Blanchflower,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This tendency has been helped along by the rise of the gig economy as well as flexible employment options.</w:t>
      </w:r>
    </w:p>
    <w:p w:rsidR="00BE7468"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t xml:space="preserve">Skill Mismatch: </w:t>
      </w:r>
      <w:r w:rsidRPr="00F63A3C">
        <w:rPr>
          <w:rFonts w:ascii="Times New Roman" w:hAnsi="Times New Roman" w:cs="Times New Roman"/>
          <w:sz w:val="24"/>
          <w:szCs w:val="24"/>
          <w:lang w:val="en-US"/>
        </w:rPr>
        <w:t>The labor market continues to struggle with a widespread problem of inadequate skill matching. A significant number of job openings have not been filled because there are insufficient applicants with the necessary qualifications, notably in fields such as information technology and healthcare</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Watermeyer</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2021</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This difference underlines the relevance of programs that provide retraining and upskilling opportunities.</w:t>
      </w:r>
    </w:p>
    <w:p w:rsidR="00BE7468"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t>Automation and Technology:</w:t>
      </w:r>
      <w:r w:rsidRPr="00F63A3C">
        <w:rPr>
          <w:rFonts w:ascii="Times New Roman" w:hAnsi="Times New Roman" w:cs="Times New Roman"/>
          <w:sz w:val="24"/>
          <w:szCs w:val="24"/>
          <w:lang w:val="en-US"/>
        </w:rPr>
        <w:t xml:space="preserve"> The adoption of new technologies and the rise of automation have caused a transformation in both work roles and sectors, which has resulted in the creation of new employment while simultaneously leaving other job positions obsolete</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Watermeyer</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2021</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The development of artificial intelligence and robots has resulted in an increased need for individuals with digital skill sets.</w:t>
      </w:r>
    </w:p>
    <w:p w:rsidR="00BE7468"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lastRenderedPageBreak/>
        <w:t>Remote Work:</w:t>
      </w:r>
      <w:r w:rsidRPr="00F63A3C">
        <w:rPr>
          <w:rFonts w:ascii="Times New Roman" w:hAnsi="Times New Roman" w:cs="Times New Roman"/>
          <w:sz w:val="24"/>
          <w:szCs w:val="24"/>
          <w:lang w:val="en-US"/>
        </w:rPr>
        <w:t xml:space="preserve"> The COVID-19 epidemic was a driving force for the increased use of remote work. Although this trend has made it possible for employees to have more flexibility in their schedules, it has also created issues in terms of maintaining a healthy work-life balance, mental health, and the possibility of an erosion of business culture</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Brell</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7" w:name="_Toc142619069"/>
      <w:bookmarkStart w:id="8" w:name="_Toc143641340"/>
      <w:r w:rsidRPr="00F63A3C">
        <w:rPr>
          <w:rFonts w:ascii="Times New Roman" w:hAnsi="Times New Roman" w:cs="Times New Roman"/>
          <w:b/>
          <w:color w:val="auto"/>
          <w:sz w:val="24"/>
          <w:szCs w:val="24"/>
          <w:lang w:val="en-US"/>
        </w:rPr>
        <w:t>Challenges and Implications</w:t>
      </w:r>
      <w:bookmarkEnd w:id="7"/>
      <w:bookmarkEnd w:id="8"/>
    </w:p>
    <w:p w:rsidR="00BE7468"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t>Brexit Impact:</w:t>
      </w:r>
      <w:r w:rsidRPr="00F63A3C">
        <w:rPr>
          <w:rFonts w:ascii="Times New Roman" w:hAnsi="Times New Roman" w:cs="Times New Roman"/>
          <w:sz w:val="24"/>
          <w:szCs w:val="24"/>
          <w:lang w:val="en-US"/>
        </w:rPr>
        <w:t xml:space="preserve"> Uncertainty has been thrown into the job market as a result of the United Kingdom's decision to leave the European Union (EU). </w:t>
      </w:r>
      <w:r w:rsidR="002E4764" w:rsidRPr="00F63A3C">
        <w:rPr>
          <w:rFonts w:ascii="Times New Roman" w:hAnsi="Times New Roman" w:cs="Times New Roman"/>
          <w:sz w:val="24"/>
          <w:szCs w:val="24"/>
          <w:lang w:val="en-US"/>
        </w:rPr>
        <w:t>Labor is scarce</w:t>
      </w:r>
      <w:r w:rsidRPr="00F63A3C">
        <w:rPr>
          <w:rFonts w:ascii="Times New Roman" w:hAnsi="Times New Roman" w:cs="Times New Roman"/>
          <w:sz w:val="24"/>
          <w:szCs w:val="24"/>
          <w:lang w:val="en-US"/>
        </w:rPr>
        <w:t xml:space="preserve"> in several industries, including agriculture, healthcare, and hospitality, as a direct result of the decreased availability of employees from the EU</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Eichhorst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BE7468"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t>Wage Growth:</w:t>
      </w:r>
      <w:r w:rsidR="002E4764" w:rsidRPr="00F63A3C">
        <w:rPr>
          <w:rFonts w:ascii="Times New Roman" w:hAnsi="Times New Roman" w:cs="Times New Roman"/>
          <w:sz w:val="24"/>
          <w:szCs w:val="24"/>
          <w:lang w:val="en-US"/>
        </w:rPr>
        <w:t>Even though</w:t>
      </w:r>
      <w:r w:rsidRPr="00F63A3C">
        <w:rPr>
          <w:rFonts w:ascii="Times New Roman" w:hAnsi="Times New Roman" w:cs="Times New Roman"/>
          <w:sz w:val="24"/>
          <w:szCs w:val="24"/>
          <w:lang w:val="en-US"/>
        </w:rPr>
        <w:t xml:space="preserve"> things have gotten better, income growth has not kept up with the growing cost of living. Wages for a great number of employees continue to remain unchanged, which has a negative influence on their total financial well</w:t>
      </w:r>
      <w:r w:rsidR="002E4764"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being</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Eichhorst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BE7468"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t>Inequality:</w:t>
      </w:r>
      <w:r w:rsidR="00CC0343" w:rsidRPr="00F63A3C">
        <w:rPr>
          <w:rFonts w:ascii="Times New Roman" w:hAnsi="Times New Roman" w:cs="Times New Roman"/>
          <w:sz w:val="24"/>
          <w:szCs w:val="24"/>
          <w:lang w:val="en-US"/>
        </w:rPr>
        <w:t>The labor market in the UK continues to be plagued by the problem of income inequality. Disparities in wages, opportunity, and representation continue to exist, especially among disadvantaged groups and minority populations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Adams-Prassl</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00CC0343" w:rsidRPr="00F63A3C">
        <w:rPr>
          <w:rFonts w:ascii="Times New Roman" w:hAnsi="Times New Roman" w:cs="Times New Roman"/>
          <w:sz w:val="24"/>
          <w:szCs w:val="24"/>
          <w:lang w:val="en-US"/>
        </w:rPr>
        <w:t>.</w:t>
      </w:r>
    </w:p>
    <w:p w:rsidR="00176165" w:rsidRPr="00F63A3C" w:rsidRDefault="00BE7468"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b/>
          <w:sz w:val="24"/>
          <w:szCs w:val="24"/>
          <w:lang w:val="en-US"/>
        </w:rPr>
        <w:t>Youth Unemployment:</w:t>
      </w:r>
      <w:r w:rsidR="00CC0343" w:rsidRPr="00F63A3C">
        <w:rPr>
          <w:rFonts w:ascii="Times New Roman" w:hAnsi="Times New Roman" w:cs="Times New Roman"/>
          <w:sz w:val="24"/>
          <w:szCs w:val="24"/>
          <w:lang w:val="en-US"/>
        </w:rPr>
        <w:t xml:space="preserve">Young individuals have a difficult time breaking into the workforce since they don't have enough experience and there is a lot of competition for entry-level jobs. </w:t>
      </w:r>
      <w:r w:rsidR="002E4764" w:rsidRPr="00F63A3C">
        <w:rPr>
          <w:rFonts w:ascii="Times New Roman" w:hAnsi="Times New Roman" w:cs="Times New Roman"/>
          <w:sz w:val="24"/>
          <w:szCs w:val="24"/>
          <w:lang w:val="en-US"/>
        </w:rPr>
        <w:t>T</w:t>
      </w:r>
      <w:r w:rsidR="00CC0343" w:rsidRPr="00F63A3C">
        <w:rPr>
          <w:rFonts w:ascii="Times New Roman" w:hAnsi="Times New Roman" w:cs="Times New Roman"/>
          <w:sz w:val="24"/>
          <w:szCs w:val="24"/>
          <w:lang w:val="en-US"/>
        </w:rPr>
        <w:t>o combat youth unemployment and guarantee young people's successful integration into the workforce, effective initiatives are necessary</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Adams-Prassl</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176165" w:rsidRPr="00F63A3C" w:rsidRDefault="00CC0343" w:rsidP="00B36B08">
      <w:pPr>
        <w:pStyle w:val="Heading2"/>
        <w:spacing w:line="360" w:lineRule="auto"/>
        <w:jc w:val="both"/>
        <w:rPr>
          <w:rFonts w:ascii="Times New Roman" w:hAnsi="Times New Roman" w:cs="Times New Roman"/>
          <w:b/>
          <w:color w:val="auto"/>
          <w:sz w:val="24"/>
          <w:szCs w:val="24"/>
          <w:lang w:val="en-US"/>
        </w:rPr>
      </w:pPr>
      <w:bookmarkStart w:id="9" w:name="_Toc143641341"/>
      <w:r w:rsidRPr="00F63A3C">
        <w:rPr>
          <w:rFonts w:ascii="Times New Roman" w:hAnsi="Times New Roman" w:cs="Times New Roman"/>
          <w:b/>
          <w:color w:val="auto"/>
          <w:sz w:val="24"/>
          <w:szCs w:val="24"/>
          <w:lang w:val="en-US"/>
        </w:rPr>
        <w:t>Opportunities</w:t>
      </w:r>
      <w:bookmarkEnd w:id="9"/>
    </w:p>
    <w:p w:rsidR="006C6E2E" w:rsidRPr="00F63A3C" w:rsidRDefault="006C6E2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Digital Skills Development</w:t>
      </w:r>
    </w:p>
    <w:p w:rsidR="006C6E2E" w:rsidRPr="00F63A3C" w:rsidRDefault="006C6E2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 xml:space="preserve">The increasing need for people with digital skills is a direct result of the fast pace of technology improvements. This is a great chance for anyone looking for work to acquire or hone new skills in fields like data analytics, AI, programming, and digital marketing. Companies are eager to hire people with these abilities so they can spearhead their digital transformation. </w:t>
      </w:r>
      <w:r w:rsidR="002E4764" w:rsidRPr="00F63A3C">
        <w:rPr>
          <w:rFonts w:ascii="Times New Roman" w:hAnsi="Times New Roman" w:cs="Times New Roman"/>
          <w:sz w:val="24"/>
          <w:szCs w:val="24"/>
          <w:lang w:val="en-US"/>
        </w:rPr>
        <w:t>T</w:t>
      </w:r>
      <w:r w:rsidRPr="00F63A3C">
        <w:rPr>
          <w:rFonts w:ascii="Times New Roman" w:hAnsi="Times New Roman" w:cs="Times New Roman"/>
          <w:sz w:val="24"/>
          <w:szCs w:val="24"/>
          <w:lang w:val="en-US"/>
        </w:rPr>
        <w:t>o facilitate the transfer of employees into employment within technology-driven industries, educational institutions</w:t>
      </w:r>
      <w:r w:rsidR="002E4764"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xml:space="preserve"> and online platforms provide courses and training programs to equip people with the appropriate skills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Hooley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2023</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6C6E2E" w:rsidRPr="00F63A3C" w:rsidRDefault="006C6E2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lastRenderedPageBreak/>
        <w:t>Green Economy and Sustainable Jobs</w:t>
      </w:r>
    </w:p>
    <w:p w:rsidR="006C6E2E" w:rsidRPr="00F63A3C" w:rsidRDefault="006C6E2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The green economy has flourished thanks to the United Kingdom's pledge to reach zero net carbon emissions. Green infrastructure, alternative energy, sustainable farming, and environmental consultancy are all ripe with new job openings. Jobs for experts in renewable energy, green business, and climate change prevention are opening up as the industry shifts toward sustainability. Experts in these fields may help shape a cleaner future while making a living wage, as businesses and governments increasingly engage in environmentally responsible projects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Hooley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2023</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6C6E2E" w:rsidRPr="00F63A3C" w:rsidRDefault="006C6E2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Remote Work and Flexible Arrangements</w:t>
      </w:r>
    </w:p>
    <w:p w:rsidR="006C6E2E" w:rsidRPr="00F63A3C" w:rsidRDefault="006C6E2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 xml:space="preserve">As a result of the COVID-19 epidemic, working from home has become the norm. As a result, job-seekers may now take advantage of the trend toward more adaptable schedules and locations. Job options that were previously unavailable due to a person's location may now be pursued because </w:t>
      </w:r>
      <w:r w:rsidR="002E4764" w:rsidRPr="00F63A3C">
        <w:rPr>
          <w:rFonts w:ascii="Times New Roman" w:hAnsi="Times New Roman" w:cs="Times New Roman"/>
          <w:sz w:val="24"/>
          <w:szCs w:val="24"/>
          <w:lang w:val="en-US"/>
        </w:rPr>
        <w:t>of</w:t>
      </w:r>
      <w:r w:rsidRPr="00F63A3C">
        <w:rPr>
          <w:rFonts w:ascii="Times New Roman" w:hAnsi="Times New Roman" w:cs="Times New Roman"/>
          <w:sz w:val="24"/>
          <w:szCs w:val="24"/>
          <w:lang w:val="en-US"/>
        </w:rPr>
        <w:t xml:space="preserve"> the rise of remote employment. Better work-life balance and less stress from commuting are two other benefits that may result from this trend</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Comunian and England,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6C6E2E" w:rsidRPr="00F63A3C" w:rsidRDefault="006C6E2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Entrepreneurship and Gig Economy</w:t>
      </w:r>
    </w:p>
    <w:p w:rsidR="006C6E2E" w:rsidRPr="00F63A3C" w:rsidRDefault="006C6E2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 xml:space="preserve">Freelancers and independent contractors have flourished in recent years because </w:t>
      </w:r>
      <w:r w:rsidR="002E4764" w:rsidRPr="00F63A3C">
        <w:rPr>
          <w:rFonts w:ascii="Times New Roman" w:hAnsi="Times New Roman" w:cs="Times New Roman"/>
          <w:sz w:val="24"/>
          <w:szCs w:val="24"/>
          <w:lang w:val="en-US"/>
        </w:rPr>
        <w:t>of</w:t>
      </w:r>
      <w:r w:rsidRPr="00F63A3C">
        <w:rPr>
          <w:rFonts w:ascii="Times New Roman" w:hAnsi="Times New Roman" w:cs="Times New Roman"/>
          <w:sz w:val="24"/>
          <w:szCs w:val="24"/>
          <w:lang w:val="en-US"/>
        </w:rPr>
        <w:t xml:space="preserve"> the rise of the "gig economy," which allows them to pick and choose their assignments and schedules. This creates a need for those with specialized expertise to go into business for themselves and provide their services to a wide range of customers. Freelancers now have easier access to job opportunities because </w:t>
      </w:r>
      <w:r w:rsidR="002E4764" w:rsidRPr="00F63A3C">
        <w:rPr>
          <w:rFonts w:ascii="Times New Roman" w:hAnsi="Times New Roman" w:cs="Times New Roman"/>
          <w:sz w:val="24"/>
          <w:szCs w:val="24"/>
          <w:lang w:val="en-US"/>
        </w:rPr>
        <w:t>of</w:t>
      </w:r>
      <w:r w:rsidRPr="00F63A3C">
        <w:rPr>
          <w:rFonts w:ascii="Times New Roman" w:hAnsi="Times New Roman" w:cs="Times New Roman"/>
          <w:sz w:val="24"/>
          <w:szCs w:val="24"/>
          <w:lang w:val="en-US"/>
        </w:rPr>
        <w:t xml:space="preserve"> the proliferation of online platforms and marketplaces. There are fewer constraints on would-be company owners who make use of the digital resources at their disposal</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Comunian and England,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6C6E2E" w:rsidRPr="00F63A3C" w:rsidRDefault="006C6E2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Lifelong Learning and Upskilling</w:t>
      </w:r>
    </w:p>
    <w:p w:rsidR="006C6E2E" w:rsidRPr="00F63A3C" w:rsidRDefault="006C6E2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 xml:space="preserve">The ever-changing nature of the job market makes lifelong education and skill development necessities. This gives people the chance to </w:t>
      </w:r>
      <w:r w:rsidR="002E4764" w:rsidRPr="00F63A3C">
        <w:rPr>
          <w:rFonts w:ascii="Times New Roman" w:hAnsi="Times New Roman" w:cs="Times New Roman"/>
          <w:sz w:val="24"/>
          <w:szCs w:val="24"/>
          <w:lang w:val="en-US"/>
        </w:rPr>
        <w:t>inves</w:t>
      </w:r>
      <w:r w:rsidRPr="00F63A3C">
        <w:rPr>
          <w:rFonts w:ascii="Times New Roman" w:hAnsi="Times New Roman" w:cs="Times New Roman"/>
          <w:sz w:val="24"/>
          <w:szCs w:val="24"/>
          <w:lang w:val="en-US"/>
        </w:rPr>
        <w:t xml:space="preserve">t in their future careers by exploring new educational opportunities. Institutions of higher learning, as well as online classes, seminars, and webinars, are available to anyone interested in expanding their skill sets and horizons. </w:t>
      </w:r>
      <w:r w:rsidRPr="00F63A3C">
        <w:rPr>
          <w:rFonts w:ascii="Times New Roman" w:hAnsi="Times New Roman" w:cs="Times New Roman"/>
          <w:sz w:val="24"/>
          <w:szCs w:val="24"/>
          <w:lang w:val="en-US"/>
        </w:rPr>
        <w:lastRenderedPageBreak/>
        <w:t>Candidates that can show they are dedicated learners, flexible, and open to gaining new skills stand out to hiring managers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Andrew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2022</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6C6E2E" w:rsidRPr="00F63A3C" w:rsidRDefault="006C6E2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Diversity and Inclusion Initiatives</w:t>
      </w:r>
    </w:p>
    <w:p w:rsidR="00176165" w:rsidRPr="00F63A3C" w:rsidRDefault="006C6E2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The drive for diversity and inclusion is expanding doors of opportunity for people from traditionally marginalized groups. More and more businesses are realizing that a diverse workforce produces more creative solutions and more sound decisions. This newfound commitment to diversity and inclusion is creating opportunities for those with fresh ideas to make an impact in the workplace. Diverse candidates are in high demand from a variety of industries, making this a good moment for people from underrepresented groups to look for work</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Andrew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2022</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10" w:name="_Toc142619071"/>
      <w:bookmarkStart w:id="11" w:name="_Toc143641342"/>
      <w:r w:rsidRPr="00F63A3C">
        <w:rPr>
          <w:rFonts w:ascii="Times New Roman" w:hAnsi="Times New Roman" w:cs="Times New Roman"/>
          <w:b/>
          <w:color w:val="auto"/>
          <w:sz w:val="24"/>
          <w:szCs w:val="24"/>
          <w:lang w:val="en-US"/>
        </w:rPr>
        <w:t>Government Initiatives</w:t>
      </w:r>
      <w:bookmarkEnd w:id="10"/>
      <w:bookmarkEnd w:id="11"/>
    </w:p>
    <w:p w:rsidR="004A4131" w:rsidRPr="00F63A3C" w:rsidRDefault="004A4131"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Skills for Jobs</w:t>
      </w:r>
    </w:p>
    <w:p w:rsidR="004A4131" w:rsidRPr="00F63A3C" w:rsidRDefault="00B379B2"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 xml:space="preserve">The goal of the "Skills for Jobs" program is to provide people </w:t>
      </w:r>
      <w:r w:rsidR="002E4764" w:rsidRPr="00F63A3C">
        <w:rPr>
          <w:rFonts w:ascii="Times New Roman" w:hAnsi="Times New Roman" w:cs="Times New Roman"/>
          <w:sz w:val="24"/>
          <w:szCs w:val="24"/>
          <w:lang w:val="en-US"/>
        </w:rPr>
        <w:t xml:space="preserve">with </w:t>
      </w:r>
      <w:r w:rsidRPr="00F63A3C">
        <w:rPr>
          <w:rFonts w:ascii="Times New Roman" w:hAnsi="Times New Roman" w:cs="Times New Roman"/>
          <w:sz w:val="24"/>
          <w:szCs w:val="24"/>
          <w:lang w:val="en-US"/>
        </w:rPr>
        <w:t>the tools they need to succeed in today's competitive employment market. The government of the United Kingdom is making significant investments in vocational education and training by working with businesses to develop programs that meet the requirements of certain sectors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Jackson and Tomlinson,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The program's overarching goal is to help people get the training they need to find work in fast-growing industries including tech, green business, and health care.</w:t>
      </w:r>
    </w:p>
    <w:p w:rsidR="004A4131" w:rsidRPr="00F63A3C" w:rsidRDefault="004A4131"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Apprenticeships and Traineeships</w:t>
      </w:r>
    </w:p>
    <w:p w:rsidR="004A4131" w:rsidRPr="00F63A3C" w:rsidRDefault="00B379B2"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The government is dedicated to increasing access to apprenticeship programs for persons of all ages. Employers are incentivized via the Apprenticeship Levy to contribute to apprenticeship programs that provide students access to on-the-job training. This program improves employment prospects by providing a bridge between formal education and practical experience in a wide range of fields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Jackson and Tomlinson,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Traineeships are a stepping stone to apprenticeships, giving hands-on experience and the fundamentals of the trade to better prepare participants for the workforce.</w:t>
      </w:r>
    </w:p>
    <w:p w:rsidR="004A4131" w:rsidRPr="00F63A3C" w:rsidRDefault="004A4131"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Kickstart Scheme</w:t>
      </w:r>
    </w:p>
    <w:p w:rsidR="004A4131" w:rsidRPr="00F63A3C" w:rsidRDefault="00B379B2"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lastRenderedPageBreak/>
        <w:t>The Kickstart Scheme was created as a response to the epidemic, which had a multiplicative effect on young unemployment. Young adults (those in the age range of 16 to 24) may benefit from this program since it helps them find paid internships and jobs. With government backing, firms may provide suitable work placements for unemployed kids, which helps boost employment and gives them access to new talent</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Cristea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4A4131" w:rsidRPr="00F63A3C" w:rsidRDefault="004A4131"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Green Jobs and Net Zero Commitment</w:t>
      </w:r>
    </w:p>
    <w:p w:rsidR="004A4131" w:rsidRPr="00F63A3C" w:rsidRDefault="00B379B2"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The government of the United Kingdom is putting money towards green employment and sustainable sectors as part of its plan to reach net-zero carbon emissions by 2050. The Green Jobs Taskforce is one such initiative that aims to increase employment in the fields of sustainable energy, green infrastructure, and environmental management</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Cristea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Employment opportunities for those with expertise in sustainability and environmentally friendly methods are created, and economic development is bolstered.</w:t>
      </w:r>
    </w:p>
    <w:p w:rsidR="004A4131" w:rsidRPr="00F63A3C" w:rsidRDefault="004A4131"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Future Jobs Fund</w:t>
      </w:r>
    </w:p>
    <w:p w:rsidR="004A4131" w:rsidRPr="00F63A3C" w:rsidRDefault="00ED1C7A"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The Future Jobs Fund's mission is to encourage new employment opportunities in line with anticipated economic developments. Sustainable employment development in renewable energy, technology, and healthcare is the focus of this effort. The government fosters the growth of industries that promote long-term economic success by giving money for innovative initiatives and endeavors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Cristea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4A4131" w:rsidRPr="00F63A3C" w:rsidRDefault="004A4131"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Digital Skills Partnership</w:t>
      </w:r>
    </w:p>
    <w:p w:rsidR="004A4131" w:rsidRPr="00F63A3C" w:rsidRDefault="00ED1C7A"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To improve workers' digital competence, the Digital Skills Partnership promotes synergy between government, business, and academia. The project seeks to meet the need for skilled workers in the information economy by encouraging retraining and further education</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Cristea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2020</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Programs and alliances for teaching digital skills are designed to keep the British workforce competitive internationally.</w:t>
      </w:r>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12" w:name="_Toc142619072"/>
      <w:bookmarkStart w:id="13" w:name="_Toc143641343"/>
      <w:r w:rsidRPr="00F63A3C">
        <w:rPr>
          <w:rFonts w:ascii="Times New Roman" w:hAnsi="Times New Roman" w:cs="Times New Roman"/>
          <w:b/>
          <w:color w:val="auto"/>
          <w:sz w:val="24"/>
          <w:szCs w:val="24"/>
          <w:lang w:val="en-US"/>
        </w:rPr>
        <w:t>Task 2: Emerging changes in Human Resourcing Strategies in the post-COVID, post-BREXIT external environment</w:t>
      </w:r>
      <w:bookmarkEnd w:id="12"/>
      <w:r w:rsidR="00214191">
        <w:rPr>
          <w:rFonts w:ascii="Times New Roman" w:hAnsi="Times New Roman" w:cs="Times New Roman"/>
          <w:b/>
          <w:color w:val="auto"/>
          <w:sz w:val="24"/>
          <w:szCs w:val="24"/>
          <w:lang w:val="en-US"/>
        </w:rPr>
        <w:t xml:space="preserve">: </w:t>
      </w:r>
      <w:r w:rsidR="00214191" w:rsidRPr="00214191">
        <w:rPr>
          <w:rFonts w:ascii="Times New Roman" w:hAnsi="Times New Roman" w:cs="Times New Roman"/>
          <w:b/>
          <w:color w:val="auto"/>
          <w:sz w:val="24"/>
          <w:szCs w:val="24"/>
          <w:lang w:val="en-US"/>
        </w:rPr>
        <w:t>An Organizational Adaptation Theory Perspective</w:t>
      </w:r>
      <w:bookmarkEnd w:id="13"/>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14" w:name="_Toc142619073"/>
      <w:bookmarkStart w:id="15" w:name="_Toc143641344"/>
      <w:r w:rsidRPr="00F63A3C">
        <w:rPr>
          <w:rFonts w:ascii="Times New Roman" w:hAnsi="Times New Roman" w:cs="Times New Roman"/>
          <w:b/>
          <w:color w:val="auto"/>
          <w:sz w:val="24"/>
          <w:szCs w:val="24"/>
          <w:lang w:val="en-US"/>
        </w:rPr>
        <w:t>Impact of Post-COVID-19 on Human Resourcing</w:t>
      </w:r>
      <w:bookmarkEnd w:id="14"/>
      <w:bookmarkEnd w:id="15"/>
    </w:p>
    <w:p w:rsidR="00264B6E" w:rsidRPr="00F63A3C" w:rsidRDefault="00264B6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Remote and Hybrid Work Models</w:t>
      </w:r>
    </w:p>
    <w:p w:rsidR="00264B6E" w:rsidRPr="00F63A3C" w:rsidRDefault="00264B6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lastRenderedPageBreak/>
        <w:t>Companies were compelled to quickly adopt flexible work arrangements as a result of the epidemic. The prevalence of remote and hybrid workplaces is projected to increase as the globe enters a post-pandemic era. Companies are rethinking their human resources strategy to better accommodate remote workers, with an eye on developing new methods of communication and measuring employee productivity</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Roumpi, 2021</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xml:space="preserve">. Employees </w:t>
      </w:r>
      <w:r w:rsidR="002E4764" w:rsidRPr="00F63A3C">
        <w:rPr>
          <w:rFonts w:ascii="Times New Roman" w:hAnsi="Times New Roman" w:cs="Times New Roman"/>
          <w:sz w:val="24"/>
          <w:szCs w:val="24"/>
          <w:lang w:val="en-US"/>
        </w:rPr>
        <w:t>can</w:t>
      </w:r>
      <w:r w:rsidRPr="00F63A3C">
        <w:rPr>
          <w:rFonts w:ascii="Times New Roman" w:hAnsi="Times New Roman" w:cs="Times New Roman"/>
          <w:sz w:val="24"/>
          <w:szCs w:val="24"/>
          <w:lang w:val="en-US"/>
        </w:rPr>
        <w:t xml:space="preserve"> split their time between working in the office and from home, improving their work-life balance and increasing the pool of qualified applicants.</w:t>
      </w:r>
    </w:p>
    <w:p w:rsidR="00264B6E" w:rsidRPr="00F63A3C" w:rsidRDefault="00264B6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Reskilling and Upskilling</w:t>
      </w:r>
    </w:p>
    <w:p w:rsidR="00264B6E" w:rsidRPr="00F63A3C" w:rsidRDefault="00264B6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 xml:space="preserve">The need for and pace of digital expertise have been boosted by both the epidemic and Brexit. </w:t>
      </w:r>
      <w:r w:rsidR="002E4764" w:rsidRPr="00F63A3C">
        <w:rPr>
          <w:rFonts w:ascii="Times New Roman" w:hAnsi="Times New Roman" w:cs="Times New Roman"/>
          <w:sz w:val="24"/>
          <w:szCs w:val="24"/>
          <w:lang w:val="en-US"/>
        </w:rPr>
        <w:t>T</w:t>
      </w:r>
      <w:r w:rsidRPr="00F63A3C">
        <w:rPr>
          <w:rFonts w:ascii="Times New Roman" w:hAnsi="Times New Roman" w:cs="Times New Roman"/>
          <w:sz w:val="24"/>
          <w:szCs w:val="24"/>
          <w:lang w:val="en-US"/>
        </w:rPr>
        <w:t>o fill up the gaps in workers' skill sets and keep them from becoming obsolete, human resource policies are pivoting toward reskilling and upskilling initiatives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Roumpi, 2021</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Human resource plans increasingly include investments in training programs, partnerships with educational institutions, and collaborations with online learning platforms to ensure a workforce prepared to succeed in a technology-driven future.</w:t>
      </w:r>
    </w:p>
    <w:p w:rsidR="00264B6E" w:rsidRPr="00F63A3C" w:rsidRDefault="00264B6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Talent Mobility and Immigration Policies</w:t>
      </w:r>
    </w:p>
    <w:p w:rsidR="00264B6E" w:rsidRPr="00F63A3C" w:rsidRDefault="00264B6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 xml:space="preserve">Changes to immigration rules as a result of Brexit </w:t>
      </w:r>
      <w:r w:rsidR="002E4764" w:rsidRPr="00F63A3C">
        <w:rPr>
          <w:rFonts w:ascii="Times New Roman" w:hAnsi="Times New Roman" w:cs="Times New Roman"/>
          <w:sz w:val="24"/>
          <w:szCs w:val="24"/>
          <w:lang w:val="en-US"/>
        </w:rPr>
        <w:t>affect</w:t>
      </w:r>
      <w:r w:rsidRPr="00F63A3C">
        <w:rPr>
          <w:rFonts w:ascii="Times New Roman" w:hAnsi="Times New Roman" w:cs="Times New Roman"/>
          <w:sz w:val="24"/>
          <w:szCs w:val="24"/>
          <w:lang w:val="en-US"/>
        </w:rPr>
        <w:t xml:space="preserve"> the free flow of talent. Companies are adjusting by rethinking their recruiting strategy, learning the ins and outs of the new visa restrictions, and looking into new methods of attracting foreign talent</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Roumpi, 2021</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Comprehensive onboarding practices, which help international workers adjust to their new home</w:t>
      </w:r>
      <w:r w:rsidR="002E4764" w:rsidRPr="00F63A3C">
        <w:rPr>
          <w:rFonts w:ascii="Times New Roman" w:hAnsi="Times New Roman" w:cs="Times New Roman"/>
          <w:sz w:val="24"/>
          <w:szCs w:val="24"/>
          <w:lang w:val="en-US"/>
        </w:rPr>
        <w:t>s</w:t>
      </w:r>
      <w:r w:rsidRPr="00F63A3C">
        <w:rPr>
          <w:rFonts w:ascii="Times New Roman" w:hAnsi="Times New Roman" w:cs="Times New Roman"/>
          <w:sz w:val="24"/>
          <w:szCs w:val="24"/>
          <w:lang w:val="en-US"/>
        </w:rPr>
        <w:t xml:space="preserve"> and thrive in their new jobs, are a priority.</w:t>
      </w:r>
    </w:p>
    <w:p w:rsidR="00264B6E" w:rsidRPr="00F63A3C" w:rsidRDefault="00264B6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Emphasis on Well-being and Mental Health</w:t>
      </w:r>
    </w:p>
    <w:p w:rsidR="00264B6E" w:rsidRPr="00F63A3C" w:rsidRDefault="00264B6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The significance of employees' physical and emotional health was brought into sharp focus by the epidemic. Well-being programs, mental health assistance, and activities promoting a healthy work-life balance are increasingly being included in HR strategy</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Moradlou</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2022</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The goal of providing workers with more leeway in their schedules, as well as counseling and wellness programs, is to help them thrive in the workplace.</w:t>
      </w:r>
    </w:p>
    <w:p w:rsidR="00264B6E" w:rsidRPr="00F63A3C" w:rsidRDefault="00264B6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Diversity, Equity, and Inclusion (DEI)</w:t>
      </w:r>
    </w:p>
    <w:p w:rsidR="00264B6E" w:rsidRPr="00F63A3C" w:rsidRDefault="00264B6E"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lastRenderedPageBreak/>
        <w:t xml:space="preserve">Diversity and inclusion are more vital than ever as Brexit has sparked debate about the UK's place in the world. Human resource policies and practices are increasingly </w:t>
      </w:r>
      <w:r w:rsidR="002E4764" w:rsidRPr="00F63A3C">
        <w:rPr>
          <w:rFonts w:ascii="Times New Roman" w:hAnsi="Times New Roman" w:cs="Times New Roman"/>
          <w:sz w:val="24"/>
          <w:szCs w:val="24"/>
          <w:lang w:val="en-US"/>
        </w:rPr>
        <w:t>emphasizing</w:t>
      </w:r>
      <w:r w:rsidRPr="00F63A3C">
        <w:rPr>
          <w:rFonts w:ascii="Times New Roman" w:hAnsi="Times New Roman" w:cs="Times New Roman"/>
          <w:sz w:val="24"/>
          <w:szCs w:val="24"/>
          <w:lang w:val="en-US"/>
        </w:rPr>
        <w:t xml:space="preserve"> diversity recruiting, creating welcoming workplaces, and reducing prejudice in the selection of new employees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Moradlou</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2022</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xml:space="preserve">. </w:t>
      </w:r>
      <w:r w:rsidR="002E4764" w:rsidRPr="00F63A3C">
        <w:rPr>
          <w:rFonts w:ascii="Times New Roman" w:hAnsi="Times New Roman" w:cs="Times New Roman"/>
          <w:sz w:val="24"/>
          <w:szCs w:val="24"/>
          <w:lang w:val="en-US"/>
        </w:rPr>
        <w:t>T</w:t>
      </w:r>
      <w:r w:rsidRPr="00F63A3C">
        <w:rPr>
          <w:rFonts w:ascii="Times New Roman" w:hAnsi="Times New Roman" w:cs="Times New Roman"/>
          <w:sz w:val="24"/>
          <w:szCs w:val="24"/>
          <w:lang w:val="en-US"/>
        </w:rPr>
        <w:t>o foster creativity and improved decision-making, DEI programs strive to build teams with a wide range of backgrounds and experiences.</w:t>
      </w:r>
    </w:p>
    <w:p w:rsidR="00264B6E" w:rsidRPr="00F63A3C" w:rsidRDefault="00264B6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Agile Recruitment Strategies</w:t>
      </w:r>
    </w:p>
    <w:p w:rsidR="00264B6E" w:rsidRPr="00F63A3C" w:rsidRDefault="00845576"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Companies are rethinking their hiring methods to better respond to shifting market demands. Identifying and attracting outstanding talent as quickly as possible requires an agile recruiting strategy that makes use of digital platforms, social media, and novel evaluation methodologies. This method allows businesses to swiftly adjust to shifting market conditions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Moradlou</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2022</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w:t>
      </w:r>
    </w:p>
    <w:p w:rsidR="00264B6E" w:rsidRPr="00F63A3C" w:rsidRDefault="00845576"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Data-Driven Decision Making</w:t>
      </w:r>
    </w:p>
    <w:p w:rsidR="00264B6E" w:rsidRPr="00F63A3C" w:rsidRDefault="002E4764"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w:t>
      </w:r>
      <w:r w:rsidR="00845576" w:rsidRPr="00F63A3C">
        <w:rPr>
          <w:rFonts w:ascii="Times New Roman" w:hAnsi="Times New Roman" w:cs="Times New Roman"/>
          <w:sz w:val="24"/>
          <w:szCs w:val="24"/>
          <w:lang w:val="en-US"/>
        </w:rPr>
        <w:t xml:space="preserve">o make better judgments, HR strategies are increasingly using data analytics. HR departments may benefit from data-driven insights into workforce trends, employee behavior, and process optimization. </w:t>
      </w:r>
      <w:r w:rsidR="00B36B08" w:rsidRPr="00F63A3C">
        <w:rPr>
          <w:rFonts w:ascii="Times New Roman" w:hAnsi="Times New Roman" w:cs="Times New Roman"/>
          <w:sz w:val="24"/>
          <w:szCs w:val="24"/>
          <w:lang w:val="en-US"/>
        </w:rPr>
        <w:t>Due to</w:t>
      </w:r>
      <w:r w:rsidR="00845576" w:rsidRPr="00F63A3C">
        <w:rPr>
          <w:rFonts w:ascii="Times New Roman" w:hAnsi="Times New Roman" w:cs="Times New Roman"/>
          <w:sz w:val="24"/>
          <w:szCs w:val="24"/>
          <w:lang w:val="en-US"/>
        </w:rPr>
        <w:t xml:space="preserve"> this, businesses may improve their methods of hiring, retaining, and evaluating employee performance</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Sindakis and Aggarwal, 2022</w:t>
      </w:r>
      <w:r w:rsidR="00B36B08" w:rsidRPr="00F63A3C">
        <w:rPr>
          <w:rFonts w:ascii="Times New Roman" w:hAnsi="Times New Roman" w:cs="Times New Roman"/>
          <w:sz w:val="24"/>
          <w:szCs w:val="24"/>
          <w:lang w:val="en-US"/>
        </w:rPr>
        <w:t>)</w:t>
      </w:r>
      <w:r w:rsidR="00845576" w:rsidRPr="00F63A3C">
        <w:rPr>
          <w:rFonts w:ascii="Times New Roman" w:hAnsi="Times New Roman" w:cs="Times New Roman"/>
          <w:sz w:val="24"/>
          <w:szCs w:val="24"/>
          <w:lang w:val="en-US"/>
        </w:rPr>
        <w:t>.</w:t>
      </w:r>
    </w:p>
    <w:p w:rsidR="00264B6E" w:rsidRPr="00F63A3C" w:rsidRDefault="00264B6E" w:rsidP="00B36B08">
      <w:pPr>
        <w:spacing w:line="360" w:lineRule="auto"/>
        <w:jc w:val="both"/>
        <w:rPr>
          <w:rFonts w:ascii="Times New Roman" w:hAnsi="Times New Roman" w:cs="Times New Roman"/>
          <w:b/>
          <w:sz w:val="24"/>
          <w:szCs w:val="24"/>
          <w:lang w:val="en-US"/>
        </w:rPr>
      </w:pPr>
      <w:r w:rsidRPr="00F63A3C">
        <w:rPr>
          <w:rFonts w:ascii="Times New Roman" w:hAnsi="Times New Roman" w:cs="Times New Roman"/>
          <w:b/>
          <w:sz w:val="24"/>
          <w:szCs w:val="24"/>
          <w:lang w:val="en-US"/>
        </w:rPr>
        <w:t>Enhanced Employer Branding</w:t>
      </w:r>
    </w:p>
    <w:p w:rsidR="00176165" w:rsidRPr="00F63A3C" w:rsidRDefault="002E4764"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w:t>
      </w:r>
      <w:r w:rsidR="00845576" w:rsidRPr="00F63A3C">
        <w:rPr>
          <w:rFonts w:ascii="Times New Roman" w:hAnsi="Times New Roman" w:cs="Times New Roman"/>
          <w:sz w:val="24"/>
          <w:szCs w:val="24"/>
          <w:lang w:val="en-US"/>
        </w:rPr>
        <w:t>o compete for talent in the post-COVID, post-Brexit world, businesses must improve their employer brands. Human resource strategies highlight an organization's ideals, dedication to employee development, and part in resolving social issues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Sindakis and Aggarwal, 2022</w:t>
      </w:r>
      <w:r w:rsidR="00B36B08" w:rsidRPr="00F63A3C">
        <w:rPr>
          <w:rFonts w:ascii="Times New Roman" w:hAnsi="Times New Roman" w:cs="Times New Roman"/>
          <w:sz w:val="24"/>
          <w:szCs w:val="24"/>
          <w:lang w:val="en-US"/>
        </w:rPr>
        <w:t>)</w:t>
      </w:r>
      <w:r w:rsidR="00845576" w:rsidRPr="00F63A3C">
        <w:rPr>
          <w:rFonts w:ascii="Times New Roman" w:hAnsi="Times New Roman" w:cs="Times New Roman"/>
          <w:sz w:val="24"/>
          <w:szCs w:val="24"/>
          <w:lang w:val="en-US"/>
        </w:rPr>
        <w:t>.</w:t>
      </w:r>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16" w:name="_Toc142619075"/>
      <w:bookmarkStart w:id="17" w:name="_Toc143641345"/>
      <w:r w:rsidRPr="00F63A3C">
        <w:rPr>
          <w:rFonts w:ascii="Times New Roman" w:hAnsi="Times New Roman" w:cs="Times New Roman"/>
          <w:b/>
          <w:color w:val="auto"/>
          <w:sz w:val="24"/>
          <w:szCs w:val="24"/>
          <w:lang w:val="en-US"/>
        </w:rPr>
        <w:t>Synergies and Adaptations</w:t>
      </w:r>
      <w:bookmarkEnd w:id="16"/>
      <w:bookmarkEnd w:id="17"/>
    </w:p>
    <w:p w:rsidR="00176165" w:rsidRPr="00F63A3C" w:rsidRDefault="00845576"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Synergies are the results of working together that are better than the sum of the parts. Organizations are looking for synergies to pool resources, exchange knowledge, and develop novel solutions in the post-COVID, post-Brexit era. Supply chain disruptions, regulatory shifts, and market uncertainty are just a few examples of the common difficulties that have led to an increase in cross-industry, cross-sector, and even competitive collaborations</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Gupta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2023</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Organizations may benefit from one another's capabilities via synergies that develop as a result of strategic partnerships, joint ventures, and ecosystem alliances.</w:t>
      </w:r>
    </w:p>
    <w:p w:rsidR="00845576" w:rsidRPr="00F63A3C" w:rsidRDefault="00845576"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lastRenderedPageBreak/>
        <w:t>To survive in an ever-changing world, adaptation is essential. Organizations must rethink and modify their strategies, procedures, and processes to accommodate the new environment. Following the pandemic of COVID-19, digitization, remote employment, and internet participation became necessities. Changes to supply chain tactics, human resource policies, and commerce rules have all been prompted by Brexit</w:t>
      </w:r>
      <w:r w:rsidR="00B36B08" w:rsidRPr="00F63A3C">
        <w:rPr>
          <w:rFonts w:ascii="Times New Roman" w:hAnsi="Times New Roman" w:cs="Times New Roman"/>
          <w:sz w:val="24"/>
          <w:szCs w:val="24"/>
          <w:lang w:val="en-US"/>
        </w:rPr>
        <w:t xml:space="preserve"> (</w:t>
      </w:r>
      <w:r w:rsidR="00B36B08" w:rsidRPr="00F63A3C">
        <w:rPr>
          <w:rFonts w:ascii="Times New Roman" w:hAnsi="Times New Roman" w:cs="Times New Roman"/>
          <w:sz w:val="24"/>
          <w:szCs w:val="24"/>
          <w:shd w:val="clear" w:color="auto" w:fill="FFFFFF"/>
        </w:rPr>
        <w:t xml:space="preserve">Gupta </w:t>
      </w:r>
      <w:r w:rsidR="00B36B08" w:rsidRPr="00F63A3C">
        <w:rPr>
          <w:rFonts w:ascii="Times New Roman" w:hAnsi="Times New Roman" w:cs="Times New Roman"/>
          <w:i/>
          <w:sz w:val="24"/>
          <w:szCs w:val="24"/>
          <w:shd w:val="clear" w:color="auto" w:fill="FFFFFF"/>
        </w:rPr>
        <w:t>et al.</w:t>
      </w:r>
      <w:r w:rsidR="00B36B08" w:rsidRPr="00F63A3C">
        <w:rPr>
          <w:rFonts w:ascii="Times New Roman" w:hAnsi="Times New Roman" w:cs="Times New Roman"/>
          <w:sz w:val="24"/>
          <w:szCs w:val="24"/>
          <w:shd w:val="clear" w:color="auto" w:fill="FFFFFF"/>
        </w:rPr>
        <w:t>, 2023</w:t>
      </w:r>
      <w:r w:rsidR="00B36B08" w:rsidRPr="00F63A3C">
        <w:rPr>
          <w:rFonts w:ascii="Times New Roman" w:hAnsi="Times New Roman" w:cs="Times New Roman"/>
          <w:sz w:val="24"/>
          <w:szCs w:val="24"/>
          <w:lang w:val="en-US"/>
        </w:rPr>
        <w:t>)</w:t>
      </w:r>
      <w:r w:rsidRPr="00F63A3C">
        <w:rPr>
          <w:rFonts w:ascii="Times New Roman" w:hAnsi="Times New Roman" w:cs="Times New Roman"/>
          <w:sz w:val="24"/>
          <w:szCs w:val="24"/>
          <w:lang w:val="en-US"/>
        </w:rPr>
        <w:t>. Businesses are also emphasizing employee flexibility by encouraging an environment that welcomes new ideas and approaches. Possible modifications include reorganization, product diversification, market expansion, and the introduction of technology-based answers.</w:t>
      </w:r>
    </w:p>
    <w:p w:rsidR="00845576" w:rsidRPr="00F63A3C" w:rsidRDefault="00C734F6" w:rsidP="00B36B08">
      <w:pPr>
        <w:spacing w:line="360" w:lineRule="auto"/>
        <w:jc w:val="both"/>
        <w:rPr>
          <w:rFonts w:ascii="Times New Roman" w:hAnsi="Times New Roman" w:cs="Times New Roman"/>
          <w:sz w:val="24"/>
          <w:szCs w:val="24"/>
          <w:lang w:val="en-US"/>
        </w:rPr>
      </w:pPr>
      <w:r w:rsidRPr="00F63A3C">
        <w:rPr>
          <w:rFonts w:ascii="Times New Roman" w:hAnsi="Times New Roman" w:cs="Times New Roman"/>
          <w:sz w:val="24"/>
          <w:szCs w:val="24"/>
          <w:lang w:val="en-US"/>
        </w:rPr>
        <w:t>The interdependence of synergies and adaptations is where their power rests. Synergistic partnerships put businesses in a better position to respond quickly and effectively to external changes. Successful adaptations are often the result of collaborative efforts that lead to increased understanding, quicker issue solutions, and the pooling of resources. In a similar vein, companies often need to synchronize their plans with collaborative efforts to make the most of their resources and skills while making modifications. The notion of synergies and adaptations highlights the significance of resilience, adaptability, and creativity in the post-COVID and post-Brexit context. Successfully navigating the hurdles, capitalizing on the opportunities, and thriving in the ever-evolving external environment is more possible for organizations that actively seek synergy while making strategic modifications. Organizations may provide the groundwork for long-term development and success via collaborative efforts, information sharing, and openness to change.</w:t>
      </w:r>
    </w:p>
    <w:p w:rsidR="00176165" w:rsidRPr="00F63A3C" w:rsidRDefault="00176165" w:rsidP="00B36B08">
      <w:pPr>
        <w:pStyle w:val="Heading1"/>
        <w:spacing w:line="360" w:lineRule="auto"/>
        <w:jc w:val="both"/>
        <w:rPr>
          <w:rFonts w:ascii="Times New Roman" w:hAnsi="Times New Roman" w:cs="Times New Roman"/>
          <w:b/>
          <w:color w:val="auto"/>
          <w:sz w:val="24"/>
          <w:szCs w:val="24"/>
          <w:lang w:val="en-US"/>
        </w:rPr>
      </w:pPr>
      <w:bookmarkStart w:id="18" w:name="_Toc142619076"/>
      <w:bookmarkStart w:id="19" w:name="_Toc143641346"/>
      <w:r w:rsidRPr="00F63A3C">
        <w:rPr>
          <w:rFonts w:ascii="Times New Roman" w:hAnsi="Times New Roman" w:cs="Times New Roman"/>
          <w:b/>
          <w:color w:val="auto"/>
          <w:sz w:val="24"/>
          <w:szCs w:val="24"/>
          <w:lang w:val="en-US"/>
        </w:rPr>
        <w:t>Conclusion</w:t>
      </w:r>
      <w:bookmarkEnd w:id="18"/>
      <w:bookmarkEnd w:id="19"/>
    </w:p>
    <w:p w:rsidR="00EC3B66" w:rsidRPr="00F63A3C" w:rsidRDefault="00BE7468" w:rsidP="00B36B08">
      <w:pPr>
        <w:spacing w:line="360" w:lineRule="auto"/>
        <w:jc w:val="both"/>
        <w:rPr>
          <w:rFonts w:ascii="Times New Roman" w:hAnsi="Times New Roman" w:cs="Times New Roman"/>
          <w:sz w:val="24"/>
          <w:szCs w:val="24"/>
        </w:rPr>
      </w:pPr>
      <w:r w:rsidRPr="00F63A3C">
        <w:rPr>
          <w:rFonts w:ascii="Times New Roman" w:hAnsi="Times New Roman" w:cs="Times New Roman"/>
          <w:sz w:val="24"/>
          <w:szCs w:val="24"/>
        </w:rPr>
        <w:t xml:space="preserve">Global events, technological advances, and altering social objectives have all had an impact on the present situation of the UK job market. Opportunities exist for people to gain new skills, access growing businesses, and adopt flexible work arrangements despite the persistence of difficulties including Brexit-related uncertainty, skill mismatches, and pay stagnation. A commitment to addressing </w:t>
      </w:r>
      <w:r w:rsidR="00824072" w:rsidRPr="00F63A3C">
        <w:rPr>
          <w:rFonts w:ascii="Times New Roman" w:hAnsi="Times New Roman" w:cs="Times New Roman"/>
          <w:sz w:val="24"/>
          <w:szCs w:val="24"/>
        </w:rPr>
        <w:t>labor</w:t>
      </w:r>
      <w:r w:rsidRPr="00F63A3C">
        <w:rPr>
          <w:rFonts w:ascii="Times New Roman" w:hAnsi="Times New Roman" w:cs="Times New Roman"/>
          <w:sz w:val="24"/>
          <w:szCs w:val="24"/>
        </w:rPr>
        <w:t xml:space="preserve"> market difficulties is shown by government measures emphasizing apprenticeships, young employment, and fair salaries. To keep the UK </w:t>
      </w:r>
      <w:r w:rsidR="00824072" w:rsidRPr="00F63A3C">
        <w:rPr>
          <w:rFonts w:ascii="Times New Roman" w:hAnsi="Times New Roman" w:cs="Times New Roman"/>
          <w:sz w:val="24"/>
          <w:szCs w:val="24"/>
        </w:rPr>
        <w:t>labor</w:t>
      </w:r>
      <w:r w:rsidRPr="00F63A3C">
        <w:rPr>
          <w:rFonts w:ascii="Times New Roman" w:hAnsi="Times New Roman" w:cs="Times New Roman"/>
          <w:sz w:val="24"/>
          <w:szCs w:val="24"/>
        </w:rPr>
        <w:t xml:space="preserve"> market robust, inclusive, and responsive to changing dynamics, </w:t>
      </w:r>
      <w:r w:rsidR="002E4764" w:rsidRPr="00F63A3C">
        <w:rPr>
          <w:rFonts w:ascii="Times New Roman" w:hAnsi="Times New Roman" w:cs="Times New Roman"/>
          <w:sz w:val="24"/>
          <w:szCs w:val="24"/>
        </w:rPr>
        <w:t>players such as governments, companies, and educational institutions must</w:t>
      </w:r>
      <w:r w:rsidRPr="00F63A3C">
        <w:rPr>
          <w:rFonts w:ascii="Times New Roman" w:hAnsi="Times New Roman" w:cs="Times New Roman"/>
          <w:sz w:val="24"/>
          <w:szCs w:val="24"/>
        </w:rPr>
        <w:t xml:space="preserve"> work together.</w:t>
      </w:r>
      <w:r w:rsidR="00ED1C7A" w:rsidRPr="00F63A3C">
        <w:rPr>
          <w:rFonts w:ascii="Times New Roman" w:hAnsi="Times New Roman" w:cs="Times New Roman"/>
          <w:sz w:val="24"/>
          <w:szCs w:val="24"/>
        </w:rPr>
        <w:t xml:space="preserve"> Organizations now face unprecedented external challenges and possibilities as a result of the post-COVID and post-</w:t>
      </w:r>
      <w:r w:rsidR="00ED1C7A" w:rsidRPr="00F63A3C">
        <w:rPr>
          <w:rFonts w:ascii="Times New Roman" w:hAnsi="Times New Roman" w:cs="Times New Roman"/>
          <w:sz w:val="24"/>
          <w:szCs w:val="24"/>
        </w:rPr>
        <w:lastRenderedPageBreak/>
        <w:t>Brexit world. The modern HR approach emphasizes remote work, reskilling, employee wellness, diversity and inclusion, and data-driven decision-making. Adapting HR procedures strategically is not only necessary for survival in today's volatile market, but also a path to success. HR strategies are evolving to reflect companies' dedication to building a staff prepared to deal with the complexity of the future workplace.</w:t>
      </w:r>
    </w:p>
    <w:p w:rsidR="00B36B08" w:rsidRPr="00F63A3C" w:rsidRDefault="00B36B08" w:rsidP="00B36B08">
      <w:pPr>
        <w:spacing w:line="360" w:lineRule="auto"/>
        <w:rPr>
          <w:rFonts w:ascii="Times New Roman" w:eastAsiaTheme="majorEastAsia" w:hAnsi="Times New Roman" w:cs="Times New Roman"/>
          <w:b/>
          <w:sz w:val="24"/>
          <w:szCs w:val="24"/>
        </w:rPr>
      </w:pPr>
      <w:r w:rsidRPr="00F63A3C">
        <w:rPr>
          <w:rFonts w:ascii="Times New Roman" w:hAnsi="Times New Roman" w:cs="Times New Roman"/>
          <w:b/>
          <w:sz w:val="24"/>
          <w:szCs w:val="24"/>
        </w:rPr>
        <w:br w:type="page"/>
      </w:r>
    </w:p>
    <w:p w:rsidR="00B36B08" w:rsidRPr="00F63A3C" w:rsidRDefault="00B36B08" w:rsidP="00B36B08">
      <w:pPr>
        <w:pStyle w:val="Heading1"/>
        <w:spacing w:line="360" w:lineRule="auto"/>
        <w:rPr>
          <w:rFonts w:ascii="Times New Roman" w:hAnsi="Times New Roman" w:cs="Times New Roman"/>
          <w:b/>
          <w:color w:val="auto"/>
          <w:sz w:val="24"/>
          <w:szCs w:val="24"/>
        </w:rPr>
      </w:pPr>
      <w:bookmarkStart w:id="20" w:name="_Toc143641347"/>
      <w:r w:rsidRPr="00F63A3C">
        <w:rPr>
          <w:rFonts w:ascii="Times New Roman" w:hAnsi="Times New Roman" w:cs="Times New Roman"/>
          <w:b/>
          <w:color w:val="auto"/>
          <w:sz w:val="24"/>
          <w:szCs w:val="24"/>
        </w:rPr>
        <w:lastRenderedPageBreak/>
        <w:t>References</w:t>
      </w:r>
      <w:bookmarkEnd w:id="20"/>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Adams-Prassl, A., Boneva, T., Golin, M. and Rauh, C., 2020. Inequality in the impact of the coronavirus shock: Evidence from real time surveys. </w:t>
      </w:r>
      <w:r w:rsidRPr="00F63A3C">
        <w:rPr>
          <w:rFonts w:ascii="Times New Roman" w:hAnsi="Times New Roman" w:cs="Times New Roman"/>
          <w:i/>
          <w:iCs/>
          <w:sz w:val="24"/>
          <w:szCs w:val="24"/>
          <w:shd w:val="clear" w:color="auto" w:fill="FFFFFF"/>
        </w:rPr>
        <w:t>Journal of Public economics</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189</w:t>
      </w:r>
      <w:r w:rsidRPr="00F63A3C">
        <w:rPr>
          <w:rFonts w:ascii="Times New Roman" w:hAnsi="Times New Roman" w:cs="Times New Roman"/>
          <w:sz w:val="24"/>
          <w:szCs w:val="24"/>
          <w:shd w:val="clear" w:color="auto" w:fill="FFFFFF"/>
        </w:rPr>
        <w:t>, p.104245.</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Andrew, A., Cattan, S., Costa Dias, M., Farquharson, C., Kraftman, L., Krutikova, S., Phimister, A. and Sevilla, A., 2022. The gendered division of paid and domestic work under lockdown. </w:t>
      </w:r>
      <w:r w:rsidRPr="00F63A3C">
        <w:rPr>
          <w:rFonts w:ascii="Times New Roman" w:hAnsi="Times New Roman" w:cs="Times New Roman"/>
          <w:i/>
          <w:iCs/>
          <w:sz w:val="24"/>
          <w:szCs w:val="24"/>
          <w:shd w:val="clear" w:color="auto" w:fill="FFFFFF"/>
        </w:rPr>
        <w:t>Fiscal Studies</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43</w:t>
      </w:r>
      <w:r w:rsidRPr="00F63A3C">
        <w:rPr>
          <w:rFonts w:ascii="Times New Roman" w:hAnsi="Times New Roman" w:cs="Times New Roman"/>
          <w:sz w:val="24"/>
          <w:szCs w:val="24"/>
          <w:shd w:val="clear" w:color="auto" w:fill="FFFFFF"/>
        </w:rPr>
        <w:t>(4), pp.325-340.</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Bell, D.N. and Blanchflower, D.G., 2020. US and UK labour markets before and during the Covid-19 crash. </w:t>
      </w:r>
      <w:r w:rsidRPr="00F63A3C">
        <w:rPr>
          <w:rFonts w:ascii="Times New Roman" w:hAnsi="Times New Roman" w:cs="Times New Roman"/>
          <w:i/>
          <w:iCs/>
          <w:sz w:val="24"/>
          <w:szCs w:val="24"/>
          <w:shd w:val="clear" w:color="auto" w:fill="FFFFFF"/>
        </w:rPr>
        <w:t>National Institute Economic Review</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252</w:t>
      </w:r>
      <w:r w:rsidRPr="00F63A3C">
        <w:rPr>
          <w:rFonts w:ascii="Times New Roman" w:hAnsi="Times New Roman" w:cs="Times New Roman"/>
          <w:sz w:val="24"/>
          <w:szCs w:val="24"/>
          <w:shd w:val="clear" w:color="auto" w:fill="FFFFFF"/>
        </w:rPr>
        <w:t>, pp.R52-R69.</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Brell, C., Dustmann, C. and Preston, I., 2020. The labor market integration of refugee migrants in high-income countries. </w:t>
      </w:r>
      <w:r w:rsidRPr="00F63A3C">
        <w:rPr>
          <w:rFonts w:ascii="Times New Roman" w:hAnsi="Times New Roman" w:cs="Times New Roman"/>
          <w:i/>
          <w:iCs/>
          <w:sz w:val="24"/>
          <w:szCs w:val="24"/>
          <w:shd w:val="clear" w:color="auto" w:fill="FFFFFF"/>
        </w:rPr>
        <w:t>Journal of Economic Perspectives</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34</w:t>
      </w:r>
      <w:r w:rsidRPr="00F63A3C">
        <w:rPr>
          <w:rFonts w:ascii="Times New Roman" w:hAnsi="Times New Roman" w:cs="Times New Roman"/>
          <w:sz w:val="24"/>
          <w:szCs w:val="24"/>
          <w:shd w:val="clear" w:color="auto" w:fill="FFFFFF"/>
        </w:rPr>
        <w:t>(1), pp.94-121.</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Comunian, R. and England, L., 2020. Creative and cultural work without filters: Covid-19 and exposed precarity in the creative economy. </w:t>
      </w:r>
      <w:r w:rsidRPr="00F63A3C">
        <w:rPr>
          <w:rFonts w:ascii="Times New Roman" w:hAnsi="Times New Roman" w:cs="Times New Roman"/>
          <w:i/>
          <w:iCs/>
          <w:sz w:val="24"/>
          <w:szCs w:val="24"/>
          <w:shd w:val="clear" w:color="auto" w:fill="FFFFFF"/>
        </w:rPr>
        <w:t>Cultural Trends</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29</w:t>
      </w:r>
      <w:r w:rsidRPr="00F63A3C">
        <w:rPr>
          <w:rFonts w:ascii="Times New Roman" w:hAnsi="Times New Roman" w:cs="Times New Roman"/>
          <w:sz w:val="24"/>
          <w:szCs w:val="24"/>
          <w:shd w:val="clear" w:color="auto" w:fill="FFFFFF"/>
        </w:rPr>
        <w:t>(2), pp.112-128.</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Cristea, M., Noja, G.G., Stefea, P. and Sala, A.L., 2020. The impact of population aging and public health support on EU labor markets. </w:t>
      </w:r>
      <w:r w:rsidRPr="00F63A3C">
        <w:rPr>
          <w:rFonts w:ascii="Times New Roman" w:hAnsi="Times New Roman" w:cs="Times New Roman"/>
          <w:i/>
          <w:iCs/>
          <w:sz w:val="24"/>
          <w:szCs w:val="24"/>
          <w:shd w:val="clear" w:color="auto" w:fill="FFFFFF"/>
        </w:rPr>
        <w:t>International journal of environmental research and public health</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17</w:t>
      </w:r>
      <w:r w:rsidRPr="00F63A3C">
        <w:rPr>
          <w:rFonts w:ascii="Times New Roman" w:hAnsi="Times New Roman" w:cs="Times New Roman"/>
          <w:sz w:val="24"/>
          <w:szCs w:val="24"/>
          <w:shd w:val="clear" w:color="auto" w:fill="FFFFFF"/>
        </w:rPr>
        <w:t>(4), p.1439.</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Eichhorst, W., Marx, P. and Rinne, U., 2020. Manoeuvring through the crisis: Labour market and social policies during the COVID-19 pandemic. </w:t>
      </w:r>
      <w:r w:rsidRPr="00F63A3C">
        <w:rPr>
          <w:rFonts w:ascii="Times New Roman" w:hAnsi="Times New Roman" w:cs="Times New Roman"/>
          <w:i/>
          <w:iCs/>
          <w:sz w:val="24"/>
          <w:szCs w:val="24"/>
          <w:shd w:val="clear" w:color="auto" w:fill="FFFFFF"/>
        </w:rPr>
        <w:t>Intereconomics</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55</w:t>
      </w:r>
      <w:r w:rsidRPr="00F63A3C">
        <w:rPr>
          <w:rFonts w:ascii="Times New Roman" w:hAnsi="Times New Roman" w:cs="Times New Roman"/>
          <w:sz w:val="24"/>
          <w:szCs w:val="24"/>
          <w:shd w:val="clear" w:color="auto" w:fill="FFFFFF"/>
        </w:rPr>
        <w:t>, pp.375-380.</w:t>
      </w:r>
    </w:p>
    <w:p w:rsidR="00B36B08" w:rsidRPr="00F63A3C" w:rsidRDefault="00B36B08" w:rsidP="00B36B08">
      <w:pPr>
        <w:spacing w:line="360" w:lineRule="auto"/>
        <w:jc w:val="both"/>
        <w:rPr>
          <w:rFonts w:ascii="Times New Roman" w:hAnsi="Times New Roman" w:cs="Times New Roman"/>
          <w:sz w:val="24"/>
          <w:szCs w:val="24"/>
        </w:rPr>
      </w:pPr>
      <w:r w:rsidRPr="00F63A3C">
        <w:rPr>
          <w:rFonts w:ascii="Times New Roman" w:hAnsi="Times New Roman" w:cs="Times New Roman"/>
          <w:sz w:val="24"/>
          <w:szCs w:val="24"/>
          <w:shd w:val="clear" w:color="auto" w:fill="FFFFFF"/>
        </w:rPr>
        <w:t>Gupta, R., Hasan, M.M., Islam, S.Z., Yasmin, T. and Uddin, J., 2023. Evaluating the Brexit and COVID-19’s influence on the UK economy: A data analysis. </w:t>
      </w:r>
      <w:r w:rsidRPr="00F63A3C">
        <w:rPr>
          <w:rFonts w:ascii="Times New Roman" w:hAnsi="Times New Roman" w:cs="Times New Roman"/>
          <w:i/>
          <w:iCs/>
          <w:sz w:val="24"/>
          <w:szCs w:val="24"/>
          <w:shd w:val="clear" w:color="auto" w:fill="FFFFFF"/>
        </w:rPr>
        <w:t>Plos one</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18</w:t>
      </w:r>
      <w:r w:rsidRPr="00F63A3C">
        <w:rPr>
          <w:rFonts w:ascii="Times New Roman" w:hAnsi="Times New Roman" w:cs="Times New Roman"/>
          <w:sz w:val="24"/>
          <w:szCs w:val="24"/>
          <w:shd w:val="clear" w:color="auto" w:fill="FFFFFF"/>
        </w:rPr>
        <w:t>(6), p.e0287342.</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Hooley, T., Hanson, J. and Clark, L., 2023. Exploring students’ and graduates’ attitudes to the process of transition to the labour market. </w:t>
      </w:r>
      <w:r w:rsidRPr="00F63A3C">
        <w:rPr>
          <w:rFonts w:ascii="Times New Roman" w:hAnsi="Times New Roman" w:cs="Times New Roman"/>
          <w:i/>
          <w:iCs/>
          <w:sz w:val="24"/>
          <w:szCs w:val="24"/>
          <w:shd w:val="clear" w:color="auto" w:fill="FFFFFF"/>
        </w:rPr>
        <w:t>Industry and Higher Education</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37</w:t>
      </w:r>
      <w:r w:rsidRPr="00F63A3C">
        <w:rPr>
          <w:rFonts w:ascii="Times New Roman" w:hAnsi="Times New Roman" w:cs="Times New Roman"/>
          <w:sz w:val="24"/>
          <w:szCs w:val="24"/>
          <w:shd w:val="clear" w:color="auto" w:fill="FFFFFF"/>
        </w:rPr>
        <w:t>(1), pp.121-134.</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Jackson, D. and Tomlinson, M., 2020. Investigating the relationship between career planning, proactivity and employability perceptions among higher education students in uncertain labour market conditions. </w:t>
      </w:r>
      <w:r w:rsidRPr="00F63A3C">
        <w:rPr>
          <w:rFonts w:ascii="Times New Roman" w:hAnsi="Times New Roman" w:cs="Times New Roman"/>
          <w:i/>
          <w:iCs/>
          <w:sz w:val="24"/>
          <w:szCs w:val="24"/>
          <w:shd w:val="clear" w:color="auto" w:fill="FFFFFF"/>
        </w:rPr>
        <w:t>Higher education</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80</w:t>
      </w:r>
      <w:r w:rsidRPr="00F63A3C">
        <w:rPr>
          <w:rFonts w:ascii="Times New Roman" w:hAnsi="Times New Roman" w:cs="Times New Roman"/>
          <w:sz w:val="24"/>
          <w:szCs w:val="24"/>
          <w:shd w:val="clear" w:color="auto" w:fill="FFFFFF"/>
        </w:rPr>
        <w:t>(3), pp.435-455.</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lastRenderedPageBreak/>
        <w:t>Moradlou, H., Fratocchi, L., Skipworth, H. and Ghadge, A., 2022. Post-Brexit back-shoring strategies: what UK manufacturing companies could learn from the past?. </w:t>
      </w:r>
      <w:r w:rsidRPr="00F63A3C">
        <w:rPr>
          <w:rFonts w:ascii="Times New Roman" w:hAnsi="Times New Roman" w:cs="Times New Roman"/>
          <w:i/>
          <w:iCs/>
          <w:sz w:val="24"/>
          <w:szCs w:val="24"/>
          <w:shd w:val="clear" w:color="auto" w:fill="FFFFFF"/>
        </w:rPr>
        <w:t>Production Planning &amp; Control</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33</w:t>
      </w:r>
      <w:r w:rsidRPr="00F63A3C">
        <w:rPr>
          <w:rFonts w:ascii="Times New Roman" w:hAnsi="Times New Roman" w:cs="Times New Roman"/>
          <w:sz w:val="24"/>
          <w:szCs w:val="24"/>
          <w:shd w:val="clear" w:color="auto" w:fill="FFFFFF"/>
        </w:rPr>
        <w:t>(14), pp.1319-1336.</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Roumpi, D., 2021. Rethinking the strategic management of human resources: lessons learned from Covid-19 and the way forward in building resilience. </w:t>
      </w:r>
      <w:r w:rsidRPr="00F63A3C">
        <w:rPr>
          <w:rFonts w:ascii="Times New Roman" w:hAnsi="Times New Roman" w:cs="Times New Roman"/>
          <w:i/>
          <w:iCs/>
          <w:sz w:val="24"/>
          <w:szCs w:val="24"/>
          <w:shd w:val="clear" w:color="auto" w:fill="FFFFFF"/>
        </w:rPr>
        <w:t>International Journal of Organizational Analysis</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31</w:t>
      </w:r>
      <w:r w:rsidRPr="00F63A3C">
        <w:rPr>
          <w:rFonts w:ascii="Times New Roman" w:hAnsi="Times New Roman" w:cs="Times New Roman"/>
          <w:sz w:val="24"/>
          <w:szCs w:val="24"/>
          <w:shd w:val="clear" w:color="auto" w:fill="FFFFFF"/>
        </w:rPr>
        <w:t>(1), pp.215-231.</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Sindakis, S. and Aggarwal, S., 2022. The Implications of Brexit for Small Businesses in the UK. In </w:t>
      </w:r>
      <w:r w:rsidRPr="00F63A3C">
        <w:rPr>
          <w:rFonts w:ascii="Times New Roman" w:hAnsi="Times New Roman" w:cs="Times New Roman"/>
          <w:i/>
          <w:iCs/>
          <w:sz w:val="24"/>
          <w:szCs w:val="24"/>
          <w:shd w:val="clear" w:color="auto" w:fill="FFFFFF"/>
        </w:rPr>
        <w:t>Small Business Management and Control of the Uncertain External Environment</w:t>
      </w:r>
      <w:r w:rsidRPr="00F63A3C">
        <w:rPr>
          <w:rFonts w:ascii="Times New Roman" w:hAnsi="Times New Roman" w:cs="Times New Roman"/>
          <w:sz w:val="24"/>
          <w:szCs w:val="24"/>
          <w:shd w:val="clear" w:color="auto" w:fill="FFFFFF"/>
        </w:rPr>
        <w:t> (pp. 179-196). Emerald Publishing Limited.</w:t>
      </w:r>
    </w:p>
    <w:p w:rsidR="00B36B08" w:rsidRPr="00F63A3C" w:rsidRDefault="00B36B08" w:rsidP="00B36B08">
      <w:pPr>
        <w:spacing w:line="360" w:lineRule="auto"/>
        <w:jc w:val="both"/>
        <w:rPr>
          <w:rFonts w:ascii="Times New Roman" w:hAnsi="Times New Roman" w:cs="Times New Roman"/>
          <w:sz w:val="24"/>
          <w:szCs w:val="24"/>
          <w:shd w:val="clear" w:color="auto" w:fill="FFFFFF"/>
        </w:rPr>
      </w:pPr>
      <w:r w:rsidRPr="00F63A3C">
        <w:rPr>
          <w:rFonts w:ascii="Times New Roman" w:hAnsi="Times New Roman" w:cs="Times New Roman"/>
          <w:sz w:val="24"/>
          <w:szCs w:val="24"/>
          <w:shd w:val="clear" w:color="auto" w:fill="FFFFFF"/>
        </w:rPr>
        <w:t>Watermeyer, R., Crick, T., Knight, C. and Goodall, J., 2021. COVID-19 and digital disruption in UK universities: Afflictions and affordances of emergency online migration. </w:t>
      </w:r>
      <w:r w:rsidRPr="00F63A3C">
        <w:rPr>
          <w:rFonts w:ascii="Times New Roman" w:hAnsi="Times New Roman" w:cs="Times New Roman"/>
          <w:i/>
          <w:iCs/>
          <w:sz w:val="24"/>
          <w:szCs w:val="24"/>
          <w:shd w:val="clear" w:color="auto" w:fill="FFFFFF"/>
        </w:rPr>
        <w:t>Higher education</w:t>
      </w:r>
      <w:r w:rsidRPr="00F63A3C">
        <w:rPr>
          <w:rFonts w:ascii="Times New Roman" w:hAnsi="Times New Roman" w:cs="Times New Roman"/>
          <w:sz w:val="24"/>
          <w:szCs w:val="24"/>
          <w:shd w:val="clear" w:color="auto" w:fill="FFFFFF"/>
        </w:rPr>
        <w:t>, </w:t>
      </w:r>
      <w:r w:rsidRPr="00F63A3C">
        <w:rPr>
          <w:rFonts w:ascii="Times New Roman" w:hAnsi="Times New Roman" w:cs="Times New Roman"/>
          <w:i/>
          <w:iCs/>
          <w:sz w:val="24"/>
          <w:szCs w:val="24"/>
          <w:shd w:val="clear" w:color="auto" w:fill="FFFFFF"/>
        </w:rPr>
        <w:t>81</w:t>
      </w:r>
      <w:r w:rsidRPr="00F63A3C">
        <w:rPr>
          <w:rFonts w:ascii="Times New Roman" w:hAnsi="Times New Roman" w:cs="Times New Roman"/>
          <w:sz w:val="24"/>
          <w:szCs w:val="24"/>
          <w:shd w:val="clear" w:color="auto" w:fill="FFFFFF"/>
        </w:rPr>
        <w:t>, pp.623-641.</w:t>
      </w:r>
    </w:p>
    <w:p w:rsidR="00B36B08" w:rsidRPr="00F63A3C" w:rsidRDefault="00B36B08" w:rsidP="00B36B08">
      <w:pPr>
        <w:spacing w:line="360" w:lineRule="auto"/>
        <w:jc w:val="both"/>
        <w:rPr>
          <w:rFonts w:ascii="Times New Roman" w:hAnsi="Times New Roman" w:cs="Times New Roman"/>
          <w:b/>
          <w:sz w:val="24"/>
          <w:szCs w:val="24"/>
        </w:rPr>
      </w:pPr>
    </w:p>
    <w:sectPr w:rsidR="00B36B08" w:rsidRPr="00F63A3C" w:rsidSect="00F135C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0281" w:rsidRDefault="00230281" w:rsidP="00F135C7">
      <w:pPr>
        <w:spacing w:after="0" w:line="240" w:lineRule="auto"/>
      </w:pPr>
      <w:r>
        <w:separator/>
      </w:r>
    </w:p>
  </w:endnote>
  <w:endnote w:type="continuationSeparator" w:id="1">
    <w:p w:rsidR="00230281" w:rsidRDefault="00230281" w:rsidP="00F135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6302700"/>
      <w:docPartObj>
        <w:docPartGallery w:val="Page Numbers (Bottom of Page)"/>
        <w:docPartUnique/>
      </w:docPartObj>
    </w:sdtPr>
    <w:sdtEndPr>
      <w:rPr>
        <w:noProof/>
      </w:rPr>
    </w:sdtEndPr>
    <w:sdtContent>
      <w:p w:rsidR="00F135C7" w:rsidRDefault="00706723">
        <w:pPr>
          <w:pStyle w:val="Footer"/>
          <w:jc w:val="right"/>
        </w:pPr>
        <w:r w:rsidRPr="00F135C7">
          <w:rPr>
            <w:rFonts w:ascii="Times New Roman" w:hAnsi="Times New Roman" w:cs="Times New Roman"/>
            <w:sz w:val="24"/>
          </w:rPr>
          <w:fldChar w:fldCharType="begin"/>
        </w:r>
        <w:r w:rsidR="00F135C7" w:rsidRPr="00F135C7">
          <w:rPr>
            <w:rFonts w:ascii="Times New Roman" w:hAnsi="Times New Roman" w:cs="Times New Roman"/>
            <w:sz w:val="24"/>
          </w:rPr>
          <w:instrText xml:space="preserve"> PAGE   \* MERGEFORMAT </w:instrText>
        </w:r>
        <w:r w:rsidRPr="00F135C7">
          <w:rPr>
            <w:rFonts w:ascii="Times New Roman" w:hAnsi="Times New Roman" w:cs="Times New Roman"/>
            <w:sz w:val="24"/>
          </w:rPr>
          <w:fldChar w:fldCharType="separate"/>
        </w:r>
        <w:r w:rsidR="00002935">
          <w:rPr>
            <w:rFonts w:ascii="Times New Roman" w:hAnsi="Times New Roman" w:cs="Times New Roman"/>
            <w:noProof/>
            <w:sz w:val="24"/>
          </w:rPr>
          <w:t>1</w:t>
        </w:r>
        <w:r w:rsidRPr="00F135C7">
          <w:rPr>
            <w:rFonts w:ascii="Times New Roman" w:hAnsi="Times New Roman" w:cs="Times New Roman"/>
            <w:noProof/>
            <w:sz w:val="24"/>
          </w:rPr>
          <w:fldChar w:fldCharType="end"/>
        </w:r>
      </w:p>
    </w:sdtContent>
  </w:sdt>
  <w:p w:rsidR="00F135C7" w:rsidRDefault="00F135C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0281" w:rsidRDefault="00230281" w:rsidP="00F135C7">
      <w:pPr>
        <w:spacing w:after="0" w:line="240" w:lineRule="auto"/>
      </w:pPr>
      <w:r>
        <w:separator/>
      </w:r>
    </w:p>
  </w:footnote>
  <w:footnote w:type="continuationSeparator" w:id="1">
    <w:p w:rsidR="00230281" w:rsidRDefault="00230281" w:rsidP="00F135C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jM3tjAzMbQ0NjYxtrRQ0lEKTi0uzszPAykwrgUAuru9zywAAAA="/>
  </w:docVars>
  <w:rsids>
    <w:rsidRoot w:val="005E1BB4"/>
    <w:rsid w:val="00002935"/>
    <w:rsid w:val="0006038C"/>
    <w:rsid w:val="000D29AD"/>
    <w:rsid w:val="00176165"/>
    <w:rsid w:val="001C3165"/>
    <w:rsid w:val="00214191"/>
    <w:rsid w:val="00230281"/>
    <w:rsid w:val="00264B6E"/>
    <w:rsid w:val="002E4764"/>
    <w:rsid w:val="004A4131"/>
    <w:rsid w:val="00511635"/>
    <w:rsid w:val="005E1BB4"/>
    <w:rsid w:val="00617CA3"/>
    <w:rsid w:val="006707CD"/>
    <w:rsid w:val="006C6E2E"/>
    <w:rsid w:val="00706723"/>
    <w:rsid w:val="00824072"/>
    <w:rsid w:val="00836BA4"/>
    <w:rsid w:val="00845576"/>
    <w:rsid w:val="008A0CEA"/>
    <w:rsid w:val="009F44BA"/>
    <w:rsid w:val="00B36B08"/>
    <w:rsid w:val="00B379B2"/>
    <w:rsid w:val="00BA4CC4"/>
    <w:rsid w:val="00BE7468"/>
    <w:rsid w:val="00C734F6"/>
    <w:rsid w:val="00CC0343"/>
    <w:rsid w:val="00EC3B66"/>
    <w:rsid w:val="00ED1C7A"/>
    <w:rsid w:val="00F10208"/>
    <w:rsid w:val="00F135C7"/>
    <w:rsid w:val="00F63A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6165"/>
    <w:rPr>
      <w:lang w:val="en-GB"/>
    </w:rPr>
  </w:style>
  <w:style w:type="paragraph" w:styleId="Heading1">
    <w:name w:val="heading 1"/>
    <w:basedOn w:val="Normal"/>
    <w:next w:val="Normal"/>
    <w:link w:val="Heading1Char"/>
    <w:uiPriority w:val="9"/>
    <w:qFormat/>
    <w:rsid w:val="001761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61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16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176165"/>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F135C7"/>
    <w:pPr>
      <w:outlineLvl w:val="9"/>
    </w:pPr>
    <w:rPr>
      <w:lang w:val="en-US"/>
    </w:rPr>
  </w:style>
  <w:style w:type="paragraph" w:styleId="TOC1">
    <w:name w:val="toc 1"/>
    <w:basedOn w:val="Normal"/>
    <w:next w:val="Normal"/>
    <w:autoRedefine/>
    <w:uiPriority w:val="39"/>
    <w:unhideWhenUsed/>
    <w:rsid w:val="00F135C7"/>
    <w:pPr>
      <w:spacing w:after="100"/>
    </w:pPr>
  </w:style>
  <w:style w:type="paragraph" w:styleId="TOC2">
    <w:name w:val="toc 2"/>
    <w:basedOn w:val="Normal"/>
    <w:next w:val="Normal"/>
    <w:autoRedefine/>
    <w:uiPriority w:val="39"/>
    <w:unhideWhenUsed/>
    <w:rsid w:val="00F135C7"/>
    <w:pPr>
      <w:spacing w:after="100"/>
      <w:ind w:left="220"/>
    </w:pPr>
  </w:style>
  <w:style w:type="character" w:styleId="Hyperlink">
    <w:name w:val="Hyperlink"/>
    <w:basedOn w:val="DefaultParagraphFont"/>
    <w:uiPriority w:val="99"/>
    <w:unhideWhenUsed/>
    <w:rsid w:val="00F135C7"/>
    <w:rPr>
      <w:color w:val="0563C1" w:themeColor="hyperlink"/>
      <w:u w:val="single"/>
    </w:rPr>
  </w:style>
  <w:style w:type="paragraph" w:styleId="Header">
    <w:name w:val="header"/>
    <w:basedOn w:val="Normal"/>
    <w:link w:val="HeaderChar"/>
    <w:uiPriority w:val="99"/>
    <w:unhideWhenUsed/>
    <w:rsid w:val="00F13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5C7"/>
    <w:rPr>
      <w:lang w:val="en-GB"/>
    </w:rPr>
  </w:style>
  <w:style w:type="paragraph" w:styleId="Footer">
    <w:name w:val="footer"/>
    <w:basedOn w:val="Normal"/>
    <w:link w:val="FooterChar"/>
    <w:uiPriority w:val="99"/>
    <w:unhideWhenUsed/>
    <w:rsid w:val="00F13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5C7"/>
    <w:rPr>
      <w:lang w:val="en-GB"/>
    </w:rPr>
  </w:style>
  <w:style w:type="paragraph" w:styleId="BalloonText">
    <w:name w:val="Balloon Text"/>
    <w:basedOn w:val="Normal"/>
    <w:link w:val="BalloonTextChar"/>
    <w:uiPriority w:val="99"/>
    <w:semiHidden/>
    <w:unhideWhenUsed/>
    <w:rsid w:val="00836B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BA4"/>
    <w:rPr>
      <w:rFonts w:ascii="Tahoma" w:hAnsi="Tahoma" w:cs="Tahoma"/>
      <w:sz w:val="16"/>
      <w:szCs w:val="16"/>
      <w:lang w:val="en-GB"/>
    </w:rPr>
  </w:style>
  <w:style w:type="table" w:styleId="TableGrid">
    <w:name w:val="Table Grid"/>
    <w:basedOn w:val="TableNormal"/>
    <w:uiPriority w:val="39"/>
    <w:rsid w:val="00836BA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69563D-4996-498D-83D0-66E97F1E4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14</Pages>
  <Words>3312</Words>
  <Characters>18884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LENOVO</cp:lastModifiedBy>
  <cp:revision>25</cp:revision>
  <dcterms:created xsi:type="dcterms:W3CDTF">2023-08-17T07:41:00Z</dcterms:created>
  <dcterms:modified xsi:type="dcterms:W3CDTF">2023-08-22T20:59:00Z</dcterms:modified>
</cp:coreProperties>
</file>