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sz w:val="32"/>
          <w:szCs w:val="36"/>
        </w:rPr>
      </w:pPr>
      <w:bookmarkStart w:id="0" w:name="OLE_LINK4"/>
      <w:r>
        <w:drawing>
          <wp:inline distT="0" distB="0" distL="114300" distR="114300">
            <wp:extent cx="1847850" cy="589915"/>
            <wp:effectExtent l="0" t="0" r="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4"/>
                    <a:stretch>
                      <a:fillRect/>
                    </a:stretch>
                  </pic:blipFill>
                  <pic:spPr>
                    <a:xfrm>
                      <a:off x="0" y="0"/>
                      <a:ext cx="1847850" cy="589915"/>
                    </a:xfrm>
                    <a:prstGeom prst="rect">
                      <a:avLst/>
                    </a:prstGeom>
                    <a:noFill/>
                    <a:ln>
                      <a:noFill/>
                    </a:ln>
                  </pic:spPr>
                </pic:pic>
              </a:graphicData>
            </a:graphic>
          </wp:inline>
        </w:drawing>
      </w:r>
    </w:p>
    <w:p>
      <w:pPr>
        <w:jc w:val="left"/>
        <w:rPr>
          <w:sz w:val="32"/>
          <w:szCs w:val="36"/>
        </w:rPr>
      </w:pPr>
    </w:p>
    <w:p>
      <w:pPr>
        <w:jc w:val="center"/>
        <w:rPr>
          <w:rFonts w:ascii="Times New Roman" w:hAnsi="Times New Roman" w:cs="Times New Roman"/>
          <w:b/>
          <w:bCs/>
          <w:sz w:val="40"/>
          <w:szCs w:val="44"/>
        </w:rPr>
      </w:pPr>
      <w:r>
        <w:rPr>
          <w:rFonts w:ascii="Times New Roman" w:hAnsi="Times New Roman" w:cs="Times New Roman"/>
          <w:b/>
          <w:bCs/>
          <w:sz w:val="40"/>
          <w:szCs w:val="44"/>
        </w:rPr>
        <w:t>L7: Data Security, Governance and Compliance</w:t>
      </w:r>
    </w:p>
    <w:p>
      <w:pPr>
        <w:jc w:val="center"/>
        <w:rPr>
          <w:rFonts w:ascii="Times New Roman" w:hAnsi="Times New Roman" w:cs="Times New Roman"/>
          <w:b/>
          <w:bCs/>
          <w:sz w:val="40"/>
          <w:szCs w:val="44"/>
        </w:rPr>
      </w:pPr>
      <w:r>
        <w:rPr>
          <w:rFonts w:hint="eastAsia" w:ascii="Times New Roman" w:hAnsi="Times New Roman" w:cs="Times New Roman"/>
          <w:b/>
          <w:bCs/>
          <w:sz w:val="40"/>
          <w:szCs w:val="44"/>
        </w:rPr>
        <w:t>(</w:t>
      </w:r>
      <w:r>
        <w:rPr>
          <w:rFonts w:ascii="Times New Roman" w:hAnsi="Times New Roman" w:cs="Times New Roman"/>
          <w:b/>
          <w:bCs/>
          <w:sz w:val="40"/>
          <w:szCs w:val="44"/>
        </w:rPr>
        <w:t>ACCA7028)</w:t>
      </w:r>
    </w:p>
    <w:p>
      <w:pPr>
        <w:jc w:val="center"/>
        <w:rPr>
          <w:rFonts w:ascii="Times New Roman" w:hAnsi="Times New Roman" w:cs="Times New Roman"/>
          <w:b/>
          <w:bCs/>
          <w:sz w:val="40"/>
          <w:szCs w:val="44"/>
        </w:rPr>
      </w:pPr>
    </w:p>
    <w:p>
      <w:pPr>
        <w:jc w:val="center"/>
        <w:rPr>
          <w:rFonts w:ascii="Times New Roman" w:hAnsi="Times New Roman" w:cs="Times New Roman"/>
          <w:b/>
          <w:bCs/>
          <w:sz w:val="36"/>
          <w:szCs w:val="36"/>
        </w:rPr>
      </w:pPr>
      <w:r>
        <w:rPr>
          <w:rFonts w:hint="eastAsia" w:ascii="Times New Roman" w:hAnsi="Times New Roman" w:cs="Times New Roman"/>
          <w:b/>
          <w:bCs/>
          <w:sz w:val="36"/>
          <w:szCs w:val="36"/>
        </w:rPr>
        <w:t>A</w:t>
      </w:r>
      <w:r>
        <w:rPr>
          <w:rFonts w:ascii="Times New Roman" w:hAnsi="Times New Roman" w:cs="Times New Roman"/>
          <w:b/>
          <w:bCs/>
          <w:sz w:val="36"/>
          <w:szCs w:val="36"/>
        </w:rPr>
        <w:t>pply the Principles of Data Security, Governance and Compliance to a Given Scenario</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both"/>
        <w:rPr>
          <w:rFonts w:hint="eastAsia" w:ascii="Times New Roman" w:hAnsi="Times New Roman" w:cs="Times New Roman"/>
          <w:sz w:val="32"/>
          <w:szCs w:val="36"/>
          <w:lang w:val="en-US" w:eastAsia="zh-CN"/>
        </w:rPr>
      </w:pPr>
    </w:p>
    <w:p>
      <w:pPr>
        <w:jc w:val="both"/>
        <w:rPr>
          <w:rFonts w:hint="eastAsia" w:ascii="Times New Roman" w:hAnsi="Times New Roman" w:cs="Times New Roman"/>
          <w:sz w:val="32"/>
          <w:szCs w:val="36"/>
          <w:lang w:val="en-US" w:eastAsia="zh-CN"/>
        </w:rPr>
      </w:pPr>
    </w:p>
    <w:p>
      <w:pPr>
        <w:jc w:val="center"/>
        <w:rPr>
          <w:rFonts w:hint="eastAsia"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Student ID: 2106353</w:t>
      </w:r>
    </w:p>
    <w:p>
      <w:pPr>
        <w:jc w:val="center"/>
        <w:rPr>
          <w:rFonts w:hint="default"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Name: Chenghui He</w:t>
      </w:r>
    </w:p>
    <w:p>
      <w:pPr>
        <w:jc w:val="center"/>
        <w:rPr>
          <w:rFonts w:hint="eastAsia" w:ascii="Times New Roman" w:hAnsi="Times New Roman" w:cs="Times New Roman"/>
          <w:sz w:val="32"/>
          <w:szCs w:val="36"/>
        </w:rPr>
      </w:pPr>
    </w:p>
    <w:p>
      <w:pPr>
        <w:jc w:val="both"/>
        <w:rPr>
          <w:rFonts w:hint="eastAsia" w:ascii="Times New Roman" w:hAnsi="Times New Roman" w:cs="Times New Roman"/>
          <w:sz w:val="32"/>
          <w:szCs w:val="36"/>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hint="eastAsia" w:ascii="Times New Roman" w:hAnsi="Times New Roman" w:cs="Times New Roman"/>
          <w:sz w:val="32"/>
          <w:szCs w:val="36"/>
        </w:rPr>
      </w:pPr>
      <w:r>
        <w:rPr>
          <w:rFonts w:ascii="Times New Roman" w:hAnsi="Times New Roman" w:cs="Times New Roman"/>
          <w:sz w:val="36"/>
          <w:szCs w:val="40"/>
        </w:rPr>
        <w:t>University of Wales Trinity Saint David</w:t>
      </w:r>
    </w:p>
    <w:p>
      <w:pPr>
        <w:jc w:val="center"/>
        <w:rPr>
          <w:rFonts w:hint="eastAsia" w:ascii="Times New Roman" w:hAnsi="Times New Roman" w:cs="Times New Roman"/>
          <w:sz w:val="32"/>
          <w:szCs w:val="36"/>
        </w:rPr>
      </w:pPr>
    </w:p>
    <w:p>
      <w:pPr>
        <w:jc w:val="center"/>
        <w:rPr>
          <w:rFonts w:ascii="Times New Roman" w:hAnsi="Times New Roman" w:cs="Times New Roman"/>
          <w:sz w:val="32"/>
          <w:szCs w:val="36"/>
        </w:rPr>
      </w:pPr>
      <w:r>
        <w:rPr>
          <w:rFonts w:hint="eastAsia" w:ascii="Times New Roman" w:hAnsi="Times New Roman" w:cs="Times New Roman"/>
          <w:sz w:val="32"/>
          <w:szCs w:val="36"/>
        </w:rPr>
        <w:t>J</w:t>
      </w:r>
      <w:r>
        <w:rPr>
          <w:rFonts w:ascii="Times New Roman" w:hAnsi="Times New Roman" w:cs="Times New Roman"/>
          <w:sz w:val="32"/>
          <w:szCs w:val="36"/>
        </w:rPr>
        <w:t>anuary 4</w:t>
      </w:r>
      <w:r>
        <w:rPr>
          <w:rFonts w:ascii="Times New Roman" w:hAnsi="Times New Roman" w:cs="Times New Roman"/>
          <w:sz w:val="32"/>
          <w:szCs w:val="36"/>
          <w:vertAlign w:val="superscript"/>
        </w:rPr>
        <w:t>th</w:t>
      </w:r>
      <w:r>
        <w:rPr>
          <w:rFonts w:ascii="Times New Roman" w:hAnsi="Times New Roman" w:cs="Times New Roman"/>
          <w:sz w:val="32"/>
          <w:szCs w:val="36"/>
        </w:rPr>
        <w:t>, 2022</w:t>
      </w:r>
    </w:p>
    <w:p/>
    <w:p>
      <w:pPr>
        <w:keepNext w:val="0"/>
        <w:keepLines w:val="0"/>
        <w:widowControl/>
        <w:suppressLineNumbers w:val="0"/>
        <w:jc w:val="both"/>
        <w:rPr>
          <w:rFonts w:hint="default" w:ascii="Arial" w:hAnsi="Arial" w:eastAsia="宋体" w:cs="Arial"/>
          <w:b/>
          <w:bCs/>
          <w:color w:val="000000"/>
          <w:kern w:val="0"/>
          <w:sz w:val="30"/>
          <w:szCs w:val="30"/>
          <w:lang w:val="en-US" w:eastAsia="zh-CN" w:bidi="ar"/>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keepNext w:val="0"/>
        <w:keepLines w:val="0"/>
        <w:widowControl/>
        <w:suppressLineNumbers w:val="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Task1</w:t>
      </w:r>
      <w:bookmarkEnd w:id="0"/>
      <w:r>
        <w:rPr>
          <w:rFonts w:hint="default" w:ascii="Times New Roman" w:hAnsi="Times New Roman" w:eastAsia="宋体" w:cs="Times New Roman"/>
          <w:b/>
          <w:bCs/>
          <w:color w:val="000000"/>
          <w:kern w:val="0"/>
          <w:sz w:val="30"/>
          <w:szCs w:val="30"/>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jc w:val="both"/>
        <w:textAlignment w:val="auto"/>
        <w:rPr>
          <w:rFonts w:hint="default" w:ascii="Times New Roman" w:hAnsi="Times New Roman" w:eastAsia="宋体" w:cs="Times New Roman"/>
          <w:b/>
          <w:bCs/>
          <w:color w:val="000000"/>
          <w:kern w:val="0"/>
          <w:sz w:val="32"/>
          <w:szCs w:val="32"/>
          <w:lang w:val="en-US" w:eastAsia="zh-CN" w:bidi="ar"/>
        </w:rPr>
      </w:pPr>
      <w:r>
        <w:rPr>
          <w:rFonts w:hint="default" w:ascii="Times New Roman" w:hAnsi="Times New Roman" w:eastAsia="宋体" w:cs="Times New Roman"/>
          <w:b/>
          <w:bCs/>
          <w:color w:val="000000"/>
          <w:kern w:val="0"/>
          <w:sz w:val="30"/>
          <w:szCs w:val="30"/>
          <w:lang w:val="en-US" w:eastAsia="zh-CN" w:bidi="ar"/>
        </w:rPr>
        <w:t xml:space="preserve">1 </w:t>
      </w:r>
      <w:bookmarkStart w:id="1" w:name="OLE_LINK2"/>
      <w:r>
        <w:rPr>
          <w:rFonts w:hint="default" w:ascii="Times New Roman" w:hAnsi="Times New Roman" w:eastAsia="宋体" w:cs="Times New Roman"/>
          <w:b/>
          <w:bCs/>
          <w:color w:val="000000"/>
          <w:kern w:val="0"/>
          <w:sz w:val="32"/>
          <w:szCs w:val="32"/>
          <w:lang w:val="en-US" w:eastAsia="zh-CN" w:bidi="ar"/>
        </w:rPr>
        <w:t>ITIL</w:t>
      </w:r>
      <w:bookmarkEnd w:id="1"/>
    </w:p>
    <w:p>
      <w:pPr>
        <w:keepNext w:val="0"/>
        <w:keepLines w:val="0"/>
        <w:pageBreakBefore w:val="0"/>
        <w:kinsoku/>
        <w:wordWrap/>
        <w:overflowPunct/>
        <w:topLinePunct w:val="0"/>
        <w:autoSpaceDE/>
        <w:autoSpaceDN/>
        <w:bidi w:val="0"/>
        <w:adjustRightInd/>
        <w:snapToGrid/>
        <w:jc w:val="both"/>
        <w:textAlignment w:val="auto"/>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The Information Technology Infrastructure Library (ITIL) was created in the late 1980s by the UK government's CCTA (Central Computing and Telecommunications Agency). ITIL is a standard and specification for IT service management processes in businesses that is objective, rigorous, and quantifiable[1].</w:t>
      </w:r>
    </w:p>
    <w:p>
      <w:pPr>
        <w:keepNext w:val="0"/>
        <w:keepLines w:val="0"/>
        <w:pageBreakBefore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02124"/>
          <w:spacing w:val="0"/>
          <w:sz w:val="24"/>
          <w:szCs w:val="24"/>
          <w:shd w:val="clear" w:fill="FFFFFF"/>
        </w:rPr>
      </w:pPr>
      <w:r>
        <w:rPr>
          <w:rFonts w:hint="default" w:ascii="Times New Roman" w:hAnsi="Times New Roman" w:eastAsia="宋体" w:cs="Times New Roman"/>
          <w:i w:val="0"/>
          <w:iCs w:val="0"/>
          <w:caps w:val="0"/>
          <w:color w:val="202124"/>
          <w:spacing w:val="0"/>
          <w:sz w:val="24"/>
          <w:szCs w:val="24"/>
          <w:shd w:val="clear" w:fill="FFFFFF"/>
        </w:rPr>
        <w:t>Service Management is the main module of ITIL v2.0, and it consists of ten procedures and one function. The Service Delivery process group and the Service Support process group are the two major process groups for these processes and activities.The Service Support process group contains one management function and five operational-level processes related to IT management, namely Incident Management, Problem Management, Configuration Management, Change Management and Release Management; the Service Delivery process group contains five tactical-level processes related to IT management, namely Service Level Management, IT Service Financial Management, Capability Management, IT Service Continuity Management and Availability Management[2,3].</w:t>
      </w:r>
    </w:p>
    <w:p>
      <w:pPr>
        <w:keepNext w:val="0"/>
        <w:keepLines w:val="0"/>
        <w:pageBreakBefore w:val="0"/>
        <w:kinsoku/>
        <w:wordWrap/>
        <w:overflowPunct/>
        <w:topLinePunct w:val="0"/>
        <w:autoSpaceDE/>
        <w:autoSpaceDN/>
        <w:bidi w:val="0"/>
        <w:adjustRightInd/>
        <w:snapToGrid/>
        <w:jc w:val="both"/>
        <w:textAlignment w:val="auto"/>
        <w:rPr>
          <w:rFonts w:hint="default" w:ascii="Times New Roman" w:hAnsi="Times New Roman" w:eastAsia="宋体" w:cs="Times New Roman"/>
          <w:i w:val="0"/>
          <w:iCs w:val="0"/>
          <w:caps w:val="0"/>
          <w:color w:val="202124"/>
          <w:spacing w:val="0"/>
          <w:sz w:val="24"/>
          <w:szCs w:val="24"/>
          <w:shd w:val="clear" w:fill="FFFFFF"/>
        </w:rPr>
      </w:pPr>
      <w:r>
        <w:rPr>
          <w:rFonts w:hint="default" w:ascii="Times New Roman" w:hAnsi="Times New Roman" w:eastAsia="宋体" w:cs="Times New Roman"/>
          <w:i w:val="0"/>
          <w:iCs w:val="0"/>
          <w:caps w:val="0"/>
          <w:color w:val="202124"/>
          <w:spacing w:val="0"/>
          <w:sz w:val="24"/>
          <w:szCs w:val="24"/>
          <w:shd w:val="clear" w:fill="FFFFFF"/>
        </w:rPr>
        <w:t>ITIL v3.0 Lifecycle</w:t>
      </w:r>
      <w:r>
        <w:rPr>
          <w:rFonts w:hint="eastAsia" w:ascii="Times New Roman" w:hAnsi="Times New Roman" w:eastAsia="宋体" w:cs="Times New Roman"/>
          <w:i w:val="0"/>
          <w:iCs w:val="0"/>
          <w:caps w:val="0"/>
          <w:color w:val="202124"/>
          <w:spacing w:val="0"/>
          <w:sz w:val="24"/>
          <w:szCs w:val="24"/>
          <w:shd w:val="clear" w:fill="FFFFFF"/>
          <w:lang w:val="en-US" w:eastAsia="zh-CN"/>
        </w:rPr>
        <w:t>(Figure 1)</w:t>
      </w:r>
      <w:r>
        <w:rPr>
          <w:rFonts w:hint="default" w:ascii="Times New Roman" w:hAnsi="Times New Roman" w:eastAsia="宋体" w:cs="Times New Roman"/>
          <w:i w:val="0"/>
          <w:iCs w:val="0"/>
          <w:caps w:val="0"/>
          <w:color w:val="202124"/>
          <w:spacing w:val="0"/>
          <w:sz w:val="24"/>
          <w:szCs w:val="24"/>
          <w:shd w:val="clear" w:fill="FFFFFF"/>
        </w:rPr>
        <w:t xml:space="preserve"> has five stages: Service Strategy, Service Design, Service Transition, Service Operation, and Continuous Service Improvement. These levels are interconnected and are discussed briefly in the complimentary ITIL Foundation Overview course. They combine to create the ideal ITIL Service Management strategy.</w:t>
      </w:r>
    </w:p>
    <w:p>
      <w:pPr>
        <w:jc w:val="center"/>
      </w:pPr>
      <w:r>
        <w:drawing>
          <wp:inline distT="0" distB="0" distL="114300" distR="114300">
            <wp:extent cx="3202940" cy="2680335"/>
            <wp:effectExtent l="0" t="0" r="1651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3202940" cy="2680335"/>
                    </a:xfrm>
                    <a:prstGeom prst="rect">
                      <a:avLst/>
                    </a:prstGeom>
                    <a:noFill/>
                    <a:ln>
                      <a:noFill/>
                    </a:ln>
                  </pic:spPr>
                </pic:pic>
              </a:graphicData>
            </a:graphic>
          </wp:inline>
        </w:drawing>
      </w:r>
    </w:p>
    <w:p>
      <w:pPr>
        <w:jc w:val="center"/>
        <w:rPr>
          <w:rFonts w:hint="default" w:ascii="Times New Roman" w:hAnsi="Times New Roman" w:eastAsia="宋体" w:cs="Times New Roman"/>
          <w:i w:val="0"/>
          <w:iCs w:val="0"/>
          <w:caps w:val="0"/>
          <w:color w:val="202124"/>
          <w:spacing w:val="0"/>
          <w:sz w:val="24"/>
          <w:szCs w:val="24"/>
          <w:shd w:val="clear" w:fill="FFFFFF"/>
          <w:lang w:val="en-US" w:eastAsia="zh-CN"/>
        </w:rPr>
      </w:pPr>
      <w:r>
        <w:rPr>
          <w:rFonts w:hint="default" w:ascii="Times New Roman" w:hAnsi="Times New Roman" w:eastAsia="宋体" w:cs="Times New Roman"/>
          <w:i w:val="0"/>
          <w:iCs w:val="0"/>
          <w:caps w:val="0"/>
          <w:color w:val="202124"/>
          <w:spacing w:val="0"/>
          <w:sz w:val="24"/>
          <w:szCs w:val="24"/>
          <w:shd w:val="clear" w:fill="FFFFFF"/>
        </w:rPr>
        <w:t xml:space="preserve"> </w:t>
      </w:r>
      <w:r>
        <w:rPr>
          <w:rFonts w:hint="eastAsia" w:ascii="Times New Roman" w:hAnsi="Times New Roman" w:eastAsia="宋体" w:cs="Times New Roman"/>
          <w:i w:val="0"/>
          <w:iCs w:val="0"/>
          <w:caps w:val="0"/>
          <w:color w:val="202124"/>
          <w:spacing w:val="0"/>
          <w:sz w:val="24"/>
          <w:szCs w:val="24"/>
          <w:shd w:val="clear" w:fill="FFFFFF"/>
          <w:lang w:val="en-US" w:eastAsia="zh-CN"/>
        </w:rPr>
        <w:t xml:space="preserve">Figure 1. </w:t>
      </w:r>
      <w:r>
        <w:rPr>
          <w:rFonts w:hint="default" w:ascii="Times New Roman" w:hAnsi="Times New Roman" w:eastAsia="宋体" w:cs="Times New Roman"/>
          <w:i w:val="0"/>
          <w:iCs w:val="0"/>
          <w:caps w:val="0"/>
          <w:color w:val="202124"/>
          <w:spacing w:val="0"/>
          <w:sz w:val="24"/>
          <w:szCs w:val="24"/>
          <w:shd w:val="clear" w:fill="FFFFFF"/>
        </w:rPr>
        <w:t>ITIL</w:t>
      </w:r>
      <w:r>
        <w:rPr>
          <w:rFonts w:hint="default" w:ascii="Times New Roman" w:hAnsi="Times New Roman" w:eastAsia="宋体" w:cs="Times New Roman"/>
          <w:i w:val="0"/>
          <w:iCs w:val="0"/>
          <w:caps w:val="0"/>
          <w:color w:val="202124"/>
          <w:spacing w:val="0"/>
          <w:sz w:val="24"/>
          <w:szCs w:val="24"/>
          <w:shd w:val="clear" w:fill="FFFFFF"/>
          <w:lang w:val="en-US" w:eastAsia="zh-CN"/>
        </w:rPr>
        <w:t xml:space="preserve"> v3.0</w:t>
      </w:r>
      <w:r>
        <w:rPr>
          <w:rFonts w:hint="default" w:ascii="Times New Roman" w:hAnsi="Times New Roman" w:eastAsia="宋体" w:cs="Times New Roman"/>
          <w:i w:val="0"/>
          <w:iCs w:val="0"/>
          <w:caps w:val="0"/>
          <w:color w:val="202124"/>
          <w:spacing w:val="0"/>
          <w:sz w:val="24"/>
          <w:szCs w:val="24"/>
          <w:shd w:val="clear" w:fill="FFFFFF"/>
        </w:rPr>
        <w:t xml:space="preserve"> </w:t>
      </w:r>
      <w:r>
        <w:rPr>
          <w:rFonts w:hint="default" w:ascii="Times New Roman" w:hAnsi="Times New Roman" w:eastAsia="宋体" w:cs="Times New Roman"/>
          <w:i w:val="0"/>
          <w:iCs w:val="0"/>
          <w:caps w:val="0"/>
          <w:color w:val="202124"/>
          <w:spacing w:val="0"/>
          <w:sz w:val="24"/>
          <w:szCs w:val="24"/>
          <w:shd w:val="clear" w:fill="FFFFFF"/>
          <w:lang w:val="en-US" w:eastAsia="zh-CN"/>
        </w:rPr>
        <w:t>L</w:t>
      </w:r>
      <w:r>
        <w:rPr>
          <w:rFonts w:hint="default" w:ascii="Times New Roman" w:hAnsi="Times New Roman" w:eastAsia="宋体" w:cs="Times New Roman"/>
          <w:i w:val="0"/>
          <w:iCs w:val="0"/>
          <w:caps w:val="0"/>
          <w:color w:val="202124"/>
          <w:spacing w:val="0"/>
          <w:sz w:val="24"/>
          <w:szCs w:val="24"/>
          <w:shd w:val="clear" w:fill="FFFFFF"/>
        </w:rPr>
        <w:t>ife</w:t>
      </w:r>
      <w:r>
        <w:rPr>
          <w:rFonts w:hint="default" w:ascii="Times New Roman" w:hAnsi="Times New Roman" w:eastAsia="宋体" w:cs="Times New Roman"/>
          <w:i w:val="0"/>
          <w:iCs w:val="0"/>
          <w:caps w:val="0"/>
          <w:color w:val="202124"/>
          <w:spacing w:val="0"/>
          <w:sz w:val="24"/>
          <w:szCs w:val="24"/>
          <w:shd w:val="clear" w:fill="FFFFFF"/>
          <w:lang w:val="en-US" w:eastAsia="zh-CN"/>
        </w:rPr>
        <w:t>cycle Diagram</w:t>
      </w:r>
    </w:p>
    <w:p>
      <w:pPr>
        <w:jc w:val="both"/>
        <w:rPr>
          <w:rFonts w:hint="default" w:ascii="Times New Roman" w:hAnsi="Times New Roman" w:eastAsia="宋体" w:cs="Times New Roman"/>
          <w:i w:val="0"/>
          <w:iCs w:val="0"/>
          <w:caps w:val="0"/>
          <w:color w:val="202124"/>
          <w:spacing w:val="0"/>
          <w:sz w:val="24"/>
          <w:szCs w:val="24"/>
          <w:shd w:val="clear" w:fill="FFFFFF"/>
          <w:lang w:val="en-US" w:eastAsia="zh-CN"/>
        </w:rPr>
      </w:pPr>
      <w:r>
        <w:rPr>
          <w:rFonts w:hint="default" w:ascii="Times New Roman" w:hAnsi="Times New Roman" w:eastAsia="宋体" w:cs="Times New Roman"/>
          <w:i w:val="0"/>
          <w:iCs w:val="0"/>
          <w:caps w:val="0"/>
          <w:color w:val="202124"/>
          <w:spacing w:val="0"/>
          <w:sz w:val="24"/>
          <w:szCs w:val="24"/>
          <w:shd w:val="clear" w:fill="FFFFFF"/>
          <w:lang w:val="en-US" w:eastAsia="zh-CN"/>
        </w:rPr>
        <w:t>The Service Strategy Guidance paper outlines a market-driven approach to IT services. It offers a set of management techniques that may assist businesses in making more accurate outsourcing choices based on financial efficiency considerations.</w:t>
      </w:r>
    </w:p>
    <w:p>
      <w:pPr>
        <w:jc w:val="both"/>
        <w:rPr>
          <w:rFonts w:hint="default" w:ascii="Times New Roman" w:hAnsi="Times New Roman" w:eastAsia="宋体" w:cs="Times New Roman"/>
          <w:i w:val="0"/>
          <w:iCs w:val="0"/>
          <w:caps w:val="0"/>
          <w:color w:val="202124"/>
          <w:spacing w:val="0"/>
          <w:sz w:val="24"/>
          <w:szCs w:val="24"/>
          <w:shd w:val="clear" w:fill="FFFFFF"/>
          <w:lang w:val="en-US" w:eastAsia="zh-CN"/>
        </w:rPr>
      </w:pPr>
      <w:r>
        <w:rPr>
          <w:rFonts w:hint="default" w:ascii="Times New Roman" w:hAnsi="Times New Roman" w:eastAsia="宋体" w:cs="Times New Roman"/>
          <w:i w:val="0"/>
          <w:iCs w:val="0"/>
          <w:caps w:val="0"/>
          <w:color w:val="202124"/>
          <w:spacing w:val="0"/>
          <w:sz w:val="24"/>
          <w:szCs w:val="24"/>
          <w:shd w:val="clear" w:fill="FFFFFF"/>
          <w:lang w:val="en-US" w:eastAsia="zh-CN"/>
        </w:rPr>
        <w:t>The Service Design Guidance paper highlights the influence of information technology services on the wider organisation. It includes examples of IT service design and delivery, as well as service management tools, ITIL service support procedures, and the supply chain that supports the services. Management business aspects that are specific to management include service level, availability, capacity, and security management.</w:t>
      </w:r>
    </w:p>
    <w:p>
      <w:pPr>
        <w:jc w:val="both"/>
        <w:rPr>
          <w:rFonts w:hint="default" w:ascii="Times New Roman" w:hAnsi="Times New Roman" w:eastAsia="宋体" w:cs="Times New Roman"/>
          <w:i w:val="0"/>
          <w:iCs w:val="0"/>
          <w:caps w:val="0"/>
          <w:color w:val="202124"/>
          <w:spacing w:val="0"/>
          <w:sz w:val="24"/>
          <w:szCs w:val="24"/>
          <w:shd w:val="clear" w:fill="FFFFFF"/>
          <w:lang w:val="en-US" w:eastAsia="zh-CN"/>
        </w:rPr>
      </w:pPr>
      <w:r>
        <w:rPr>
          <w:rFonts w:hint="default" w:ascii="Times New Roman" w:hAnsi="Times New Roman" w:eastAsia="宋体" w:cs="Times New Roman"/>
          <w:i w:val="0"/>
          <w:iCs w:val="0"/>
          <w:caps w:val="0"/>
          <w:color w:val="202124"/>
          <w:spacing w:val="0"/>
          <w:sz w:val="24"/>
          <w:szCs w:val="24"/>
          <w:shd w:val="clear" w:fill="FFFFFF"/>
          <w:lang w:val="en-US" w:eastAsia="zh-CN"/>
        </w:rPr>
        <w:t>The Service Transition Guidance paper describes how business requirements are transformed into real IT services. ITIL Service Management requires that these transformations be carried out in a project management style, and the Service Transformation Guidance paper details how change management should be carried out in a corporate setting. Change management, asset and configuration management, software release or deployment management, and service testing are all examples of service conversion.</w:t>
      </w:r>
    </w:p>
    <w:p>
      <w:pPr>
        <w:jc w:val="both"/>
        <w:rPr>
          <w:rFonts w:hint="default" w:ascii="Times New Roman" w:hAnsi="Times New Roman" w:eastAsia="宋体" w:cs="Times New Roman"/>
          <w:i w:val="0"/>
          <w:iCs w:val="0"/>
          <w:caps w:val="0"/>
          <w:color w:val="202124"/>
          <w:spacing w:val="0"/>
          <w:sz w:val="24"/>
          <w:szCs w:val="24"/>
          <w:shd w:val="clear" w:fill="FFFFFF"/>
          <w:lang w:val="en-US" w:eastAsia="zh-CN"/>
        </w:rPr>
      </w:pPr>
      <w:r>
        <w:rPr>
          <w:rFonts w:hint="default" w:ascii="Times New Roman" w:hAnsi="Times New Roman" w:eastAsia="宋体" w:cs="Times New Roman"/>
          <w:i w:val="0"/>
          <w:iCs w:val="0"/>
          <w:caps w:val="0"/>
          <w:color w:val="202124"/>
          <w:spacing w:val="0"/>
          <w:sz w:val="24"/>
          <w:szCs w:val="24"/>
          <w:shd w:val="clear" w:fill="FFFFFF"/>
          <w:lang w:val="en-US" w:eastAsia="zh-CN"/>
        </w:rPr>
        <w:t>The Service Operations Guidance paper contains a number of examples to assist organisations in delivering the needed level of service to their employees, partners, and customers - the element of IT that really adds value across the ITIL Lifecycle. ITIL service practitioners get training on how to manage routine tasks and events, react to requests, manage problems, and maintain security.</w:t>
      </w:r>
    </w:p>
    <w:p>
      <w:pPr>
        <w:bidi w:val="0"/>
        <w:rPr>
          <w:rFonts w:hint="default" w:ascii="Times New Roman" w:hAnsi="Times New Roman" w:cs="Times New Roman"/>
          <w:lang w:val="en-US" w:eastAsia="zh-CN"/>
        </w:rPr>
      </w:pPr>
      <w:r>
        <w:rPr>
          <w:rFonts w:hint="default" w:ascii="Times New Roman" w:hAnsi="Times New Roman" w:eastAsia="宋体" w:cs="Times New Roman"/>
          <w:i w:val="0"/>
          <w:iCs w:val="0"/>
          <w:caps w:val="0"/>
          <w:color w:val="202124"/>
          <w:spacing w:val="0"/>
          <w:sz w:val="24"/>
          <w:szCs w:val="24"/>
          <w:shd w:val="clear" w:fill="FFFFFF"/>
          <w:lang w:val="en-US" w:eastAsia="zh-CN"/>
        </w:rPr>
        <w:t>The service continuous improvement guide paper assists businesses in identifying areas where service modifications are required and in adapting the service continually to changing business needs - while maintaining an overview and evaluating the success of the adjustments. This includes defining assessment nodes as well as collecting, processing, and analysing assessment data. When enhancements are required, the IT team implements the change process, reviews the success of earlier assessment data, and expands it to include more standard modifications. This is a process that is continuing. ITIL has achieved significant recognition and support in the worldwide IT service management community, with four of the main vendors of IT management solutions establishing similar initiatives. IBM developed a solution for Business Impact Management, HP stressed IT Service Management, CA focused Managing On-Demand Computing Environments, and BMC created the notion of Business Service Management. Indeed, regardless of how dissimilar the organisations' thinking and solutions are, the ultimate aim is to integrate IT with the business and to create and operate IT systems with the business at the centre.</w:t>
      </w:r>
    </w:p>
    <w:p>
      <w:pPr>
        <w:bidi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2 NIST</w:t>
      </w:r>
    </w:p>
    <w:p>
      <w:pPr>
        <w:bidi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National Institute of Standards and Technology (NIST) is a cybersecurity model commonly used by organizations in the US. Establishing and communicating your organization’s tolerance for risk is key to increase program maturity, in accordance to this model. The NIST framework also accounts for the rapidly changing nature of cybersecurity threats, and advises its followers to continuously adjust their monitoring techniques and remediation strategies to match the ongoing threat environment.</w:t>
      </w:r>
    </w:p>
    <w:p>
      <w:pPr>
        <w:bidi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NIST cybersecurity model follows five key phases to reaching a mature security management program[4]:</w:t>
      </w:r>
    </w:p>
    <w:p>
      <w:pPr>
        <w:numPr>
          <w:ilvl w:val="0"/>
          <w:numId w:val="1"/>
        </w:numPr>
        <w:bidi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Identify</w:t>
      </w:r>
    </w:p>
    <w:p>
      <w:pPr>
        <w:numPr>
          <w:ilvl w:val="0"/>
          <w:numId w:val="0"/>
        </w:numPr>
        <w:bidi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first step involves establishing an enterprise-wide strategy to cybersecurity management, which includes an awareness of the network's present risks, the sensitive data stored across the firm, and the important business functions that must be secured from cybersecurity threats.</w:t>
      </w:r>
    </w:p>
    <w:p>
      <w:pPr>
        <w:numPr>
          <w:ilvl w:val="0"/>
          <w:numId w:val="1"/>
        </w:numPr>
        <w:bidi w:val="0"/>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Protect</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next stage in achieving cybersecurity maturity according to NIST's model is to structure and specify the defenses required to safeguard the identified important components of your security programme.</w:t>
      </w:r>
    </w:p>
    <w:p>
      <w:pPr>
        <w:numPr>
          <w:ilvl w:val="0"/>
          <w:numId w:val="1"/>
        </w:numPr>
        <w:bidi w:val="0"/>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Detect</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phase is likely where the majority of firms begin when it comes to cybersecurity programme management, including building the most effective and comprehensive monitoring systems for swiftly and effectively identifying hazards.</w:t>
      </w:r>
    </w:p>
    <w:p>
      <w:pPr>
        <w:numPr>
          <w:ilvl w:val="0"/>
          <w:numId w:val="1"/>
        </w:numPr>
        <w:bidi w:val="0"/>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Respond</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fourth phase in NIST's cybersecurity maturity model is to address the risks to your company. This entails more than just updating your network; it also entails effectively limiting the effects of malicious behaviour.</w:t>
      </w:r>
    </w:p>
    <w:p>
      <w:pPr>
        <w:numPr>
          <w:ilvl w:val="0"/>
          <w:numId w:val="1"/>
        </w:numPr>
        <w:bidi w:val="0"/>
        <w:ind w:left="0" w:leftChars="0" w:firstLine="0" w:firstLine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Recover</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Just as detection and repair are critical components of programme maturity, including time for recovery and reflection on damages in your management process enables future programme enhancements and network security.</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NIST cybersecurity model incorporates the existing procedures used by the majority of enterprises to safeguard their networks. Rather than beginning from scratch, it assists organisations in making the most of what they currently have and including the necessary stages to achieve programme maturity.</w:t>
      </w:r>
    </w:p>
    <w:p>
      <w:pPr>
        <w:numPr>
          <w:ilvl w:val="0"/>
          <w:numId w:val="0"/>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However, as more companies embrace more complex multi-cloud and hybrid cloud systems, replicating the NIST cybersecurity framework entails substantial risks, since the NIST cybersecurity framework glosses over some critical cloud security vulnerabilities. The following is a synopsis of the three critical cloud security challenges that the NIST security framework overlooks:</w:t>
      </w:r>
    </w:p>
    <w:p>
      <w:pPr>
        <w:numPr>
          <w:ilvl w:val="0"/>
          <w:numId w:val="2"/>
        </w:numPr>
        <w:bidi w:val="0"/>
        <w:ind w:leftChars="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Log files and audited reports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Many firms would be astonished to hear that there is no NIST standard requiring the retention of log data beyond 30 days. Given the massive quantity of information included in logs, a retention term of 30 days is insufficient and provides a substantial reporting difficulty for organisations, particularly big corporations.</w:t>
      </w:r>
    </w:p>
    <w:p>
      <w:pPr>
        <w:widowControl w:val="0"/>
        <w:numPr>
          <w:ilvl w:val="0"/>
          <w:numId w:val="2"/>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Shared responsibility</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Accountability for cloud (data) security may be a significant problem, even more so for organisations that operate in multi-cloud or hybrid cloud systems. As global company digital transformation programmes progress and remote working becomes more common in the aftermath of the pandemic, an increasing number of organisations are shifting business applications to cloud-hosted environments. While the Cloud Computing Shared Responsibility Model clearly states cloud providers' and users' security duties to guarantee accountability, there are still gaps in visibility and security monitoring programmes that must be addressed.</w:t>
      </w:r>
    </w:p>
    <w:p>
      <w:pPr>
        <w:widowControl w:val="0"/>
        <w:numPr>
          <w:ilvl w:val="0"/>
          <w:numId w:val="2"/>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Tenant Representation</w:t>
      </w:r>
    </w:p>
    <w:p>
      <w:pPr>
        <w:widowControl w:val="0"/>
        <w:numPr>
          <w:ilvl w:val="0"/>
          <w:numId w:val="0"/>
        </w:numPr>
        <w:bidi w:val="0"/>
        <w:jc w:val="both"/>
        <w:rPr>
          <w:rFonts w:hint="default" w:ascii="Times New Roman" w:hAnsi="Times New Roman" w:cs="Times New Roman"/>
          <w:b/>
          <w:bCs/>
          <w:sz w:val="32"/>
          <w:szCs w:val="32"/>
          <w:lang w:val="en-US" w:eastAsia="zh-CN"/>
        </w:rPr>
      </w:pPr>
      <w:r>
        <w:rPr>
          <w:rFonts w:hint="default" w:ascii="Times New Roman" w:hAnsi="Times New Roman" w:cs="Times New Roman"/>
          <w:b w:val="0"/>
          <w:bCs w:val="0"/>
          <w:sz w:val="24"/>
          <w:szCs w:val="24"/>
          <w:lang w:val="en-US" w:eastAsia="zh-CN"/>
        </w:rPr>
        <w:t>NIST mandates scope for least-privileged access but excludes tenant agents and virtual tenants. When it comes to personal private information (PII) and intellectual property, the absence of tenant agents causes serious security concerns. To increase overall security, organisations (particularly big, scattered organisations) may consider using solutions that enable segmentation of access to individual business units.</w:t>
      </w:r>
    </w:p>
    <w:p>
      <w:pPr>
        <w:widowControl w:val="0"/>
        <w:numPr>
          <w:ilvl w:val="0"/>
          <w:numId w:val="0"/>
        </w:numPr>
        <w:bidi w:val="0"/>
        <w:jc w:val="both"/>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3 CIS 20</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CIS 20 is the ultimate cybersecurity model that many firms use to achieve programme maturity. Developed by the Center for Internet Security in response to a data breach in the US military sector in 2008, the CIS 20 is a collection of twenty measures judged necessary for protecting an organization's network against widespread cyber attacks[5]. The CIS 20 controls</w:t>
      </w:r>
      <w:r>
        <w:rPr>
          <w:rFonts w:hint="eastAsia" w:ascii="Times New Roman" w:hAnsi="Times New Roman" w:cs="Times New Roman"/>
          <w:b w:val="0"/>
          <w:bCs w:val="0"/>
          <w:sz w:val="24"/>
          <w:szCs w:val="24"/>
          <w:lang w:val="en-US" w:eastAsia="zh-CN"/>
        </w:rPr>
        <w:t>(Figure 2)</w:t>
      </w:r>
      <w:r>
        <w:rPr>
          <w:rFonts w:hint="default" w:ascii="Times New Roman" w:hAnsi="Times New Roman" w:cs="Times New Roman"/>
          <w:b w:val="0"/>
          <w:bCs w:val="0"/>
          <w:sz w:val="24"/>
          <w:szCs w:val="24"/>
          <w:lang w:val="en-US" w:eastAsia="zh-CN"/>
        </w:rPr>
        <w:t xml:space="preserve"> are classified into three broad categories: Fundamental CIS Controls, Foundational CIS Controls, and Organizational Controls.</w:t>
      </w:r>
    </w:p>
    <w:p>
      <w:pPr>
        <w:widowControl w:val="0"/>
        <w:numPr>
          <w:ilvl w:val="0"/>
          <w:numId w:val="0"/>
        </w:numPr>
        <w:bidi w:val="0"/>
        <w:jc w:val="both"/>
        <w:rPr>
          <w:rFonts w:hint="eastAsia"/>
          <w:b w:val="0"/>
          <w:bCs w:val="0"/>
          <w:sz w:val="24"/>
          <w:szCs w:val="24"/>
          <w:lang w:val="en-US" w:eastAsia="zh-CN"/>
        </w:rPr>
      </w:pPr>
      <w:r>
        <w:drawing>
          <wp:inline distT="0" distB="0" distL="114300" distR="114300">
            <wp:extent cx="5269230" cy="3303270"/>
            <wp:effectExtent l="0" t="0" r="7620" b="1143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5269230" cy="3303270"/>
                    </a:xfrm>
                    <a:prstGeom prst="rect">
                      <a:avLst/>
                    </a:prstGeom>
                    <a:noFill/>
                    <a:ln>
                      <a:noFill/>
                    </a:ln>
                  </pic:spPr>
                </pic:pic>
              </a:graphicData>
            </a:graphic>
          </wp:inline>
        </w:drawing>
      </w:r>
    </w:p>
    <w:p>
      <w:pPr>
        <w:widowControl w:val="0"/>
        <w:numPr>
          <w:ilvl w:val="0"/>
          <w:numId w:val="0"/>
        </w:numPr>
        <w:bidi w:val="0"/>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 2.</w:t>
      </w:r>
      <w:r>
        <w:rPr>
          <w:rFonts w:hint="eastAsia"/>
          <w:b/>
          <w:bCs/>
          <w:sz w:val="24"/>
          <w:szCs w:val="24"/>
          <w:lang w:val="en-US" w:eastAsia="zh-CN"/>
        </w:rPr>
        <w:t xml:space="preserve"> </w:t>
      </w:r>
      <w:r>
        <w:rPr>
          <w:rFonts w:hint="default" w:ascii="Times New Roman" w:hAnsi="Times New Roman" w:cs="Times New Roman"/>
          <w:b w:val="0"/>
          <w:bCs w:val="0"/>
          <w:sz w:val="24"/>
          <w:szCs w:val="24"/>
          <w:lang w:val="en-US" w:eastAsia="zh-CN"/>
        </w:rPr>
        <w:t>The CIS 20 controls</w:t>
      </w:r>
    </w:p>
    <w:p>
      <w:pPr>
        <w:widowControl w:val="0"/>
        <w:numPr>
          <w:ilvl w:val="0"/>
          <w:numId w:val="0"/>
        </w:numPr>
        <w:bidi w:val="0"/>
        <w:jc w:val="center"/>
        <w:rPr>
          <w:rFonts w:hint="default" w:ascii="Times New Roman" w:hAnsi="Times New Roman" w:cs="Times New Roman"/>
          <w:b w:val="0"/>
          <w:bCs w:val="0"/>
          <w:sz w:val="24"/>
          <w:szCs w:val="24"/>
          <w:lang w:val="en-US" w:eastAsia="zh-CN"/>
        </w:rPr>
      </w:pPr>
    </w:p>
    <w:p>
      <w:pPr>
        <w:widowControl w:val="0"/>
        <w:numPr>
          <w:ilvl w:val="0"/>
          <w:numId w:val="0"/>
        </w:numPr>
        <w:bidi w:val="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Basic CIS Controls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fundamental controls are the initial category of CIS key security measures. The broader cybersecurity industry often refers to these measures as "cyber hygiene," since they should be performed on a continual basis and as a method for preserving an organization's cyber-health. The Basic CIS security controls are listed in order from 1 to 6.</w:t>
      </w:r>
    </w:p>
    <w:p>
      <w:pPr>
        <w:widowControl w:val="0"/>
        <w:numPr>
          <w:ilvl w:val="0"/>
          <w:numId w:val="0"/>
        </w:numPr>
        <w:bidi w:val="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Foundational CIS Controls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essential security controls that are the basis of the CIS are numbered 7-16. These controls are more technical in nature than the fundamental controls and include more precise measurements.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Organizational Controls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organisational controls are comprised of the last four key security controls for the CIS. This group is focused on the strategic implementation of cybersecurity by design, with the goal of fostering an organisational culture of cybersecurity.</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CIS 20 is an excellent place to start for organisations who have nothing to offer or are just getting started. It establishes general best practises controls that the majority of organisations should implement. The baseline controls outlined in CIS 20 have been selected based on extensive industry experience and a thorough knowledge of prevalent hazards. This is why CIS 20 is so widely generic.</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Although CIS 20 is quite popular, it is insufficient to ensure long-term "excellent" security. This is primarily because CIS 20 lacks a risk-based method to regulate selection and governance. After selecting CIS 20 as a starting point, risk management should be employed to help the security process mature. The NIST and ISO methodologies are better suited to a long-term maturity-based approach to control framework development.</w:t>
      </w:r>
    </w:p>
    <w:p>
      <w:pPr>
        <w:widowControl w:val="0"/>
        <w:numPr>
          <w:ilvl w:val="0"/>
          <w:numId w:val="0"/>
        </w:numPr>
        <w:bidi w:val="0"/>
        <w:jc w:val="both"/>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 xml:space="preserve">4 </w:t>
      </w:r>
      <w:r>
        <w:rPr>
          <w:rFonts w:hint="default" w:ascii="Times New Roman" w:hAnsi="Times New Roman" w:cs="Times New Roman"/>
          <w:b/>
          <w:bCs/>
          <w:sz w:val="32"/>
          <w:szCs w:val="32"/>
          <w:lang w:val="en-US" w:eastAsia="zh-CN"/>
        </w:rPr>
        <w:t>Comparison</w:t>
      </w:r>
      <w:r>
        <w:rPr>
          <w:rFonts w:hint="eastAsia" w:ascii="Times New Roman" w:hAnsi="Times New Roman" w:cs="Times New Roman"/>
          <w:b/>
          <w:bCs/>
          <w:sz w:val="32"/>
          <w:szCs w:val="32"/>
          <w:lang w:val="en-US" w:eastAsia="zh-CN"/>
        </w:rPr>
        <w:t xml:space="preserve"> a</w:t>
      </w:r>
      <w:r>
        <w:rPr>
          <w:rFonts w:hint="default" w:ascii="Times New Roman" w:hAnsi="Times New Roman" w:cs="Times New Roman"/>
          <w:b/>
          <w:bCs/>
          <w:sz w:val="32"/>
          <w:szCs w:val="32"/>
          <w:lang w:val="en-US" w:eastAsia="zh-CN"/>
        </w:rPr>
        <w:t xml:space="preserve">nd </w:t>
      </w:r>
      <w:r>
        <w:rPr>
          <w:rFonts w:hint="eastAsia" w:ascii="Times New Roman" w:hAnsi="Times New Roman" w:cs="Times New Roman"/>
          <w:b/>
          <w:bCs/>
          <w:sz w:val="32"/>
          <w:szCs w:val="32"/>
          <w:lang w:val="en-US" w:eastAsia="zh-CN"/>
        </w:rPr>
        <w:t>A</w:t>
      </w:r>
      <w:r>
        <w:rPr>
          <w:rFonts w:hint="default" w:ascii="Times New Roman" w:hAnsi="Times New Roman" w:cs="Times New Roman"/>
          <w:b/>
          <w:bCs/>
          <w:sz w:val="32"/>
          <w:szCs w:val="32"/>
          <w:lang w:val="en-US" w:eastAsia="zh-CN"/>
        </w:rPr>
        <w:t>nalysis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Table 1 shows the response of the framework discussed in this paper (i.e. the horizontal axis) to the rubric (i.e. the vertical axis).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p>
    <w:p>
      <w:pPr>
        <w:widowControl w:val="0"/>
        <w:numPr>
          <w:ilvl w:val="0"/>
          <w:numId w:val="0"/>
        </w:numPr>
        <w:bidi w:val="0"/>
        <w:ind w:leftChars="0"/>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Table 1. Features of  frameworks</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02"/>
        <w:gridCol w:w="1573"/>
        <w:gridCol w:w="1309"/>
        <w:gridCol w:w="728"/>
        <w:gridCol w:w="1253"/>
        <w:gridCol w:w="125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vMerge w:val="restart"/>
            <w:shd w:val="clear" w:color="auto" w:fill="E7E6E6" w:themeFill="background2"/>
            <w:vAlign w:val="top"/>
          </w:tcPr>
          <w:p>
            <w:pPr>
              <w:widowControl w:val="0"/>
              <w:numPr>
                <w:ilvl w:val="0"/>
                <w:numId w:val="0"/>
              </w:numPr>
              <w:bidi w:val="0"/>
              <w:jc w:val="center"/>
              <w:rPr>
                <w:rFonts w:hint="eastAsia" w:ascii="Times New Roman" w:hAnsi="Times New Roman" w:cs="Times New Roman"/>
                <w:b w:val="0"/>
                <w:bCs w:val="0"/>
                <w:sz w:val="20"/>
                <w:szCs w:val="20"/>
                <w:vertAlign w:val="baseline"/>
                <w:lang w:val="en-US" w:eastAsia="zh-CN"/>
              </w:rPr>
            </w:pPr>
          </w:p>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Framework features</w:t>
            </w:r>
          </w:p>
        </w:tc>
        <w:tc>
          <w:tcPr>
            <w:tcW w:w="3579" w:type="dxa"/>
            <w:gridSpan w:val="3"/>
            <w:shd w:val="clear" w:color="auto" w:fill="E7E6E6" w:themeFill="background2"/>
            <w:vAlign w:val="top"/>
          </w:tcPr>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0"/>
                <w:szCs w:val="20"/>
                <w:vertAlign w:val="baseline"/>
                <w:lang w:val="en-US" w:eastAsia="zh-CN"/>
              </w:rPr>
              <w:t xml:space="preserve">Security </w:t>
            </w:r>
            <w:r>
              <w:rPr>
                <w:rFonts w:hint="eastAsia" w:ascii="Times New Roman" w:hAnsi="Times New Roman" w:cs="Times New Roman"/>
                <w:b w:val="0"/>
                <w:bCs w:val="0"/>
                <w:sz w:val="20"/>
                <w:szCs w:val="20"/>
                <w:vertAlign w:val="baseline"/>
                <w:lang w:val="en-US" w:eastAsia="zh-CN"/>
              </w:rPr>
              <w:t>C</w:t>
            </w:r>
            <w:r>
              <w:rPr>
                <w:rFonts w:hint="default" w:ascii="Times New Roman" w:hAnsi="Times New Roman" w:cs="Times New Roman"/>
                <w:b w:val="0"/>
                <w:bCs w:val="0"/>
                <w:sz w:val="20"/>
                <w:szCs w:val="20"/>
                <w:vertAlign w:val="baseline"/>
                <w:lang w:val="en-US" w:eastAsia="zh-CN"/>
              </w:rPr>
              <w:t xml:space="preserve">ontrol </w:t>
            </w:r>
            <w:r>
              <w:rPr>
                <w:rFonts w:hint="eastAsia" w:ascii="Times New Roman" w:hAnsi="Times New Roman" w:cs="Times New Roman"/>
                <w:b w:val="0"/>
                <w:bCs w:val="0"/>
                <w:sz w:val="20"/>
                <w:szCs w:val="20"/>
                <w:vertAlign w:val="baseline"/>
                <w:lang w:val="en-US" w:eastAsia="zh-CN"/>
              </w:rPr>
              <w:t>F</w:t>
            </w:r>
            <w:r>
              <w:rPr>
                <w:rFonts w:hint="default" w:ascii="Times New Roman" w:hAnsi="Times New Roman" w:cs="Times New Roman"/>
                <w:b w:val="0"/>
                <w:bCs w:val="0"/>
                <w:sz w:val="20"/>
                <w:szCs w:val="20"/>
                <w:vertAlign w:val="baseline"/>
                <w:lang w:val="en-US" w:eastAsia="zh-CN"/>
              </w:rPr>
              <w:t>ramework</w:t>
            </w:r>
          </w:p>
        </w:tc>
        <w:tc>
          <w:tcPr>
            <w:tcW w:w="1257"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 xml:space="preserve">SMP </w:t>
            </w:r>
            <w:r>
              <w:rPr>
                <w:rFonts w:hint="default" w:ascii="Times New Roman" w:hAnsi="Times New Roman" w:cs="Times New Roman"/>
                <w:b w:val="0"/>
                <w:bCs w:val="0"/>
                <w:sz w:val="20"/>
                <w:szCs w:val="20"/>
                <w:vertAlign w:val="baseline"/>
                <w:lang w:val="en-US" w:eastAsia="zh-CN"/>
              </w:rPr>
              <w:t>framework</w:t>
            </w:r>
          </w:p>
        </w:tc>
        <w:tc>
          <w:tcPr>
            <w:tcW w:w="125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IT Governance Framework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vMerge w:val="continue"/>
            <w:shd w:val="clear" w:color="auto" w:fill="E7E6E6" w:themeFill="background2"/>
            <w:vAlign w:val="top"/>
          </w:tcPr>
          <w:p>
            <w:pPr>
              <w:widowControl w:val="0"/>
              <w:numPr>
                <w:ilvl w:val="0"/>
                <w:numId w:val="0"/>
              </w:numPr>
              <w:bidi w:val="0"/>
              <w:jc w:val="center"/>
              <w:rPr>
                <w:rFonts w:hint="eastAsia" w:ascii="Times New Roman" w:hAnsi="Times New Roman" w:cs="Times New Roman"/>
                <w:b w:val="0"/>
                <w:bCs w:val="0"/>
                <w:sz w:val="20"/>
                <w:szCs w:val="20"/>
                <w:vertAlign w:val="baseline"/>
                <w:lang w:val="en-US" w:eastAsia="zh-CN"/>
              </w:rPr>
            </w:pPr>
          </w:p>
        </w:tc>
        <w:tc>
          <w:tcPr>
            <w:tcW w:w="1587" w:type="dxa"/>
            <w:shd w:val="clear" w:color="auto" w:fill="E7E6E6" w:themeFill="background2"/>
            <w:vAlign w:val="top"/>
          </w:tcPr>
          <w:p>
            <w:pPr>
              <w:widowControl w:val="0"/>
              <w:numPr>
                <w:ilvl w:val="0"/>
                <w:numId w:val="0"/>
              </w:numPr>
              <w:bidi w:val="0"/>
              <w:jc w:val="center"/>
              <w:rPr>
                <w:rFonts w:hint="eastAsia"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NIST SP800-53 Rev.5</w:t>
            </w:r>
          </w:p>
        </w:tc>
        <w:tc>
          <w:tcPr>
            <w:tcW w:w="1314"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0"/>
                <w:szCs w:val="20"/>
                <w:vertAlign w:val="baseline"/>
                <w:lang w:val="en-US" w:eastAsia="zh-CN"/>
              </w:rPr>
              <w:t>NIST SP800-171</w:t>
            </w:r>
          </w:p>
        </w:tc>
        <w:tc>
          <w:tcPr>
            <w:tcW w:w="678" w:type="dxa"/>
            <w:shd w:val="clear" w:color="auto" w:fill="E7E6E6" w:themeFill="background2"/>
            <w:vAlign w:val="top"/>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CIS20</w:t>
            </w:r>
          </w:p>
        </w:tc>
        <w:tc>
          <w:tcPr>
            <w:tcW w:w="1257" w:type="dxa"/>
            <w:shd w:val="clear" w:color="auto" w:fill="E7E6E6" w:themeFill="background2"/>
            <w:vAlign w:val="top"/>
          </w:tcPr>
          <w:p>
            <w:pPr>
              <w:widowControl w:val="0"/>
              <w:numPr>
                <w:ilvl w:val="0"/>
                <w:numId w:val="0"/>
              </w:numPr>
              <w:bidi w:val="0"/>
              <w:jc w:val="both"/>
              <w:rPr>
                <w:rFonts w:hint="eastAsia"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NIST CSF</w:t>
            </w:r>
          </w:p>
          <w:p>
            <w:pPr>
              <w:widowControl w:val="0"/>
              <w:numPr>
                <w:ilvl w:val="0"/>
                <w:numId w:val="0"/>
              </w:numPr>
              <w:bidi w:val="0"/>
              <w:ind w:firstLine="200" w:firstLineChars="100"/>
              <w:jc w:val="both"/>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0"/>
                <w:szCs w:val="20"/>
                <w:vertAlign w:val="baseline"/>
                <w:lang w:val="en-US" w:eastAsia="zh-CN"/>
              </w:rPr>
              <w:t>v.1.1</w:t>
            </w:r>
          </w:p>
        </w:tc>
        <w:tc>
          <w:tcPr>
            <w:tcW w:w="1258" w:type="dxa"/>
            <w:shd w:val="clear" w:color="auto" w:fill="E7E6E6" w:themeFill="background2"/>
            <w:vAlign w:val="top"/>
          </w:tcPr>
          <w:p>
            <w:pPr>
              <w:widowControl w:val="0"/>
              <w:numPr>
                <w:ilvl w:val="0"/>
                <w:numId w:val="0"/>
              </w:numPr>
              <w:bidi w:val="0"/>
              <w:spacing w:line="480" w:lineRule="auto"/>
              <w:jc w:val="center"/>
              <w:rPr>
                <w:rFonts w:hint="default"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0"/>
                <w:szCs w:val="20"/>
                <w:vertAlign w:val="baseline"/>
                <w:lang w:val="en-US" w:eastAsia="zh-CN"/>
              </w:rPr>
              <w:t>ITIL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bookmarkStart w:id="2" w:name="OLE_LINK1"/>
            <w:r>
              <w:rPr>
                <w:rFonts w:hint="default" w:ascii="Times New Roman" w:hAnsi="Times New Roman" w:cs="Times New Roman"/>
                <w:b w:val="0"/>
                <w:bCs w:val="0"/>
                <w:sz w:val="20"/>
                <w:szCs w:val="20"/>
                <w:vertAlign w:val="baseline"/>
                <w:lang w:val="en-US" w:eastAsia="zh-CN"/>
              </w:rPr>
              <w:t>Focus on safety control</w:t>
            </w:r>
            <w:bookmarkEnd w:id="2"/>
          </w:p>
        </w:tc>
        <w:tc>
          <w:tcPr>
            <w:tcW w:w="158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314"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With detailed controls</w:t>
            </w:r>
          </w:p>
        </w:tc>
        <w:tc>
          <w:tcPr>
            <w:tcW w:w="158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314"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25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1" w:hRule="atLeast"/>
        </w:trPr>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Strength of safety management plan</w:t>
            </w:r>
          </w:p>
        </w:tc>
        <w:tc>
          <w:tcPr>
            <w:tcW w:w="158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L</w:t>
            </w:r>
          </w:p>
        </w:tc>
        <w:tc>
          <w:tcPr>
            <w:tcW w:w="1314"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L</w:t>
            </w:r>
          </w:p>
        </w:tc>
        <w:tc>
          <w:tcPr>
            <w:tcW w:w="67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L</w:t>
            </w:r>
          </w:p>
        </w:tc>
        <w:tc>
          <w:tcPr>
            <w:tcW w:w="125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H</w:t>
            </w:r>
          </w:p>
        </w:tc>
        <w:tc>
          <w:tcPr>
            <w:tcW w:w="125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An integrated risk management framework</w:t>
            </w:r>
          </w:p>
        </w:tc>
        <w:tc>
          <w:tcPr>
            <w:tcW w:w="158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highlight w:val="none"/>
                <w:vertAlign w:val="baseline"/>
                <w:lang w:val="en-US" w:eastAsia="zh-CN"/>
              </w:rPr>
              <w:t>N</w:t>
            </w:r>
          </w:p>
        </w:tc>
        <w:tc>
          <w:tcPr>
            <w:tcW w:w="1314"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67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25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Related risk management frameworks</w:t>
            </w:r>
          </w:p>
        </w:tc>
        <w:tc>
          <w:tcPr>
            <w:tcW w:w="158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314"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Security reporting process</w:t>
            </w:r>
          </w:p>
        </w:tc>
        <w:tc>
          <w:tcPr>
            <w:tcW w:w="158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314"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25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Available organisational certificates</w:t>
            </w:r>
          </w:p>
        </w:tc>
        <w:tc>
          <w:tcPr>
            <w:tcW w:w="158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314"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8" w:type="dxa"/>
          </w:tcPr>
          <w:p>
            <w:pPr>
              <w:widowControl w:val="0"/>
              <w:numPr>
                <w:ilvl w:val="0"/>
                <w:numId w:val="0"/>
              </w:numPr>
              <w:bidi w:val="0"/>
              <w:spacing w:line="480" w:lineRule="auto"/>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Independent standards</w:t>
            </w:r>
          </w:p>
        </w:tc>
        <w:tc>
          <w:tcPr>
            <w:tcW w:w="158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314" w:type="dxa"/>
          </w:tcPr>
          <w:p>
            <w:pPr>
              <w:widowControl w:val="0"/>
              <w:numPr>
                <w:ilvl w:val="0"/>
                <w:numId w:val="0"/>
              </w:numPr>
              <w:bidi w:val="0"/>
              <w:jc w:val="center"/>
              <w:rPr>
                <w:rFonts w:hint="default" w:ascii="Times New Roman" w:hAnsi="Times New Roman" w:cs="Times New Roman"/>
                <w:b w:val="0"/>
                <w:bCs w:val="0"/>
                <w:color w:val="FF000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678" w:type="dxa"/>
          </w:tcPr>
          <w:p>
            <w:pPr>
              <w:widowControl w:val="0"/>
              <w:numPr>
                <w:ilvl w:val="0"/>
                <w:numId w:val="0"/>
              </w:numPr>
              <w:bidi w:val="0"/>
              <w:jc w:val="center"/>
              <w:rPr>
                <w:rFonts w:hint="default" w:ascii="Times New Roman" w:hAnsi="Times New Roman" w:cs="Times New Roman"/>
                <w:b w:val="0"/>
                <w:bCs w:val="0"/>
                <w:color w:val="FF000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257" w:type="dxa"/>
          </w:tcPr>
          <w:p>
            <w:pPr>
              <w:widowControl w:val="0"/>
              <w:numPr>
                <w:ilvl w:val="0"/>
                <w:numId w:val="0"/>
              </w:numPr>
              <w:bidi w:val="0"/>
              <w:jc w:val="center"/>
              <w:rPr>
                <w:rFonts w:hint="default" w:ascii="Times New Roman" w:hAnsi="Times New Roman" w:cs="Times New Roman"/>
                <w:b w:val="0"/>
                <w:bCs w:val="0"/>
                <w:color w:val="FF000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25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8" w:type="dxa"/>
            <w:shd w:val="clear" w:color="auto" w:fill="E7E6E6" w:themeFill="background2"/>
            <w:vAlign w:val="top"/>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default" w:ascii="Times New Roman" w:hAnsi="Times New Roman" w:cs="Times New Roman"/>
                <w:b w:val="0"/>
                <w:bCs w:val="0"/>
                <w:sz w:val="20"/>
                <w:szCs w:val="20"/>
                <w:vertAlign w:val="baseline"/>
                <w:lang w:val="en-US" w:eastAsia="zh-CN"/>
              </w:rPr>
              <w:t>Free access</w:t>
            </w:r>
          </w:p>
        </w:tc>
        <w:tc>
          <w:tcPr>
            <w:tcW w:w="158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c>
          <w:tcPr>
            <w:tcW w:w="1314"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67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7"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0"/>
                <w:szCs w:val="20"/>
                <w:vertAlign w:val="baseline"/>
                <w:lang w:val="en-US" w:eastAsia="zh-CN"/>
              </w:rPr>
              <w:t>Y</w:t>
            </w:r>
          </w:p>
        </w:tc>
        <w:tc>
          <w:tcPr>
            <w:tcW w:w="1258" w:type="dxa"/>
          </w:tcPr>
          <w:p>
            <w:pPr>
              <w:widowControl w:val="0"/>
              <w:numPr>
                <w:ilvl w:val="0"/>
                <w:numId w:val="0"/>
              </w:numPr>
              <w:bidi w:val="0"/>
              <w:jc w:val="center"/>
              <w:rPr>
                <w:rFonts w:hint="default"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color w:val="FF0000"/>
                <w:sz w:val="20"/>
                <w:szCs w:val="20"/>
                <w:vertAlign w:val="baseline"/>
                <w:lang w:val="en-US" w:eastAsia="zh-CN"/>
              </w:rPr>
              <w:t>N</w:t>
            </w:r>
          </w:p>
        </w:tc>
      </w:tr>
    </w:tbl>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p>
    <w:p>
      <w:pPr>
        <w:widowControl w:val="0"/>
        <w:numPr>
          <w:ilvl w:val="0"/>
          <w:numId w:val="0"/>
        </w:numPr>
        <w:bidi w:val="0"/>
        <w:jc w:val="both"/>
        <w:rPr>
          <w:rFonts w:hint="eastAsia" w:ascii="Times New Roman" w:hAnsi="Times New Roman" w:cs="Times New Roman"/>
          <w:b w:val="0"/>
          <w:bCs w:val="0"/>
          <w:sz w:val="20"/>
          <w:szCs w:val="20"/>
          <w:vertAlign w:val="baseline"/>
          <w:lang w:val="en-US" w:eastAsia="zh-CN"/>
        </w:rPr>
      </w:pPr>
      <w:r>
        <w:rPr>
          <w:rFonts w:hint="eastAsia" w:ascii="Times New Roman" w:hAnsi="Times New Roman" w:cs="Times New Roman"/>
          <w:b w:val="0"/>
          <w:bCs w:val="0"/>
          <w:sz w:val="24"/>
          <w:szCs w:val="24"/>
          <w:vertAlign w:val="baseline"/>
          <w:lang w:val="en-US" w:eastAsia="zh-CN"/>
        </w:rPr>
        <w:t>The SCF consists primarily of a series of controls that are packaged, to a lesser or greater extent, through various methods of selection, manipulation, and management.</w:t>
      </w:r>
      <w:r>
        <w:rPr>
          <w:rFonts w:hint="eastAsia" w:ascii="Times New Roman" w:hAnsi="Times New Roman" w:cs="Times New Roman"/>
          <w:b w:val="0"/>
          <w:bCs w:val="0"/>
          <w:sz w:val="20"/>
          <w:szCs w:val="20"/>
          <w:vertAlign w:val="baseline"/>
          <w:lang w:val="en-US" w:eastAsia="zh-CN"/>
        </w:rPr>
        <w:t xml:space="preserve"> </w:t>
      </w:r>
    </w:p>
    <w:p>
      <w:pPr>
        <w:widowControl w:val="0"/>
        <w:numPr>
          <w:ilvl w:val="0"/>
          <w:numId w:val="0"/>
        </w:numPr>
        <w:bidi w:val="0"/>
        <w:jc w:val="both"/>
        <w:rPr>
          <w:rFonts w:hint="eastAsia" w:ascii="Times New Roman" w:hAnsi="Times New Roman" w:cs="Times New Roman"/>
          <w:b w:val="0"/>
          <w:bCs w:val="0"/>
          <w:sz w:val="24"/>
          <w:szCs w:val="24"/>
          <w:vertAlign w:val="baseline"/>
          <w:lang w:val="en-US" w:eastAsia="zh-CN"/>
        </w:rPr>
      </w:pPr>
      <w:r>
        <w:rPr>
          <w:rFonts w:hint="eastAsia" w:ascii="Times New Roman" w:hAnsi="Times New Roman" w:cs="Times New Roman"/>
          <w:b w:val="0"/>
          <w:bCs w:val="0"/>
          <w:sz w:val="24"/>
          <w:szCs w:val="24"/>
          <w:vertAlign w:val="baseline"/>
          <w:lang w:val="en-US" w:eastAsia="zh-CN"/>
        </w:rPr>
        <w:t>NIST SP800-53 and CIS20 can be used on its own. However, the absence of a Safety Management Plan (SMP) will severely limit the long-term effectiveness and reliability of the control list and will make it difficult to have a productive dialogue with leadership and to agree with peer teams[6].</w:t>
      </w:r>
    </w:p>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ITGF is a methodology for managing broader IT concerns and may also include security, but is not security-focused. For example, ITIL (Information Technology Infrastructure Library) focuses on IT Service Management (ITSM), aligning IT with business needs. They may provide frameworks specific to security, such as the ITIL Security Management component.</w:t>
      </w:r>
    </w:p>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 xml:space="preserve">The security control framework consists almost entirely of a series of controls. However, controls alone are not effective in protecting your organisation. Just as CIS 20, although very popular, is not sufficient to achieve consistently "good" security. To achieve higher maturity, better efficiency and the ability to measure and communicate, organisations need to use the NIST CSF </w:t>
      </w:r>
      <w:bookmarkStart w:id="3" w:name="_GoBack"/>
      <w:bookmarkEnd w:id="3"/>
      <w:r>
        <w:rPr>
          <w:rFonts w:hint="default" w:ascii="Times New Roman" w:hAnsi="Times New Roman" w:cs="Times New Roman"/>
          <w:b w:val="0"/>
          <w:bCs w:val="0"/>
          <w:sz w:val="24"/>
          <w:szCs w:val="24"/>
          <w:vertAlign w:val="baseline"/>
          <w:lang w:val="en-US" w:eastAsia="zh-CN"/>
        </w:rPr>
        <w:t>framework, a security management programme, to manage security controls. IT governance is a security enabler and ITIL has a major impact on security. IT governance provides the basis for change management, asset management, enterprise planning - all the foundations for security effectiveness. An organised security plan, when coexisting with an organised IT plan, will provide robust security effectiveness</w:t>
      </w:r>
    </w:p>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r>
        <w:rPr>
          <w:rFonts w:hint="default" w:ascii="Times New Roman" w:hAnsi="Times New Roman" w:cs="Times New Roman"/>
          <w:b w:val="0"/>
          <w:bCs w:val="0"/>
          <w:sz w:val="24"/>
          <w:szCs w:val="24"/>
          <w:vertAlign w:val="baseline"/>
          <w:lang w:val="en-US" w:eastAsia="zh-CN"/>
        </w:rPr>
        <w:t>Organisations can benefit from consistency between security control definitions, security governance processes, and security and IT governance. When all three framework types work together, excellence in the organisation and delivery of security can be achieved.</w:t>
      </w:r>
    </w:p>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p>
    <w:p>
      <w:pPr>
        <w:widowControl w:val="0"/>
        <w:numPr>
          <w:ilvl w:val="0"/>
          <w:numId w:val="0"/>
        </w:numPr>
        <w:bidi w:val="0"/>
        <w:jc w:val="both"/>
        <w:rPr>
          <w:rFonts w:hint="default" w:ascii="Times New Roman" w:hAnsi="Times New Roman" w:cs="Times New Roman"/>
          <w:b w:val="0"/>
          <w:bCs w:val="0"/>
          <w:sz w:val="24"/>
          <w:szCs w:val="24"/>
          <w:vertAlign w:val="baseline"/>
          <w:lang w:val="en-US" w:eastAsia="zh-CN"/>
        </w:rPr>
      </w:pP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Task2:</w:t>
      </w:r>
    </w:p>
    <w:p>
      <w:pPr>
        <w:widowControl w:val="0"/>
        <w:numPr>
          <w:ilvl w:val="0"/>
          <w:numId w:val="0"/>
        </w:numPr>
        <w:bidi w:val="0"/>
        <w:jc w:val="both"/>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Information Security Management Framework For CoffeeBlue</w:t>
      </w:r>
    </w:p>
    <w:p>
      <w:pPr>
        <w:widowControl w:val="0"/>
        <w:numPr>
          <w:ilvl w:val="0"/>
          <w:numId w:val="0"/>
        </w:numPr>
        <w:bidi w:val="0"/>
        <w:jc w:val="both"/>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 xml:space="preserve">1 System management </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majority of network information security problems are the result of management errors. As a result, implementing a strong security management system and enhancing operator management may significantly enhance the network's security performance. The ideal security management system will have the following features: There should also be a stringent people management system; network room management system; software management system; and operation management system. Additionally, there should be a real-time security surveillance system and the construction of a comprehensive security training system. CoffeeBlue's safety management system should include the following components: Confidentiality system, technical security measures system, network security log management system, regular situation reporting system, dedicated equipment maintenance system, security inspection system, system and equipment operation procedures, and computer virus control system.</w:t>
      </w: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2 Organisational management</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Security of information systems is only possible with an organisational structure that incorporates the essential management tools. Organizations are composed of three levels: decision-making, management, and execution.</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decision-making level is the governing body of the primary unit that makes major decisions regarding information system security. It is headed by the unit responsible for information network operations, which is headed by the unit's person in charge, and includes the heads of departments that perform security, confidential, and confidential functions. Contribute to the composition's composition. It is primarily responsible for conducting research and making significant decisions regarding information system security, developing an information network security system construction plan, advancing the general concept of construction, and issuing information network security policies and measures. Additionally, it takes judgments about serious information network security incidents.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management is the decision-making body's day-to-day management organ. It plans and coordinates the overall implementation of the information system's security programme by all parties, the development and modification of security policies, the handling of security incidents, and the establishment of security-related positions.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executive level is a logical group of individuals who are directly accountable for a certain security issue or issue that falls within management's coordination. logical group that is deployed throughout the information system's many operational levels or roles.</w:t>
      </w: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3 Asset risk management</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avoid assets being neglected or forgotten, the scope of the risk assessment should be established prior to identifying the assets. All assets included in the scope of the evaluation should be identified; thus, include everything that is valuable to the CoffeeBlue or to the business operations of a specific portion of the CoffeeBlue. Anything of value to the CoffeeBlue or to the business operations of a specific portion of the CoffeeBlue should be documented so that information assets may be classified according to the CoffeeBlue's business processes. The Security Management Centre has mostly used the ISO 17799 standard to manage its information assets, adopting the underlying structure for asset categorization and taking into consideration the following factors while performing asset identification.</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(1)Written business documents   </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Includes all kinds of written business documents of the CoffeeBlue, such as: requests, reports, plans, files, etc.</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(2) Data and documentation</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Databases and data files, system documentation, user manuals, training materials, operating and support procedures, business continuity plans, and contingency plans, among other things.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(3) Software assets</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Application software, system software, development tools and utilities etc.</w:t>
      </w:r>
    </w:p>
    <w:p>
      <w:pPr>
        <w:widowControl w:val="0"/>
        <w:numPr>
          <w:ilvl w:val="0"/>
          <w:numId w:val="2"/>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Physical assets </w:t>
      </w:r>
    </w:p>
    <w:p>
      <w:pPr>
        <w:widowControl w:val="0"/>
        <w:numPr>
          <w:ilvl w:val="0"/>
          <w:numId w:val="0"/>
        </w:num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Computer and communication equipment etc.</w:t>
      </w:r>
    </w:p>
    <w:p>
      <w:pPr>
        <w:widowControl w:val="0"/>
        <w:numPr>
          <w:ilvl w:val="0"/>
          <w:numId w:val="2"/>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Personnel </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Staff with specific skills.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Asset valuation is a subjective process in which the value of an asset is determined by its relative worth rather than its book value. When evaluating assets, it is critical to evaluate not just the asset's book value, but also the asset's relevance to the organization's business, i.e. the possible effect of the asset's loss. For instance For instance, a breach of information's confidentiality, integrity, and availability may result in the closure of a department or perhaps an entire unit. Numerous losses in a variety of categories.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Risk management is the process by which managers balance the operational costs of protection measures against the benefits obtained, with the ultimate goal of minimising risk in this balanced relationship, which is the fundamental reason why information security risk management must be implemented throughout the life cycle of an information system. Figure </w:t>
      </w: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 depicts the risk management process.</w:t>
      </w:r>
    </w:p>
    <w:p>
      <w:pPr>
        <w:widowControl w:val="0"/>
        <w:numPr>
          <w:ilvl w:val="0"/>
          <w:numId w:val="0"/>
        </w:numPr>
        <w:bidi w:val="0"/>
        <w:ind w:leftChars="0"/>
        <w:jc w:val="center"/>
        <w:rPr>
          <w:rFonts w:hint="default"/>
          <w:b w:val="0"/>
          <w:bCs w:val="0"/>
          <w:sz w:val="24"/>
          <w:szCs w:val="24"/>
          <w:lang w:val="en-US" w:eastAsia="zh-CN"/>
        </w:rPr>
      </w:pPr>
      <w:r>
        <w:drawing>
          <wp:inline distT="0" distB="0" distL="114300" distR="114300">
            <wp:extent cx="2438400" cy="1992630"/>
            <wp:effectExtent l="0" t="0" r="0" b="762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tretch>
                      <a:fillRect/>
                    </a:stretch>
                  </pic:blipFill>
                  <pic:spPr>
                    <a:xfrm>
                      <a:off x="0" y="0"/>
                      <a:ext cx="2438400" cy="1992630"/>
                    </a:xfrm>
                    <a:prstGeom prst="rect">
                      <a:avLst/>
                    </a:prstGeom>
                    <a:noFill/>
                    <a:ln>
                      <a:noFill/>
                    </a:ln>
                  </pic:spPr>
                </pic:pic>
              </a:graphicData>
            </a:graphic>
          </wp:inline>
        </w:drawing>
      </w:r>
    </w:p>
    <w:p>
      <w:pPr>
        <w:widowControl w:val="0"/>
        <w:numPr>
          <w:ilvl w:val="0"/>
          <w:numId w:val="0"/>
        </w:numPr>
        <w:bidi w:val="0"/>
        <w:ind w:leftChars="0"/>
        <w:jc w:val="center"/>
        <w:rPr>
          <w:rFonts w:hint="default"/>
          <w:b w:val="0"/>
          <w:bCs w:val="0"/>
          <w:sz w:val="24"/>
          <w:szCs w:val="24"/>
          <w:lang w:val="en-US" w:eastAsia="zh-CN"/>
        </w:rPr>
      </w:pPr>
      <w:r>
        <w:rPr>
          <w:rFonts w:hint="default"/>
          <w:b w:val="0"/>
          <w:bCs w:val="0"/>
          <w:sz w:val="24"/>
          <w:szCs w:val="24"/>
          <w:lang w:val="en-US" w:eastAsia="zh-CN"/>
        </w:rPr>
        <w:t xml:space="preserve">Figure </w:t>
      </w:r>
      <w:r>
        <w:rPr>
          <w:rFonts w:hint="eastAsia"/>
          <w:b w:val="0"/>
          <w:bCs w:val="0"/>
          <w:sz w:val="24"/>
          <w:szCs w:val="24"/>
          <w:lang w:val="en-US" w:eastAsia="zh-CN"/>
        </w:rPr>
        <w:t>3</w:t>
      </w:r>
      <w:r>
        <w:rPr>
          <w:rFonts w:hint="default"/>
          <w:b w:val="0"/>
          <w:bCs w:val="0"/>
          <w:sz w:val="24"/>
          <w:szCs w:val="24"/>
          <w:lang w:val="en-US" w:eastAsia="zh-CN"/>
        </w:rPr>
        <w:t xml:space="preserve"> Risk management process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Enhance network performance and network security from time to time and conducting performance and security checks on the network are necessary to enhance network security.Network vulnerability scanning tools can be used to conduct various network security tests on network switching and routing equipment and key servers to find weaknesses in the network system and to modify the equipment configuration and strengthen the protection of the servers based on expert advice from the vulnerability scanners.</w:t>
      </w: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4 Information Security Management</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management, password management, information system software facility security management, storage media security management, and technical document security management are all included in information security management.</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management is a large-scale system project that encompasses key production, key storage, key distribution, key injection, and key destruction, among other activities. It must be tightly handled via the use of different mechanisms such as layering protection, categorising keys, keeping keys securely, generating keys with sufficient unpredictability, and changing and distributing keys on a regular basis. As a result, a rigorous management or custody system must be implemented and maintained at all times. Provide varying degrees of access to information. Classify computer data into secret levels, specify the levels of various users, and bolster the administration of secret information storage medium.</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Backup and Recovery of Data Data backup is critical for system recovery in the case of a catastrophic catastrophe. Data loss and damage to computer systems may occur for a variety of causes, including system failures, hacker infiltration, and administrative misconduct. Therefore, critical systems should use dual hot standby and develop and adhere to a comprehensive data backup strategy to guarantee that in the event of a system or data failure, the system or data can be restored swiftly and securely.</w:t>
      </w: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5 Personnel Management</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 xml:space="preserve">People, technology, and management all contribute to the development of a human-centered information security assurance system that organically integrates active and passive defences, as seen in Figure </w:t>
      </w:r>
      <w:r>
        <w:rPr>
          <w:rFonts w:hint="eastAsia" w:ascii="Times New Roman" w:hAnsi="Times New Roman" w:eastAsia="宋体" w:cs="Times New Roman"/>
          <w:b w:val="0"/>
          <w:bCs w:val="0"/>
          <w:color w:val="000000"/>
          <w:kern w:val="0"/>
          <w:sz w:val="24"/>
          <w:szCs w:val="24"/>
          <w:lang w:val="en-US" w:eastAsia="zh-CN" w:bidi="ar"/>
        </w:rPr>
        <w:t>4</w:t>
      </w:r>
      <w:r>
        <w:rPr>
          <w:rFonts w:hint="default" w:ascii="Times New Roman" w:hAnsi="Times New Roman" w:eastAsia="宋体" w:cs="Times New Roman"/>
          <w:b w:val="0"/>
          <w:bCs w:val="0"/>
          <w:color w:val="000000"/>
          <w:kern w:val="0"/>
          <w:sz w:val="24"/>
          <w:szCs w:val="24"/>
          <w:lang w:val="en-US" w:eastAsia="zh-CN" w:bidi="ar"/>
        </w:rPr>
        <w:t>.</w:t>
      </w:r>
    </w:p>
    <w:p>
      <w:pPr>
        <w:widowControl w:val="0"/>
        <w:numPr>
          <w:ilvl w:val="0"/>
          <w:numId w:val="0"/>
        </w:numPr>
        <w:bidi w:val="0"/>
        <w:ind w:leftChars="0"/>
        <w:jc w:val="center"/>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cs="Times New Roman"/>
        </w:rPr>
        <w:drawing>
          <wp:inline distT="0" distB="0" distL="114300" distR="114300">
            <wp:extent cx="2510155" cy="1906270"/>
            <wp:effectExtent l="0" t="0" r="4445" b="17780"/>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8"/>
                    <a:stretch>
                      <a:fillRect/>
                    </a:stretch>
                  </pic:blipFill>
                  <pic:spPr>
                    <a:xfrm>
                      <a:off x="0" y="0"/>
                      <a:ext cx="2510155" cy="1906270"/>
                    </a:xfrm>
                    <a:prstGeom prst="rect">
                      <a:avLst/>
                    </a:prstGeom>
                    <a:noFill/>
                    <a:ln>
                      <a:noFill/>
                    </a:ln>
                  </pic:spPr>
                </pic:pic>
              </a:graphicData>
            </a:graphic>
          </wp:inline>
        </w:drawing>
      </w:r>
    </w:p>
    <w:p>
      <w:pPr>
        <w:widowControl w:val="0"/>
        <w:numPr>
          <w:ilvl w:val="0"/>
          <w:numId w:val="0"/>
        </w:numPr>
        <w:bidi w:val="0"/>
        <w:ind w:leftChars="0"/>
        <w:jc w:val="cente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Figure </w:t>
      </w:r>
      <w:r>
        <w:rPr>
          <w:rFonts w:hint="eastAsia" w:ascii="Times New Roman" w:hAnsi="Times New Roman" w:cs="Times New Roman"/>
          <w:b w:val="0"/>
          <w:bCs w:val="0"/>
          <w:sz w:val="24"/>
          <w:szCs w:val="24"/>
          <w:lang w:val="en-US" w:eastAsia="zh-CN"/>
        </w:rPr>
        <w:t>4</w:t>
      </w:r>
      <w:r>
        <w:rPr>
          <w:rFonts w:hint="default" w:ascii="Times New Roman" w:hAnsi="Times New Roman" w:cs="Times New Roman"/>
          <w:b w:val="0"/>
          <w:bCs w:val="0"/>
          <w:sz w:val="24"/>
          <w:szCs w:val="24"/>
          <w:lang w:val="en-US" w:eastAsia="zh-CN"/>
        </w:rPr>
        <w:t xml:space="preserve"> Relationship of safety management elements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p>
    <w:p>
      <w:pPr>
        <w:widowControl w:val="0"/>
        <w:numPr>
          <w:ilvl w:val="0"/>
          <w:numId w:val="0"/>
        </w:numPr>
        <w:bidi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Information security is not only about avoiding external intrusion into the transmission and storage of information, but also about preventing security risks and harm produced by inside workers as a result of their duty and moral character. External incursions contribute for between 20% and 30% of all information security events, whereas 70% to 80% of all security issues originate within. As a result, network system personnel management should be governed by the following concepts.</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Review of admission principles</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 xml:space="preserve">The principle of multi-person responsibility </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The principle of division of management functions and sharing of responsibilities</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 xml:space="preserve">The principle of least privilege </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 xml:space="preserve">People-centred principle </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Management of personnel education and training</w:t>
      </w:r>
    </w:p>
    <w:p>
      <w:pPr>
        <w:widowControl w:val="0"/>
        <w:numPr>
          <w:ilvl w:val="0"/>
          <w:numId w:val="3"/>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For the regulation of classified networks</w:t>
      </w:r>
    </w:p>
    <w:p>
      <w:pPr>
        <w:widowControl w:val="0"/>
        <w:numPr>
          <w:ilvl w:val="0"/>
          <w:numId w:val="0"/>
        </w:numPr>
        <w:bidi w:val="0"/>
        <w:ind w:leftChars="0"/>
        <w:jc w:val="both"/>
        <w:rPr>
          <w:rFonts w:hint="default" w:ascii="Times New Roman" w:hAnsi="Times New Roman" w:cs="Times New Roman"/>
          <w:b w:val="0"/>
          <w:bCs w:val="0"/>
          <w:sz w:val="24"/>
          <w:szCs w:val="24"/>
          <w:lang w:val="en-US" w:eastAsia="zh-CN"/>
        </w:rPr>
      </w:pP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 xml:space="preserve">6 Technical management of network security </w:t>
      </w:r>
    </w:p>
    <w:p>
      <w:pPr>
        <w:widowControl w:val="0"/>
        <w:numPr>
          <w:ilvl w:val="0"/>
          <w:numId w:val="4"/>
        </w:numPr>
        <w:bidi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Cyber Security Assessment Certification</w:t>
      </w:r>
    </w:p>
    <w:p>
      <w:pPr>
        <w:widowControl w:val="0"/>
        <w:numPr>
          <w:ilvl w:val="0"/>
          <w:numId w:val="0"/>
        </w:numPr>
        <w:bidi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To bridge the gap between security policies and security measures, the network security situation must be evaluated from three perspectives: (1) externally, by inspecting the firewalls in the computer infrastructure; (2) internally, by inspecting the computers in the internal network system; and (3) from the application system, by inspecting the operating system running on each hardware device. Network security management is a comprehensive management system, and the process of security management has evolved from two-dimensional to three-dimensional management, while network security management is also a cyclical management process that continuously monitors various network problems and corrects and supervises various hidden dangers to ensure the application system's safety and stability.</w:t>
      </w:r>
    </w:p>
    <w:p>
      <w:pPr>
        <w:widowControl w:val="0"/>
        <w:numPr>
          <w:ilvl w:val="0"/>
          <w:numId w:val="4"/>
        </w:numPr>
        <w:bidi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Remote Access Audit</w:t>
      </w:r>
    </w:p>
    <w:p>
      <w:pPr>
        <w:widowControl w:val="0"/>
        <w:numPr>
          <w:ilvl w:val="0"/>
          <w:numId w:val="0"/>
        </w:numPr>
        <w:bidi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Remote access is restricted to approved and authenticated users, and permission levels are defined to limit the range of network resources that each user may access. Setting up a Virtual Private Network (VPN) is by far the greatest choice for remote access, being the simplest and most extensively used method. Once configured, distant users have the same access to all intranet resources as local users. The term "Access Control" refers to logical access control, which is divided into two broad categories: preventive control, which entails identifying authorised users and denying unauthorised users, and detective control, which entails logging and reporting on authorised user behaviour and unauthorised access or attempts.</w:t>
      </w:r>
    </w:p>
    <w:p>
      <w:pPr>
        <w:widowControl w:val="0"/>
        <w:numPr>
          <w:ilvl w:val="0"/>
          <w:numId w:val="4"/>
        </w:numPr>
        <w:bidi w:val="0"/>
        <w:ind w:left="0" w:leftChars="0" w:firstLine="0" w:firstLine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Apply data encryption measures</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Data encryption is one of the most fundamental and critical technological safeguards for information security. It is a proactive security defence method that delivers significant information protection at a low cost. Data encryption methods may be broadly classified into four categories based on its intended use: data transmission, data storage, data integrity authentication, and key management procedures.</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The primary technique of data transmission encryption is via the encryption of data transferred across a network; the methods utilised include line encryption and end-to-end encryption.</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The goal of data storage encryption is to protect the secrecy of data along the storage chain, which is classified into two types: ciphertext storage and access control.</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Data integrity identification technology verifies users attempting to access critical data on the client and server using secure passwords and information cards that effectively prove their identity, and the user is verified prior to being granted access to the data, thereby ensuring the data's security.</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宋体" w:cs="Times New Roman"/>
          <w:b w:val="0"/>
          <w:bCs w:val="0"/>
          <w:color w:val="000000"/>
          <w:kern w:val="0"/>
          <w:sz w:val="24"/>
          <w:szCs w:val="24"/>
          <w:lang w:val="en-US" w:eastAsia="zh-CN" w:bidi="ar"/>
        </w:rPr>
        <w:t>Backup and Recovery of Data Data backup is critical for system recovery in the case of a catastrophic catastrophe. Data loss and damage to computer systems may occur for a variety of causes, including system failures, hacker infiltration, and administrative misconduct. This is why critical systems should have dual hot standby and a comprehensive data backup strategy should be devised and closely followed to guarantee that if a system or its data is destroyed, it can be restored promptly and securely.</w:t>
      </w: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p>
    <w:p>
      <w:pPr>
        <w:widowControl w:val="0"/>
        <w:numPr>
          <w:ilvl w:val="0"/>
          <w:numId w:val="0"/>
        </w:numPr>
        <w:bidi w:val="0"/>
        <w:ind w:leftChars="0"/>
        <w:jc w:val="both"/>
        <w:rPr>
          <w:rFonts w:hint="default" w:ascii="Times New Roman" w:hAnsi="Times New Roman" w:eastAsia="宋体" w:cs="Times New Roman"/>
          <w:b w:val="0"/>
          <w:bCs w:val="0"/>
          <w:color w:val="000000"/>
          <w:kern w:val="0"/>
          <w:sz w:val="24"/>
          <w:szCs w:val="24"/>
          <w:lang w:val="en-US" w:eastAsia="zh-CN" w:bidi="ar"/>
        </w:rPr>
      </w:pPr>
    </w:p>
    <w:p>
      <w:pPr>
        <w:widowControl w:val="0"/>
        <w:numPr>
          <w:ilvl w:val="0"/>
          <w:numId w:val="0"/>
        </w:numPr>
        <w:bidi w:val="0"/>
        <w:ind w:leftChars="0"/>
        <w:jc w:val="both"/>
        <w:rPr>
          <w:rFonts w:hint="default" w:ascii="Times New Roman" w:hAnsi="Times New Roman" w:eastAsia="宋体" w:cs="Times New Roman"/>
          <w:b/>
          <w:bCs/>
          <w:color w:val="000000"/>
          <w:kern w:val="0"/>
          <w:sz w:val="30"/>
          <w:szCs w:val="30"/>
          <w:lang w:val="en-US" w:eastAsia="zh-CN" w:bidi="ar"/>
        </w:rPr>
      </w:pPr>
      <w:r>
        <w:rPr>
          <w:rFonts w:hint="default" w:ascii="Times New Roman" w:hAnsi="Times New Roman" w:eastAsia="宋体" w:cs="Times New Roman"/>
          <w:b/>
          <w:bCs/>
          <w:color w:val="000000"/>
          <w:kern w:val="0"/>
          <w:sz w:val="30"/>
          <w:szCs w:val="30"/>
          <w:lang w:val="en-US" w:eastAsia="zh-CN" w:bidi="ar"/>
        </w:rPr>
        <w:t>References</w:t>
      </w:r>
    </w:p>
    <w:p>
      <w:pPr>
        <w:widowControl w:val="0"/>
        <w:numPr>
          <w:ilvl w:val="0"/>
          <w:numId w:val="5"/>
        </w:num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Kaiser A K . ITIL 101: Concepts and Core Foundation[J].  2021.</w:t>
      </w:r>
    </w:p>
    <w:p>
      <w:pPr>
        <w:widowControl w:val="0"/>
        <w:numPr>
          <w:ilvl w:val="0"/>
          <w:numId w:val="5"/>
        </w:numPr>
        <w:bidi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Knapp J . Chapter 1: Lesson 2: ITSM / ITIL Key Concepts, Downloadable Video.  2011.</w:t>
      </w:r>
    </w:p>
    <w:p>
      <w:pPr>
        <w:widowControl w:val="0"/>
        <w:numPr>
          <w:ilvl w:val="0"/>
          <w:numId w:val="5"/>
        </w:numPr>
        <w:bidi w:val="0"/>
        <w:ind w:left="0" w:leftChars="0" w:firstLine="0" w:firstLineChars="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Agutter. (2012). ITIL foundation essentials : the exam facts you need (1st edition). IT Governance Publishing.</w:t>
      </w:r>
    </w:p>
    <w:p>
      <w:pPr>
        <w:widowControl w:val="0"/>
        <w:numPr>
          <w:ilvl w:val="0"/>
          <w:numId w:val="5"/>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Woerner. (2020). Implementing the NIST Risk Management Framework. linkedin.com.</w:t>
      </w:r>
    </w:p>
    <w:p>
      <w:pPr>
        <w:widowControl w:val="0"/>
        <w:numPr>
          <w:ilvl w:val="0"/>
          <w:numId w:val="5"/>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Top 3 Most Common Cybersecurity Models Explained,KAITLYN GRAHAM | APRIL 16, 2021 | TAG: REGULATION &amp; COMPLIANCE</w:t>
      </w:r>
    </w:p>
    <w:p>
      <w:pPr>
        <w:widowControl w:val="0"/>
        <w:numPr>
          <w:ilvl w:val="0"/>
          <w:numId w:val="5"/>
        </w:numPr>
        <w:bidi w:val="0"/>
        <w:ind w:left="0" w:leftChars="0" w:firstLine="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Cyber Security Architecture: An Overview of Security Frameworks</w:t>
      </w:r>
      <w:r>
        <w:rPr>
          <w:rFonts w:hint="eastAsia" w:ascii="Times New Roman" w:hAnsi="Times New Roman" w:cs="Times New Roman"/>
          <w:b w:val="0"/>
          <w:bCs w:val="0"/>
          <w:sz w:val="24"/>
          <w:szCs w:val="24"/>
          <w:lang w:val="en-US" w:eastAsia="zh-CN"/>
        </w:rPr>
        <w:t>.</w:t>
      </w:r>
    </w:p>
    <w:p>
      <w:pPr>
        <w:widowControl w:val="0"/>
        <w:numPr>
          <w:ilvl w:val="0"/>
          <w:numId w:val="0"/>
        </w:numPr>
        <w:bidi w:val="0"/>
        <w:ind w:leftChars="0" w:firstLine="420" w:firstLine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https://www.secrss.com/articles/22777</w:t>
      </w:r>
    </w:p>
    <w:p>
      <w:pPr>
        <w:widowControl w:val="0"/>
        <w:numPr>
          <w:ilvl w:val="0"/>
          <w:numId w:val="0"/>
        </w:numPr>
        <w:bidi w:val="0"/>
        <w:jc w:val="left"/>
        <w:rPr>
          <w:rFonts w:hint="default"/>
          <w:b w:val="0"/>
          <w:bCs w:val="0"/>
          <w:sz w:val="24"/>
          <w:szCs w:val="24"/>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35DB97"/>
    <w:multiLevelType w:val="singleLevel"/>
    <w:tmpl w:val="9335DB97"/>
    <w:lvl w:ilvl="0" w:tentative="0">
      <w:start w:val="1"/>
      <w:numFmt w:val="decimal"/>
      <w:suff w:val="space"/>
      <w:lvlText w:val="(%1)"/>
      <w:lvlJc w:val="left"/>
    </w:lvl>
  </w:abstractNum>
  <w:abstractNum w:abstractNumId="1">
    <w:nsid w:val="B94B954D"/>
    <w:multiLevelType w:val="singleLevel"/>
    <w:tmpl w:val="B94B954D"/>
    <w:lvl w:ilvl="0" w:tentative="0">
      <w:start w:val="1"/>
      <w:numFmt w:val="decimal"/>
      <w:suff w:val="space"/>
      <w:lvlText w:val="(%1)"/>
      <w:lvlJc w:val="left"/>
    </w:lvl>
  </w:abstractNum>
  <w:abstractNum w:abstractNumId="2">
    <w:nsid w:val="BE31F971"/>
    <w:multiLevelType w:val="singleLevel"/>
    <w:tmpl w:val="BE31F971"/>
    <w:lvl w:ilvl="0" w:tentative="0">
      <w:start w:val="1"/>
      <w:numFmt w:val="decimal"/>
      <w:suff w:val="space"/>
      <w:lvlText w:val="[%1]"/>
      <w:lvlJc w:val="left"/>
    </w:lvl>
  </w:abstractNum>
  <w:abstractNum w:abstractNumId="3">
    <w:nsid w:val="2AF18828"/>
    <w:multiLevelType w:val="singleLevel"/>
    <w:tmpl w:val="2AF18828"/>
    <w:lvl w:ilvl="0" w:tentative="0">
      <w:start w:val="1"/>
      <w:numFmt w:val="decimal"/>
      <w:suff w:val="space"/>
      <w:lvlText w:val="(%1)"/>
      <w:lvlJc w:val="left"/>
    </w:lvl>
  </w:abstractNum>
  <w:abstractNum w:abstractNumId="4">
    <w:nsid w:val="6A5730EF"/>
    <w:multiLevelType w:val="singleLevel"/>
    <w:tmpl w:val="6A5730EF"/>
    <w:lvl w:ilvl="0" w:tentative="0">
      <w:start w:val="1"/>
      <w:numFmt w:val="decimal"/>
      <w:lvlText w:val="(%1)"/>
      <w:lvlJc w:val="left"/>
      <w:pPr>
        <w:tabs>
          <w:tab w:val="left" w:pos="312"/>
        </w:tabs>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C11430D"/>
    <w:rsid w:val="0A8153CC"/>
    <w:rsid w:val="0C11430D"/>
    <w:rsid w:val="29717DA8"/>
    <w:rsid w:val="3B614C15"/>
    <w:rsid w:val="3F2F6C82"/>
    <w:rsid w:val="4FA0512E"/>
    <w:rsid w:val="63D5008E"/>
    <w:rsid w:val="6FB55564"/>
    <w:rsid w:val="70E81F20"/>
    <w:rsid w:val="741835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character" w:styleId="9">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20</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2021-12-09T02:45:00Z</dcterms:created>
  <dc:creator>hui</dc:creator>
  <cp:lastModifiedBy>hui</cp:lastModifiedBy>
  <dcterms:modified xsi:type="dcterms:W3CDTF">2021-12-31T10:57:39Z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F16C97AEBE02491C9FC560A3E8D12761</vt:lpwstr>
  </property>
</Properties>
</file>