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3510946"/>
        <w:docPartObj>
          <w:docPartGallery w:val="Cover Pages"/>
          <w:docPartUnique/>
        </w:docPartObj>
      </w:sdtPr>
      <w:sdtEndPr>
        <w:rPr>
          <w:rFonts w:ascii="Arial" w:hAnsi="Arial" w:cs="Arial"/>
          <w:b/>
          <w:bCs/>
        </w:rPr>
      </w:sdtEndPr>
      <w:sdtContent>
        <w:p w14:paraId="4BD81CF3" w14:textId="1A289A1D" w:rsidR="000E73B6" w:rsidRDefault="000E73B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0E73B6" w14:paraId="484F4D3E" w14:textId="77777777">
            <w:tc>
              <w:tcPr>
                <w:tcW w:w="7672" w:type="dxa"/>
                <w:tcMar>
                  <w:top w:w="216" w:type="dxa"/>
                  <w:left w:w="115" w:type="dxa"/>
                  <w:bottom w:w="216" w:type="dxa"/>
                  <w:right w:w="115" w:type="dxa"/>
                </w:tcMar>
              </w:tcPr>
              <w:p w14:paraId="3CDB68C6" w14:textId="79B9CF92" w:rsidR="000E73B6" w:rsidRDefault="000E73B6">
                <w:pPr>
                  <w:pStyle w:val="NoSpacing"/>
                  <w:rPr>
                    <w:color w:val="0F4761" w:themeColor="accent1" w:themeShade="BF"/>
                    <w:sz w:val="24"/>
                  </w:rPr>
                </w:pPr>
              </w:p>
            </w:tc>
          </w:tr>
          <w:tr w:rsidR="000E73B6" w14:paraId="03912852" w14:textId="77777777">
            <w:tc>
              <w:tcPr>
                <w:tcW w:w="7672" w:type="dxa"/>
              </w:tcPr>
              <w:sdt>
                <w:sdtPr>
                  <w:rPr>
                    <w:rFonts w:ascii="Arial Black" w:eastAsiaTheme="majorEastAsia" w:hAnsi="Arial Black" w:cstheme="majorBidi"/>
                    <w:color w:val="000000" w:themeColor="text1"/>
                    <w:sz w:val="72"/>
                    <w:szCs w:val="72"/>
                  </w:rPr>
                  <w:alias w:val="Title"/>
                  <w:id w:val="13406919"/>
                  <w:placeholder>
                    <w:docPart w:val="0F24B9D2191B4BEDA7BF9BB338A04651"/>
                  </w:placeholder>
                  <w:dataBinding w:prefixMappings="xmlns:ns0='http://schemas.openxmlformats.org/package/2006/metadata/core-properties' xmlns:ns1='http://purl.org/dc/elements/1.1/'" w:xpath="/ns0:coreProperties[1]/ns1:title[1]" w:storeItemID="{6C3C8BC8-F283-45AE-878A-BAB7291924A1}"/>
                  <w:text/>
                </w:sdtPr>
                <w:sdtContent>
                  <w:p w14:paraId="25533125" w14:textId="3247146A" w:rsidR="000E73B6" w:rsidRPr="000E73B6" w:rsidRDefault="000E73B6">
                    <w:pPr>
                      <w:pStyle w:val="NoSpacing"/>
                      <w:spacing w:line="216" w:lineRule="auto"/>
                      <w:rPr>
                        <w:rFonts w:ascii="Arial Black" w:eastAsiaTheme="majorEastAsia" w:hAnsi="Arial Black" w:cstheme="majorBidi"/>
                        <w:color w:val="156082" w:themeColor="accent1"/>
                        <w:sz w:val="72"/>
                        <w:szCs w:val="72"/>
                      </w:rPr>
                    </w:pPr>
                    <w:r w:rsidRPr="000E73B6">
                      <w:rPr>
                        <w:rFonts w:ascii="Arial Black" w:eastAsiaTheme="majorEastAsia" w:hAnsi="Arial Black" w:cstheme="majorBidi"/>
                        <w:color w:val="000000" w:themeColor="text1"/>
                        <w:sz w:val="72"/>
                        <w:szCs w:val="72"/>
                      </w:rPr>
                      <w:t>Opportunities and Threats to Social Enterprise</w:t>
                    </w:r>
                    <w:r w:rsidRPr="000E73B6">
                      <w:rPr>
                        <w:rFonts w:ascii="Arial Black" w:eastAsiaTheme="majorEastAsia" w:hAnsi="Arial Black" w:cstheme="majorBidi"/>
                        <w:color w:val="000000" w:themeColor="text1"/>
                        <w:sz w:val="72"/>
                        <w:szCs w:val="72"/>
                      </w:rPr>
                      <w:t xml:space="preserve"> </w:t>
                    </w:r>
                  </w:p>
                </w:sdtContent>
              </w:sdt>
            </w:tc>
          </w:tr>
          <w:tr w:rsidR="000E73B6" w14:paraId="76172BF2" w14:textId="77777777">
            <w:tc>
              <w:tcPr>
                <w:tcW w:w="7672" w:type="dxa"/>
                <w:tcMar>
                  <w:top w:w="216" w:type="dxa"/>
                  <w:left w:w="115" w:type="dxa"/>
                  <w:bottom w:w="216" w:type="dxa"/>
                  <w:right w:w="115" w:type="dxa"/>
                </w:tcMar>
              </w:tcPr>
              <w:p w14:paraId="72C47707" w14:textId="39430790" w:rsidR="000E73B6" w:rsidRDefault="000E73B6">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0E73B6" w:rsidRPr="000E73B6" w14:paraId="79C4E67E" w14:textId="77777777">
            <w:tc>
              <w:tcPr>
                <w:tcW w:w="7221" w:type="dxa"/>
                <w:tcMar>
                  <w:top w:w="216" w:type="dxa"/>
                  <w:left w:w="115" w:type="dxa"/>
                  <w:bottom w:w="216" w:type="dxa"/>
                  <w:right w:w="115" w:type="dxa"/>
                </w:tcMar>
              </w:tcPr>
              <w:sdt>
                <w:sdtPr>
                  <w:rPr>
                    <w:rFonts w:ascii="Arial Black" w:hAnsi="Arial Black"/>
                    <w:color w:val="000000" w:themeColor="text1"/>
                    <w:sz w:val="40"/>
                    <w:szCs w:val="40"/>
                    <w:lang w:val="nl-NL"/>
                  </w:rPr>
                  <w:alias w:val="Author"/>
                  <w:id w:val="13406928"/>
                  <w:placeholder>
                    <w:docPart w:val="FCC283FC011C479892E028C5820C61A5"/>
                  </w:placeholder>
                  <w:dataBinding w:prefixMappings="xmlns:ns0='http://schemas.openxmlformats.org/package/2006/metadata/core-properties' xmlns:ns1='http://purl.org/dc/elements/1.1/'" w:xpath="/ns0:coreProperties[1]/ns1:creator[1]" w:storeItemID="{6C3C8BC8-F283-45AE-878A-BAB7291924A1}"/>
                  <w:text/>
                </w:sdtPr>
                <w:sdtContent>
                  <w:p w14:paraId="71FDCC09" w14:textId="3DEE930A" w:rsidR="000E73B6" w:rsidRPr="000E73B6" w:rsidRDefault="000E73B6">
                    <w:pPr>
                      <w:pStyle w:val="NoSpacing"/>
                      <w:rPr>
                        <w:rFonts w:ascii="Arial Black" w:hAnsi="Arial Black"/>
                        <w:color w:val="000000" w:themeColor="text1"/>
                        <w:sz w:val="40"/>
                        <w:szCs w:val="40"/>
                        <w:lang w:val="nl-NL"/>
                      </w:rPr>
                    </w:pPr>
                    <w:r w:rsidRPr="000E73B6">
                      <w:rPr>
                        <w:rFonts w:ascii="Arial Black" w:hAnsi="Arial Black"/>
                        <w:color w:val="000000" w:themeColor="text1"/>
                        <w:sz w:val="40"/>
                        <w:szCs w:val="40"/>
                        <w:lang w:val="nl-NL"/>
                      </w:rPr>
                      <w:t>Student name: Daniel Boubatrin</w:t>
                    </w:r>
                  </w:p>
                </w:sdtContent>
              </w:sdt>
              <w:sdt>
                <w:sdtPr>
                  <w:rPr>
                    <w:rFonts w:ascii="Arial Black" w:hAnsi="Arial Black"/>
                    <w:color w:val="000000" w:themeColor="text1"/>
                    <w:sz w:val="40"/>
                    <w:szCs w:val="40"/>
                  </w:rPr>
                  <w:alias w:val="Date"/>
                  <w:tag w:val="Date"/>
                  <w:id w:val="13406932"/>
                  <w:placeholder>
                    <w:docPart w:val="C48E28F143FE4DA689F8A126127F421B"/>
                  </w:placeholder>
                  <w:dataBinding w:prefixMappings="xmlns:ns0='http://schemas.microsoft.com/office/2006/coverPageProps'" w:xpath="/ns0:CoverPageProperties[1]/ns0:PublishDate[1]" w:storeItemID="{55AF091B-3C7A-41E3-B477-F2FDAA23CFDA}"/>
                  <w:date w:fullDate="2026-07-24T00:00:00Z">
                    <w:dateFormat w:val="M-d-yyyy"/>
                    <w:lid w:val="en-US"/>
                    <w:storeMappedDataAs w:val="dateTime"/>
                    <w:calendar w:val="gregorian"/>
                  </w:date>
                </w:sdtPr>
                <w:sdtContent>
                  <w:p w14:paraId="30896F7B" w14:textId="1D45A9A7" w:rsidR="000E73B6" w:rsidRPr="000E73B6" w:rsidRDefault="000E73B6">
                    <w:pPr>
                      <w:pStyle w:val="NoSpacing"/>
                      <w:rPr>
                        <w:rFonts w:ascii="Arial Black" w:hAnsi="Arial Black"/>
                        <w:color w:val="000000" w:themeColor="text1"/>
                        <w:sz w:val="40"/>
                        <w:szCs w:val="40"/>
                        <w:lang w:val="nl-NL"/>
                      </w:rPr>
                    </w:pPr>
                    <w:r w:rsidRPr="000E73B6">
                      <w:rPr>
                        <w:rFonts w:ascii="Arial Black" w:hAnsi="Arial Black"/>
                        <w:color w:val="000000" w:themeColor="text1"/>
                        <w:sz w:val="40"/>
                        <w:szCs w:val="40"/>
                      </w:rPr>
                      <w:t>7-24-2026</w:t>
                    </w:r>
                  </w:p>
                </w:sdtContent>
              </w:sdt>
              <w:p w14:paraId="23867F0D" w14:textId="77777777" w:rsidR="000E73B6" w:rsidRPr="000E73B6" w:rsidRDefault="000E73B6">
                <w:pPr>
                  <w:pStyle w:val="NoSpacing"/>
                  <w:rPr>
                    <w:color w:val="156082" w:themeColor="accent1"/>
                    <w:lang w:val="nl-NL"/>
                  </w:rPr>
                </w:pPr>
              </w:p>
            </w:tc>
          </w:tr>
        </w:tbl>
        <w:p w14:paraId="3DDFC011" w14:textId="39876488" w:rsidR="000E73B6" w:rsidRDefault="000E73B6">
          <w:pPr>
            <w:rPr>
              <w:rFonts w:ascii="Arial" w:hAnsi="Arial" w:cs="Arial"/>
              <w:b/>
              <w:bCs/>
            </w:rPr>
          </w:pPr>
          <w:r w:rsidRPr="000E73B6">
            <w:rPr>
              <w:rFonts w:ascii="Arial" w:hAnsi="Arial" w:cs="Arial"/>
              <w:b/>
              <w:bCs/>
              <w:lang w:val="nl-NL"/>
            </w:rPr>
            <w:br w:type="page"/>
          </w:r>
        </w:p>
      </w:sdtContent>
    </w:sdt>
    <w:p w14:paraId="631D03FF" w14:textId="65991C4E" w:rsidR="009271FF" w:rsidRPr="009271FF" w:rsidRDefault="009271FF" w:rsidP="009271FF">
      <w:pPr>
        <w:spacing w:line="480" w:lineRule="auto"/>
        <w:rPr>
          <w:rFonts w:ascii="Arial" w:hAnsi="Arial" w:cs="Arial"/>
          <w:b/>
          <w:bCs/>
        </w:rPr>
      </w:pPr>
      <w:r w:rsidRPr="009271FF">
        <w:rPr>
          <w:rFonts w:ascii="Arial" w:hAnsi="Arial" w:cs="Arial"/>
          <w:b/>
          <w:bCs/>
        </w:rPr>
        <w:lastRenderedPageBreak/>
        <w:t xml:space="preserve">Introduction </w:t>
      </w:r>
    </w:p>
    <w:p w14:paraId="4CE7F6CC" w14:textId="77777777" w:rsidR="009271FF" w:rsidRDefault="009271FF" w:rsidP="009271FF">
      <w:pPr>
        <w:spacing w:line="480" w:lineRule="auto"/>
        <w:rPr>
          <w:rFonts w:ascii="Arial" w:hAnsi="Arial" w:cs="Arial"/>
        </w:rPr>
      </w:pPr>
      <w:r w:rsidRPr="009271FF">
        <w:rPr>
          <w:rFonts w:ascii="Arial" w:hAnsi="Arial" w:cs="Arial"/>
        </w:rPr>
        <w:t>Social enterprises are organi</w:t>
      </w:r>
      <w:r>
        <w:rPr>
          <w:rFonts w:ascii="Arial" w:hAnsi="Arial" w:cs="Arial"/>
        </w:rPr>
        <w:t>s</w:t>
      </w:r>
      <w:r w:rsidRPr="009271FF">
        <w:rPr>
          <w:rFonts w:ascii="Arial" w:hAnsi="Arial" w:cs="Arial"/>
        </w:rPr>
        <w:t xml:space="preserve">ations that conduct business while pursuing a social or ecological objective. They work in the intersection of businesses and non-profits by ensuring both income generation and creation of social value. They are usually focused on either eliminating poverty, providing employment for marginalized segments of the population, improving access to fundamental services or curbing the environmental harm done. However, the very connection </w:t>
      </w:r>
      <w:r w:rsidRPr="009271FF">
        <w:rPr>
          <w:rFonts w:ascii="Arial" w:hAnsi="Arial" w:cs="Arial"/>
        </w:rPr>
        <w:t>between</w:t>
      </w:r>
      <w:r w:rsidRPr="009271FF">
        <w:rPr>
          <w:rFonts w:ascii="Arial" w:hAnsi="Arial" w:cs="Arial"/>
        </w:rPr>
        <w:t xml:space="preserve"> business and social goals presents both opportunities and problems for social enterprises.</w:t>
      </w:r>
    </w:p>
    <w:p w14:paraId="1DDE48FC" w14:textId="5BCAC767" w:rsidR="009271FF" w:rsidRPr="009271FF" w:rsidRDefault="009271FF" w:rsidP="009271FF">
      <w:pPr>
        <w:spacing w:line="480" w:lineRule="auto"/>
        <w:rPr>
          <w:rFonts w:ascii="Arial" w:hAnsi="Arial" w:cs="Arial"/>
        </w:rPr>
      </w:pPr>
      <w:r w:rsidRPr="009271FF">
        <w:rPr>
          <w:rFonts w:ascii="Arial" w:hAnsi="Arial" w:cs="Arial"/>
        </w:rPr>
        <w:t xml:space="preserve"> </w:t>
      </w:r>
      <w:r>
        <w:rPr>
          <w:rFonts w:ascii="Arial" w:hAnsi="Arial" w:cs="Arial"/>
        </w:rPr>
        <w:t>A</w:t>
      </w:r>
      <w:r w:rsidRPr="009271FF">
        <w:rPr>
          <w:rFonts w:ascii="Arial" w:hAnsi="Arial" w:cs="Arial"/>
        </w:rPr>
        <w:t xml:space="preserve"> SWOT analysis is used </w:t>
      </w:r>
      <w:r w:rsidRPr="009271FF">
        <w:rPr>
          <w:rFonts w:ascii="Arial" w:hAnsi="Arial" w:cs="Arial"/>
        </w:rPr>
        <w:t>to</w:t>
      </w:r>
      <w:r w:rsidRPr="009271FF">
        <w:rPr>
          <w:rFonts w:ascii="Arial" w:hAnsi="Arial" w:cs="Arial"/>
        </w:rPr>
        <w:t xml:space="preserve"> assess the strengths, weaknesses, opportunities and threats for social enterprises. SWOT analysis is important because it </w:t>
      </w:r>
      <w:r w:rsidRPr="009271FF">
        <w:rPr>
          <w:rFonts w:ascii="Arial" w:hAnsi="Arial" w:cs="Arial"/>
        </w:rPr>
        <w:t>allows us</w:t>
      </w:r>
      <w:r w:rsidRPr="009271FF">
        <w:rPr>
          <w:rFonts w:ascii="Arial" w:hAnsi="Arial" w:cs="Arial"/>
        </w:rPr>
        <w:t xml:space="preserve"> to distinguish between internal factors and external conditions. At the same time, the results of SWOT depend on the evidence collected and judgment made for each of the categories (</w:t>
      </w:r>
      <w:proofErr w:type="spellStart"/>
      <w:r w:rsidRPr="009271FF">
        <w:rPr>
          <w:rFonts w:ascii="Arial" w:hAnsi="Arial" w:cs="Arial"/>
        </w:rPr>
        <w:t>Karadzhov</w:t>
      </w:r>
      <w:proofErr w:type="spellEnd"/>
      <w:r w:rsidRPr="009271FF">
        <w:rPr>
          <w:rFonts w:ascii="Arial" w:hAnsi="Arial" w:cs="Arial"/>
        </w:rPr>
        <w:t xml:space="preserve">, 2025). </w:t>
      </w:r>
    </w:p>
    <w:p w14:paraId="454A8658" w14:textId="51A53D48" w:rsidR="009271FF" w:rsidRPr="009271FF" w:rsidRDefault="009271FF" w:rsidP="009271FF">
      <w:pPr>
        <w:spacing w:line="480" w:lineRule="auto"/>
        <w:rPr>
          <w:rFonts w:ascii="Arial" w:hAnsi="Arial" w:cs="Arial"/>
          <w:b/>
          <w:bCs/>
        </w:rPr>
      </w:pPr>
      <w:r w:rsidRPr="009271FF">
        <w:rPr>
          <w:rFonts w:ascii="Arial" w:hAnsi="Arial" w:cs="Arial"/>
          <w:b/>
          <w:bCs/>
        </w:rPr>
        <w:t xml:space="preserve">Strengths </w:t>
      </w:r>
    </w:p>
    <w:p w14:paraId="3990390B" w14:textId="0F5134DE" w:rsidR="009271FF" w:rsidRPr="009271FF" w:rsidRDefault="009271FF" w:rsidP="009271FF">
      <w:pPr>
        <w:spacing w:line="480" w:lineRule="auto"/>
        <w:rPr>
          <w:rFonts w:ascii="Arial" w:hAnsi="Arial" w:cs="Arial"/>
        </w:rPr>
      </w:pPr>
      <w:r w:rsidRPr="009271FF">
        <w:rPr>
          <w:rFonts w:ascii="Arial" w:hAnsi="Arial" w:cs="Arial"/>
        </w:rPr>
        <w:t xml:space="preserve">One of the main advantages of social enterprises </w:t>
      </w:r>
      <w:r w:rsidR="000E73B6" w:rsidRPr="009271FF">
        <w:rPr>
          <w:rFonts w:ascii="Arial" w:hAnsi="Arial" w:cs="Arial"/>
        </w:rPr>
        <w:t>is their</w:t>
      </w:r>
      <w:r w:rsidRPr="009271FF">
        <w:rPr>
          <w:rFonts w:ascii="Arial" w:hAnsi="Arial" w:cs="Arial"/>
        </w:rPr>
        <w:t xml:space="preserve"> ability to integrate commercial operations and social values elimination. They can make money from trading while solving the problems that state agencies or private enterprises fail to solve. This means that social responsibility becomes not just the occasional charity but a whole business model (Abidin, Jalal and Sodiq, 2025). </w:t>
      </w:r>
    </w:p>
    <w:p w14:paraId="45F3B193" w14:textId="273DD1C1" w:rsidR="009271FF" w:rsidRPr="009271FF" w:rsidRDefault="009271FF" w:rsidP="009271FF">
      <w:pPr>
        <w:spacing w:line="480" w:lineRule="auto"/>
        <w:rPr>
          <w:rFonts w:ascii="Arial" w:hAnsi="Arial" w:cs="Arial"/>
        </w:rPr>
      </w:pPr>
      <w:r w:rsidRPr="009271FF">
        <w:rPr>
          <w:rFonts w:ascii="Arial" w:hAnsi="Arial" w:cs="Arial"/>
        </w:rPr>
        <w:t xml:space="preserve"> Aravind Eye Care is a good example of such approach. This initiative earns money from the patients capable of paying for their treatment and employs the profits from the well-off people </w:t>
      </w:r>
      <w:r w:rsidRPr="009271FF">
        <w:rPr>
          <w:rFonts w:ascii="Arial" w:hAnsi="Arial" w:cs="Arial"/>
        </w:rPr>
        <w:t>to</w:t>
      </w:r>
      <w:r w:rsidRPr="009271FF">
        <w:rPr>
          <w:rFonts w:ascii="Arial" w:hAnsi="Arial" w:cs="Arial"/>
        </w:rPr>
        <w:t xml:space="preserve"> provide services for its less fortunate </w:t>
      </w:r>
      <w:r w:rsidRPr="009271FF">
        <w:rPr>
          <w:rFonts w:ascii="Arial" w:hAnsi="Arial" w:cs="Arial"/>
        </w:rPr>
        <w:t>clients. Social</w:t>
      </w:r>
      <w:r w:rsidRPr="009271FF">
        <w:rPr>
          <w:rFonts w:ascii="Arial" w:hAnsi="Arial" w:cs="Arial"/>
        </w:rPr>
        <w:t xml:space="preserve"> enterprises build </w:t>
      </w:r>
      <w:r w:rsidRPr="009271FF">
        <w:rPr>
          <w:rFonts w:ascii="Arial" w:hAnsi="Arial" w:cs="Arial"/>
        </w:rPr>
        <w:lastRenderedPageBreak/>
        <w:t xml:space="preserve">strong ties with communities, as they are usually set up to address a problem in the area. As per stakeholder theory, institutions ought to </w:t>
      </w:r>
      <w:r w:rsidRPr="009271FF">
        <w:rPr>
          <w:rFonts w:ascii="Arial" w:hAnsi="Arial" w:cs="Arial"/>
        </w:rPr>
        <w:t>consider</w:t>
      </w:r>
      <w:r w:rsidRPr="009271FF">
        <w:rPr>
          <w:rFonts w:ascii="Arial" w:hAnsi="Arial" w:cs="Arial"/>
        </w:rPr>
        <w:t xml:space="preserve"> many stakeholders instead of just their shareholders. This can create confidence among employees, customers, beneficiaries, and communities at large. The social sustainability of the social enterprise depends on stakeholder participation, inclusion, and value creation (Kamaludin, 2023).</w:t>
      </w:r>
    </w:p>
    <w:p w14:paraId="093651AF" w14:textId="0D8936CB" w:rsidR="009271FF" w:rsidRPr="009271FF" w:rsidRDefault="009271FF" w:rsidP="009271FF">
      <w:pPr>
        <w:spacing w:line="480" w:lineRule="auto"/>
        <w:rPr>
          <w:rFonts w:ascii="Arial" w:hAnsi="Arial" w:cs="Arial"/>
        </w:rPr>
      </w:pPr>
      <w:r w:rsidRPr="009271FF">
        <w:rPr>
          <w:rFonts w:ascii="Arial" w:hAnsi="Arial" w:cs="Arial"/>
        </w:rPr>
        <w:t>Greyston Bakery in the US serves as an example of such effectiveness with its employment model, which is based on an open hiring system. The organi</w:t>
      </w:r>
      <w:r>
        <w:rPr>
          <w:rFonts w:ascii="Arial" w:hAnsi="Arial" w:cs="Arial"/>
        </w:rPr>
        <w:t>s</w:t>
      </w:r>
      <w:r w:rsidRPr="009271FF">
        <w:rPr>
          <w:rFonts w:ascii="Arial" w:hAnsi="Arial" w:cs="Arial"/>
        </w:rPr>
        <w:t>ation offers jobs without requiring the applicants to go through traditional interviews or background checks. Consequently, applicants who cannot find a job are given an opportunity to earn money and obtain various types of training. Thus, the social mission is embedded into the human resource practices of the entity.</w:t>
      </w:r>
    </w:p>
    <w:p w14:paraId="0149D3A0" w14:textId="77777777" w:rsidR="009271FF" w:rsidRPr="009271FF" w:rsidRDefault="009271FF" w:rsidP="009271FF">
      <w:pPr>
        <w:spacing w:line="480" w:lineRule="auto"/>
        <w:rPr>
          <w:rFonts w:ascii="Arial" w:hAnsi="Arial" w:cs="Arial"/>
        </w:rPr>
      </w:pPr>
      <w:r w:rsidRPr="009271FF">
        <w:rPr>
          <w:rFonts w:ascii="Arial" w:hAnsi="Arial" w:cs="Arial"/>
        </w:rPr>
        <w:t>On the other hand, social enterprises may also possess certain uniqueness-related assets like knowledge of community needs, motivated employees, and mission-driven networks. If viewed from the resource-based perspective, these advantages would help social organizations gain an edge since they are hard to imitate by competitors. Competencies associated with entrepreneurship, ethics, and sustainability can improve the responsiveness of social enterprises to various social challenges (Ramadani et al., 2022).</w:t>
      </w:r>
    </w:p>
    <w:p w14:paraId="63666F03" w14:textId="45B670A6" w:rsidR="009271FF" w:rsidRPr="009271FF" w:rsidRDefault="009271FF" w:rsidP="009271FF">
      <w:pPr>
        <w:spacing w:line="480" w:lineRule="auto"/>
        <w:rPr>
          <w:rFonts w:ascii="Arial" w:hAnsi="Arial" w:cs="Arial"/>
          <w:b/>
          <w:bCs/>
        </w:rPr>
      </w:pPr>
      <w:r w:rsidRPr="009271FF">
        <w:rPr>
          <w:rFonts w:ascii="Arial" w:hAnsi="Arial" w:cs="Arial"/>
          <w:b/>
          <w:bCs/>
        </w:rPr>
        <w:t>Weaknesses</w:t>
      </w:r>
    </w:p>
    <w:p w14:paraId="36E10A5F" w14:textId="1EFCE435" w:rsidR="009271FF" w:rsidRPr="009271FF" w:rsidRDefault="009271FF" w:rsidP="009271FF">
      <w:pPr>
        <w:spacing w:line="480" w:lineRule="auto"/>
        <w:rPr>
          <w:rFonts w:ascii="Arial" w:hAnsi="Arial" w:cs="Arial"/>
        </w:rPr>
      </w:pPr>
      <w:r>
        <w:rPr>
          <w:rFonts w:ascii="Arial" w:hAnsi="Arial" w:cs="Arial"/>
        </w:rPr>
        <w:t>Despite its</w:t>
      </w:r>
      <w:r w:rsidRPr="009271FF">
        <w:rPr>
          <w:rFonts w:ascii="Arial" w:hAnsi="Arial" w:cs="Arial"/>
        </w:rPr>
        <w:t xml:space="preserve"> benefits, social enterprises often find themselves in </w:t>
      </w:r>
      <w:r w:rsidRPr="009271FF">
        <w:rPr>
          <w:rFonts w:ascii="Arial" w:hAnsi="Arial" w:cs="Arial"/>
        </w:rPr>
        <w:t>conflict</w:t>
      </w:r>
      <w:r w:rsidRPr="009271FF">
        <w:rPr>
          <w:rFonts w:ascii="Arial" w:hAnsi="Arial" w:cs="Arial"/>
        </w:rPr>
        <w:t xml:space="preserve"> between their social goals and business realities. Some of the tasks making the biggest impact in the </w:t>
      </w:r>
      <w:r w:rsidRPr="009271FF">
        <w:rPr>
          <w:rFonts w:ascii="Arial" w:hAnsi="Arial" w:cs="Arial"/>
        </w:rPr>
        <w:lastRenderedPageBreak/>
        <w:t xml:space="preserve">social sense may not be financially viable. Managers are thus faced with </w:t>
      </w:r>
      <w:r w:rsidRPr="009271FF">
        <w:rPr>
          <w:rFonts w:ascii="Arial" w:hAnsi="Arial" w:cs="Arial"/>
        </w:rPr>
        <w:t>a</w:t>
      </w:r>
      <w:r w:rsidRPr="009271FF">
        <w:rPr>
          <w:rFonts w:ascii="Arial" w:hAnsi="Arial" w:cs="Arial"/>
        </w:rPr>
        <w:t xml:space="preserve"> dilemma regarding the focus on either growth, profitability, or the </w:t>
      </w:r>
      <w:r w:rsidRPr="009271FF">
        <w:rPr>
          <w:rFonts w:ascii="Arial" w:hAnsi="Arial" w:cs="Arial"/>
        </w:rPr>
        <w:t>assistance provided. Expenses</w:t>
      </w:r>
      <w:r w:rsidRPr="009271FF">
        <w:rPr>
          <w:rFonts w:ascii="Arial" w:hAnsi="Arial" w:cs="Arial"/>
        </w:rPr>
        <w:t xml:space="preserve"> involving training, oversight and changes to the workplace </w:t>
      </w:r>
      <w:r w:rsidRPr="009271FF">
        <w:rPr>
          <w:rFonts w:ascii="Arial" w:hAnsi="Arial" w:cs="Arial"/>
        </w:rPr>
        <w:t>tend to</w:t>
      </w:r>
      <w:r w:rsidRPr="009271FF">
        <w:rPr>
          <w:rFonts w:ascii="Arial" w:hAnsi="Arial" w:cs="Arial"/>
        </w:rPr>
        <w:t xml:space="preserve"> rise. As traditional rivals are equipped to hire skilled </w:t>
      </w:r>
      <w:r w:rsidRPr="009271FF">
        <w:rPr>
          <w:rFonts w:ascii="Arial" w:hAnsi="Arial" w:cs="Arial"/>
        </w:rPr>
        <w:t>labor</w:t>
      </w:r>
      <w:r w:rsidRPr="009271FF">
        <w:rPr>
          <w:rFonts w:ascii="Arial" w:hAnsi="Arial" w:cs="Arial"/>
        </w:rPr>
        <w:t xml:space="preserve"> for lower cost, competition based on price becomes truly challenging for the company.</w:t>
      </w:r>
    </w:p>
    <w:p w14:paraId="28D836EC" w14:textId="3C55AABE" w:rsidR="009271FF" w:rsidRPr="009271FF" w:rsidRDefault="009271FF" w:rsidP="009271FF">
      <w:pPr>
        <w:spacing w:line="480" w:lineRule="auto"/>
        <w:rPr>
          <w:rFonts w:ascii="Arial" w:hAnsi="Arial" w:cs="Arial"/>
        </w:rPr>
      </w:pPr>
      <w:r w:rsidRPr="009271FF">
        <w:rPr>
          <w:rFonts w:ascii="Arial" w:hAnsi="Arial" w:cs="Arial"/>
        </w:rPr>
        <w:t>Hybrid system of social enterprises can result in disagreements within the organi</w:t>
      </w:r>
      <w:r>
        <w:rPr>
          <w:rFonts w:ascii="Arial" w:hAnsi="Arial" w:cs="Arial"/>
        </w:rPr>
        <w:t>s</w:t>
      </w:r>
      <w:r w:rsidRPr="009271FF">
        <w:rPr>
          <w:rFonts w:ascii="Arial" w:hAnsi="Arial" w:cs="Arial"/>
        </w:rPr>
        <w:t>ation. Invests may want to see financial growth, the staff may have their minds on job security and beneficiaries may demand higher level of social assistance. Different objectives can lower clarity of strategic vision and complicate decision-making. The capacity of hybrid enterprises to innovate will depend on the level of their achievements as in combining social and business objectives while maintaining openness to outside knowledge and cooperation (</w:t>
      </w:r>
      <w:proofErr w:type="spellStart"/>
      <w:r w:rsidRPr="009271FF">
        <w:rPr>
          <w:rFonts w:ascii="Arial" w:hAnsi="Arial" w:cs="Arial"/>
        </w:rPr>
        <w:t>Hagedoorn</w:t>
      </w:r>
      <w:proofErr w:type="spellEnd"/>
      <w:r w:rsidRPr="009271FF">
        <w:rPr>
          <w:rFonts w:ascii="Arial" w:hAnsi="Arial" w:cs="Arial"/>
        </w:rPr>
        <w:t xml:space="preserve"> et al., 2023</w:t>
      </w:r>
      <w:r w:rsidR="000E73B6" w:rsidRPr="009271FF">
        <w:rPr>
          <w:rFonts w:ascii="Arial" w:hAnsi="Arial" w:cs="Arial"/>
        </w:rPr>
        <w:t>).</w:t>
      </w:r>
    </w:p>
    <w:p w14:paraId="49F7865E" w14:textId="77777777" w:rsidR="009271FF" w:rsidRDefault="009271FF" w:rsidP="009271FF">
      <w:pPr>
        <w:spacing w:line="480" w:lineRule="auto"/>
        <w:rPr>
          <w:rFonts w:ascii="Arial" w:hAnsi="Arial" w:cs="Arial"/>
        </w:rPr>
      </w:pPr>
      <w:r w:rsidRPr="009271FF">
        <w:rPr>
          <w:rFonts w:ascii="Arial" w:hAnsi="Arial" w:cs="Arial"/>
        </w:rPr>
        <w:t>Another vulnerability lies within the issues related to the proof of the impact. While financial indicators like revenue or costs are easy to measure, measuring social results like confidence or wellbeing is much more difficult. The enterprises need to be accountable to different stakeholders and their inability to demonstrate credible results may damage their level of trust (</w:t>
      </w:r>
      <w:proofErr w:type="spellStart"/>
      <w:r w:rsidRPr="009271FF">
        <w:rPr>
          <w:rFonts w:ascii="Arial" w:hAnsi="Arial" w:cs="Arial"/>
        </w:rPr>
        <w:t>Kolodinsky</w:t>
      </w:r>
      <w:proofErr w:type="spellEnd"/>
      <w:r w:rsidRPr="009271FF">
        <w:rPr>
          <w:rFonts w:ascii="Arial" w:hAnsi="Arial" w:cs="Arial"/>
        </w:rPr>
        <w:t xml:space="preserve">, Ritchie and </w:t>
      </w:r>
      <w:proofErr w:type="spellStart"/>
      <w:r w:rsidRPr="009271FF">
        <w:rPr>
          <w:rFonts w:ascii="Arial" w:hAnsi="Arial" w:cs="Arial"/>
        </w:rPr>
        <w:t>Capar</w:t>
      </w:r>
      <w:proofErr w:type="spellEnd"/>
      <w:r w:rsidRPr="009271FF">
        <w:rPr>
          <w:rFonts w:ascii="Arial" w:hAnsi="Arial" w:cs="Arial"/>
        </w:rPr>
        <w:t>, 2022</w:t>
      </w:r>
      <w:r w:rsidRPr="009271FF">
        <w:rPr>
          <w:rFonts w:ascii="Arial" w:hAnsi="Arial" w:cs="Arial"/>
        </w:rPr>
        <w:t>).</w:t>
      </w:r>
    </w:p>
    <w:p w14:paraId="1E96E4B5" w14:textId="107A96CA" w:rsidR="009271FF" w:rsidRPr="009271FF" w:rsidRDefault="009271FF" w:rsidP="009271FF">
      <w:pPr>
        <w:spacing w:line="480" w:lineRule="auto"/>
        <w:rPr>
          <w:rFonts w:ascii="Arial" w:hAnsi="Arial" w:cs="Arial"/>
        </w:rPr>
      </w:pPr>
      <w:r w:rsidRPr="009271FF">
        <w:rPr>
          <w:rFonts w:ascii="Arial" w:hAnsi="Arial" w:cs="Arial"/>
        </w:rPr>
        <w:t>Case with Community Shop is demonstrative of the issues within the measuring of impact. While it is easy to measure the amount of redistributed food, it is difficult to define the changes in the areas like wellbeing, confidence or employability.</w:t>
      </w:r>
    </w:p>
    <w:p w14:paraId="6AEDAFB9" w14:textId="77777777" w:rsidR="000E73B6" w:rsidRDefault="000E73B6" w:rsidP="009271FF">
      <w:pPr>
        <w:spacing w:line="480" w:lineRule="auto"/>
        <w:rPr>
          <w:rFonts w:ascii="Arial" w:hAnsi="Arial" w:cs="Arial"/>
          <w:b/>
          <w:bCs/>
        </w:rPr>
      </w:pPr>
    </w:p>
    <w:p w14:paraId="000A79B1" w14:textId="77777777" w:rsidR="000E73B6" w:rsidRDefault="000E73B6" w:rsidP="009271FF">
      <w:pPr>
        <w:spacing w:line="480" w:lineRule="auto"/>
        <w:rPr>
          <w:rFonts w:ascii="Arial" w:hAnsi="Arial" w:cs="Arial"/>
          <w:b/>
          <w:bCs/>
        </w:rPr>
      </w:pPr>
    </w:p>
    <w:p w14:paraId="6CFC2271" w14:textId="3B7B30C3" w:rsidR="009271FF" w:rsidRPr="009271FF" w:rsidRDefault="009271FF" w:rsidP="009271FF">
      <w:pPr>
        <w:spacing w:line="480" w:lineRule="auto"/>
        <w:rPr>
          <w:rFonts w:ascii="Arial" w:hAnsi="Arial" w:cs="Arial"/>
          <w:b/>
          <w:bCs/>
        </w:rPr>
      </w:pPr>
      <w:r w:rsidRPr="009271FF">
        <w:rPr>
          <w:rFonts w:ascii="Arial" w:hAnsi="Arial" w:cs="Arial"/>
          <w:b/>
          <w:bCs/>
        </w:rPr>
        <w:lastRenderedPageBreak/>
        <w:t>Opportunities</w:t>
      </w:r>
    </w:p>
    <w:p w14:paraId="79FFE5B0" w14:textId="5D8A36AD" w:rsidR="009271FF" w:rsidRPr="009271FF" w:rsidRDefault="009271FF" w:rsidP="009271FF">
      <w:pPr>
        <w:spacing w:line="480" w:lineRule="auto"/>
        <w:rPr>
          <w:rFonts w:ascii="Arial" w:hAnsi="Arial" w:cs="Arial"/>
        </w:rPr>
      </w:pPr>
      <w:r w:rsidRPr="009271FF">
        <w:rPr>
          <w:rFonts w:ascii="Arial" w:hAnsi="Arial" w:cs="Arial"/>
        </w:rPr>
        <w:t>Growing concerns over sustainable development offer a range of opportunities for social enterprises. Governments, consumers and investors are becoming interested in organi</w:t>
      </w:r>
      <w:r>
        <w:rPr>
          <w:rFonts w:ascii="Arial" w:hAnsi="Arial" w:cs="Arial"/>
        </w:rPr>
        <w:t>s</w:t>
      </w:r>
      <w:r w:rsidRPr="009271FF">
        <w:rPr>
          <w:rFonts w:ascii="Arial" w:hAnsi="Arial" w:cs="Arial"/>
        </w:rPr>
        <w:t xml:space="preserve">ations helping to save environment, </w:t>
      </w:r>
      <w:r w:rsidRPr="009271FF">
        <w:rPr>
          <w:rFonts w:ascii="Arial" w:hAnsi="Arial" w:cs="Arial"/>
        </w:rPr>
        <w:t>creating</w:t>
      </w:r>
      <w:r w:rsidRPr="009271FF">
        <w:rPr>
          <w:rFonts w:ascii="Arial" w:hAnsi="Arial" w:cs="Arial"/>
        </w:rPr>
        <w:t xml:space="preserve"> decent jobs and </w:t>
      </w:r>
      <w:r w:rsidRPr="009271FF">
        <w:rPr>
          <w:rFonts w:ascii="Arial" w:hAnsi="Arial" w:cs="Arial"/>
        </w:rPr>
        <w:t>reducing</w:t>
      </w:r>
      <w:r w:rsidRPr="009271FF">
        <w:rPr>
          <w:rFonts w:ascii="Arial" w:hAnsi="Arial" w:cs="Arial"/>
        </w:rPr>
        <w:t xml:space="preserve"> </w:t>
      </w:r>
      <w:r w:rsidRPr="009271FF">
        <w:rPr>
          <w:rFonts w:ascii="Arial" w:hAnsi="Arial" w:cs="Arial"/>
        </w:rPr>
        <w:t>inequality. By</w:t>
      </w:r>
      <w:r w:rsidRPr="009271FF">
        <w:rPr>
          <w:rFonts w:ascii="Arial" w:hAnsi="Arial" w:cs="Arial"/>
        </w:rPr>
        <w:t xml:space="preserve"> utili</w:t>
      </w:r>
      <w:r>
        <w:rPr>
          <w:rFonts w:ascii="Arial" w:hAnsi="Arial" w:cs="Arial"/>
        </w:rPr>
        <w:t>s</w:t>
      </w:r>
      <w:r w:rsidRPr="009271FF">
        <w:rPr>
          <w:rFonts w:ascii="Arial" w:hAnsi="Arial" w:cs="Arial"/>
        </w:rPr>
        <w:t>ing market-driven approaches, social entrepreneurship can help to accomplish various Sustainable Development Goals (SDGs) (Diaz-Sarachaga and Ariza-Montes, 2022).</w:t>
      </w:r>
    </w:p>
    <w:p w14:paraId="5F1AE097" w14:textId="543ABF72" w:rsidR="009271FF" w:rsidRPr="009271FF" w:rsidRDefault="009271FF" w:rsidP="009271FF">
      <w:pPr>
        <w:spacing w:line="480" w:lineRule="auto"/>
        <w:rPr>
          <w:rFonts w:ascii="Arial" w:hAnsi="Arial" w:cs="Arial"/>
        </w:rPr>
      </w:pPr>
      <w:r w:rsidRPr="009271FF">
        <w:rPr>
          <w:rFonts w:ascii="Arial" w:hAnsi="Arial" w:cs="Arial"/>
        </w:rPr>
        <w:t>The example of Elvis &amp; Kresse illustrates how environmental issues can be turned into business opportunities. The firm utili</w:t>
      </w:r>
      <w:r>
        <w:rPr>
          <w:rFonts w:ascii="Arial" w:hAnsi="Arial" w:cs="Arial"/>
        </w:rPr>
        <w:t>s</w:t>
      </w:r>
      <w:r w:rsidRPr="009271FF">
        <w:rPr>
          <w:rFonts w:ascii="Arial" w:hAnsi="Arial" w:cs="Arial"/>
        </w:rPr>
        <w:t xml:space="preserve">es things, like damaged fire hoses, to create fashionable accessories, thus reducing waste and </w:t>
      </w:r>
      <w:r w:rsidRPr="009271FF">
        <w:rPr>
          <w:rFonts w:ascii="Arial" w:hAnsi="Arial" w:cs="Arial"/>
        </w:rPr>
        <w:t>generating valuable products</w:t>
      </w:r>
      <w:r w:rsidRPr="009271FF">
        <w:rPr>
          <w:rFonts w:ascii="Arial" w:hAnsi="Arial" w:cs="Arial"/>
        </w:rPr>
        <w:t xml:space="preserve"> at the same time. Also, Rubies in the Rubble </w:t>
      </w:r>
      <w:r w:rsidRPr="009271FF">
        <w:rPr>
          <w:rFonts w:ascii="Arial" w:hAnsi="Arial" w:cs="Arial"/>
        </w:rPr>
        <w:t>create</w:t>
      </w:r>
      <w:r w:rsidRPr="009271FF">
        <w:rPr>
          <w:rFonts w:ascii="Arial" w:hAnsi="Arial" w:cs="Arial"/>
        </w:rPr>
        <w:t xml:space="preserve"> sauces and other condiments from fruits and vegetables that would otherwise go to waste. </w:t>
      </w:r>
      <w:r w:rsidRPr="009271FF">
        <w:rPr>
          <w:rFonts w:ascii="Arial" w:hAnsi="Arial" w:cs="Arial"/>
        </w:rPr>
        <w:t>Both</w:t>
      </w:r>
      <w:r w:rsidRPr="009271FF">
        <w:rPr>
          <w:rFonts w:ascii="Arial" w:hAnsi="Arial" w:cs="Arial"/>
        </w:rPr>
        <w:t xml:space="preserve"> companies </w:t>
      </w:r>
      <w:r w:rsidRPr="009271FF">
        <w:rPr>
          <w:rFonts w:ascii="Arial" w:hAnsi="Arial" w:cs="Arial"/>
        </w:rPr>
        <w:t>can</w:t>
      </w:r>
      <w:r w:rsidRPr="009271FF">
        <w:rPr>
          <w:rFonts w:ascii="Arial" w:hAnsi="Arial" w:cs="Arial"/>
        </w:rPr>
        <w:t xml:space="preserve"> take advantage of the growing consumer interest in circular economy products.</w:t>
      </w:r>
    </w:p>
    <w:p w14:paraId="44B96C32" w14:textId="77777777" w:rsidR="009271FF" w:rsidRDefault="009271FF" w:rsidP="009271FF">
      <w:pPr>
        <w:spacing w:line="480" w:lineRule="auto"/>
        <w:rPr>
          <w:rFonts w:ascii="Arial" w:hAnsi="Arial" w:cs="Arial"/>
        </w:rPr>
      </w:pPr>
      <w:r w:rsidRPr="009271FF">
        <w:rPr>
          <w:rFonts w:ascii="Arial" w:hAnsi="Arial" w:cs="Arial"/>
        </w:rPr>
        <w:t xml:space="preserve">The establishment of beneficial social enterprise ecosystems is another approach. The availability of </w:t>
      </w:r>
      <w:r w:rsidRPr="009271FF">
        <w:rPr>
          <w:rFonts w:ascii="Arial" w:hAnsi="Arial" w:cs="Arial"/>
        </w:rPr>
        <w:t>resources such</w:t>
      </w:r>
      <w:r w:rsidRPr="009271FF">
        <w:rPr>
          <w:rFonts w:ascii="Arial" w:hAnsi="Arial" w:cs="Arial"/>
        </w:rPr>
        <w:t xml:space="preserve"> as access to finance, education, networks and governmental support makes it possible to create and develop social enterprises. Nevertheless, the degree of development of such systems varies according to the level of economic development and the institutional environment of the country (Plata, Scott and Aparicio, 2026).</w:t>
      </w:r>
    </w:p>
    <w:p w14:paraId="36121251" w14:textId="4DDCF486" w:rsidR="009271FF" w:rsidRPr="009271FF" w:rsidRDefault="009271FF" w:rsidP="009271FF">
      <w:pPr>
        <w:spacing w:line="480" w:lineRule="auto"/>
        <w:rPr>
          <w:rFonts w:ascii="Arial" w:hAnsi="Arial" w:cs="Arial"/>
        </w:rPr>
      </w:pPr>
      <w:r w:rsidRPr="009271FF">
        <w:rPr>
          <w:rFonts w:ascii="Arial" w:hAnsi="Arial" w:cs="Arial"/>
        </w:rPr>
        <w:t xml:space="preserve">Digital technology offers opportunities to reach the target audience and investors. Online platforms help in reducing marketing expenses, conducting remote services and </w:t>
      </w:r>
      <w:r w:rsidRPr="009271FF">
        <w:rPr>
          <w:rFonts w:ascii="Arial" w:hAnsi="Arial" w:cs="Arial"/>
        </w:rPr>
        <w:t>informing them</w:t>
      </w:r>
      <w:r w:rsidRPr="009271FF">
        <w:rPr>
          <w:rFonts w:ascii="Arial" w:hAnsi="Arial" w:cs="Arial"/>
        </w:rPr>
        <w:t xml:space="preserve"> about their social results. Digital entrepreneurship helps in achieving </w:t>
      </w:r>
      <w:r w:rsidRPr="009271FF">
        <w:rPr>
          <w:rFonts w:ascii="Arial" w:hAnsi="Arial" w:cs="Arial"/>
        </w:rPr>
        <w:lastRenderedPageBreak/>
        <w:t>sustainability through introduction of new business models and access to a bigger market (Fernandes, Pires and Gaspar Alves, 2022).</w:t>
      </w:r>
    </w:p>
    <w:p w14:paraId="636F3F26" w14:textId="52BA6A89" w:rsidR="009271FF" w:rsidRPr="009271FF" w:rsidRDefault="009271FF" w:rsidP="009271FF">
      <w:pPr>
        <w:spacing w:line="480" w:lineRule="auto"/>
        <w:rPr>
          <w:rFonts w:ascii="Arial" w:hAnsi="Arial" w:cs="Arial"/>
        </w:rPr>
      </w:pPr>
      <w:r w:rsidRPr="009271FF">
        <w:rPr>
          <w:rFonts w:ascii="Arial" w:hAnsi="Arial" w:cs="Arial"/>
        </w:rPr>
        <w:t xml:space="preserve">There is a good example of digital social entrepreneurship, which illustrates the above points </w:t>
      </w:r>
      <w:r>
        <w:rPr>
          <w:rFonts w:ascii="Arial" w:hAnsi="Arial" w:cs="Arial"/>
        </w:rPr>
        <w:t xml:space="preserve">which is </w:t>
      </w:r>
      <w:r w:rsidRPr="009271FF">
        <w:rPr>
          <w:rFonts w:ascii="Arial" w:hAnsi="Arial" w:cs="Arial"/>
        </w:rPr>
        <w:t xml:space="preserve">Kiva. This platform connects lenders with entrepreneurs or communities that </w:t>
      </w:r>
      <w:r w:rsidRPr="009271FF">
        <w:rPr>
          <w:rFonts w:ascii="Arial" w:hAnsi="Arial" w:cs="Arial"/>
        </w:rPr>
        <w:t>need</w:t>
      </w:r>
      <w:r w:rsidRPr="009271FF">
        <w:rPr>
          <w:rFonts w:ascii="Arial" w:hAnsi="Arial" w:cs="Arial"/>
        </w:rPr>
        <w:t xml:space="preserve"> financing. It serves as an example of how technology can connect social capital to individuals that have difficulties in obtaining traditional </w:t>
      </w:r>
      <w:r w:rsidRPr="009271FF">
        <w:rPr>
          <w:rFonts w:ascii="Arial" w:hAnsi="Arial" w:cs="Arial"/>
        </w:rPr>
        <w:t>loans. Social</w:t>
      </w:r>
      <w:r w:rsidRPr="009271FF">
        <w:rPr>
          <w:rFonts w:ascii="Arial" w:hAnsi="Arial" w:cs="Arial"/>
        </w:rPr>
        <w:t xml:space="preserve"> innovation has undergone worldwide expansion mainly due to the emergence of social enterprises that have the potential to fill the gap in public service issues. The research focused on social entrepreneurship in the ASEAN region indicates a growing interest in innovative measures to tackle regional social and economic problems (Fauzi, Muhamad Tamyez and Kumar, 2025).</w:t>
      </w:r>
    </w:p>
    <w:p w14:paraId="675C763B" w14:textId="77777777" w:rsidR="009271FF" w:rsidRPr="009271FF" w:rsidRDefault="009271FF" w:rsidP="009271FF">
      <w:pPr>
        <w:spacing w:line="480" w:lineRule="auto"/>
        <w:rPr>
          <w:rFonts w:ascii="Arial" w:hAnsi="Arial" w:cs="Arial"/>
          <w:b/>
          <w:bCs/>
        </w:rPr>
      </w:pPr>
      <w:r w:rsidRPr="009271FF">
        <w:rPr>
          <w:rFonts w:ascii="Arial" w:hAnsi="Arial" w:cs="Arial"/>
          <w:b/>
          <w:bCs/>
        </w:rPr>
        <w:t>Threats</w:t>
      </w:r>
    </w:p>
    <w:p w14:paraId="2208DEAB" w14:textId="77777777" w:rsidR="009271FF" w:rsidRPr="009271FF" w:rsidRDefault="009271FF" w:rsidP="009271FF">
      <w:pPr>
        <w:spacing w:line="480" w:lineRule="auto"/>
        <w:rPr>
          <w:rFonts w:ascii="Arial" w:hAnsi="Arial" w:cs="Arial"/>
        </w:rPr>
      </w:pPr>
      <w:r w:rsidRPr="009271FF">
        <w:rPr>
          <w:rFonts w:ascii="Arial" w:hAnsi="Arial" w:cs="Arial"/>
        </w:rPr>
        <w:t>Social enterprises face considerable threats from economic instability. During periods of inflation or recession, consumers tend to choose cheaper conventional goods over ethically produced ones. Thus, social enterprises may suffer from decreased sales, even during times of increasing demand for social services.</w:t>
      </w:r>
    </w:p>
    <w:p w14:paraId="126E8F87" w14:textId="13B45B95" w:rsidR="009271FF" w:rsidRPr="009271FF" w:rsidRDefault="009271FF" w:rsidP="009271FF">
      <w:pPr>
        <w:spacing w:line="480" w:lineRule="auto"/>
        <w:rPr>
          <w:rFonts w:ascii="Arial" w:hAnsi="Arial" w:cs="Arial"/>
        </w:rPr>
      </w:pPr>
      <w:r w:rsidRPr="009271FF">
        <w:rPr>
          <w:rFonts w:ascii="Arial" w:hAnsi="Arial" w:cs="Arial"/>
        </w:rPr>
        <w:t>Competition</w:t>
      </w:r>
      <w:r w:rsidRPr="009271FF">
        <w:rPr>
          <w:rFonts w:ascii="Arial" w:hAnsi="Arial" w:cs="Arial"/>
        </w:rPr>
        <w:t xml:space="preserve"> with traditional enterprises is an additional threat. Bigger companies increasingly market themselves as environmentally and socially responsible, which creates competition for consumers with social consciousness. However, some companies might use limited charitable activities to promote themselves socially responsible while not implementing any changes in their main practices. Thus, </w:t>
      </w:r>
      <w:r w:rsidRPr="009271FF">
        <w:rPr>
          <w:rFonts w:ascii="Arial" w:hAnsi="Arial" w:cs="Arial"/>
        </w:rPr>
        <w:lastRenderedPageBreak/>
        <w:t>consumers may fail to understand the difference between a real social enterprise and corporate social responsibility marketing.</w:t>
      </w:r>
    </w:p>
    <w:p w14:paraId="258F9D2D" w14:textId="77777777" w:rsidR="009271FF" w:rsidRPr="009271FF" w:rsidRDefault="009271FF" w:rsidP="009271FF">
      <w:pPr>
        <w:spacing w:line="480" w:lineRule="auto"/>
        <w:rPr>
          <w:rFonts w:ascii="Arial" w:hAnsi="Arial" w:cs="Arial"/>
        </w:rPr>
      </w:pPr>
      <w:r w:rsidRPr="009271FF">
        <w:rPr>
          <w:rFonts w:ascii="Arial" w:hAnsi="Arial" w:cs="Arial"/>
        </w:rPr>
        <w:t>Reliance on external funding also brings uncertainty. In general, grants, government contracts, and impact investments may vary depending on political aspirations or circumstances in the economy. Businesses that rely on a single funding source may face difficulties in case of funding cuts.</w:t>
      </w:r>
    </w:p>
    <w:p w14:paraId="7EE99D13" w14:textId="2F78610F" w:rsidR="009271FF" w:rsidRPr="009271FF" w:rsidRDefault="009271FF" w:rsidP="009271FF">
      <w:pPr>
        <w:spacing w:line="480" w:lineRule="auto"/>
        <w:rPr>
          <w:rFonts w:ascii="Arial" w:hAnsi="Arial" w:cs="Arial"/>
        </w:rPr>
      </w:pPr>
      <w:r w:rsidRPr="009271FF">
        <w:rPr>
          <w:rFonts w:ascii="Arial" w:hAnsi="Arial" w:cs="Arial"/>
        </w:rPr>
        <w:t>Technology involves additional threats. Although digitali</w:t>
      </w:r>
      <w:r>
        <w:rPr>
          <w:rFonts w:ascii="Arial" w:hAnsi="Arial" w:cs="Arial"/>
        </w:rPr>
        <w:t>s</w:t>
      </w:r>
      <w:r w:rsidRPr="009271FF">
        <w:rPr>
          <w:rFonts w:ascii="Arial" w:hAnsi="Arial" w:cs="Arial"/>
        </w:rPr>
        <w:t>ation can improve access to the market, investment in software, cybersecurity and training is needed in the process. Smaller businesses may not have this capacity. Moreover, digital models can eliminate the beneficiaries who have no access to the Internet or lack digital skills, which means that if technology development is not regulated in an inclusive manner, inequality increases.</w:t>
      </w:r>
    </w:p>
    <w:p w14:paraId="0BA8B432" w14:textId="77777777" w:rsidR="009271FF" w:rsidRPr="009271FF" w:rsidRDefault="009271FF" w:rsidP="009271FF">
      <w:pPr>
        <w:spacing w:line="480" w:lineRule="auto"/>
        <w:rPr>
          <w:rFonts w:ascii="Arial" w:hAnsi="Arial" w:cs="Arial"/>
          <w:b/>
          <w:bCs/>
        </w:rPr>
      </w:pPr>
      <w:r w:rsidRPr="009271FF">
        <w:rPr>
          <w:rFonts w:ascii="Arial" w:hAnsi="Arial" w:cs="Arial"/>
          <w:b/>
          <w:bCs/>
        </w:rPr>
        <w:t xml:space="preserve">Conclusion </w:t>
      </w:r>
    </w:p>
    <w:p w14:paraId="02CCF327" w14:textId="73454D4A" w:rsidR="00325E28" w:rsidRDefault="009271FF" w:rsidP="009271FF">
      <w:pPr>
        <w:spacing w:line="480" w:lineRule="auto"/>
        <w:rPr>
          <w:rFonts w:ascii="Arial" w:hAnsi="Arial" w:cs="Arial"/>
        </w:rPr>
      </w:pPr>
      <w:r w:rsidRPr="009271FF">
        <w:rPr>
          <w:rFonts w:ascii="Arial" w:hAnsi="Arial" w:cs="Arial"/>
        </w:rPr>
        <w:t>The SWOT analysis demonstrates that social enterprises possess strong strengths, such as mission-driven innovation, stakeholder trust, knowledge about the community and the possibility of combining earning profits with social welfare. At the same time, they have weaknesses that include limited resources, lack of measurement of impact, and contradictions between commercial and social values. Opportunities are emerging through sustainability, digital technologies, supportive ecosystems and increasing interest in socially responsible consumption. However, a recession, competition with established businesses, insecure funding, and digital inequalities remain key threats.</w:t>
      </w:r>
    </w:p>
    <w:p w14:paraId="555FFA9D" w14:textId="77777777" w:rsidR="000E73B6" w:rsidRDefault="000E73B6" w:rsidP="009271FF">
      <w:pPr>
        <w:spacing w:line="480" w:lineRule="auto"/>
        <w:rPr>
          <w:rFonts w:ascii="Arial" w:hAnsi="Arial" w:cs="Arial"/>
        </w:rPr>
      </w:pPr>
    </w:p>
    <w:p w14:paraId="19AD2404" w14:textId="2CEB2E67" w:rsidR="009271FF" w:rsidRPr="000E73B6" w:rsidRDefault="009271FF" w:rsidP="009271FF">
      <w:pPr>
        <w:spacing w:line="480" w:lineRule="auto"/>
        <w:rPr>
          <w:rFonts w:ascii="Arial" w:hAnsi="Arial" w:cs="Arial"/>
          <w:b/>
          <w:bCs/>
        </w:rPr>
      </w:pPr>
      <w:r w:rsidRPr="000E73B6">
        <w:rPr>
          <w:rFonts w:ascii="Arial" w:hAnsi="Arial" w:cs="Arial"/>
          <w:b/>
          <w:bCs/>
        </w:rPr>
        <w:lastRenderedPageBreak/>
        <w:t>References</w:t>
      </w:r>
    </w:p>
    <w:p w14:paraId="5F6DF86D" w14:textId="77777777" w:rsidR="000E73B6" w:rsidRPr="000E73B6" w:rsidRDefault="000E73B6" w:rsidP="000E73B6">
      <w:pPr>
        <w:spacing w:line="480" w:lineRule="auto"/>
        <w:ind w:left="720" w:hanging="720"/>
        <w:rPr>
          <w:rFonts w:ascii="Arial" w:hAnsi="Arial" w:cs="Arial"/>
        </w:rPr>
      </w:pPr>
      <w:proofErr w:type="spellStart"/>
      <w:r w:rsidRPr="000E73B6">
        <w:rPr>
          <w:rFonts w:ascii="Arial" w:hAnsi="Arial" w:cs="Arial"/>
          <w:lang w:val="fi-FI"/>
        </w:rPr>
        <w:t>Abidin</w:t>
      </w:r>
      <w:proofErr w:type="spellEnd"/>
      <w:r w:rsidRPr="000E73B6">
        <w:rPr>
          <w:rFonts w:ascii="Arial" w:hAnsi="Arial" w:cs="Arial"/>
          <w:lang w:val="fi-FI"/>
        </w:rPr>
        <w:t xml:space="preserve">, Z., </w:t>
      </w:r>
      <w:proofErr w:type="spellStart"/>
      <w:r w:rsidRPr="000E73B6">
        <w:rPr>
          <w:rFonts w:ascii="Arial" w:hAnsi="Arial" w:cs="Arial"/>
          <w:lang w:val="fi-FI"/>
        </w:rPr>
        <w:t>Jalal</w:t>
      </w:r>
      <w:proofErr w:type="spellEnd"/>
      <w:r w:rsidRPr="000E73B6">
        <w:rPr>
          <w:rFonts w:ascii="Arial" w:hAnsi="Arial" w:cs="Arial"/>
          <w:lang w:val="fi-FI"/>
        </w:rPr>
        <w:t xml:space="preserve">, J., &amp; </w:t>
      </w:r>
      <w:proofErr w:type="spellStart"/>
      <w:r w:rsidRPr="000E73B6">
        <w:rPr>
          <w:rFonts w:ascii="Arial" w:hAnsi="Arial" w:cs="Arial"/>
          <w:lang w:val="fi-FI"/>
        </w:rPr>
        <w:t>Sodiq</w:t>
      </w:r>
      <w:proofErr w:type="spellEnd"/>
      <w:r w:rsidRPr="000E73B6">
        <w:rPr>
          <w:rFonts w:ascii="Arial" w:hAnsi="Arial" w:cs="Arial"/>
          <w:lang w:val="fi-FI"/>
        </w:rPr>
        <w:t xml:space="preserve">, A. (2025). </w:t>
      </w:r>
      <w:r w:rsidRPr="000E73B6">
        <w:rPr>
          <w:rFonts w:ascii="Arial" w:hAnsi="Arial" w:cs="Arial"/>
        </w:rPr>
        <w:t xml:space="preserve">The five tiers of corporate social responsibility (CSR): From risk management to social business. </w:t>
      </w:r>
      <w:r w:rsidRPr="000E73B6">
        <w:rPr>
          <w:rFonts w:ascii="Arial" w:hAnsi="Arial" w:cs="Arial"/>
          <w:i/>
          <w:iCs/>
        </w:rPr>
        <w:t>Social Responsibility Journal, 21</w:t>
      </w:r>
      <w:r w:rsidRPr="000E73B6">
        <w:rPr>
          <w:rFonts w:ascii="Arial" w:hAnsi="Arial" w:cs="Arial"/>
        </w:rPr>
        <w:t>(5), 940–961.</w:t>
      </w:r>
    </w:p>
    <w:p w14:paraId="738B1288" w14:textId="77777777" w:rsidR="000E73B6" w:rsidRPr="000E73B6" w:rsidRDefault="000E73B6" w:rsidP="000E73B6">
      <w:pPr>
        <w:spacing w:line="480" w:lineRule="auto"/>
        <w:ind w:left="720" w:hanging="720"/>
        <w:rPr>
          <w:rFonts w:ascii="Arial" w:hAnsi="Arial" w:cs="Arial"/>
        </w:rPr>
      </w:pPr>
      <w:r w:rsidRPr="000E73B6">
        <w:rPr>
          <w:rFonts w:ascii="Arial" w:hAnsi="Arial" w:cs="Arial"/>
        </w:rPr>
        <w:t xml:space="preserve">Diaz-Sarachaga, J. M., &amp; Ariza-Montes, A. (2022). The role of social entrepreneurship in the attainment of sustainable development goals. </w:t>
      </w:r>
      <w:r w:rsidRPr="000E73B6">
        <w:rPr>
          <w:rFonts w:ascii="Arial" w:hAnsi="Arial" w:cs="Arial"/>
          <w:i/>
          <w:iCs/>
        </w:rPr>
        <w:t>Journal of Business Research,</w:t>
      </w:r>
      <w:r w:rsidRPr="000E73B6">
        <w:rPr>
          <w:rFonts w:ascii="Arial" w:hAnsi="Arial" w:cs="Arial"/>
        </w:rPr>
        <w:t xml:space="preserve"> 152, 242–250.</w:t>
      </w:r>
    </w:p>
    <w:p w14:paraId="3BD540A0" w14:textId="77777777" w:rsidR="000E73B6" w:rsidRPr="000E73B6" w:rsidRDefault="000E73B6" w:rsidP="000E73B6">
      <w:pPr>
        <w:spacing w:line="480" w:lineRule="auto"/>
        <w:ind w:left="720" w:hanging="720"/>
        <w:rPr>
          <w:rFonts w:ascii="Arial" w:hAnsi="Arial" w:cs="Arial"/>
          <w:lang w:val="fr-FR"/>
        </w:rPr>
      </w:pPr>
      <w:r w:rsidRPr="000E73B6">
        <w:rPr>
          <w:rFonts w:ascii="Arial" w:hAnsi="Arial" w:cs="Arial"/>
        </w:rPr>
        <w:t xml:space="preserve">Fauzi, M. A., Muhamad Tamyez, P. F., &amp; Kumar, S. (2025). Social entrepreneurship and social innovation in ASEAN: Past, present, and future trends. </w:t>
      </w:r>
      <w:r w:rsidRPr="000E73B6">
        <w:rPr>
          <w:rFonts w:ascii="Arial" w:hAnsi="Arial" w:cs="Arial"/>
          <w:i/>
          <w:iCs/>
          <w:lang w:val="fr-FR"/>
        </w:rPr>
        <w:t xml:space="preserve">Journal of Social </w:t>
      </w:r>
      <w:proofErr w:type="spellStart"/>
      <w:r w:rsidRPr="000E73B6">
        <w:rPr>
          <w:rFonts w:ascii="Arial" w:hAnsi="Arial" w:cs="Arial"/>
          <w:i/>
          <w:iCs/>
          <w:lang w:val="fr-FR"/>
        </w:rPr>
        <w:t>Entrepreneurship</w:t>
      </w:r>
      <w:proofErr w:type="spellEnd"/>
      <w:r w:rsidRPr="000E73B6">
        <w:rPr>
          <w:rFonts w:ascii="Arial" w:hAnsi="Arial" w:cs="Arial"/>
          <w:i/>
          <w:iCs/>
          <w:lang w:val="fr-FR"/>
        </w:rPr>
        <w:t>, 16</w:t>
      </w:r>
      <w:r w:rsidRPr="000E73B6">
        <w:rPr>
          <w:rFonts w:ascii="Arial" w:hAnsi="Arial" w:cs="Arial"/>
          <w:lang w:val="fr-FR"/>
        </w:rPr>
        <w:t>(1), 146–168.</w:t>
      </w:r>
    </w:p>
    <w:p w14:paraId="191DE1B5" w14:textId="77777777" w:rsidR="000E73B6" w:rsidRPr="000E73B6" w:rsidRDefault="000E73B6" w:rsidP="000E73B6">
      <w:pPr>
        <w:spacing w:line="480" w:lineRule="auto"/>
        <w:ind w:left="720" w:hanging="720"/>
        <w:rPr>
          <w:rFonts w:ascii="Arial" w:hAnsi="Arial" w:cs="Arial"/>
        </w:rPr>
      </w:pPr>
      <w:r w:rsidRPr="000E73B6">
        <w:rPr>
          <w:rFonts w:ascii="Arial" w:hAnsi="Arial" w:cs="Arial"/>
          <w:lang w:val="pt-PT"/>
        </w:rPr>
        <w:t xml:space="preserve">Fernandes, C., Pires, R., &amp; Gaspar Alves, M. C. (2022). </w:t>
      </w:r>
      <w:r w:rsidRPr="000E73B6">
        <w:rPr>
          <w:rFonts w:ascii="Arial" w:hAnsi="Arial" w:cs="Arial"/>
        </w:rPr>
        <w:t xml:space="preserve">Digital entrepreneurship and sustainability: The state of the art and research agenda. </w:t>
      </w:r>
      <w:r w:rsidRPr="000E73B6">
        <w:rPr>
          <w:rFonts w:ascii="Arial" w:hAnsi="Arial" w:cs="Arial"/>
          <w:i/>
          <w:iCs/>
        </w:rPr>
        <w:t>Economies, 11</w:t>
      </w:r>
      <w:r w:rsidRPr="000E73B6">
        <w:rPr>
          <w:rFonts w:ascii="Arial" w:hAnsi="Arial" w:cs="Arial"/>
        </w:rPr>
        <w:t>(1), Article 3.</w:t>
      </w:r>
    </w:p>
    <w:p w14:paraId="0AB69EFC" w14:textId="16CF1936" w:rsidR="000E73B6" w:rsidRPr="000E73B6" w:rsidRDefault="000E73B6" w:rsidP="000E73B6">
      <w:pPr>
        <w:spacing w:line="480" w:lineRule="auto"/>
        <w:ind w:left="720" w:hanging="720"/>
        <w:rPr>
          <w:rFonts w:ascii="Arial" w:hAnsi="Arial" w:cs="Arial"/>
        </w:rPr>
      </w:pPr>
      <w:proofErr w:type="spellStart"/>
      <w:r w:rsidRPr="000E73B6">
        <w:rPr>
          <w:rFonts w:ascii="Arial" w:hAnsi="Arial" w:cs="Arial"/>
        </w:rPr>
        <w:t>Hagedoorn</w:t>
      </w:r>
      <w:proofErr w:type="spellEnd"/>
      <w:r w:rsidRPr="000E73B6">
        <w:rPr>
          <w:rFonts w:ascii="Arial" w:hAnsi="Arial" w:cs="Arial"/>
        </w:rPr>
        <w:t>, J., Haugh, H., Robson, P., &amp; Sugar, K. (2023). Social innovation, goal orientation, and openness: Insights from social enterprise hybrids. (1), 173–198.</w:t>
      </w:r>
    </w:p>
    <w:p w14:paraId="19BE6DB7" w14:textId="77777777" w:rsidR="000E73B6" w:rsidRPr="000E73B6" w:rsidRDefault="000E73B6" w:rsidP="000E73B6">
      <w:pPr>
        <w:spacing w:line="480" w:lineRule="auto"/>
        <w:ind w:left="720" w:hanging="720"/>
        <w:rPr>
          <w:rFonts w:ascii="Arial" w:hAnsi="Arial" w:cs="Arial"/>
        </w:rPr>
      </w:pPr>
      <w:r w:rsidRPr="000E73B6">
        <w:rPr>
          <w:rFonts w:ascii="Arial" w:hAnsi="Arial" w:cs="Arial"/>
        </w:rPr>
        <w:t xml:space="preserve">Kamaludin, M. F. (2023). Social sustainability within social entrepreneurship. </w:t>
      </w:r>
      <w:r w:rsidRPr="000E73B6">
        <w:rPr>
          <w:rFonts w:ascii="Arial" w:hAnsi="Arial" w:cs="Arial"/>
          <w:i/>
          <w:iCs/>
        </w:rPr>
        <w:t>Technological Forecasting and Social Change</w:t>
      </w:r>
      <w:r w:rsidRPr="000E73B6">
        <w:rPr>
          <w:rFonts w:ascii="Arial" w:hAnsi="Arial" w:cs="Arial"/>
        </w:rPr>
        <w:t>, 192, Article 122541.</w:t>
      </w:r>
    </w:p>
    <w:p w14:paraId="0DDF9ABB" w14:textId="31E9EC54" w:rsidR="000E73B6" w:rsidRPr="000E73B6" w:rsidRDefault="000E73B6" w:rsidP="000E73B6">
      <w:pPr>
        <w:spacing w:line="480" w:lineRule="auto"/>
        <w:ind w:left="720" w:hanging="720"/>
        <w:rPr>
          <w:rFonts w:ascii="Arial" w:hAnsi="Arial" w:cs="Arial"/>
        </w:rPr>
      </w:pPr>
      <w:proofErr w:type="spellStart"/>
      <w:r w:rsidRPr="000E73B6">
        <w:rPr>
          <w:rFonts w:ascii="Arial" w:hAnsi="Arial" w:cs="Arial"/>
        </w:rPr>
        <w:t>Karadzhov</w:t>
      </w:r>
      <w:proofErr w:type="spellEnd"/>
      <w:r w:rsidRPr="000E73B6">
        <w:rPr>
          <w:rFonts w:ascii="Arial" w:hAnsi="Arial" w:cs="Arial"/>
        </w:rPr>
        <w:t xml:space="preserve">, V. (2025). How to create the best SWOT analysis. </w:t>
      </w:r>
      <w:r w:rsidRPr="000E73B6">
        <w:rPr>
          <w:rFonts w:ascii="Arial" w:hAnsi="Arial" w:cs="Arial"/>
          <w:i/>
          <w:iCs/>
        </w:rPr>
        <w:t>International Journal of Research and Review, 12</w:t>
      </w:r>
      <w:r w:rsidRPr="000E73B6">
        <w:rPr>
          <w:rFonts w:ascii="Arial" w:hAnsi="Arial" w:cs="Arial"/>
        </w:rPr>
        <w:t>(1), 66–75.</w:t>
      </w:r>
    </w:p>
    <w:p w14:paraId="24042ED2" w14:textId="77777777" w:rsidR="000E73B6" w:rsidRDefault="000E73B6" w:rsidP="000E73B6">
      <w:pPr>
        <w:spacing w:line="480" w:lineRule="auto"/>
        <w:ind w:left="720" w:hanging="720"/>
        <w:rPr>
          <w:rFonts w:ascii="Arial" w:hAnsi="Arial" w:cs="Arial"/>
        </w:rPr>
      </w:pPr>
      <w:r w:rsidRPr="000E73B6">
        <w:rPr>
          <w:rFonts w:ascii="Arial" w:hAnsi="Arial" w:cs="Arial"/>
        </w:rPr>
        <w:lastRenderedPageBreak/>
        <w:t xml:space="preserve">Kolodinsky, R. W., Ritchie, W. J., &amp; </w:t>
      </w:r>
      <w:proofErr w:type="spellStart"/>
      <w:r w:rsidRPr="000E73B6">
        <w:rPr>
          <w:rFonts w:ascii="Arial" w:hAnsi="Arial" w:cs="Arial"/>
        </w:rPr>
        <w:t>Capar</w:t>
      </w:r>
      <w:proofErr w:type="spellEnd"/>
      <w:r w:rsidRPr="000E73B6">
        <w:rPr>
          <w:rFonts w:ascii="Arial" w:hAnsi="Arial" w:cs="Arial"/>
        </w:rPr>
        <w:t xml:space="preserve">, N. (2022). Social enterprise legitimacy: Application of accountability mechanisms as a multi-institutional context strategy. </w:t>
      </w:r>
      <w:r w:rsidRPr="000E73B6">
        <w:rPr>
          <w:rFonts w:ascii="Arial" w:hAnsi="Arial" w:cs="Arial"/>
          <w:i/>
          <w:iCs/>
        </w:rPr>
        <w:t>Journal of Public and Nonprofit Affairs, 8</w:t>
      </w:r>
      <w:r w:rsidRPr="000E73B6">
        <w:rPr>
          <w:rFonts w:ascii="Arial" w:hAnsi="Arial" w:cs="Arial"/>
        </w:rPr>
        <w:t>(2), 195–216.</w:t>
      </w:r>
    </w:p>
    <w:p w14:paraId="46082184" w14:textId="31B9126A" w:rsidR="000E73B6" w:rsidRPr="000E73B6" w:rsidRDefault="000E73B6" w:rsidP="000E73B6">
      <w:pPr>
        <w:spacing w:line="480" w:lineRule="auto"/>
        <w:ind w:left="720" w:hanging="720"/>
        <w:rPr>
          <w:rFonts w:ascii="Arial" w:hAnsi="Arial" w:cs="Arial"/>
        </w:rPr>
      </w:pPr>
      <w:r w:rsidRPr="000E73B6">
        <w:rPr>
          <w:rFonts w:ascii="Arial" w:hAnsi="Arial" w:cs="Arial"/>
          <w:lang w:val="it-IT"/>
        </w:rPr>
        <w:t xml:space="preserve">Plata, G., Scott, S., &amp; Aparicio, S. (2026). </w:t>
      </w:r>
      <w:r w:rsidRPr="000E73B6">
        <w:rPr>
          <w:rFonts w:ascii="Arial" w:hAnsi="Arial" w:cs="Arial"/>
        </w:rPr>
        <w:t xml:space="preserve">Fostering an environment for social entrepreneurship: A comparative analysis across economic development levels. </w:t>
      </w:r>
      <w:r w:rsidRPr="000E73B6">
        <w:rPr>
          <w:rFonts w:ascii="Arial" w:hAnsi="Arial" w:cs="Arial"/>
          <w:i/>
          <w:iCs/>
        </w:rPr>
        <w:t>Review of Managerial Science, 20</w:t>
      </w:r>
      <w:r w:rsidRPr="000E73B6">
        <w:rPr>
          <w:rFonts w:ascii="Arial" w:hAnsi="Arial" w:cs="Arial"/>
        </w:rPr>
        <w:t>(1), 135–168.</w:t>
      </w:r>
    </w:p>
    <w:p w14:paraId="54F0D9E7" w14:textId="6C2306F7" w:rsidR="009271FF" w:rsidRPr="009271FF" w:rsidRDefault="000E73B6" w:rsidP="000E73B6">
      <w:pPr>
        <w:spacing w:line="480" w:lineRule="auto"/>
        <w:ind w:left="720" w:hanging="720"/>
        <w:rPr>
          <w:rFonts w:ascii="Arial" w:hAnsi="Arial" w:cs="Arial"/>
        </w:rPr>
      </w:pPr>
      <w:r w:rsidRPr="000E73B6">
        <w:rPr>
          <w:rFonts w:ascii="Arial" w:hAnsi="Arial" w:cs="Arial"/>
        </w:rPr>
        <w:t xml:space="preserve">Ramadani, V., Agarwal, S., Caputo, A., Agrawal, V., &amp; Dixit, J. K. (2022). Sustainable competencies of social entrepreneurship for sustainable development: Exploratory analysis from a developing economy. </w:t>
      </w:r>
      <w:r w:rsidRPr="000E73B6">
        <w:rPr>
          <w:rFonts w:ascii="Arial" w:hAnsi="Arial" w:cs="Arial"/>
          <w:i/>
          <w:iCs/>
        </w:rPr>
        <w:t>Business Strategy and the Environment, 31</w:t>
      </w:r>
      <w:r w:rsidRPr="000E73B6">
        <w:rPr>
          <w:rFonts w:ascii="Arial" w:hAnsi="Arial" w:cs="Arial"/>
        </w:rPr>
        <w:t>(7), 3437–3453.</w:t>
      </w:r>
    </w:p>
    <w:sectPr w:rsidR="009271FF" w:rsidRPr="009271FF" w:rsidSect="000E73B6">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D9C2C" w14:textId="77777777" w:rsidR="00B16577" w:rsidRDefault="00B16577" w:rsidP="000E73B6">
      <w:pPr>
        <w:spacing w:after="0" w:line="240" w:lineRule="auto"/>
      </w:pPr>
      <w:r>
        <w:separator/>
      </w:r>
    </w:p>
  </w:endnote>
  <w:endnote w:type="continuationSeparator" w:id="0">
    <w:p w14:paraId="2B92BC0F" w14:textId="77777777" w:rsidR="00B16577" w:rsidRDefault="00B16577" w:rsidP="000E7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023699"/>
      <w:docPartObj>
        <w:docPartGallery w:val="Page Numbers (Bottom of Page)"/>
        <w:docPartUnique/>
      </w:docPartObj>
    </w:sdtPr>
    <w:sdtEndPr>
      <w:rPr>
        <w:noProof/>
      </w:rPr>
    </w:sdtEndPr>
    <w:sdtContent>
      <w:p w14:paraId="07628FCC" w14:textId="28AC918B" w:rsidR="000E73B6" w:rsidRDefault="000E73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CCD2D9" w14:textId="77777777" w:rsidR="000E73B6" w:rsidRDefault="000E7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E782B" w14:textId="77777777" w:rsidR="00B16577" w:rsidRDefault="00B16577" w:rsidP="000E73B6">
      <w:pPr>
        <w:spacing w:after="0" w:line="240" w:lineRule="auto"/>
      </w:pPr>
      <w:r>
        <w:separator/>
      </w:r>
    </w:p>
  </w:footnote>
  <w:footnote w:type="continuationSeparator" w:id="0">
    <w:p w14:paraId="26E7CF31" w14:textId="77777777" w:rsidR="00B16577" w:rsidRDefault="00B16577" w:rsidP="000E73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1FF"/>
    <w:rsid w:val="000E73B6"/>
    <w:rsid w:val="001057C2"/>
    <w:rsid w:val="00325E28"/>
    <w:rsid w:val="00593B91"/>
    <w:rsid w:val="009271FF"/>
    <w:rsid w:val="00B16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14005"/>
  <w15:chartTrackingRefBased/>
  <w15:docId w15:val="{88B57CC6-04F0-43E7-AB4E-74C734DF9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1FF"/>
    <w:rPr>
      <w:rFonts w:eastAsiaTheme="majorEastAsia" w:cstheme="majorBidi"/>
      <w:color w:val="272727" w:themeColor="text1" w:themeTint="D8"/>
    </w:rPr>
  </w:style>
  <w:style w:type="paragraph" w:styleId="Title">
    <w:name w:val="Title"/>
    <w:basedOn w:val="Normal"/>
    <w:next w:val="Normal"/>
    <w:link w:val="TitleChar"/>
    <w:uiPriority w:val="10"/>
    <w:qFormat/>
    <w:rsid w:val="00927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1FF"/>
    <w:pPr>
      <w:spacing w:before="160"/>
      <w:jc w:val="center"/>
    </w:pPr>
    <w:rPr>
      <w:i/>
      <w:iCs/>
      <w:color w:val="404040" w:themeColor="text1" w:themeTint="BF"/>
    </w:rPr>
  </w:style>
  <w:style w:type="character" w:customStyle="1" w:styleId="QuoteChar">
    <w:name w:val="Quote Char"/>
    <w:basedOn w:val="DefaultParagraphFont"/>
    <w:link w:val="Quote"/>
    <w:uiPriority w:val="29"/>
    <w:rsid w:val="009271FF"/>
    <w:rPr>
      <w:i/>
      <w:iCs/>
      <w:color w:val="404040" w:themeColor="text1" w:themeTint="BF"/>
    </w:rPr>
  </w:style>
  <w:style w:type="paragraph" w:styleId="ListParagraph">
    <w:name w:val="List Paragraph"/>
    <w:basedOn w:val="Normal"/>
    <w:uiPriority w:val="34"/>
    <w:qFormat/>
    <w:rsid w:val="009271FF"/>
    <w:pPr>
      <w:ind w:left="720"/>
      <w:contextualSpacing/>
    </w:pPr>
  </w:style>
  <w:style w:type="character" w:styleId="IntenseEmphasis">
    <w:name w:val="Intense Emphasis"/>
    <w:basedOn w:val="DefaultParagraphFont"/>
    <w:uiPriority w:val="21"/>
    <w:qFormat/>
    <w:rsid w:val="009271FF"/>
    <w:rPr>
      <w:i/>
      <w:iCs/>
      <w:color w:val="0F4761" w:themeColor="accent1" w:themeShade="BF"/>
    </w:rPr>
  </w:style>
  <w:style w:type="paragraph" w:styleId="IntenseQuote">
    <w:name w:val="Intense Quote"/>
    <w:basedOn w:val="Normal"/>
    <w:next w:val="Normal"/>
    <w:link w:val="IntenseQuoteChar"/>
    <w:uiPriority w:val="30"/>
    <w:qFormat/>
    <w:rsid w:val="00927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1FF"/>
    <w:rPr>
      <w:i/>
      <w:iCs/>
      <w:color w:val="0F4761" w:themeColor="accent1" w:themeShade="BF"/>
    </w:rPr>
  </w:style>
  <w:style w:type="character" w:styleId="IntenseReference">
    <w:name w:val="Intense Reference"/>
    <w:basedOn w:val="DefaultParagraphFont"/>
    <w:uiPriority w:val="32"/>
    <w:qFormat/>
    <w:rsid w:val="009271FF"/>
    <w:rPr>
      <w:b/>
      <w:bCs/>
      <w:smallCaps/>
      <w:color w:val="0F4761" w:themeColor="accent1" w:themeShade="BF"/>
      <w:spacing w:val="5"/>
    </w:rPr>
  </w:style>
  <w:style w:type="paragraph" w:styleId="Header">
    <w:name w:val="header"/>
    <w:basedOn w:val="Normal"/>
    <w:link w:val="HeaderChar"/>
    <w:uiPriority w:val="99"/>
    <w:unhideWhenUsed/>
    <w:rsid w:val="000E73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3B6"/>
  </w:style>
  <w:style w:type="paragraph" w:styleId="Footer">
    <w:name w:val="footer"/>
    <w:basedOn w:val="Normal"/>
    <w:link w:val="FooterChar"/>
    <w:uiPriority w:val="99"/>
    <w:unhideWhenUsed/>
    <w:rsid w:val="000E7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3B6"/>
  </w:style>
  <w:style w:type="paragraph" w:styleId="NoSpacing">
    <w:name w:val="No Spacing"/>
    <w:link w:val="NoSpacingChar"/>
    <w:uiPriority w:val="1"/>
    <w:qFormat/>
    <w:rsid w:val="000E73B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E73B6"/>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24B9D2191B4BEDA7BF9BB338A04651"/>
        <w:category>
          <w:name w:val="General"/>
          <w:gallery w:val="placeholder"/>
        </w:category>
        <w:types>
          <w:type w:val="bbPlcHdr"/>
        </w:types>
        <w:behaviors>
          <w:behavior w:val="content"/>
        </w:behaviors>
        <w:guid w:val="{622CE91A-5B01-4593-ADF3-581F00CABC93}"/>
      </w:docPartPr>
      <w:docPartBody>
        <w:p w:rsidR="00000000" w:rsidRDefault="00C11B34" w:rsidP="00C11B34">
          <w:pPr>
            <w:pStyle w:val="0F24B9D2191B4BEDA7BF9BB338A04651"/>
          </w:pPr>
          <w:r>
            <w:rPr>
              <w:rFonts w:asciiTheme="majorHAnsi" w:eastAsiaTheme="majorEastAsia" w:hAnsiTheme="majorHAnsi" w:cstheme="majorBidi"/>
              <w:color w:val="156082" w:themeColor="accent1"/>
              <w:sz w:val="88"/>
              <w:szCs w:val="88"/>
            </w:rPr>
            <w:t>[Document title]</w:t>
          </w:r>
        </w:p>
      </w:docPartBody>
    </w:docPart>
    <w:docPart>
      <w:docPartPr>
        <w:name w:val="FCC283FC011C479892E028C5820C61A5"/>
        <w:category>
          <w:name w:val="General"/>
          <w:gallery w:val="placeholder"/>
        </w:category>
        <w:types>
          <w:type w:val="bbPlcHdr"/>
        </w:types>
        <w:behaviors>
          <w:behavior w:val="content"/>
        </w:behaviors>
        <w:guid w:val="{9F5B2446-C857-4293-BA93-66CDAF3CC286}"/>
      </w:docPartPr>
      <w:docPartBody>
        <w:p w:rsidR="00000000" w:rsidRDefault="00C11B34" w:rsidP="00C11B34">
          <w:pPr>
            <w:pStyle w:val="FCC283FC011C479892E028C5820C61A5"/>
          </w:pPr>
          <w:r>
            <w:rPr>
              <w:color w:val="156082" w:themeColor="accent1"/>
              <w:sz w:val="28"/>
              <w:szCs w:val="28"/>
            </w:rPr>
            <w:t>[Author name]</w:t>
          </w:r>
        </w:p>
      </w:docPartBody>
    </w:docPart>
    <w:docPart>
      <w:docPartPr>
        <w:name w:val="C48E28F143FE4DA689F8A126127F421B"/>
        <w:category>
          <w:name w:val="General"/>
          <w:gallery w:val="placeholder"/>
        </w:category>
        <w:types>
          <w:type w:val="bbPlcHdr"/>
        </w:types>
        <w:behaviors>
          <w:behavior w:val="content"/>
        </w:behaviors>
        <w:guid w:val="{44252DD6-20D9-42FB-8CF8-3AD4AD8D38D7}"/>
      </w:docPartPr>
      <w:docPartBody>
        <w:p w:rsidR="00000000" w:rsidRDefault="00C11B34" w:rsidP="00C11B34">
          <w:pPr>
            <w:pStyle w:val="C48E28F143FE4DA689F8A126127F421B"/>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B34"/>
    <w:rsid w:val="00593B91"/>
    <w:rsid w:val="0085487C"/>
    <w:rsid w:val="00C11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FAD385E1EA4FEFA930983ED4A797F7">
    <w:name w:val="BFFAD385E1EA4FEFA930983ED4A797F7"/>
    <w:rsid w:val="00C11B34"/>
  </w:style>
  <w:style w:type="paragraph" w:customStyle="1" w:styleId="0F24B9D2191B4BEDA7BF9BB338A04651">
    <w:name w:val="0F24B9D2191B4BEDA7BF9BB338A04651"/>
    <w:rsid w:val="00C11B34"/>
  </w:style>
  <w:style w:type="paragraph" w:customStyle="1" w:styleId="456807AC034647EBABD8C7C2FB5EDBCF">
    <w:name w:val="456807AC034647EBABD8C7C2FB5EDBCF"/>
    <w:rsid w:val="00C11B34"/>
  </w:style>
  <w:style w:type="paragraph" w:customStyle="1" w:styleId="FCC283FC011C479892E028C5820C61A5">
    <w:name w:val="FCC283FC011C479892E028C5820C61A5"/>
    <w:rsid w:val="00C11B34"/>
  </w:style>
  <w:style w:type="paragraph" w:customStyle="1" w:styleId="C48E28F143FE4DA689F8A126127F421B">
    <w:name w:val="C48E28F143FE4DA689F8A126127F421B"/>
    <w:rsid w:val="00C11B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406E45-794A-4A4F-A3BC-9821F5D3D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
  <cp:keywords/>
  <dc:description/>
  <cp:revision>1</cp:revision>
  <dcterms:created xsi:type="dcterms:W3CDTF">2026-07-17T10:10:00Z</dcterms:created>
  <dcterms:modified xsi:type="dcterms:W3CDTF">2026-07-17T10:27:00Z</dcterms:modified>
</cp:coreProperties>
</file>