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B1413" w:rsidRDefault="00B92348">
      <w:pPr>
        <w:spacing w:line="360" w:lineRule="auto"/>
        <w:rPr>
          <w:color w:val="0E101A"/>
          <w:sz w:val="24"/>
          <w:szCs w:val="24"/>
        </w:rPr>
      </w:pPr>
      <w:r>
        <w:rPr>
          <w:color w:val="0E101A"/>
          <w:sz w:val="24"/>
          <w:szCs w:val="24"/>
        </w:rPr>
        <w:t>A new focus on well-being and resilience- 6008</w:t>
      </w:r>
    </w:p>
    <w:p w:rsidR="00885BEB" w:rsidRDefault="00885BEB">
      <w:pPr>
        <w:spacing w:line="360" w:lineRule="auto"/>
        <w:rPr>
          <w:color w:val="0E101A"/>
          <w:sz w:val="24"/>
          <w:szCs w:val="24"/>
        </w:rPr>
      </w:pPr>
      <w:r>
        <w:rPr>
          <w:color w:val="0E101A"/>
          <w:sz w:val="24"/>
          <w:szCs w:val="24"/>
        </w:rPr>
        <w:t>Student 2007938</w:t>
      </w:r>
    </w:p>
    <w:p w:rsidR="006B1413" w:rsidRDefault="006B1413">
      <w:pPr>
        <w:spacing w:line="360" w:lineRule="auto"/>
        <w:rPr>
          <w:color w:val="0E101A"/>
          <w:sz w:val="24"/>
          <w:szCs w:val="24"/>
        </w:rPr>
      </w:pPr>
    </w:p>
    <w:p w:rsidR="006B1413" w:rsidRDefault="00B92348">
      <w:pPr>
        <w:spacing w:line="360" w:lineRule="auto"/>
        <w:rPr>
          <w:b/>
          <w:color w:val="0E101A"/>
          <w:sz w:val="24"/>
          <w:szCs w:val="24"/>
        </w:rPr>
      </w:pPr>
      <w:r>
        <w:rPr>
          <w:b/>
          <w:color w:val="0E101A"/>
          <w:sz w:val="24"/>
          <w:szCs w:val="24"/>
        </w:rPr>
        <w:t>A critical evaluation and the identification of next teaching and learning steps focusing on a case study of an individual learner or a group of learners, based on an observed critical incident.</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Tripp defines a critical incident as an often mundane moment</w:t>
      </w:r>
      <w:r>
        <w:rPr>
          <w:color w:val="0E101A"/>
          <w:sz w:val="24"/>
          <w:szCs w:val="24"/>
        </w:rPr>
        <w:t xml:space="preserve"> that through analysis can inform teacher judgement and practice </w:t>
      </w:r>
      <w:hyperlink r:id="rId5">
        <w:r>
          <w:rPr>
            <w:color w:val="0E101A"/>
            <w:sz w:val="24"/>
            <w:szCs w:val="24"/>
          </w:rPr>
          <w:t>(David Tripp, 1993)</w:t>
        </w:r>
      </w:hyperlink>
      <w:r>
        <w:rPr>
          <w:color w:val="0E101A"/>
          <w:sz w:val="24"/>
          <w:szCs w:val="24"/>
        </w:rPr>
        <w:t xml:space="preserve">. Through reflection and research, this evaluation should reveal some of the hidden influences that shape the </w:t>
      </w:r>
      <w:r>
        <w:rPr>
          <w:color w:val="0E101A"/>
          <w:sz w:val="24"/>
          <w:szCs w:val="24"/>
        </w:rPr>
        <w:t xml:space="preserve">classroom to shape the observer's ongoing practice. This evaluation will </w:t>
      </w:r>
      <w:proofErr w:type="spellStart"/>
      <w:r>
        <w:rPr>
          <w:color w:val="0E101A"/>
          <w:sz w:val="24"/>
          <w:szCs w:val="24"/>
        </w:rPr>
        <w:t>centre</w:t>
      </w:r>
      <w:proofErr w:type="spellEnd"/>
      <w:r>
        <w:rPr>
          <w:color w:val="0E101A"/>
          <w:sz w:val="24"/>
          <w:szCs w:val="24"/>
        </w:rPr>
        <w:t xml:space="preserve"> around the practices around resilience in terms of pupil motivation and well-being. </w:t>
      </w:r>
    </w:p>
    <w:p w:rsidR="006B1413" w:rsidRDefault="00B92348">
      <w:pPr>
        <w:spacing w:line="360" w:lineRule="auto"/>
        <w:rPr>
          <w:color w:val="0E101A"/>
          <w:sz w:val="24"/>
          <w:szCs w:val="24"/>
        </w:rPr>
      </w:pPr>
      <w:r>
        <w:rPr>
          <w:color w:val="0E101A"/>
          <w:sz w:val="24"/>
          <w:szCs w:val="24"/>
        </w:rPr>
        <w:t xml:space="preserve">Banerjee explained the concept of resilience as </w:t>
      </w:r>
    </w:p>
    <w:p w:rsidR="006B1413" w:rsidRDefault="00B92348">
      <w:pPr>
        <w:spacing w:line="360" w:lineRule="auto"/>
        <w:jc w:val="center"/>
        <w:rPr>
          <w:i/>
          <w:color w:val="4A6EE0"/>
          <w:sz w:val="24"/>
          <w:szCs w:val="24"/>
          <w:u w:val="single"/>
        </w:rPr>
      </w:pPr>
      <w:r>
        <w:rPr>
          <w:i/>
          <w:color w:val="0E101A"/>
          <w:sz w:val="24"/>
          <w:szCs w:val="24"/>
        </w:rPr>
        <w:t>‘a key focus both in terms of academic fun</w:t>
      </w:r>
      <w:r>
        <w:rPr>
          <w:i/>
          <w:color w:val="0E101A"/>
          <w:sz w:val="24"/>
          <w:szCs w:val="24"/>
        </w:rPr>
        <w:t>ctioning (</w:t>
      </w:r>
      <w:proofErr w:type="spellStart"/>
      <w:r>
        <w:rPr>
          <w:i/>
          <w:color w:val="0E101A"/>
          <w:sz w:val="24"/>
          <w:szCs w:val="24"/>
        </w:rPr>
        <w:t>e.g</w:t>
      </w:r>
      <w:proofErr w:type="spellEnd"/>
      <w:r>
        <w:rPr>
          <w:i/>
          <w:color w:val="0E101A"/>
          <w:sz w:val="24"/>
          <w:szCs w:val="24"/>
        </w:rPr>
        <w:t xml:space="preserve"> coping with failure on a challenging task) and emotional health and well-being (e.g. finding a way through adversity)</w:t>
      </w:r>
      <w:hyperlink r:id="rId6">
        <w:r>
          <w:rPr>
            <w:i/>
            <w:color w:val="0E101A"/>
            <w:sz w:val="24"/>
            <w:szCs w:val="24"/>
          </w:rPr>
          <w:t>(Banerjee et al., 2016)</w:t>
        </w:r>
      </w:hyperlink>
    </w:p>
    <w:p w:rsidR="006B1413" w:rsidRDefault="00B92348">
      <w:pPr>
        <w:spacing w:line="360" w:lineRule="auto"/>
        <w:rPr>
          <w:color w:val="0E101A"/>
          <w:sz w:val="24"/>
          <w:szCs w:val="24"/>
        </w:rPr>
      </w:pPr>
      <w:r>
        <w:rPr>
          <w:color w:val="0E101A"/>
          <w:sz w:val="24"/>
          <w:szCs w:val="24"/>
        </w:rPr>
        <w:t xml:space="preserve">In the current </w:t>
      </w:r>
      <w:proofErr w:type="spellStart"/>
      <w:r>
        <w:rPr>
          <w:color w:val="0E101A"/>
          <w:sz w:val="24"/>
          <w:szCs w:val="24"/>
        </w:rPr>
        <w:t>Covid</w:t>
      </w:r>
      <w:proofErr w:type="spellEnd"/>
      <w:r>
        <w:rPr>
          <w:color w:val="0E101A"/>
          <w:sz w:val="24"/>
          <w:szCs w:val="24"/>
        </w:rPr>
        <w:t xml:space="preserve"> 19 crisis, there a</w:t>
      </w:r>
      <w:r>
        <w:rPr>
          <w:color w:val="0E101A"/>
          <w:sz w:val="24"/>
          <w:szCs w:val="24"/>
        </w:rPr>
        <w:t>re new challenges for learners' well-being and development. Even before the crisis National Assembly For Wales believed that ‘embedding well-being, emotional resilience and healthy coping mechanisms in the new curriculum is vital.’</w:t>
      </w:r>
      <w:hyperlink r:id="rId7">
        <w:r>
          <w:rPr>
            <w:sz w:val="24"/>
            <w:szCs w:val="24"/>
          </w:rPr>
          <w:t>(National Assembly for Wales, 2018)</w:t>
        </w:r>
      </w:hyperlink>
      <w:r>
        <w:rPr>
          <w:color w:val="0E101A"/>
          <w:sz w:val="24"/>
          <w:szCs w:val="24"/>
        </w:rPr>
        <w:t xml:space="preserve">. More recently Stark et al have recommended resilience as a means of supporting children through the rapid changes of the </w:t>
      </w:r>
      <w:proofErr w:type="spellStart"/>
      <w:r>
        <w:rPr>
          <w:color w:val="0E101A"/>
          <w:sz w:val="24"/>
          <w:szCs w:val="24"/>
        </w:rPr>
        <w:t>Covid</w:t>
      </w:r>
      <w:proofErr w:type="spellEnd"/>
      <w:r>
        <w:rPr>
          <w:color w:val="0E101A"/>
          <w:sz w:val="24"/>
          <w:szCs w:val="24"/>
        </w:rPr>
        <w:t xml:space="preserve"> crisis </w:t>
      </w:r>
      <w:hyperlink r:id="rId8">
        <w:r>
          <w:rPr>
            <w:sz w:val="24"/>
            <w:szCs w:val="24"/>
          </w:rPr>
          <w:t xml:space="preserve">(Stark </w:t>
        </w:r>
      </w:hyperlink>
      <w:hyperlink r:id="rId9">
        <w:r>
          <w:rPr>
            <w:i/>
            <w:sz w:val="24"/>
            <w:szCs w:val="24"/>
          </w:rPr>
          <w:t>et al.</w:t>
        </w:r>
      </w:hyperlink>
      <w:hyperlink r:id="rId10">
        <w:r>
          <w:rPr>
            <w:sz w:val="24"/>
            <w:szCs w:val="24"/>
          </w:rPr>
          <w:t>, 2020)</w:t>
        </w:r>
      </w:hyperlink>
      <w:r>
        <w:rPr>
          <w:color w:val="0E101A"/>
          <w:sz w:val="24"/>
          <w:szCs w:val="24"/>
        </w:rPr>
        <w:t xml:space="preserve">. This evaluation will consider how one incident reflects Welsh </w:t>
      </w:r>
      <w:proofErr w:type="spellStart"/>
      <w:r>
        <w:rPr>
          <w:color w:val="0E101A"/>
          <w:sz w:val="24"/>
          <w:szCs w:val="24"/>
        </w:rPr>
        <w:t>practises</w:t>
      </w:r>
      <w:proofErr w:type="spellEnd"/>
      <w:r>
        <w:rPr>
          <w:color w:val="0E101A"/>
          <w:sz w:val="24"/>
          <w:szCs w:val="24"/>
        </w:rPr>
        <w:t xml:space="preserve"> and the changes that wil</w:t>
      </w:r>
      <w:r>
        <w:rPr>
          <w:color w:val="0E101A"/>
          <w:sz w:val="24"/>
          <w:szCs w:val="24"/>
        </w:rPr>
        <w:t xml:space="preserve">l come with the new curriculum. </w:t>
      </w:r>
    </w:p>
    <w:p w:rsidR="006B1413" w:rsidRDefault="006B1413">
      <w:pPr>
        <w:spacing w:line="360" w:lineRule="auto"/>
        <w:rPr>
          <w:color w:val="0E101A"/>
          <w:sz w:val="24"/>
          <w:szCs w:val="24"/>
        </w:rPr>
      </w:pP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Observation School and Community</w:t>
      </w:r>
    </w:p>
    <w:p w:rsidR="006B1413" w:rsidRDefault="00B92348">
      <w:pPr>
        <w:spacing w:line="360" w:lineRule="auto"/>
        <w:rPr>
          <w:color w:val="0E101A"/>
          <w:sz w:val="24"/>
          <w:szCs w:val="24"/>
        </w:rPr>
      </w:pPr>
      <w:r>
        <w:rPr>
          <w:color w:val="0E101A"/>
          <w:sz w:val="24"/>
          <w:szCs w:val="24"/>
        </w:rPr>
        <w:t xml:space="preserve"> </w:t>
      </w:r>
    </w:p>
    <w:p w:rsidR="006B1413" w:rsidRDefault="00B92348">
      <w:pPr>
        <w:spacing w:line="360" w:lineRule="auto"/>
        <w:rPr>
          <w:color w:val="0E101A"/>
          <w:sz w:val="24"/>
          <w:szCs w:val="24"/>
        </w:rPr>
      </w:pPr>
      <w:r>
        <w:rPr>
          <w:color w:val="0E101A"/>
          <w:sz w:val="24"/>
          <w:szCs w:val="24"/>
        </w:rPr>
        <w:t xml:space="preserve">School X is a medium-sized community primary school for pupils aged three to eleven. In 2019 My Local School reported that an unusually high 24.7% students were eligible for free school </w:t>
      </w:r>
      <w:r>
        <w:rPr>
          <w:color w:val="0E101A"/>
          <w:sz w:val="24"/>
          <w:szCs w:val="24"/>
        </w:rPr>
        <w:t xml:space="preserve">meals(FSM) in the school </w:t>
      </w:r>
      <w:hyperlink r:id="rId11">
        <w:r>
          <w:rPr>
            <w:sz w:val="24"/>
            <w:szCs w:val="24"/>
          </w:rPr>
          <w:t>(</w:t>
        </w:r>
      </w:hyperlink>
      <w:hyperlink r:id="rId12">
        <w:r>
          <w:rPr>
            <w:i/>
            <w:sz w:val="24"/>
            <w:szCs w:val="24"/>
          </w:rPr>
          <w:t>My Local School report School X</w:t>
        </w:r>
      </w:hyperlink>
      <w:hyperlink r:id="rId13">
        <w:r>
          <w:rPr>
            <w:sz w:val="24"/>
            <w:szCs w:val="24"/>
          </w:rPr>
          <w:t xml:space="preserve">, </w:t>
        </w:r>
      </w:hyperlink>
      <w:hyperlink r:id="rId14">
        <w:r>
          <w:rPr>
            <w:sz w:val="24"/>
            <w:szCs w:val="24"/>
          </w:rPr>
          <w:t>2019</w:t>
        </w:r>
      </w:hyperlink>
      <w:hyperlink r:id="rId15">
        <w:r>
          <w:rPr>
            <w:sz w:val="24"/>
            <w:szCs w:val="24"/>
          </w:rPr>
          <w:t>)</w:t>
        </w:r>
      </w:hyperlink>
      <w:r>
        <w:rPr>
          <w:color w:val="0E101A"/>
          <w:sz w:val="24"/>
          <w:szCs w:val="24"/>
        </w:rPr>
        <w:t xml:space="preserve">. The school’s most recent </w:t>
      </w:r>
      <w:proofErr w:type="spellStart"/>
      <w:r>
        <w:rPr>
          <w:color w:val="0E101A"/>
          <w:sz w:val="24"/>
          <w:szCs w:val="24"/>
        </w:rPr>
        <w:t>Estyn</w:t>
      </w:r>
      <w:proofErr w:type="spellEnd"/>
      <w:r>
        <w:rPr>
          <w:color w:val="0E101A"/>
          <w:sz w:val="24"/>
          <w:szCs w:val="24"/>
        </w:rPr>
        <w:t xml:space="preserve"> report indicates that effective </w:t>
      </w:r>
      <w:r>
        <w:rPr>
          <w:color w:val="0E101A"/>
          <w:sz w:val="24"/>
          <w:szCs w:val="24"/>
        </w:rPr>
        <w:t xml:space="preserve">use of the pupil deprivation </w:t>
      </w:r>
      <w:r>
        <w:rPr>
          <w:color w:val="0E101A"/>
          <w:sz w:val="24"/>
          <w:szCs w:val="24"/>
        </w:rPr>
        <w:lastRenderedPageBreak/>
        <w:t>grant meant that leaders were successfully closing the gap between pupils eligible for free school meals and their peers by the time they left school</w:t>
      </w:r>
      <w:hyperlink r:id="rId16">
        <w:r>
          <w:rPr>
            <w:color w:val="1155CC"/>
            <w:sz w:val="24"/>
            <w:szCs w:val="24"/>
            <w:u w:val="single"/>
          </w:rPr>
          <w:t>{Updating}</w:t>
        </w:r>
      </w:hyperlink>
      <w:r>
        <w:rPr>
          <w:color w:val="0E101A"/>
          <w:sz w:val="24"/>
          <w:szCs w:val="24"/>
        </w:rPr>
        <w:t>. Stud</w:t>
      </w:r>
      <w:r>
        <w:rPr>
          <w:color w:val="0E101A"/>
          <w:sz w:val="24"/>
          <w:szCs w:val="24"/>
        </w:rPr>
        <w:t xml:space="preserve">ents observed were a mixed ability KS2, year five class, aged between nine and ten. Learners were seated in rows with the teacher at the head of the class. The lesson observed was a </w:t>
      </w:r>
      <w:proofErr w:type="spellStart"/>
      <w:r>
        <w:rPr>
          <w:color w:val="0E101A"/>
          <w:sz w:val="24"/>
          <w:szCs w:val="24"/>
        </w:rPr>
        <w:t>maths</w:t>
      </w:r>
      <w:proofErr w:type="spellEnd"/>
      <w:r>
        <w:rPr>
          <w:color w:val="0E101A"/>
          <w:sz w:val="24"/>
          <w:szCs w:val="24"/>
        </w:rPr>
        <w:t xml:space="preserve"> lesson aiming to develop strategies to solve problems. The lesson ob</w:t>
      </w:r>
      <w:r>
        <w:rPr>
          <w:color w:val="0E101A"/>
          <w:sz w:val="24"/>
          <w:szCs w:val="24"/>
        </w:rPr>
        <w:t xml:space="preserve">served was in the middle of a unit when class norms were firmly </w:t>
      </w:r>
      <w:proofErr w:type="gramStart"/>
      <w:r>
        <w:rPr>
          <w:color w:val="0E101A"/>
          <w:sz w:val="24"/>
          <w:szCs w:val="24"/>
        </w:rPr>
        <w:t>established</w:t>
      </w:r>
      <w:proofErr w:type="gramEnd"/>
      <w:r>
        <w:rPr>
          <w:color w:val="0E101A"/>
          <w:sz w:val="24"/>
          <w:szCs w:val="24"/>
        </w:rPr>
        <w:t xml:space="preserve"> and students were </w:t>
      </w:r>
      <w:proofErr w:type="spellStart"/>
      <w:r>
        <w:rPr>
          <w:color w:val="0E101A"/>
          <w:sz w:val="24"/>
          <w:szCs w:val="24"/>
        </w:rPr>
        <w:t>practising</w:t>
      </w:r>
      <w:proofErr w:type="spellEnd"/>
      <w:r>
        <w:rPr>
          <w:color w:val="0E101A"/>
          <w:sz w:val="24"/>
          <w:szCs w:val="24"/>
        </w:rPr>
        <w:t xml:space="preserve"> previously learnt strategies with less scaffolding. This lesson was taught by the deputy head of the school who was covering for a teacher on long term</w:t>
      </w:r>
      <w:r>
        <w:rPr>
          <w:color w:val="0E101A"/>
          <w:sz w:val="24"/>
          <w:szCs w:val="24"/>
        </w:rPr>
        <w:t xml:space="preserve"> leave. As it was filmed before the COVID 19 crisis, learning was occurring in a more natural context. However, as the lesson was a filmed clip there is only a portion of the lesson. The advantages and disadvantages of this methodology will be expanded lat</w:t>
      </w:r>
      <w:r>
        <w:rPr>
          <w:color w:val="0E101A"/>
          <w:sz w:val="24"/>
          <w:szCs w:val="24"/>
        </w:rPr>
        <w:t>er in this essay. Per BERA (2018) guidelines, school and student anonymity will be protected by referring to students, teachers and school using pseudonyms. Moreover, due to the video method of observation, this research will have no direct impact on learn</w:t>
      </w:r>
      <w:r>
        <w:rPr>
          <w:color w:val="0E101A"/>
          <w:sz w:val="24"/>
          <w:szCs w:val="24"/>
        </w:rPr>
        <w:t xml:space="preserve">ers, so this research can neither harm nor benefit the subjects of this observation directly. </w:t>
      </w:r>
    </w:p>
    <w:p w:rsidR="006B1413" w:rsidRDefault="006B1413">
      <w:pPr>
        <w:spacing w:line="360" w:lineRule="auto"/>
        <w:rPr>
          <w:color w:val="0E101A"/>
          <w:sz w:val="24"/>
          <w:szCs w:val="24"/>
        </w:rPr>
      </w:pP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Methodology</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The purpose of this evaluation was to consider and reflect on expert practice and the norms of a classroom concerning a critical incident to ident</w:t>
      </w:r>
      <w:r>
        <w:rPr>
          <w:color w:val="0E101A"/>
          <w:sz w:val="24"/>
          <w:szCs w:val="24"/>
        </w:rPr>
        <w:t xml:space="preserve">ify next steps to understand individual teacher practice. While positivist methods might be able to show trends in effective classrooms and allow causation to be guessed </w:t>
      </w:r>
      <w:proofErr w:type="gramStart"/>
      <w:r>
        <w:rPr>
          <w:color w:val="0E101A"/>
          <w:sz w:val="24"/>
          <w:szCs w:val="24"/>
        </w:rPr>
        <w:t>at</w:t>
      </w:r>
      <w:proofErr w:type="gramEnd"/>
      <w:r>
        <w:rPr>
          <w:color w:val="0E101A"/>
          <w:sz w:val="24"/>
          <w:szCs w:val="24"/>
        </w:rPr>
        <w:t xml:space="preserve"> they are limited in their capabilities of considering the varied uncontrollable fac</w:t>
      </w:r>
      <w:r>
        <w:rPr>
          <w:color w:val="0E101A"/>
          <w:sz w:val="24"/>
          <w:szCs w:val="24"/>
        </w:rPr>
        <w:t xml:space="preserve">tors in the classroom. However, we also know that intuition can often mislead educators </w:t>
      </w:r>
      <w:hyperlink r:id="rId17">
        <w:r>
          <w:rPr>
            <w:sz w:val="24"/>
            <w:szCs w:val="24"/>
          </w:rPr>
          <w:t>(Yana Weinstein, 2019)</w:t>
        </w:r>
      </w:hyperlink>
      <w:r>
        <w:rPr>
          <w:color w:val="0E101A"/>
          <w:sz w:val="24"/>
          <w:szCs w:val="24"/>
        </w:rPr>
        <w:t xml:space="preserve">. There is also a risk that confirmation bias will lead research as researchers are </w:t>
      </w:r>
      <w:r>
        <w:rPr>
          <w:color w:val="0E101A"/>
          <w:sz w:val="24"/>
          <w:szCs w:val="24"/>
        </w:rPr>
        <w:t xml:space="preserve">likely to seek out information or interpret research in a way that confirms their belief </w:t>
      </w:r>
      <w:hyperlink r:id="rId18">
        <w:r>
          <w:rPr>
            <w:sz w:val="24"/>
            <w:szCs w:val="24"/>
          </w:rPr>
          <w:t>(Nickerson, 1998)</w:t>
        </w:r>
      </w:hyperlink>
      <w:r>
        <w:rPr>
          <w:color w:val="0E101A"/>
          <w:sz w:val="24"/>
          <w:szCs w:val="24"/>
        </w:rPr>
        <w:t>. An advantage of the filmed nature of this evidence is that it is possible to confer wi</w:t>
      </w:r>
      <w:r>
        <w:rPr>
          <w:color w:val="0E101A"/>
          <w:sz w:val="24"/>
          <w:szCs w:val="24"/>
        </w:rPr>
        <w:t xml:space="preserve">th peers to consider alternative perspectives on the critical incident. While trainees will be impacted by their lack of experience in the topic it allows a collaborative reflection </w:t>
      </w:r>
      <w:r>
        <w:rPr>
          <w:color w:val="0E101A"/>
          <w:sz w:val="24"/>
          <w:szCs w:val="24"/>
        </w:rPr>
        <w:lastRenderedPageBreak/>
        <w:t xml:space="preserve">that may help to negate confirmation bias. Nisbet and Watt </w:t>
      </w:r>
      <w:hyperlink r:id="rId19">
        <w:r>
          <w:rPr>
            <w:sz w:val="24"/>
            <w:szCs w:val="24"/>
          </w:rPr>
          <w:t>(Nisbet, J, 1984)</w:t>
        </w:r>
      </w:hyperlink>
      <w:r>
        <w:rPr>
          <w:color w:val="0E101A"/>
          <w:sz w:val="24"/>
          <w:szCs w:val="24"/>
        </w:rPr>
        <w:t xml:space="preserve"> state that one of the strengths of case studies is their utility to provide insights into other similar situations. That and their realistic context make them uniquely useful to trainee teach</w:t>
      </w:r>
      <w:r>
        <w:rPr>
          <w:color w:val="0E101A"/>
          <w:sz w:val="24"/>
          <w:szCs w:val="24"/>
        </w:rPr>
        <w:t xml:space="preserve">ers who can apply this knowledge to future scenarios. In a setting before </w:t>
      </w:r>
      <w:proofErr w:type="spellStart"/>
      <w:r>
        <w:rPr>
          <w:color w:val="0E101A"/>
          <w:sz w:val="24"/>
          <w:szCs w:val="24"/>
        </w:rPr>
        <w:t>Covid</w:t>
      </w:r>
      <w:proofErr w:type="spellEnd"/>
      <w:r>
        <w:rPr>
          <w:color w:val="0E101A"/>
          <w:sz w:val="24"/>
          <w:szCs w:val="24"/>
        </w:rPr>
        <w:t xml:space="preserve">, a participant case study may have been effective to attain a natural setting where learners </w:t>
      </w:r>
      <w:proofErr w:type="spellStart"/>
      <w:r>
        <w:rPr>
          <w:color w:val="0E101A"/>
          <w:sz w:val="24"/>
          <w:szCs w:val="24"/>
        </w:rPr>
        <w:t>behaviours</w:t>
      </w:r>
      <w:proofErr w:type="spellEnd"/>
      <w:r>
        <w:rPr>
          <w:color w:val="0E101A"/>
          <w:sz w:val="24"/>
          <w:szCs w:val="24"/>
        </w:rPr>
        <w:t xml:space="preserve"> are not affected by the presence of an observer. However, in these circu</w:t>
      </w:r>
      <w:r>
        <w:rPr>
          <w:color w:val="0E101A"/>
          <w:sz w:val="24"/>
          <w:szCs w:val="24"/>
        </w:rPr>
        <w:t xml:space="preserve">mstances, the risk of asymptomatic trainees spreading the disease in classrooms risks harming learners which is unethical under BERA (2018) guidelines. To </w:t>
      </w:r>
      <w:proofErr w:type="spellStart"/>
      <w:r>
        <w:rPr>
          <w:color w:val="0E101A"/>
          <w:sz w:val="24"/>
          <w:szCs w:val="24"/>
        </w:rPr>
        <w:t>minimise</w:t>
      </w:r>
      <w:proofErr w:type="spellEnd"/>
      <w:r>
        <w:rPr>
          <w:color w:val="0E101A"/>
          <w:sz w:val="24"/>
          <w:szCs w:val="24"/>
        </w:rPr>
        <w:t xml:space="preserve"> risk trainees watched recordings of lessons before the outbreak without entering schools. As</w:t>
      </w:r>
      <w:r>
        <w:rPr>
          <w:color w:val="0E101A"/>
          <w:sz w:val="24"/>
          <w:szCs w:val="24"/>
        </w:rPr>
        <w:t xml:space="preserve"> the videos had been filmed as a means of observing and improving school practice within </w:t>
      </w:r>
      <w:proofErr w:type="gramStart"/>
      <w:r>
        <w:rPr>
          <w:color w:val="0E101A"/>
          <w:sz w:val="24"/>
          <w:szCs w:val="24"/>
        </w:rPr>
        <w:t>faculty</w:t>
      </w:r>
      <w:proofErr w:type="gramEnd"/>
      <w:r>
        <w:rPr>
          <w:color w:val="0E101A"/>
          <w:sz w:val="24"/>
          <w:szCs w:val="24"/>
        </w:rPr>
        <w:t xml:space="preserve"> they exemplified high-quality professional practice and showed some pupils' response to lessons. As the videos often do not show all pupils it is difficult to </w:t>
      </w:r>
      <w:r>
        <w:rPr>
          <w:color w:val="0E101A"/>
          <w:sz w:val="24"/>
          <w:szCs w:val="24"/>
        </w:rPr>
        <w:t xml:space="preserve">fully comprehend the classroom culture. To mitigate this weakness, the chosen critical incident is one where the majority of pupils are </w:t>
      </w:r>
      <w:proofErr w:type="gramStart"/>
      <w:r>
        <w:rPr>
          <w:color w:val="0E101A"/>
          <w:sz w:val="24"/>
          <w:szCs w:val="24"/>
        </w:rPr>
        <w:t>visible</w:t>
      </w:r>
      <w:proofErr w:type="gramEnd"/>
      <w:r>
        <w:rPr>
          <w:color w:val="0E101A"/>
          <w:sz w:val="24"/>
          <w:szCs w:val="24"/>
        </w:rPr>
        <w:t xml:space="preserve"> and this critical evaluation will focus on the potential impacts and next steps. Further, all observed lessons w</w:t>
      </w:r>
      <w:r>
        <w:rPr>
          <w:color w:val="0E101A"/>
          <w:sz w:val="24"/>
          <w:szCs w:val="24"/>
        </w:rPr>
        <w:t xml:space="preserve">ere watched several times to focus on the responses of individual learners. Additionally, the recordings had the advantages of being recorded before the changes in school procedure to reduce </w:t>
      </w:r>
      <w:proofErr w:type="spellStart"/>
      <w:r>
        <w:rPr>
          <w:color w:val="0E101A"/>
          <w:sz w:val="24"/>
          <w:szCs w:val="24"/>
        </w:rPr>
        <w:t>Covid</w:t>
      </w:r>
      <w:proofErr w:type="spellEnd"/>
      <w:r>
        <w:rPr>
          <w:color w:val="0E101A"/>
          <w:sz w:val="24"/>
          <w:szCs w:val="24"/>
        </w:rPr>
        <w:t xml:space="preserve"> risk. As the majority of trainee teachers’ practice will be</w:t>
      </w:r>
      <w:r>
        <w:rPr>
          <w:color w:val="0E101A"/>
          <w:sz w:val="24"/>
          <w:szCs w:val="24"/>
        </w:rPr>
        <w:t xml:space="preserve"> conducted without these changes observing a pre-</w:t>
      </w:r>
      <w:proofErr w:type="spellStart"/>
      <w:r>
        <w:rPr>
          <w:color w:val="0E101A"/>
          <w:sz w:val="24"/>
          <w:szCs w:val="24"/>
        </w:rPr>
        <w:t>Covid</w:t>
      </w:r>
      <w:proofErr w:type="spellEnd"/>
      <w:r>
        <w:rPr>
          <w:color w:val="0E101A"/>
          <w:sz w:val="24"/>
          <w:szCs w:val="24"/>
        </w:rPr>
        <w:t xml:space="preserve"> classroom could be influential in forming effective practice.    </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Critical Incident</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 xml:space="preserve">Tripp </w:t>
      </w:r>
      <w:hyperlink r:id="rId20">
        <w:r>
          <w:rPr>
            <w:sz w:val="24"/>
            <w:szCs w:val="24"/>
          </w:rPr>
          <w:t>(David Tripp, 1993)</w:t>
        </w:r>
      </w:hyperlink>
      <w:r>
        <w:rPr>
          <w:color w:val="0E101A"/>
          <w:sz w:val="24"/>
          <w:szCs w:val="24"/>
        </w:rPr>
        <w:t xml:space="preserve"> defines a critical incident</w:t>
      </w:r>
      <w:r>
        <w:rPr>
          <w:color w:val="0E101A"/>
          <w:sz w:val="24"/>
          <w:szCs w:val="24"/>
        </w:rPr>
        <w:t xml:space="preserve"> as ‘mostly straightforward accounts of very commonplace events’ that are ‘indicative of underlying trends, motives and structures’. The critical incident, that is the subject of this evaluation, is in itself a mundane interchange that reveals a deliberate</w:t>
      </w:r>
      <w:r>
        <w:rPr>
          <w:color w:val="0E101A"/>
          <w:sz w:val="24"/>
          <w:szCs w:val="24"/>
        </w:rPr>
        <w:t xml:space="preserve"> focus on challenge and resilience by the teacher that was well established in the class. After introducing a </w:t>
      </w:r>
      <w:proofErr w:type="spellStart"/>
      <w:r>
        <w:rPr>
          <w:color w:val="0E101A"/>
          <w:sz w:val="24"/>
          <w:szCs w:val="24"/>
        </w:rPr>
        <w:t>maths</w:t>
      </w:r>
      <w:proofErr w:type="spellEnd"/>
      <w:r>
        <w:rPr>
          <w:color w:val="0E101A"/>
          <w:sz w:val="24"/>
          <w:szCs w:val="24"/>
        </w:rPr>
        <w:t xml:space="preserve"> challenge students were told it was called a challenge because it was difficult, creating a high expectation for pupil engagement. Learners </w:t>
      </w:r>
      <w:r>
        <w:rPr>
          <w:color w:val="0E101A"/>
          <w:sz w:val="24"/>
          <w:szCs w:val="24"/>
        </w:rPr>
        <w:t xml:space="preserve">were asked to create success criteria in pairs from prior knowledge, allowing students to control their own learning. During the </w:t>
      </w:r>
      <w:r>
        <w:rPr>
          <w:color w:val="0E101A"/>
          <w:sz w:val="24"/>
          <w:szCs w:val="24"/>
        </w:rPr>
        <w:lastRenderedPageBreak/>
        <w:t>feedback of these, to the class, one learner said her pairs’ criteria was ‘not to give up</w:t>
      </w:r>
      <w:proofErr w:type="gramStart"/>
      <w:r>
        <w:rPr>
          <w:color w:val="0E101A"/>
          <w:sz w:val="24"/>
          <w:szCs w:val="24"/>
        </w:rPr>
        <w:t>’(</w:t>
      </w:r>
      <w:proofErr w:type="gramEnd"/>
      <w:r>
        <w:rPr>
          <w:color w:val="0E101A"/>
          <w:sz w:val="24"/>
          <w:szCs w:val="24"/>
        </w:rPr>
        <w:t xml:space="preserve">Appendix A). The class teacher used </w:t>
      </w:r>
      <w:r>
        <w:rPr>
          <w:color w:val="0E101A"/>
          <w:sz w:val="24"/>
          <w:szCs w:val="24"/>
        </w:rPr>
        <w:t>positive praise to encourage the learner and then linked to previous knowledge by asking the class what new word they had learnt about not giving up. Around half of the learners visible answered ‘resilience’ when prompted by the first syllable. This is imp</w:t>
      </w:r>
      <w:r>
        <w:rPr>
          <w:color w:val="0E101A"/>
          <w:sz w:val="24"/>
          <w:szCs w:val="24"/>
        </w:rPr>
        <w:t xml:space="preserve">ortant as it shows pupils in the school are being taught to embrace difficult tasks to become ‘ambitious capable’ lifelong learners who ‘seek and enjoy a challenge’ </w:t>
      </w:r>
      <w:hyperlink r:id="rId21">
        <w:r>
          <w:rPr>
            <w:sz w:val="24"/>
            <w:szCs w:val="24"/>
          </w:rPr>
          <w:t>(</w:t>
        </w:r>
      </w:hyperlink>
      <w:hyperlink r:id="rId22">
        <w:r>
          <w:rPr>
            <w:i/>
            <w:sz w:val="24"/>
            <w:szCs w:val="24"/>
          </w:rPr>
          <w:t>Developing a vision for curriculum design - Hwb</w:t>
        </w:r>
      </w:hyperlink>
      <w:hyperlink r:id="rId23">
        <w:r>
          <w:rPr>
            <w:sz w:val="24"/>
            <w:szCs w:val="24"/>
          </w:rPr>
          <w:t>, 2020)</w:t>
        </w:r>
      </w:hyperlink>
      <w:r>
        <w:rPr>
          <w:color w:val="0E101A"/>
          <w:sz w:val="24"/>
          <w:szCs w:val="24"/>
        </w:rPr>
        <w:t xml:space="preserve">. In Successful Futures </w:t>
      </w:r>
      <w:hyperlink r:id="rId24">
        <w:r>
          <w:rPr>
            <w:sz w:val="24"/>
            <w:szCs w:val="24"/>
          </w:rPr>
          <w:t>(Donaldson, 2015)</w:t>
        </w:r>
      </w:hyperlink>
      <w:r>
        <w:rPr>
          <w:color w:val="0E101A"/>
          <w:sz w:val="24"/>
          <w:szCs w:val="24"/>
        </w:rPr>
        <w:t>, D</w:t>
      </w:r>
      <w:r>
        <w:rPr>
          <w:color w:val="0E101A"/>
          <w:sz w:val="24"/>
          <w:szCs w:val="24"/>
        </w:rPr>
        <w:t>onaldson describes the need for pupils to enjoy the satisfaction that comes with accessing and succeeding at difficult tasks. He suggests that this approach embeds lifelong learning as a means to individual fulfilment instead of in response to external dem</w:t>
      </w:r>
      <w:r>
        <w:rPr>
          <w:color w:val="0E101A"/>
          <w:sz w:val="24"/>
          <w:szCs w:val="24"/>
        </w:rPr>
        <w:t xml:space="preserve">ands. The learners' awareness of resilience and the necessity of trying hard to complete challenging tasks indicates that students are being taught to avoid ‘self-limiting beliefs about fixed ‘potential’ </w:t>
      </w:r>
      <w:hyperlink r:id="rId25">
        <w:r>
          <w:rPr>
            <w:color w:val="CC2936"/>
            <w:sz w:val="24"/>
            <w:szCs w:val="24"/>
          </w:rPr>
          <w:t>(66, Donaldson, 2015,)</w:t>
        </w:r>
      </w:hyperlink>
      <w:r>
        <w:rPr>
          <w:color w:val="0E101A"/>
          <w:sz w:val="24"/>
          <w:szCs w:val="24"/>
        </w:rPr>
        <w:t xml:space="preserve">  </w:t>
      </w:r>
    </w:p>
    <w:p w:rsidR="006B1413" w:rsidRDefault="00B92348">
      <w:pPr>
        <w:spacing w:line="360" w:lineRule="auto"/>
        <w:rPr>
          <w:color w:val="0E101A"/>
          <w:sz w:val="24"/>
          <w:szCs w:val="24"/>
        </w:rPr>
      </w:pPr>
      <w:r>
        <w:rPr>
          <w:color w:val="0E101A"/>
          <w:sz w:val="24"/>
          <w:szCs w:val="24"/>
        </w:rPr>
        <w:t xml:space="preserve">According to Donaldson, awareness of one’s own thought processes makes learners able to identify methods of improvement and set ambitious goals in later life. </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Furthermore, the new curriculum aims to develop learners who are ‘building their mental and emo</w:t>
      </w:r>
      <w:r>
        <w:rPr>
          <w:color w:val="0E101A"/>
          <w:sz w:val="24"/>
          <w:szCs w:val="24"/>
        </w:rPr>
        <w:t>tional well-being by developing confidence, resilience and empathy’</w:t>
      </w:r>
      <w:hyperlink r:id="rId26">
        <w:r>
          <w:rPr>
            <w:sz w:val="24"/>
            <w:szCs w:val="24"/>
          </w:rPr>
          <w:t>(</w:t>
        </w:r>
      </w:hyperlink>
      <w:hyperlink r:id="rId27">
        <w:r>
          <w:rPr>
            <w:i/>
            <w:sz w:val="24"/>
            <w:szCs w:val="24"/>
          </w:rPr>
          <w:t>Developing a vision for curriculum design - Hwb</w:t>
        </w:r>
      </w:hyperlink>
      <w:hyperlink r:id="rId28">
        <w:r>
          <w:rPr>
            <w:sz w:val="24"/>
            <w:szCs w:val="24"/>
          </w:rPr>
          <w:t>, 2020)</w:t>
        </w:r>
      </w:hyperlink>
      <w:r>
        <w:rPr>
          <w:color w:val="0E101A"/>
          <w:sz w:val="24"/>
          <w:szCs w:val="24"/>
        </w:rPr>
        <w:t xml:space="preserve"> Teaching resilience explicitly can help students manage their own </w:t>
      </w:r>
      <w:proofErr w:type="spellStart"/>
      <w:r>
        <w:rPr>
          <w:color w:val="0E101A"/>
          <w:sz w:val="24"/>
          <w:szCs w:val="24"/>
        </w:rPr>
        <w:t>well being</w:t>
      </w:r>
      <w:proofErr w:type="spellEnd"/>
      <w:r>
        <w:rPr>
          <w:color w:val="0E101A"/>
          <w:sz w:val="24"/>
          <w:szCs w:val="24"/>
        </w:rPr>
        <w:t xml:space="preserve"> by giving them strategies to overcome difficulties. The students’ recognition of resilience indicated the school has embedded </w:t>
      </w:r>
      <w:r>
        <w:rPr>
          <w:color w:val="0E101A"/>
          <w:sz w:val="24"/>
          <w:szCs w:val="24"/>
        </w:rPr>
        <w:t>wellbeing designs in the school curriculum to care for the whole child. By positively reinforcing the student whose success criteria was not to give up the teacher has reinforced that effort is valuable, instead of rewarding success without acknowledging w</w:t>
      </w:r>
      <w:r>
        <w:rPr>
          <w:color w:val="0E101A"/>
          <w:sz w:val="24"/>
          <w:szCs w:val="24"/>
        </w:rPr>
        <w:t>ork. In progression step 3 of the new curriculum students should be able to self-regulate emotions using strategies such as resilience</w:t>
      </w:r>
      <w:hyperlink r:id="rId29">
        <w:r>
          <w:rPr>
            <w:sz w:val="24"/>
            <w:szCs w:val="24"/>
          </w:rPr>
          <w:t>(</w:t>
        </w:r>
      </w:hyperlink>
      <w:hyperlink r:id="rId30">
        <w:r>
          <w:rPr>
            <w:i/>
            <w:sz w:val="24"/>
            <w:szCs w:val="24"/>
          </w:rPr>
          <w:t>Descriptions of learning - Hwb</w:t>
        </w:r>
      </w:hyperlink>
      <w:hyperlink r:id="rId31">
        <w:r>
          <w:rPr>
            <w:sz w:val="24"/>
            <w:szCs w:val="24"/>
          </w:rPr>
          <w:t>, 2020)</w:t>
        </w:r>
      </w:hyperlink>
      <w:r>
        <w:rPr>
          <w:color w:val="0E101A"/>
          <w:sz w:val="24"/>
          <w:szCs w:val="24"/>
        </w:rPr>
        <w:t xml:space="preserve">. While Donaldson </w:t>
      </w:r>
      <w:hyperlink r:id="rId32">
        <w:r>
          <w:rPr>
            <w:color w:val="CC2936"/>
            <w:sz w:val="24"/>
            <w:szCs w:val="24"/>
          </w:rPr>
          <w:t>(2015)</w:t>
        </w:r>
      </w:hyperlink>
      <w:r>
        <w:rPr>
          <w:color w:val="0E101A"/>
          <w:sz w:val="24"/>
          <w:szCs w:val="24"/>
        </w:rPr>
        <w:t xml:space="preserve"> reminds us that all learners go through hardships in their s</w:t>
      </w:r>
      <w:r>
        <w:rPr>
          <w:color w:val="0E101A"/>
          <w:sz w:val="24"/>
          <w:szCs w:val="24"/>
        </w:rPr>
        <w:t xml:space="preserve">chool careers and that early intervention is a core part of teaching and learning. This embedding focus on resilience will prepare students to deal with hardships when they occur. This is particularly relevant for school X as the school’s high </w:t>
      </w:r>
      <w:r>
        <w:rPr>
          <w:color w:val="0E101A"/>
          <w:sz w:val="24"/>
          <w:szCs w:val="24"/>
        </w:rPr>
        <w:lastRenderedPageBreak/>
        <w:t>percentage o</w:t>
      </w:r>
      <w:r>
        <w:rPr>
          <w:color w:val="0E101A"/>
          <w:sz w:val="24"/>
          <w:szCs w:val="24"/>
        </w:rPr>
        <w:t xml:space="preserve">f students eligible for FSM indicates that their learners are already dealing with some hardship. </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 xml:space="preserve">Literature review </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Challenging environments and ensuring pupil motivation</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 xml:space="preserve">In an essay of effective school support for disadvantaged pupils, </w:t>
      </w:r>
      <w:proofErr w:type="spellStart"/>
      <w:r>
        <w:rPr>
          <w:color w:val="0E101A"/>
          <w:sz w:val="24"/>
          <w:szCs w:val="24"/>
        </w:rPr>
        <w:t>Estyn</w:t>
      </w:r>
      <w:proofErr w:type="spellEnd"/>
      <w:r>
        <w:rPr>
          <w:color w:val="0E101A"/>
          <w:sz w:val="24"/>
          <w:szCs w:val="24"/>
        </w:rPr>
        <w:t xml:space="preserve"> identifies that in most effective </w:t>
      </w:r>
      <w:proofErr w:type="gramStart"/>
      <w:r>
        <w:rPr>
          <w:color w:val="0E101A"/>
          <w:sz w:val="24"/>
          <w:szCs w:val="24"/>
        </w:rPr>
        <w:t>schools</w:t>
      </w:r>
      <w:proofErr w:type="gramEnd"/>
      <w:r>
        <w:rPr>
          <w:color w:val="0E101A"/>
          <w:sz w:val="24"/>
          <w:szCs w:val="24"/>
        </w:rPr>
        <w:t xml:space="preserve"> teachers have high expectations of the achievement of all pupils including those disadvantaged and vulnerable. Moreover, they suggested that p</w:t>
      </w:r>
      <w:r>
        <w:rPr>
          <w:color w:val="0E101A"/>
          <w:sz w:val="24"/>
          <w:szCs w:val="24"/>
        </w:rPr>
        <w:t xml:space="preserve">upils from disadvantaged backgrounds benefited even more than their peers from high-quality teaching </w:t>
      </w:r>
      <w:hyperlink r:id="rId33">
        <w:r>
          <w:rPr>
            <w:sz w:val="24"/>
            <w:szCs w:val="24"/>
          </w:rPr>
          <w:t>(</w:t>
        </w:r>
        <w:proofErr w:type="spellStart"/>
        <w:r>
          <w:rPr>
            <w:sz w:val="24"/>
            <w:szCs w:val="24"/>
          </w:rPr>
          <w:t>Estyn</w:t>
        </w:r>
        <w:proofErr w:type="spellEnd"/>
        <w:r>
          <w:rPr>
            <w:sz w:val="24"/>
            <w:szCs w:val="24"/>
          </w:rPr>
          <w:t>, 2020)</w:t>
        </w:r>
      </w:hyperlink>
      <w:r>
        <w:rPr>
          <w:color w:val="0E101A"/>
          <w:sz w:val="24"/>
          <w:szCs w:val="24"/>
        </w:rPr>
        <w:t>. Vygotsky’s theory Scaffolding The Zone of Proximal Development suggests challe</w:t>
      </w:r>
      <w:r>
        <w:rPr>
          <w:color w:val="0E101A"/>
          <w:sz w:val="24"/>
          <w:szCs w:val="24"/>
        </w:rPr>
        <w:t>nge had to be balanced against learner competence and scaffolding to create the zone of proximal development</w:t>
      </w:r>
      <w:hyperlink r:id="rId34">
        <w:r>
          <w:rPr>
            <w:sz w:val="24"/>
            <w:szCs w:val="24"/>
          </w:rPr>
          <w:t>(Bob Bates, 2019)</w:t>
        </w:r>
      </w:hyperlink>
      <w:r>
        <w:rPr>
          <w:color w:val="0E101A"/>
          <w:sz w:val="24"/>
          <w:szCs w:val="24"/>
        </w:rPr>
        <w:t>. In short, children need challenging tasks for their ability and pre</w:t>
      </w:r>
      <w:r>
        <w:rPr>
          <w:color w:val="0E101A"/>
          <w:sz w:val="24"/>
          <w:szCs w:val="24"/>
        </w:rPr>
        <w:t>vious knowledge and teachers encourage strategies to help them attain more than they could independently. While this theory has been critiqued as a misreading of Vygotsky’s work- his notes about ZPD were few in comparison to his other research</w:t>
      </w:r>
      <w:hyperlink r:id="rId35">
        <w:r>
          <w:rPr>
            <w:sz w:val="24"/>
            <w:szCs w:val="24"/>
          </w:rPr>
          <w:t xml:space="preserve">(Margaret E., </w:t>
        </w:r>
        <w:proofErr w:type="spellStart"/>
        <w:r>
          <w:rPr>
            <w:sz w:val="24"/>
            <w:szCs w:val="24"/>
          </w:rPr>
          <w:t>Gredler</w:t>
        </w:r>
        <w:proofErr w:type="spellEnd"/>
        <w:r>
          <w:rPr>
            <w:sz w:val="24"/>
            <w:szCs w:val="24"/>
          </w:rPr>
          <w:t>, 2011)</w:t>
        </w:r>
      </w:hyperlink>
      <w:r>
        <w:rPr>
          <w:color w:val="0E101A"/>
          <w:sz w:val="24"/>
          <w:szCs w:val="24"/>
        </w:rPr>
        <w:t xml:space="preserve">- This theory does seem supported by more recent research. </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 xml:space="preserve">The Education Endowment Fund (EEF) report adds that challenge is key to developing self-regulation and metacognition. </w:t>
      </w:r>
      <w:r>
        <w:rPr>
          <w:color w:val="0E101A"/>
          <w:sz w:val="24"/>
          <w:szCs w:val="24"/>
        </w:rPr>
        <w:t xml:space="preserve">However, if the challenge is not appropriate to the ability of the </w:t>
      </w:r>
      <w:proofErr w:type="gramStart"/>
      <w:r>
        <w:rPr>
          <w:color w:val="0E101A"/>
          <w:sz w:val="24"/>
          <w:szCs w:val="24"/>
        </w:rPr>
        <w:t>learner</w:t>
      </w:r>
      <w:proofErr w:type="gramEnd"/>
      <w:r>
        <w:rPr>
          <w:color w:val="0E101A"/>
          <w:sz w:val="24"/>
          <w:szCs w:val="24"/>
        </w:rPr>
        <w:t xml:space="preserve"> they will either refuse to accept the challenge or experience cognitive overload. To avoid this teachers should be appropriately scaffolding tasks while making them sufficiently dif</w:t>
      </w:r>
      <w:r>
        <w:rPr>
          <w:color w:val="0E101A"/>
          <w:sz w:val="24"/>
          <w:szCs w:val="24"/>
        </w:rPr>
        <w:t xml:space="preserve">ficult that they are useful for pupils to reflect on their learning </w:t>
      </w:r>
      <w:hyperlink r:id="rId36">
        <w:r>
          <w:rPr>
            <w:sz w:val="24"/>
            <w:szCs w:val="24"/>
          </w:rPr>
          <w:t>(EEF, 2018)</w:t>
        </w:r>
      </w:hyperlink>
      <w:r>
        <w:rPr>
          <w:color w:val="0E101A"/>
          <w:sz w:val="24"/>
          <w:szCs w:val="24"/>
        </w:rPr>
        <w:t xml:space="preserve">. Leslie Curzon similarly argues that goals that are too hard or too easy have no motivational value </w:t>
      </w:r>
      <w:hyperlink r:id="rId37">
        <w:r>
          <w:rPr>
            <w:sz w:val="24"/>
            <w:szCs w:val="24"/>
          </w:rPr>
          <w:t>(L.B, Curzon, 2013)</w:t>
        </w:r>
      </w:hyperlink>
      <w:r>
        <w:rPr>
          <w:color w:val="0E101A"/>
          <w:sz w:val="24"/>
          <w:szCs w:val="24"/>
        </w:rPr>
        <w:t xml:space="preserve">. Had pupils not previously learnt a variety of strategies in </w:t>
      </w:r>
      <w:proofErr w:type="spellStart"/>
      <w:r>
        <w:rPr>
          <w:color w:val="0E101A"/>
          <w:sz w:val="24"/>
          <w:szCs w:val="24"/>
        </w:rPr>
        <w:t>maths</w:t>
      </w:r>
      <w:proofErr w:type="spellEnd"/>
      <w:r>
        <w:rPr>
          <w:color w:val="0E101A"/>
          <w:sz w:val="24"/>
          <w:szCs w:val="24"/>
        </w:rPr>
        <w:t xml:space="preserve"> they could have become demotivated by the intensity of the task but as students had they could complete more challenging </w:t>
      </w:r>
      <w:r>
        <w:rPr>
          <w:color w:val="0E101A"/>
          <w:sz w:val="24"/>
          <w:szCs w:val="24"/>
        </w:rPr>
        <w:t xml:space="preserve">tasks independently. Curzon adds that learners should perceive their attainment of success criteria as part of </w:t>
      </w:r>
      <w:r>
        <w:rPr>
          <w:color w:val="0E101A"/>
          <w:sz w:val="24"/>
          <w:szCs w:val="24"/>
        </w:rPr>
        <w:lastRenderedPageBreak/>
        <w:t>the learning process and teachers should not just rely on rewards and punishments to engage learners</w:t>
      </w:r>
      <w:hyperlink r:id="rId38">
        <w:r>
          <w:rPr>
            <w:sz w:val="24"/>
            <w:szCs w:val="24"/>
          </w:rPr>
          <w:t>(L.B, Curzon, 2013)</w:t>
        </w:r>
      </w:hyperlink>
      <w:r>
        <w:rPr>
          <w:color w:val="0E101A"/>
          <w:sz w:val="24"/>
          <w:szCs w:val="24"/>
        </w:rPr>
        <w:t>).</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 xml:space="preserve"> Carol Dweck had previously described this ideal state where students actively enjoyed challenging tasks as the growth mindset. Like Curzon, she believes that children achieve more when motivated by an internal desir</w:t>
      </w:r>
      <w:r>
        <w:rPr>
          <w:color w:val="0E101A"/>
          <w:sz w:val="24"/>
          <w:szCs w:val="24"/>
        </w:rPr>
        <w:t>e to learn rather than external stimuli. She also makes the claim that less wealthy learners with a growth mindset are more likely to be socially mobile although acknowledges that still does not give them an equal chance to those with more privileged upbri</w:t>
      </w:r>
      <w:r>
        <w:rPr>
          <w:color w:val="0E101A"/>
          <w:sz w:val="24"/>
          <w:szCs w:val="24"/>
        </w:rPr>
        <w:t>nging. This is particularly important when considering the case of school X where there is a high number of students eligible for free school meals. One of the main interventions she suggests is teaching children to welcome and enjoy challenges and learnin</w:t>
      </w:r>
      <w:r>
        <w:rPr>
          <w:color w:val="0E101A"/>
          <w:sz w:val="24"/>
          <w:szCs w:val="24"/>
        </w:rPr>
        <w:t>g to achieve their potential. Both Dweck and Curzon argue that effort and achievement should be rewarded as often as possible to build this desire to learn. We see a similar sentiment in Successful Futures where Donaldson states ‘Self-limiting beliefs abou</w:t>
      </w:r>
      <w:r>
        <w:rPr>
          <w:color w:val="0E101A"/>
          <w:sz w:val="24"/>
          <w:szCs w:val="24"/>
        </w:rPr>
        <w:t>t fixed ‘potential’ are difficult to alter and can have a profoundly negative effect on learning’</w:t>
      </w:r>
      <w:hyperlink r:id="rId39">
        <w:r>
          <w:rPr>
            <w:color w:val="CC2936"/>
            <w:sz w:val="24"/>
            <w:szCs w:val="24"/>
          </w:rPr>
          <w:t>(Donaldson, 2015)</w:t>
        </w:r>
      </w:hyperlink>
      <w:r>
        <w:rPr>
          <w:color w:val="0E101A"/>
          <w:sz w:val="24"/>
          <w:szCs w:val="24"/>
        </w:rPr>
        <w:t xml:space="preserve">.  </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 xml:space="preserve">In the critical incident discussed students had been set to create success criteria after going through the steps of how to solve a </w:t>
      </w:r>
      <w:proofErr w:type="spellStart"/>
      <w:r>
        <w:rPr>
          <w:color w:val="0E101A"/>
          <w:sz w:val="24"/>
          <w:szCs w:val="24"/>
        </w:rPr>
        <w:t>maths</w:t>
      </w:r>
      <w:proofErr w:type="spellEnd"/>
      <w:r>
        <w:rPr>
          <w:color w:val="0E101A"/>
          <w:sz w:val="24"/>
          <w:szCs w:val="24"/>
        </w:rPr>
        <w:t xml:space="preserve"> problem. The EEF recommends that children be given the opportunities to share their knowledge of strategies and discus</w:t>
      </w:r>
      <w:r>
        <w:rPr>
          <w:color w:val="0E101A"/>
          <w:sz w:val="24"/>
          <w:szCs w:val="24"/>
        </w:rPr>
        <w:t>s the difficulty of tasks to test learners strategies through metacognitive talk</w:t>
      </w:r>
      <w:hyperlink r:id="rId40">
        <w:r>
          <w:rPr>
            <w:color w:val="0E101A"/>
            <w:sz w:val="24"/>
            <w:szCs w:val="24"/>
          </w:rPr>
          <w:t>(EEF, 2018)</w:t>
        </w:r>
      </w:hyperlink>
      <w:r>
        <w:rPr>
          <w:color w:val="0E101A"/>
          <w:sz w:val="24"/>
          <w:szCs w:val="24"/>
        </w:rPr>
        <w:t xml:space="preserve">. </w:t>
      </w:r>
    </w:p>
    <w:p w:rsidR="006B1413" w:rsidRDefault="006B1413">
      <w:pPr>
        <w:spacing w:line="360" w:lineRule="auto"/>
        <w:rPr>
          <w:color w:val="0E101A"/>
          <w:sz w:val="24"/>
          <w:szCs w:val="24"/>
        </w:rPr>
      </w:pP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Health and Wellbeing</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 xml:space="preserve">The World Health </w:t>
      </w:r>
      <w:proofErr w:type="spellStart"/>
      <w:r>
        <w:rPr>
          <w:color w:val="0E101A"/>
          <w:sz w:val="24"/>
          <w:szCs w:val="24"/>
        </w:rPr>
        <w:t>Organisation</w:t>
      </w:r>
      <w:proofErr w:type="spellEnd"/>
      <w:r>
        <w:rPr>
          <w:color w:val="0E101A"/>
          <w:sz w:val="24"/>
          <w:szCs w:val="24"/>
        </w:rPr>
        <w:t xml:space="preserve"> (WHO)</w:t>
      </w:r>
      <w:hyperlink r:id="rId41">
        <w:r>
          <w:rPr>
            <w:sz w:val="24"/>
            <w:szCs w:val="24"/>
          </w:rPr>
          <w:t xml:space="preserve">(World Health </w:t>
        </w:r>
        <w:proofErr w:type="spellStart"/>
        <w:r>
          <w:rPr>
            <w:sz w:val="24"/>
            <w:szCs w:val="24"/>
          </w:rPr>
          <w:t>Organisation</w:t>
        </w:r>
        <w:proofErr w:type="spellEnd"/>
        <w:r>
          <w:rPr>
            <w:sz w:val="24"/>
            <w:szCs w:val="24"/>
          </w:rPr>
          <w:t>, 1948)</w:t>
        </w:r>
      </w:hyperlink>
      <w:r>
        <w:rPr>
          <w:color w:val="0E101A"/>
          <w:sz w:val="24"/>
          <w:szCs w:val="24"/>
        </w:rPr>
        <w:t xml:space="preserve"> defines health as ‘a state of complete physical, mental and social well-being and not merely the absence of disease as infirmity’. While this has been critiqued for ignoring the existence of chronic il</w:t>
      </w:r>
      <w:r>
        <w:rPr>
          <w:color w:val="0E101A"/>
          <w:sz w:val="24"/>
          <w:szCs w:val="24"/>
        </w:rPr>
        <w:t>lnesses</w:t>
      </w:r>
      <w:hyperlink r:id="rId42">
        <w:r>
          <w:rPr>
            <w:sz w:val="24"/>
            <w:szCs w:val="24"/>
          </w:rPr>
          <w:t xml:space="preserve">(Huber </w:t>
        </w:r>
      </w:hyperlink>
      <w:hyperlink r:id="rId43">
        <w:r>
          <w:rPr>
            <w:i/>
            <w:sz w:val="24"/>
            <w:szCs w:val="24"/>
          </w:rPr>
          <w:t>et al.</w:t>
        </w:r>
      </w:hyperlink>
      <w:hyperlink r:id="rId44">
        <w:r>
          <w:rPr>
            <w:sz w:val="24"/>
            <w:szCs w:val="24"/>
          </w:rPr>
          <w:t>, 2011)</w:t>
        </w:r>
      </w:hyperlink>
      <w:r>
        <w:rPr>
          <w:color w:val="0E101A"/>
          <w:sz w:val="24"/>
          <w:szCs w:val="24"/>
        </w:rPr>
        <w:t>, the definition is useful in its assertion</w:t>
      </w:r>
      <w:r>
        <w:rPr>
          <w:color w:val="0E101A"/>
          <w:sz w:val="24"/>
          <w:szCs w:val="24"/>
        </w:rPr>
        <w:t xml:space="preserve"> that humans need the ‘ability to live harmoniously in a totally changing environment’</w:t>
      </w:r>
      <w:hyperlink r:id="rId45">
        <w:r>
          <w:rPr>
            <w:sz w:val="24"/>
            <w:szCs w:val="24"/>
          </w:rPr>
          <w:t xml:space="preserve">(World Health </w:t>
        </w:r>
        <w:proofErr w:type="spellStart"/>
        <w:r>
          <w:rPr>
            <w:sz w:val="24"/>
            <w:szCs w:val="24"/>
          </w:rPr>
          <w:t>Organisation</w:t>
        </w:r>
        <w:proofErr w:type="spellEnd"/>
        <w:r>
          <w:rPr>
            <w:sz w:val="24"/>
            <w:szCs w:val="24"/>
          </w:rPr>
          <w:t>, 1948)</w:t>
        </w:r>
      </w:hyperlink>
      <w:r>
        <w:rPr>
          <w:color w:val="0E101A"/>
          <w:sz w:val="24"/>
          <w:szCs w:val="24"/>
        </w:rPr>
        <w:t xml:space="preserve">. Huber similarly considered the need for adaptation, looking </w:t>
      </w:r>
      <w:r>
        <w:rPr>
          <w:color w:val="0E101A"/>
          <w:sz w:val="24"/>
          <w:szCs w:val="24"/>
        </w:rPr>
        <w:lastRenderedPageBreak/>
        <w:t>at physical h</w:t>
      </w:r>
      <w:r>
        <w:rPr>
          <w:color w:val="0E101A"/>
          <w:sz w:val="24"/>
          <w:szCs w:val="24"/>
        </w:rPr>
        <w:t xml:space="preserve">ealth, mental health and social health. Huber broadly considers health as ‘the ability to adapt and </w:t>
      </w:r>
      <w:proofErr w:type="spellStart"/>
      <w:r>
        <w:rPr>
          <w:color w:val="0E101A"/>
          <w:sz w:val="24"/>
          <w:szCs w:val="24"/>
        </w:rPr>
        <w:t>self manage</w:t>
      </w:r>
      <w:proofErr w:type="spellEnd"/>
      <w:r>
        <w:rPr>
          <w:color w:val="0E101A"/>
          <w:sz w:val="24"/>
          <w:szCs w:val="24"/>
        </w:rPr>
        <w:t>’</w:t>
      </w:r>
      <w:hyperlink r:id="rId46">
        <w:r>
          <w:rPr>
            <w:color w:val="CC2936"/>
            <w:sz w:val="24"/>
            <w:szCs w:val="24"/>
          </w:rPr>
          <w:t xml:space="preserve">(Huber </w:t>
        </w:r>
      </w:hyperlink>
      <w:hyperlink r:id="rId47">
        <w:r>
          <w:rPr>
            <w:i/>
            <w:color w:val="CC2936"/>
            <w:sz w:val="24"/>
            <w:szCs w:val="24"/>
          </w:rPr>
          <w:t>et al.</w:t>
        </w:r>
      </w:hyperlink>
      <w:hyperlink r:id="rId48">
        <w:r>
          <w:rPr>
            <w:color w:val="CC2936"/>
            <w:sz w:val="24"/>
            <w:szCs w:val="24"/>
          </w:rPr>
          <w:t>, 2011)</w:t>
        </w:r>
      </w:hyperlink>
      <w:r>
        <w:rPr>
          <w:color w:val="0E101A"/>
          <w:sz w:val="24"/>
          <w:szCs w:val="24"/>
        </w:rPr>
        <w:t xml:space="preserve">  In this evaluation’s critical incident we see evidence of learners being taught to </w:t>
      </w:r>
      <w:proofErr w:type="spellStart"/>
      <w:r>
        <w:rPr>
          <w:color w:val="0E101A"/>
          <w:sz w:val="24"/>
          <w:szCs w:val="24"/>
        </w:rPr>
        <w:t>self manage</w:t>
      </w:r>
      <w:proofErr w:type="spellEnd"/>
      <w:r>
        <w:rPr>
          <w:color w:val="0E101A"/>
          <w:sz w:val="24"/>
          <w:szCs w:val="24"/>
        </w:rPr>
        <w:t xml:space="preserve"> emotional responses to their environment. The Wellbeing Future Generations a</w:t>
      </w:r>
      <w:r>
        <w:rPr>
          <w:color w:val="0E101A"/>
          <w:sz w:val="24"/>
          <w:szCs w:val="24"/>
        </w:rPr>
        <w:t>ct has put this need to comprehend and apply choices that benefit future health into a policy that applies to all public bodies in Wales. This unified approach means that a preventative approach to mental ill-health will be embedded through all public bodi</w:t>
      </w:r>
      <w:r>
        <w:rPr>
          <w:color w:val="0E101A"/>
          <w:sz w:val="24"/>
          <w:szCs w:val="24"/>
        </w:rPr>
        <w:t>es in Wales. Like Huber this report considers chronic illness defining health as ‘different degrees of health on a continuum’ built by a process where a variety of methods and strategies are used to support a populace affected by risks and illnesses</w:t>
      </w:r>
      <w:hyperlink r:id="rId49">
        <w:r>
          <w:rPr>
            <w:sz w:val="24"/>
            <w:szCs w:val="24"/>
          </w:rPr>
          <w:t xml:space="preserve">(‘well-being-of-future-generations-wales-act’, </w:t>
        </w:r>
      </w:hyperlink>
      <w:hyperlink r:id="rId50">
        <w:r>
          <w:rPr>
            <w:sz w:val="24"/>
            <w:szCs w:val="24"/>
          </w:rPr>
          <w:t>2015</w:t>
        </w:r>
      </w:hyperlink>
      <w:hyperlink r:id="rId51">
        <w:r>
          <w:rPr>
            <w:sz w:val="24"/>
            <w:szCs w:val="24"/>
          </w:rPr>
          <w:t>)</w:t>
        </w:r>
      </w:hyperlink>
      <w:r>
        <w:rPr>
          <w:color w:val="0E101A"/>
          <w:sz w:val="24"/>
          <w:szCs w:val="24"/>
        </w:rPr>
        <w:t>.</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We know that resilient</w:t>
      </w:r>
      <w:r>
        <w:rPr>
          <w:color w:val="0E101A"/>
          <w:sz w:val="24"/>
          <w:szCs w:val="24"/>
        </w:rPr>
        <w:t xml:space="preserve"> people often go through high-risk situations with comparatively good psychological outcomes </w:t>
      </w:r>
      <w:hyperlink r:id="rId52">
        <w:r>
          <w:rPr>
            <w:sz w:val="24"/>
            <w:szCs w:val="24"/>
          </w:rPr>
          <w:t>(</w:t>
        </w:r>
        <w:proofErr w:type="spellStart"/>
        <w:r>
          <w:rPr>
            <w:sz w:val="24"/>
            <w:szCs w:val="24"/>
          </w:rPr>
          <w:t>Cefai</w:t>
        </w:r>
        <w:proofErr w:type="spellEnd"/>
        <w:r>
          <w:rPr>
            <w:sz w:val="24"/>
            <w:szCs w:val="24"/>
          </w:rPr>
          <w:t>, 2007)</w:t>
        </w:r>
      </w:hyperlink>
      <w:r>
        <w:rPr>
          <w:color w:val="0E101A"/>
          <w:sz w:val="24"/>
          <w:szCs w:val="24"/>
        </w:rPr>
        <w:t xml:space="preserve">. A report by public health England suggests that children who are resilient do well despite adversity. However, those who face the most adversity </w:t>
      </w:r>
      <w:proofErr w:type="gramStart"/>
      <w:r>
        <w:rPr>
          <w:color w:val="0E101A"/>
          <w:sz w:val="24"/>
          <w:szCs w:val="24"/>
        </w:rPr>
        <w:t>are</w:t>
      </w:r>
      <w:proofErr w:type="gramEnd"/>
      <w:r>
        <w:rPr>
          <w:color w:val="0E101A"/>
          <w:sz w:val="24"/>
          <w:szCs w:val="24"/>
        </w:rPr>
        <w:t xml:space="preserve"> least likely to have the resources to build resilience. Inequalities in resilience due to adversity are a</w:t>
      </w:r>
      <w:r>
        <w:rPr>
          <w:color w:val="0E101A"/>
          <w:sz w:val="24"/>
          <w:szCs w:val="24"/>
        </w:rPr>
        <w:t xml:space="preserve">ctually contributing to health inequalities </w:t>
      </w:r>
      <w:hyperlink r:id="rId53">
        <w:r>
          <w:rPr>
            <w:color w:val="CC2936"/>
            <w:sz w:val="24"/>
            <w:szCs w:val="24"/>
          </w:rPr>
          <w:t>(2014)</w:t>
        </w:r>
      </w:hyperlink>
      <w:r>
        <w:rPr>
          <w:color w:val="0E101A"/>
          <w:sz w:val="24"/>
          <w:szCs w:val="24"/>
        </w:rPr>
        <w:t xml:space="preserve">. This is particularly relevant to Wales where residents of the wealthiest areas are expected to live up to nine years longer on average </w:t>
      </w:r>
      <w:r>
        <w:rPr>
          <w:color w:val="0E101A"/>
          <w:sz w:val="24"/>
          <w:szCs w:val="24"/>
        </w:rPr>
        <w:t xml:space="preserve">and up to eighteen years longer, in good health than those in the poorest areas </w:t>
      </w:r>
      <w:hyperlink r:id="rId54">
        <w:r>
          <w:rPr>
            <w:sz w:val="24"/>
            <w:szCs w:val="24"/>
          </w:rPr>
          <w:t>(Future Generations Commissioner Wales, 2020)</w:t>
        </w:r>
      </w:hyperlink>
      <w:r>
        <w:rPr>
          <w:color w:val="0E101A"/>
          <w:sz w:val="24"/>
          <w:szCs w:val="24"/>
        </w:rPr>
        <w:t>.</w:t>
      </w:r>
    </w:p>
    <w:p w:rsidR="006B1413" w:rsidRDefault="006B1413">
      <w:pPr>
        <w:spacing w:line="360" w:lineRule="auto"/>
        <w:rPr>
          <w:color w:val="0E101A"/>
          <w:sz w:val="24"/>
          <w:szCs w:val="24"/>
        </w:rPr>
      </w:pP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We see a response to this applied in the new curriculum where the</w:t>
      </w:r>
      <w:r>
        <w:rPr>
          <w:color w:val="0E101A"/>
          <w:sz w:val="24"/>
          <w:szCs w:val="24"/>
        </w:rPr>
        <w:t xml:space="preserve"> Health and Well-being area of learning is being designed to develop learners’</w:t>
      </w:r>
      <w:r>
        <w:rPr>
          <w:color w:val="0E101A"/>
          <w:sz w:val="24"/>
          <w:szCs w:val="24"/>
        </w:rPr>
        <w:t xml:space="preserve"> capacities to manage life’s opportunities and challenges. Learners should develop ‘motivation, resilience empathy and decision making abilities’</w:t>
      </w:r>
      <w:hyperlink r:id="rId55">
        <w:r>
          <w:rPr>
            <w:color w:val="CC2936"/>
            <w:sz w:val="24"/>
            <w:szCs w:val="24"/>
          </w:rPr>
          <w:t>(curriculum for wales guidance, 2020, p. 73)</w:t>
        </w:r>
      </w:hyperlink>
      <w:r>
        <w:rPr>
          <w:color w:val="0E101A"/>
          <w:sz w:val="24"/>
          <w:szCs w:val="24"/>
        </w:rPr>
        <w:t xml:space="preserve"> to become ambitious capable learners. </w:t>
      </w:r>
      <w:proofErr w:type="spellStart"/>
      <w:r>
        <w:rPr>
          <w:color w:val="0E101A"/>
          <w:sz w:val="24"/>
          <w:szCs w:val="24"/>
        </w:rPr>
        <w:t>Estyn’s</w:t>
      </w:r>
      <w:proofErr w:type="spellEnd"/>
      <w:r>
        <w:rPr>
          <w:color w:val="0E101A"/>
          <w:sz w:val="24"/>
          <w:szCs w:val="24"/>
        </w:rPr>
        <w:t xml:space="preserve"> report on building learner resilience suggested that in order to develop learner resilience pupils needed a degree of self-esteem,</w:t>
      </w:r>
      <w:r>
        <w:rPr>
          <w:color w:val="0E101A"/>
          <w:sz w:val="24"/>
          <w:szCs w:val="24"/>
        </w:rPr>
        <w:t xml:space="preserve"> confidence, emotional understanding and the ability to develop trusting relationships and benefit from help. For this reason, effective strategies for developing pupil resilience are in schools that promote emotional wellbeing and support all learners’ me</w:t>
      </w:r>
      <w:r>
        <w:rPr>
          <w:color w:val="0E101A"/>
          <w:sz w:val="24"/>
          <w:szCs w:val="24"/>
        </w:rPr>
        <w:t xml:space="preserve">ntal health. </w:t>
      </w:r>
      <w:r>
        <w:rPr>
          <w:color w:val="0E101A"/>
          <w:sz w:val="24"/>
          <w:szCs w:val="24"/>
        </w:rPr>
        <w:lastRenderedPageBreak/>
        <w:t>Intervention should be part of a whole school vision where time, energy and resources are used to support learner wellbeing</w:t>
      </w:r>
      <w:hyperlink r:id="rId56">
        <w:r>
          <w:rPr>
            <w:color w:val="CC2936"/>
            <w:sz w:val="24"/>
            <w:szCs w:val="24"/>
          </w:rPr>
          <w:t>(</w:t>
        </w:r>
        <w:proofErr w:type="spellStart"/>
        <w:r>
          <w:rPr>
            <w:color w:val="CC2936"/>
            <w:sz w:val="24"/>
            <w:szCs w:val="24"/>
          </w:rPr>
          <w:t>Estyn</w:t>
        </w:r>
        <w:proofErr w:type="spellEnd"/>
        <w:r>
          <w:rPr>
            <w:color w:val="CC2936"/>
            <w:sz w:val="24"/>
            <w:szCs w:val="24"/>
          </w:rPr>
          <w:t>, 2020)</w:t>
        </w:r>
      </w:hyperlink>
      <w:r>
        <w:rPr>
          <w:color w:val="0E101A"/>
          <w:sz w:val="24"/>
          <w:szCs w:val="24"/>
        </w:rPr>
        <w:t xml:space="preserve">. </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 xml:space="preserve">Ann S. </w:t>
      </w:r>
      <w:proofErr w:type="spellStart"/>
      <w:r>
        <w:rPr>
          <w:color w:val="0E101A"/>
          <w:sz w:val="24"/>
          <w:szCs w:val="24"/>
        </w:rPr>
        <w:t>Masten</w:t>
      </w:r>
      <w:proofErr w:type="spellEnd"/>
      <w:r>
        <w:rPr>
          <w:color w:val="0E101A"/>
          <w:sz w:val="24"/>
          <w:szCs w:val="24"/>
        </w:rPr>
        <w:t xml:space="preserve"> described resilience</w:t>
      </w:r>
      <w:r>
        <w:rPr>
          <w:color w:val="0E101A"/>
          <w:sz w:val="24"/>
          <w:szCs w:val="24"/>
        </w:rPr>
        <w:t xml:space="preserve"> as made of ordinary instead of extraordinary processes </w:t>
      </w:r>
      <w:hyperlink r:id="rId57">
        <w:r>
          <w:rPr>
            <w:sz w:val="24"/>
            <w:szCs w:val="24"/>
          </w:rPr>
          <w:t xml:space="preserve">(Ann S </w:t>
        </w:r>
        <w:proofErr w:type="spellStart"/>
        <w:r>
          <w:rPr>
            <w:sz w:val="24"/>
            <w:szCs w:val="24"/>
          </w:rPr>
          <w:t>Masten</w:t>
        </w:r>
        <w:proofErr w:type="spellEnd"/>
        <w:r>
          <w:rPr>
            <w:sz w:val="24"/>
            <w:szCs w:val="24"/>
          </w:rPr>
          <w:t>, 2001)</w:t>
        </w:r>
      </w:hyperlink>
      <w:r>
        <w:rPr>
          <w:color w:val="0E101A"/>
          <w:sz w:val="24"/>
          <w:szCs w:val="24"/>
        </w:rPr>
        <w:t xml:space="preserve"> and while we know a variety of interventions and </w:t>
      </w:r>
      <w:proofErr w:type="spellStart"/>
      <w:r>
        <w:rPr>
          <w:color w:val="0E101A"/>
          <w:sz w:val="24"/>
          <w:szCs w:val="24"/>
        </w:rPr>
        <w:t>programmes</w:t>
      </w:r>
      <w:proofErr w:type="spellEnd"/>
      <w:r>
        <w:rPr>
          <w:color w:val="0E101A"/>
          <w:sz w:val="24"/>
          <w:szCs w:val="24"/>
        </w:rPr>
        <w:t xml:space="preserve"> that can show results, empirical data supporting them is </w:t>
      </w:r>
      <w:r>
        <w:rPr>
          <w:color w:val="0E101A"/>
          <w:sz w:val="24"/>
          <w:szCs w:val="24"/>
        </w:rPr>
        <w:t xml:space="preserve">often inconsistent </w:t>
      </w:r>
      <w:hyperlink r:id="rId58">
        <w:r>
          <w:rPr>
            <w:color w:val="CC2936"/>
            <w:sz w:val="24"/>
            <w:szCs w:val="24"/>
          </w:rPr>
          <w:t xml:space="preserve">(Banerjee </w:t>
        </w:r>
      </w:hyperlink>
      <w:hyperlink r:id="rId59">
        <w:r>
          <w:rPr>
            <w:i/>
            <w:color w:val="CC2936"/>
            <w:sz w:val="24"/>
            <w:szCs w:val="24"/>
          </w:rPr>
          <w:t>et al.</w:t>
        </w:r>
      </w:hyperlink>
      <w:hyperlink r:id="rId60">
        <w:r>
          <w:rPr>
            <w:color w:val="CC2936"/>
            <w:sz w:val="24"/>
            <w:szCs w:val="24"/>
          </w:rPr>
          <w:t>, 2016)</w:t>
        </w:r>
      </w:hyperlink>
      <w:r>
        <w:rPr>
          <w:color w:val="0E101A"/>
          <w:sz w:val="24"/>
          <w:szCs w:val="24"/>
        </w:rPr>
        <w:t xml:space="preserve">. </w:t>
      </w:r>
      <w:proofErr w:type="spellStart"/>
      <w:r>
        <w:rPr>
          <w:color w:val="0E101A"/>
          <w:sz w:val="24"/>
          <w:szCs w:val="24"/>
        </w:rPr>
        <w:t>Banar</w:t>
      </w:r>
      <w:r>
        <w:rPr>
          <w:color w:val="0E101A"/>
          <w:sz w:val="24"/>
          <w:szCs w:val="24"/>
        </w:rPr>
        <w:t>jee</w:t>
      </w:r>
      <w:proofErr w:type="spellEnd"/>
      <w:r>
        <w:rPr>
          <w:color w:val="0E101A"/>
          <w:sz w:val="24"/>
          <w:szCs w:val="24"/>
        </w:rPr>
        <w:t xml:space="preserve"> does indicate that whole school connectedness, pedagogy supporting pupil autonomy, specific lessons to highlight social-emotional skills, effective teaching, and the work from specialist staff both within the school and as a bridge to external health a</w:t>
      </w:r>
      <w:r>
        <w:rPr>
          <w:color w:val="0E101A"/>
          <w:sz w:val="24"/>
          <w:szCs w:val="24"/>
        </w:rPr>
        <w:t>nd education practice</w:t>
      </w:r>
      <w:hyperlink r:id="rId61">
        <w:r>
          <w:rPr>
            <w:color w:val="CC2936"/>
            <w:sz w:val="24"/>
            <w:szCs w:val="24"/>
          </w:rPr>
          <w:t xml:space="preserve">(Banerjee </w:t>
        </w:r>
      </w:hyperlink>
      <w:hyperlink r:id="rId62">
        <w:r>
          <w:rPr>
            <w:i/>
            <w:color w:val="CC2936"/>
            <w:sz w:val="24"/>
            <w:szCs w:val="24"/>
          </w:rPr>
          <w:t>et al.</w:t>
        </w:r>
      </w:hyperlink>
      <w:hyperlink r:id="rId63">
        <w:r>
          <w:rPr>
            <w:color w:val="CC2936"/>
            <w:sz w:val="24"/>
            <w:szCs w:val="24"/>
          </w:rPr>
          <w:t>, 2016)</w:t>
        </w:r>
      </w:hyperlink>
      <w:r>
        <w:rPr>
          <w:color w:val="0E101A"/>
          <w:sz w:val="24"/>
          <w:szCs w:val="24"/>
        </w:rPr>
        <w:t xml:space="preserve">. </w:t>
      </w:r>
      <w:proofErr w:type="spellStart"/>
      <w:r>
        <w:rPr>
          <w:color w:val="0E101A"/>
          <w:sz w:val="24"/>
          <w:szCs w:val="24"/>
        </w:rPr>
        <w:t>Est</w:t>
      </w:r>
      <w:r>
        <w:rPr>
          <w:color w:val="0E101A"/>
          <w:sz w:val="24"/>
          <w:szCs w:val="24"/>
        </w:rPr>
        <w:t>yn</w:t>
      </w:r>
      <w:proofErr w:type="spellEnd"/>
      <w:r>
        <w:rPr>
          <w:color w:val="0E101A"/>
          <w:sz w:val="24"/>
          <w:szCs w:val="24"/>
        </w:rPr>
        <w:t xml:space="preserve"> further moved that schools that were successful at fostering resilience</w:t>
      </w:r>
    </w:p>
    <w:p w:rsidR="006B1413" w:rsidRDefault="00B92348">
      <w:pPr>
        <w:numPr>
          <w:ilvl w:val="0"/>
          <w:numId w:val="1"/>
        </w:numPr>
        <w:spacing w:line="360" w:lineRule="auto"/>
        <w:rPr>
          <w:sz w:val="24"/>
          <w:szCs w:val="24"/>
        </w:rPr>
      </w:pPr>
      <w:r>
        <w:rPr>
          <w:color w:val="0E101A"/>
          <w:sz w:val="24"/>
          <w:szCs w:val="24"/>
        </w:rPr>
        <w:t xml:space="preserve">Focused on building positive trusting relationships with students </w:t>
      </w:r>
    </w:p>
    <w:p w:rsidR="006B1413" w:rsidRDefault="00B92348">
      <w:pPr>
        <w:numPr>
          <w:ilvl w:val="0"/>
          <w:numId w:val="1"/>
        </w:numPr>
        <w:spacing w:line="360" w:lineRule="auto"/>
        <w:rPr>
          <w:sz w:val="24"/>
          <w:szCs w:val="24"/>
        </w:rPr>
      </w:pPr>
      <w:r>
        <w:rPr>
          <w:color w:val="0E101A"/>
          <w:sz w:val="24"/>
          <w:szCs w:val="24"/>
        </w:rPr>
        <w:t>Focused on student and staff well-being</w:t>
      </w:r>
    </w:p>
    <w:p w:rsidR="006B1413" w:rsidRDefault="00B92348">
      <w:pPr>
        <w:numPr>
          <w:ilvl w:val="0"/>
          <w:numId w:val="1"/>
        </w:numPr>
        <w:spacing w:line="360" w:lineRule="auto"/>
        <w:rPr>
          <w:sz w:val="24"/>
          <w:szCs w:val="24"/>
        </w:rPr>
      </w:pPr>
      <w:r>
        <w:rPr>
          <w:color w:val="0E101A"/>
          <w:sz w:val="24"/>
          <w:szCs w:val="24"/>
        </w:rPr>
        <w:t xml:space="preserve">Swift information sharing about vulnerable pupils to allow more effective </w:t>
      </w:r>
      <w:r>
        <w:rPr>
          <w:color w:val="0E101A"/>
          <w:sz w:val="24"/>
          <w:szCs w:val="24"/>
        </w:rPr>
        <w:t>interventions</w:t>
      </w:r>
    </w:p>
    <w:p w:rsidR="006B1413" w:rsidRDefault="00B92348">
      <w:pPr>
        <w:numPr>
          <w:ilvl w:val="0"/>
          <w:numId w:val="1"/>
        </w:numPr>
        <w:spacing w:line="360" w:lineRule="auto"/>
        <w:rPr>
          <w:sz w:val="24"/>
          <w:szCs w:val="24"/>
        </w:rPr>
      </w:pPr>
      <w:r>
        <w:rPr>
          <w:color w:val="0E101A"/>
          <w:sz w:val="24"/>
          <w:szCs w:val="24"/>
        </w:rPr>
        <w:t xml:space="preserve"> Focused on inclusivity and few fixed-term exclusions</w:t>
      </w:r>
    </w:p>
    <w:p w:rsidR="006B1413" w:rsidRDefault="00B92348">
      <w:pPr>
        <w:numPr>
          <w:ilvl w:val="0"/>
          <w:numId w:val="1"/>
        </w:numPr>
        <w:spacing w:line="360" w:lineRule="auto"/>
        <w:rPr>
          <w:sz w:val="24"/>
          <w:szCs w:val="24"/>
        </w:rPr>
      </w:pPr>
      <w:r>
        <w:rPr>
          <w:color w:val="0E101A"/>
          <w:sz w:val="24"/>
          <w:szCs w:val="24"/>
        </w:rPr>
        <w:t>Working closely with home and other external agencies</w:t>
      </w:r>
    </w:p>
    <w:p w:rsidR="006B1413" w:rsidRDefault="00B92348">
      <w:pPr>
        <w:numPr>
          <w:ilvl w:val="0"/>
          <w:numId w:val="1"/>
        </w:numPr>
        <w:spacing w:line="360" w:lineRule="auto"/>
        <w:rPr>
          <w:sz w:val="24"/>
          <w:szCs w:val="24"/>
        </w:rPr>
      </w:pPr>
      <w:r>
        <w:rPr>
          <w:color w:val="0E101A"/>
          <w:sz w:val="24"/>
          <w:szCs w:val="24"/>
        </w:rPr>
        <w:t>Nurturing approaches and support with transitions</w:t>
      </w:r>
    </w:p>
    <w:p w:rsidR="006B1413" w:rsidRDefault="00B92348">
      <w:pPr>
        <w:numPr>
          <w:ilvl w:val="0"/>
          <w:numId w:val="1"/>
        </w:numPr>
        <w:spacing w:line="360" w:lineRule="auto"/>
        <w:rPr>
          <w:sz w:val="24"/>
          <w:szCs w:val="24"/>
        </w:rPr>
      </w:pPr>
      <w:r>
        <w:rPr>
          <w:color w:val="0E101A"/>
          <w:sz w:val="24"/>
          <w:szCs w:val="24"/>
        </w:rPr>
        <w:t xml:space="preserve">High expectations and focus on learning from mistakes </w:t>
      </w:r>
    </w:p>
    <w:p w:rsidR="006B1413" w:rsidRDefault="00B92348">
      <w:pPr>
        <w:spacing w:line="360" w:lineRule="auto"/>
        <w:rPr>
          <w:color w:val="0E101A"/>
          <w:sz w:val="24"/>
          <w:szCs w:val="24"/>
        </w:rPr>
      </w:pPr>
      <w:r>
        <w:rPr>
          <w:color w:val="0E101A"/>
          <w:sz w:val="24"/>
          <w:szCs w:val="24"/>
        </w:rPr>
        <w:t>However perhaps most importantly was that school leaders rarely discuss resilience as a main aim or objective as resilience is often formed through supporting other needs. There is no simple way to teach learners to be resilient and it requires considerabl</w:t>
      </w:r>
      <w:r>
        <w:rPr>
          <w:color w:val="0E101A"/>
          <w:sz w:val="24"/>
          <w:szCs w:val="24"/>
        </w:rPr>
        <w:t xml:space="preserve">e energy, time and resources. </w:t>
      </w:r>
      <w:hyperlink r:id="rId64">
        <w:r>
          <w:rPr>
            <w:color w:val="CC2936"/>
            <w:sz w:val="24"/>
            <w:szCs w:val="24"/>
          </w:rPr>
          <w:t>(</w:t>
        </w:r>
        <w:proofErr w:type="spellStart"/>
        <w:r>
          <w:rPr>
            <w:color w:val="CC2936"/>
            <w:sz w:val="24"/>
            <w:szCs w:val="24"/>
          </w:rPr>
          <w:t>Estyn</w:t>
        </w:r>
        <w:proofErr w:type="spellEnd"/>
        <w:r>
          <w:rPr>
            <w:color w:val="CC2936"/>
            <w:sz w:val="24"/>
            <w:szCs w:val="24"/>
          </w:rPr>
          <w:t>, 2020)</w:t>
        </w:r>
      </w:hyperlink>
      <w:r>
        <w:rPr>
          <w:color w:val="0E101A"/>
          <w:sz w:val="24"/>
          <w:szCs w:val="24"/>
        </w:rPr>
        <w:t xml:space="preserve">. </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The observed critical incident showed a knowledge of emotional literacy that was supported by discussions about social and emotional literac</w:t>
      </w:r>
      <w:r>
        <w:rPr>
          <w:color w:val="0E101A"/>
          <w:sz w:val="24"/>
          <w:szCs w:val="24"/>
        </w:rPr>
        <w:t>y. Furthermore, it showed that pupils had an idea of what was expected from them from previous tasks and other opportunities for metacognition. Finally, it showed positive relationships between teacher and student where students were happy to contribute to</w:t>
      </w:r>
      <w:r>
        <w:rPr>
          <w:color w:val="0E101A"/>
          <w:sz w:val="24"/>
          <w:szCs w:val="24"/>
        </w:rPr>
        <w:t xml:space="preserve"> the class and invested enough in the learning process that they were prepared to try against adversity. </w:t>
      </w:r>
    </w:p>
    <w:p w:rsidR="006B1413" w:rsidRDefault="006B1413">
      <w:pPr>
        <w:spacing w:line="360" w:lineRule="auto"/>
        <w:rPr>
          <w:color w:val="0E101A"/>
          <w:sz w:val="24"/>
          <w:szCs w:val="24"/>
        </w:rPr>
      </w:pPr>
    </w:p>
    <w:p w:rsidR="006B1413" w:rsidRDefault="006B1413">
      <w:pPr>
        <w:spacing w:line="360" w:lineRule="auto"/>
        <w:rPr>
          <w:color w:val="0E101A"/>
          <w:sz w:val="24"/>
          <w:szCs w:val="24"/>
        </w:rPr>
      </w:pP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 xml:space="preserve"> </w:t>
      </w:r>
    </w:p>
    <w:p w:rsidR="006B1413" w:rsidRDefault="00B92348">
      <w:pPr>
        <w:spacing w:line="360" w:lineRule="auto"/>
        <w:rPr>
          <w:color w:val="0E101A"/>
          <w:sz w:val="24"/>
          <w:szCs w:val="24"/>
        </w:rPr>
      </w:pPr>
      <w:r>
        <w:rPr>
          <w:color w:val="0E101A"/>
          <w:sz w:val="24"/>
          <w:szCs w:val="24"/>
        </w:rPr>
        <w:t>Reflection and Further Steps</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This evaluation looked at a critical incident where positive practice was embedded by an experienced practitioner c</w:t>
      </w:r>
      <w:r>
        <w:rPr>
          <w:color w:val="0E101A"/>
          <w:sz w:val="24"/>
          <w:szCs w:val="24"/>
        </w:rPr>
        <w:t>reating an established environment that welcomed challenge and effort against adversity. The further steps of this evaluation will consider both the maintenance tasks needed to sustain this environment but perhaps more importantly the steps the observer sh</w:t>
      </w:r>
      <w:r>
        <w:rPr>
          <w:color w:val="0E101A"/>
          <w:sz w:val="24"/>
          <w:szCs w:val="24"/>
        </w:rPr>
        <w:t xml:space="preserve">ould take to recreate this classroom culture within a new class. Conway comments on the limitations of student-teacher observations, stating that trainee teachers rarely have the breadth of classroom experience that allows them to fully evaluate incidents </w:t>
      </w:r>
      <w:r>
        <w:rPr>
          <w:color w:val="0E101A"/>
          <w:sz w:val="24"/>
          <w:szCs w:val="24"/>
        </w:rPr>
        <w:t xml:space="preserve">in school. This evaluation should allow the trainee to make more informed reflections in action while giving them a better idea of what to anticipate </w:t>
      </w:r>
      <w:hyperlink r:id="rId65">
        <w:r>
          <w:rPr>
            <w:sz w:val="24"/>
            <w:szCs w:val="24"/>
          </w:rPr>
          <w:t>(P ,Conway, 2001)</w:t>
        </w:r>
      </w:hyperlink>
      <w:r>
        <w:rPr>
          <w:color w:val="0E101A"/>
          <w:sz w:val="24"/>
          <w:szCs w:val="24"/>
        </w:rPr>
        <w:t>. Brookfield’s reflective l</w:t>
      </w:r>
      <w:r>
        <w:rPr>
          <w:color w:val="0E101A"/>
          <w:sz w:val="24"/>
          <w:szCs w:val="24"/>
        </w:rPr>
        <w:t xml:space="preserve">enses will be used to interpret the critical incident, considering the lenses of the autobiographical perspective, the pupil, the colleague and the theorist </w:t>
      </w:r>
      <w:hyperlink r:id="rId66">
        <w:r>
          <w:rPr>
            <w:sz w:val="24"/>
            <w:szCs w:val="24"/>
          </w:rPr>
          <w:t>(S, Brookfield, 1995)</w:t>
        </w:r>
      </w:hyperlink>
      <w:r>
        <w:rPr>
          <w:color w:val="0E101A"/>
          <w:sz w:val="24"/>
          <w:szCs w:val="24"/>
        </w:rPr>
        <w:t>.</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Maintenance T</w:t>
      </w:r>
      <w:r>
        <w:rPr>
          <w:color w:val="0E101A"/>
          <w:sz w:val="24"/>
          <w:szCs w:val="24"/>
        </w:rPr>
        <w:t>asks</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 xml:space="preserve">From an autobiographical lens, a good lesson by an expert practitioner can look perfect to an inexpert trainee who is unaware of the subtleties of teaching and learning. Through </w:t>
      </w:r>
      <w:proofErr w:type="spellStart"/>
      <w:r>
        <w:rPr>
          <w:color w:val="0E101A"/>
          <w:sz w:val="24"/>
          <w:szCs w:val="24"/>
        </w:rPr>
        <w:t>rewatching</w:t>
      </w:r>
      <w:proofErr w:type="spellEnd"/>
      <w:r>
        <w:rPr>
          <w:color w:val="0E101A"/>
          <w:sz w:val="24"/>
          <w:szCs w:val="24"/>
        </w:rPr>
        <w:t xml:space="preserve"> there are points at the lesson where learners are disengaging</w:t>
      </w:r>
      <w:r>
        <w:rPr>
          <w:color w:val="0E101A"/>
          <w:sz w:val="24"/>
          <w:szCs w:val="24"/>
        </w:rPr>
        <w:t xml:space="preserve"> and even at the point where most learners were visibly answering their teacher others could have been unfocused. This is particularly relevant when history as a largely engaged pupil makes it more difficult to identify disengagement in pupils. Despite thi</w:t>
      </w:r>
      <w:r>
        <w:rPr>
          <w:color w:val="0E101A"/>
          <w:sz w:val="24"/>
          <w:szCs w:val="24"/>
        </w:rPr>
        <w:t xml:space="preserve">s good practice to reward visible positive </w:t>
      </w:r>
      <w:proofErr w:type="spellStart"/>
      <w:r>
        <w:rPr>
          <w:color w:val="0E101A"/>
          <w:sz w:val="24"/>
          <w:szCs w:val="24"/>
        </w:rPr>
        <w:t>behaviours</w:t>
      </w:r>
      <w:proofErr w:type="spellEnd"/>
      <w:r>
        <w:rPr>
          <w:color w:val="0E101A"/>
          <w:sz w:val="24"/>
          <w:szCs w:val="24"/>
        </w:rPr>
        <w:t xml:space="preserve"> could also engage these unfocused pupils. Ongoing maintenance tasks are to reward visible participation to monitor how different pupils present when they are engaged or disengaged.</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lastRenderedPageBreak/>
        <w:t>To find out how to i</w:t>
      </w:r>
      <w:r>
        <w:rPr>
          <w:color w:val="0E101A"/>
          <w:sz w:val="24"/>
          <w:szCs w:val="24"/>
        </w:rPr>
        <w:t>mprove the lesson using the perspective of the learner my next steps would be to question students about their perception of the lesson and how it could be improved. Had I observed in a more traditional setting this could have been checking pupils understo</w:t>
      </w:r>
      <w:r>
        <w:rPr>
          <w:color w:val="0E101A"/>
          <w:sz w:val="24"/>
          <w:szCs w:val="24"/>
        </w:rPr>
        <w:t>od the task, asking how confident they felt in the subject and what they felt they had learned in the lesson.</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 xml:space="preserve">From a </w:t>
      </w:r>
      <w:proofErr w:type="gramStart"/>
      <w:r>
        <w:rPr>
          <w:color w:val="0E101A"/>
          <w:sz w:val="24"/>
          <w:szCs w:val="24"/>
        </w:rPr>
        <w:t>colleagues</w:t>
      </w:r>
      <w:proofErr w:type="gramEnd"/>
      <w:r>
        <w:rPr>
          <w:color w:val="0E101A"/>
          <w:sz w:val="24"/>
          <w:szCs w:val="24"/>
        </w:rPr>
        <w:t xml:space="preserve"> perspective, the focus would consider whether the teacher had effectively incorporated the school’s wellbeing policy and whethe</w:t>
      </w:r>
      <w:r>
        <w:rPr>
          <w:color w:val="0E101A"/>
          <w:sz w:val="24"/>
          <w:szCs w:val="24"/>
        </w:rPr>
        <w:t xml:space="preserve">r its implementation was effectively meeting the needs of pupils in the class. </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 xml:space="preserve">From a </w:t>
      </w:r>
      <w:proofErr w:type="gramStart"/>
      <w:r>
        <w:rPr>
          <w:color w:val="0E101A"/>
          <w:sz w:val="24"/>
          <w:szCs w:val="24"/>
        </w:rPr>
        <w:t>theorists</w:t>
      </w:r>
      <w:proofErr w:type="gramEnd"/>
      <w:r>
        <w:rPr>
          <w:color w:val="0E101A"/>
          <w:sz w:val="24"/>
          <w:szCs w:val="24"/>
        </w:rPr>
        <w:t xml:space="preserve"> lens, learners seemed to be happy to contribute to discussion suggesting positive pupil-teacher relationships. Moreover, children seemed used to thinking abou</w:t>
      </w:r>
      <w:r>
        <w:rPr>
          <w:color w:val="0E101A"/>
          <w:sz w:val="24"/>
          <w:szCs w:val="24"/>
        </w:rPr>
        <w:t>t the steps of their own learning and were seemingly confident in creating success criteria indicating they have some experience of metacognition. During the activity of this lesson, children should be quickly reinforced for hard work and creative thinking</w:t>
      </w:r>
      <w:r>
        <w:rPr>
          <w:color w:val="0E101A"/>
          <w:sz w:val="24"/>
          <w:szCs w:val="24"/>
        </w:rPr>
        <w:t xml:space="preserve"> about their learning.   </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Recreating the positive classroom culture.</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To recreate a challenging environment in my own practice I will use plenaries and other formative assessment to identify suitable levels of challenge and use these to motivate pupils to</w:t>
      </w:r>
      <w:r>
        <w:rPr>
          <w:color w:val="0E101A"/>
          <w:sz w:val="24"/>
          <w:szCs w:val="24"/>
        </w:rPr>
        <w:t xml:space="preserve"> test themselves. </w:t>
      </w:r>
      <w:proofErr w:type="spellStart"/>
      <w:r>
        <w:rPr>
          <w:color w:val="0E101A"/>
          <w:sz w:val="24"/>
          <w:szCs w:val="24"/>
        </w:rPr>
        <w:t>Recognising</w:t>
      </w:r>
      <w:proofErr w:type="spellEnd"/>
      <w:r>
        <w:rPr>
          <w:color w:val="0E101A"/>
          <w:sz w:val="24"/>
          <w:szCs w:val="24"/>
        </w:rPr>
        <w:t xml:space="preserve"> and praising effort and achievement will be key to developing good relationships with pupils and encouraging the desire to learn for the sake of learning. When learners are sufficiently </w:t>
      </w:r>
      <w:proofErr w:type="gramStart"/>
      <w:r>
        <w:rPr>
          <w:color w:val="0E101A"/>
          <w:sz w:val="24"/>
          <w:szCs w:val="24"/>
        </w:rPr>
        <w:t>competent</w:t>
      </w:r>
      <w:proofErr w:type="gramEnd"/>
      <w:r>
        <w:rPr>
          <w:color w:val="0E101A"/>
          <w:sz w:val="24"/>
          <w:szCs w:val="24"/>
        </w:rPr>
        <w:t xml:space="preserve"> they should be given opportuni</w:t>
      </w:r>
      <w:r>
        <w:rPr>
          <w:color w:val="0E101A"/>
          <w:sz w:val="24"/>
          <w:szCs w:val="24"/>
        </w:rPr>
        <w:t xml:space="preserve">ties to discuss and test their learning processes so they can lead their own learning. While to make tasks motivating for </w:t>
      </w:r>
      <w:proofErr w:type="gramStart"/>
      <w:r>
        <w:rPr>
          <w:color w:val="0E101A"/>
          <w:sz w:val="24"/>
          <w:szCs w:val="24"/>
        </w:rPr>
        <w:t>learners</w:t>
      </w:r>
      <w:proofErr w:type="gramEnd"/>
      <w:r>
        <w:rPr>
          <w:color w:val="0E101A"/>
          <w:sz w:val="24"/>
          <w:szCs w:val="24"/>
        </w:rPr>
        <w:t xml:space="preserve"> they should be allowed some choice in the process of it.  </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 xml:space="preserve">To recreate a healthy environment for well-being in my practice, </w:t>
      </w:r>
      <w:r>
        <w:rPr>
          <w:color w:val="0E101A"/>
          <w:sz w:val="24"/>
          <w:szCs w:val="24"/>
        </w:rPr>
        <w:t xml:space="preserve">I will </w:t>
      </w:r>
      <w:proofErr w:type="spellStart"/>
      <w:r>
        <w:rPr>
          <w:color w:val="0E101A"/>
          <w:sz w:val="24"/>
          <w:szCs w:val="24"/>
        </w:rPr>
        <w:t>utilise</w:t>
      </w:r>
      <w:proofErr w:type="spellEnd"/>
      <w:r>
        <w:rPr>
          <w:color w:val="0E101A"/>
          <w:sz w:val="24"/>
          <w:szCs w:val="24"/>
        </w:rPr>
        <w:t xml:space="preserve"> whole school policies and try to create opportunities for social-emotional learning. I will communicate with other teachers and external bodies for advice and support for key </w:t>
      </w:r>
      <w:r>
        <w:rPr>
          <w:color w:val="0E101A"/>
          <w:sz w:val="24"/>
          <w:szCs w:val="24"/>
        </w:rPr>
        <w:lastRenderedPageBreak/>
        <w:t>students and plan around key students to make tasks as inclusive a</w:t>
      </w:r>
      <w:r>
        <w:rPr>
          <w:color w:val="0E101A"/>
          <w:sz w:val="24"/>
          <w:szCs w:val="24"/>
        </w:rPr>
        <w:t xml:space="preserve">s possible. When appropriate I will communicate with parents to build links between school and home.   </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 xml:space="preserve"> Conclusion</w:t>
      </w:r>
    </w:p>
    <w:p w:rsidR="006B1413" w:rsidRDefault="006B1413">
      <w:pPr>
        <w:spacing w:line="360" w:lineRule="auto"/>
        <w:rPr>
          <w:color w:val="0E101A"/>
          <w:sz w:val="24"/>
          <w:szCs w:val="24"/>
        </w:rPr>
      </w:pPr>
    </w:p>
    <w:p w:rsidR="006B1413" w:rsidRDefault="00B92348">
      <w:pPr>
        <w:spacing w:line="360" w:lineRule="auto"/>
        <w:rPr>
          <w:color w:val="0E101A"/>
          <w:sz w:val="24"/>
          <w:szCs w:val="24"/>
        </w:rPr>
      </w:pPr>
      <w:r>
        <w:rPr>
          <w:color w:val="0E101A"/>
          <w:sz w:val="24"/>
          <w:szCs w:val="24"/>
        </w:rPr>
        <w:t>This critical incident has allowed consideration of the government professional guidance and research on a number of elements of the teaching standards for pedagogy. This approach has considered the need for how to achieve, challenge and high expectations,</w:t>
      </w:r>
      <w:r>
        <w:rPr>
          <w:color w:val="0E101A"/>
          <w:sz w:val="24"/>
          <w:szCs w:val="24"/>
        </w:rPr>
        <w:t xml:space="preserve"> sustained effort and resilience in learners and learning outcomes and well-being. The focus on resilience in terms of challenging learners and protective measures for well-being has considered what is good practice to support and care for learners. It has</w:t>
      </w:r>
      <w:r>
        <w:rPr>
          <w:color w:val="0E101A"/>
          <w:sz w:val="24"/>
          <w:szCs w:val="24"/>
        </w:rPr>
        <w:t xml:space="preserve"> considered a critical incident of existing good practice and considered how to implement similar practice into my own teaching. While the critical incident observed learners with some knowledge of resilience, this research indicated that best practice lie</w:t>
      </w:r>
      <w:r>
        <w:rPr>
          <w:color w:val="0E101A"/>
          <w:sz w:val="24"/>
          <w:szCs w:val="24"/>
        </w:rPr>
        <w:t>s in teaching resilience through supporting pupils in other areas. The non-participant case study was limited as the film methodology made it difficult to get a true sense of the classroom culture. Despite this, the ability to replay sections made it easie</w:t>
      </w:r>
      <w:r>
        <w:rPr>
          <w:color w:val="0E101A"/>
          <w:sz w:val="24"/>
          <w:szCs w:val="24"/>
        </w:rPr>
        <w:t>r to check visible engagement and the absence of a non-participant observer could mean pupils were behaving in more natural ways. This evaluation has started my journey to become a research-based adaptive practitioner and the opportunity to reflect has cha</w:t>
      </w:r>
      <w:r>
        <w:rPr>
          <w:color w:val="0E101A"/>
          <w:sz w:val="24"/>
          <w:szCs w:val="24"/>
        </w:rPr>
        <w:t>nged my perspective of resilience to include the practices that can build healthy processes.</w:t>
      </w:r>
    </w:p>
    <w:p w:rsidR="006B1413" w:rsidRDefault="006B1413"/>
    <w:p w:rsidR="006B1413" w:rsidRDefault="006B1413">
      <w:pPr>
        <w:rPr>
          <w:rFonts w:ascii="Times New Roman" w:eastAsia="Times New Roman" w:hAnsi="Times New Roman" w:cs="Times New Roman"/>
          <w:sz w:val="24"/>
          <w:szCs w:val="24"/>
        </w:rPr>
      </w:pPr>
    </w:p>
    <w:p w:rsidR="006B1413" w:rsidRDefault="006B1413">
      <w:pPr>
        <w:spacing w:line="324" w:lineRule="auto"/>
        <w:ind w:left="880" w:hanging="440"/>
        <w:rPr>
          <w:rFonts w:ascii="Times New Roman" w:eastAsia="Times New Roman" w:hAnsi="Times New Roman" w:cs="Times New Roman"/>
          <w:sz w:val="24"/>
          <w:szCs w:val="24"/>
        </w:rPr>
      </w:pPr>
    </w:p>
    <w:p w:rsidR="006B1413" w:rsidRDefault="006B1413">
      <w:pPr>
        <w:rPr>
          <w:rFonts w:ascii="Times New Roman" w:eastAsia="Times New Roman" w:hAnsi="Times New Roman" w:cs="Times New Roman"/>
          <w:sz w:val="24"/>
          <w:szCs w:val="24"/>
        </w:rPr>
      </w:pPr>
    </w:p>
    <w:p w:rsidR="006B1413" w:rsidRDefault="00B92348">
      <w:pPr>
        <w:rPr>
          <w:sz w:val="24"/>
          <w:szCs w:val="24"/>
        </w:rPr>
      </w:pPr>
      <w:r>
        <w:rPr>
          <w:sz w:val="24"/>
          <w:szCs w:val="24"/>
        </w:rPr>
        <w:t>Bibliography</w:t>
      </w:r>
    </w:p>
    <w:p w:rsidR="006B1413" w:rsidRDefault="006B1413">
      <w:pPr>
        <w:rPr>
          <w:sz w:val="24"/>
          <w:szCs w:val="24"/>
          <w:u w:val="single"/>
        </w:rPr>
      </w:pPr>
    </w:p>
    <w:p w:rsidR="006B1413" w:rsidRDefault="00B92348">
      <w:pPr>
        <w:widowControl w:val="0"/>
        <w:pBdr>
          <w:top w:val="nil"/>
          <w:left w:val="nil"/>
          <w:bottom w:val="nil"/>
          <w:right w:val="nil"/>
          <w:between w:val="nil"/>
        </w:pBdr>
        <w:spacing w:line="240" w:lineRule="auto"/>
        <w:rPr>
          <w:sz w:val="24"/>
          <w:szCs w:val="24"/>
        </w:rPr>
      </w:pPr>
      <w:hyperlink r:id="rId67">
        <w:r>
          <w:t xml:space="preserve">Ann S </w:t>
        </w:r>
        <w:proofErr w:type="spellStart"/>
        <w:r>
          <w:t>Masten</w:t>
        </w:r>
        <w:proofErr w:type="spellEnd"/>
        <w:r>
          <w:t xml:space="preserve"> (2001) ‘Ordinary Magic Resilience Processes in Development’, </w:t>
        </w:r>
      </w:hyperlink>
      <w:hyperlink r:id="rId68">
        <w:r>
          <w:rPr>
            <w:i/>
          </w:rPr>
          <w:t>American Psychologist</w:t>
        </w:r>
      </w:hyperlink>
      <w:hyperlink r:id="rId69">
        <w:r>
          <w:t>, 56.</w:t>
        </w:r>
      </w:hyperlink>
    </w:p>
    <w:p w:rsidR="006B1413" w:rsidRDefault="00B92348">
      <w:pPr>
        <w:widowControl w:val="0"/>
        <w:pBdr>
          <w:top w:val="nil"/>
          <w:left w:val="nil"/>
          <w:bottom w:val="nil"/>
          <w:right w:val="nil"/>
          <w:between w:val="nil"/>
        </w:pBdr>
        <w:spacing w:line="240" w:lineRule="auto"/>
        <w:rPr>
          <w:sz w:val="24"/>
          <w:szCs w:val="24"/>
        </w:rPr>
      </w:pPr>
      <w:hyperlink r:id="rId70">
        <w:r>
          <w:t xml:space="preserve">Banerjee, R. </w:t>
        </w:r>
      </w:hyperlink>
      <w:hyperlink r:id="rId71">
        <w:r>
          <w:rPr>
            <w:i/>
          </w:rPr>
          <w:t>et al.</w:t>
        </w:r>
      </w:hyperlink>
      <w:hyperlink r:id="rId72">
        <w:r>
          <w:t xml:space="preserve"> (2016) ‘Promoting Emotional Health, Well-being and R</w:t>
        </w:r>
        <w:r>
          <w:t>esilience in Primary Schools’, p. 76.</w:t>
        </w:r>
      </w:hyperlink>
    </w:p>
    <w:p w:rsidR="006B1413" w:rsidRDefault="00B92348">
      <w:pPr>
        <w:widowControl w:val="0"/>
        <w:pBdr>
          <w:top w:val="nil"/>
          <w:left w:val="nil"/>
          <w:bottom w:val="nil"/>
          <w:right w:val="nil"/>
          <w:between w:val="nil"/>
        </w:pBdr>
        <w:spacing w:line="240" w:lineRule="auto"/>
        <w:rPr>
          <w:sz w:val="24"/>
          <w:szCs w:val="24"/>
        </w:rPr>
      </w:pPr>
      <w:hyperlink r:id="rId73">
        <w:r>
          <w:t xml:space="preserve">Bob Bates (2019) </w:t>
        </w:r>
      </w:hyperlink>
      <w:hyperlink r:id="rId74">
        <w:r>
          <w:rPr>
            <w:i/>
          </w:rPr>
          <w:t>Learning Theories simplified</w:t>
        </w:r>
      </w:hyperlink>
      <w:hyperlink r:id="rId75">
        <w:r>
          <w:t>. Second. London: Sage Publications.</w:t>
        </w:r>
      </w:hyperlink>
    </w:p>
    <w:p w:rsidR="006B1413" w:rsidRDefault="00B92348">
      <w:pPr>
        <w:widowControl w:val="0"/>
        <w:pBdr>
          <w:top w:val="nil"/>
          <w:left w:val="nil"/>
          <w:bottom w:val="nil"/>
          <w:right w:val="nil"/>
          <w:between w:val="nil"/>
        </w:pBdr>
        <w:spacing w:line="240" w:lineRule="auto"/>
        <w:rPr>
          <w:sz w:val="24"/>
          <w:szCs w:val="24"/>
        </w:rPr>
      </w:pPr>
      <w:hyperlink r:id="rId76">
        <w:proofErr w:type="spellStart"/>
        <w:r>
          <w:t>Cefai</w:t>
        </w:r>
        <w:proofErr w:type="spellEnd"/>
        <w:r>
          <w:t xml:space="preserve">, C. (2007) ‘Resilience for all: a study of classrooms as protective contexts’, </w:t>
        </w:r>
      </w:hyperlink>
      <w:hyperlink r:id="rId77">
        <w:r>
          <w:rPr>
            <w:i/>
          </w:rPr>
          <w:t xml:space="preserve">Emotional and </w:t>
        </w:r>
        <w:proofErr w:type="spellStart"/>
        <w:r>
          <w:rPr>
            <w:i/>
          </w:rPr>
          <w:t>Behavioural</w:t>
        </w:r>
        <w:proofErr w:type="spellEnd"/>
        <w:r>
          <w:rPr>
            <w:i/>
          </w:rPr>
          <w:t xml:space="preserve"> Difficulties</w:t>
        </w:r>
      </w:hyperlink>
      <w:hyperlink r:id="rId78">
        <w:r>
          <w:t xml:space="preserve">, 12(2), pp. 119–134. </w:t>
        </w:r>
        <w:proofErr w:type="spellStart"/>
        <w:r>
          <w:t>doi</w:t>
        </w:r>
        <w:proofErr w:type="spellEnd"/>
        <w:r>
          <w:t>: 10.1080/13632750701315516.</w:t>
        </w:r>
      </w:hyperlink>
    </w:p>
    <w:p w:rsidR="006B1413" w:rsidRDefault="00B92348">
      <w:pPr>
        <w:widowControl w:val="0"/>
        <w:pBdr>
          <w:top w:val="nil"/>
          <w:left w:val="nil"/>
          <w:bottom w:val="nil"/>
          <w:right w:val="nil"/>
          <w:between w:val="nil"/>
        </w:pBdr>
        <w:spacing w:line="240" w:lineRule="auto"/>
        <w:rPr>
          <w:sz w:val="24"/>
          <w:szCs w:val="24"/>
        </w:rPr>
      </w:pPr>
      <w:hyperlink r:id="rId79">
        <w:r>
          <w:t xml:space="preserve">David Tripp (1993) </w:t>
        </w:r>
      </w:hyperlink>
      <w:hyperlink r:id="rId80">
        <w:r>
          <w:rPr>
            <w:i/>
          </w:rPr>
          <w:t>Critical incidents in teaching</w:t>
        </w:r>
      </w:hyperlink>
      <w:hyperlink r:id="rId81">
        <w:r>
          <w:t>. New York: Routledge.</w:t>
        </w:r>
      </w:hyperlink>
    </w:p>
    <w:p w:rsidR="006B1413" w:rsidRDefault="00B92348">
      <w:pPr>
        <w:widowControl w:val="0"/>
        <w:pBdr>
          <w:top w:val="nil"/>
          <w:left w:val="nil"/>
          <w:bottom w:val="nil"/>
          <w:right w:val="nil"/>
          <w:between w:val="nil"/>
        </w:pBdr>
        <w:spacing w:line="240" w:lineRule="auto"/>
        <w:rPr>
          <w:sz w:val="24"/>
          <w:szCs w:val="24"/>
        </w:rPr>
      </w:pPr>
      <w:hyperlink r:id="rId82">
        <w:r>
          <w:rPr>
            <w:i/>
          </w:rPr>
          <w:t>Descriptions of learning - Hwb</w:t>
        </w:r>
      </w:hyperlink>
      <w:hyperlink r:id="rId83">
        <w:r>
          <w:t xml:space="preserve"> (2020). Available at: https://hwb.gov.wales/curriculum-for-</w:t>
        </w:r>
        <w:r>
          <w:lastRenderedPageBreak/>
          <w:t>wales/health-and-well-being/descriptions-of-learning/ (Accessed: 27 October 2020).</w:t>
        </w:r>
      </w:hyperlink>
    </w:p>
    <w:p w:rsidR="006B1413" w:rsidRDefault="00B92348">
      <w:pPr>
        <w:widowControl w:val="0"/>
        <w:pBdr>
          <w:top w:val="nil"/>
          <w:left w:val="nil"/>
          <w:bottom w:val="nil"/>
          <w:right w:val="nil"/>
          <w:between w:val="nil"/>
        </w:pBdr>
        <w:spacing w:line="240" w:lineRule="auto"/>
        <w:rPr>
          <w:sz w:val="24"/>
          <w:szCs w:val="24"/>
        </w:rPr>
      </w:pPr>
      <w:hyperlink r:id="rId84">
        <w:r>
          <w:rPr>
            <w:i/>
          </w:rPr>
          <w:t>Developing a vision for curriculum design - Hwb</w:t>
        </w:r>
      </w:hyperlink>
      <w:hyperlink r:id="rId85">
        <w:r>
          <w:t xml:space="preserve"> (2020). Available at: https://hwb.gov.wales/curriculum-for-wales/designing-your-curriculum/developing-a-vision-for-curriculum-design/ (Acces</w:t>
        </w:r>
        <w:r>
          <w:t>sed: 27 October 2020).</w:t>
        </w:r>
      </w:hyperlink>
    </w:p>
    <w:p w:rsidR="006B1413" w:rsidRDefault="00B92348">
      <w:pPr>
        <w:widowControl w:val="0"/>
        <w:pBdr>
          <w:top w:val="nil"/>
          <w:left w:val="nil"/>
          <w:bottom w:val="nil"/>
          <w:right w:val="nil"/>
          <w:between w:val="nil"/>
        </w:pBdr>
        <w:spacing w:line="240" w:lineRule="auto"/>
        <w:rPr>
          <w:sz w:val="24"/>
          <w:szCs w:val="24"/>
        </w:rPr>
      </w:pPr>
      <w:hyperlink r:id="rId86">
        <w:r>
          <w:t>Donaldson, G. (2015) ‘Successful Futures: Independent review of curriculum and assessment arrangements in Wales.’</w:t>
        </w:r>
      </w:hyperlink>
    </w:p>
    <w:p w:rsidR="006B1413" w:rsidRDefault="00B92348">
      <w:pPr>
        <w:widowControl w:val="0"/>
        <w:pBdr>
          <w:top w:val="nil"/>
          <w:left w:val="nil"/>
          <w:bottom w:val="nil"/>
          <w:right w:val="nil"/>
          <w:between w:val="nil"/>
        </w:pBdr>
        <w:spacing w:line="240" w:lineRule="auto"/>
        <w:rPr>
          <w:sz w:val="24"/>
          <w:szCs w:val="24"/>
        </w:rPr>
      </w:pPr>
      <w:hyperlink r:id="rId87">
        <w:r>
          <w:t xml:space="preserve">EEF (2018) </w:t>
        </w:r>
      </w:hyperlink>
      <w:hyperlink r:id="rId88">
        <w:r>
          <w:rPr>
            <w:i/>
          </w:rPr>
          <w:t>EEF Metacognition and self-regulated learning</w:t>
        </w:r>
      </w:hyperlink>
      <w:hyperlink r:id="rId89">
        <w:r>
          <w:t>. Available at: https://educationendowmentfoundation.org.uk/public/file</w:t>
        </w:r>
        <w:r>
          <w:t>s/Publications/Metacognition/EEF_Metacognition_and_self-regulated_learning.pdf (Accessed: 2 November 2020).</w:t>
        </w:r>
      </w:hyperlink>
    </w:p>
    <w:p w:rsidR="006B1413" w:rsidRDefault="00B92348">
      <w:pPr>
        <w:widowControl w:val="0"/>
        <w:pBdr>
          <w:top w:val="nil"/>
          <w:left w:val="nil"/>
          <w:bottom w:val="nil"/>
          <w:right w:val="nil"/>
          <w:between w:val="nil"/>
        </w:pBdr>
        <w:spacing w:line="240" w:lineRule="auto"/>
        <w:rPr>
          <w:sz w:val="24"/>
          <w:szCs w:val="24"/>
        </w:rPr>
      </w:pPr>
      <w:hyperlink r:id="rId90">
        <w:r>
          <w:t xml:space="preserve">Estyn (2020) </w:t>
        </w:r>
      </w:hyperlink>
      <w:hyperlink r:id="rId91">
        <w:r>
          <w:rPr>
            <w:i/>
          </w:rPr>
          <w:t>Effective school support for disadvantaged and vulnerable pupils – case studies of good practice</w:t>
        </w:r>
      </w:hyperlink>
      <w:hyperlink r:id="rId92">
        <w:r>
          <w:t>. Available at: https://www.estyn.gov.</w:t>
        </w:r>
        <w:r>
          <w:t>wales/system/files/2020-07/Effective%2520school%2520support%2520for%2520disadvantaged%2520and%2520vulnerable%2520pupils%2520en_0.pdf (Accessed: 2 November 2020).</w:t>
        </w:r>
      </w:hyperlink>
    </w:p>
    <w:p w:rsidR="006B1413" w:rsidRDefault="00B92348">
      <w:pPr>
        <w:widowControl w:val="0"/>
        <w:pBdr>
          <w:top w:val="nil"/>
          <w:left w:val="nil"/>
          <w:bottom w:val="nil"/>
          <w:right w:val="nil"/>
          <w:between w:val="nil"/>
        </w:pBdr>
        <w:spacing w:line="240" w:lineRule="auto"/>
        <w:rPr>
          <w:sz w:val="24"/>
          <w:szCs w:val="24"/>
        </w:rPr>
      </w:pPr>
      <w:hyperlink r:id="rId93">
        <w:r>
          <w:t xml:space="preserve">Future Generations Commissioner </w:t>
        </w:r>
        <w:r>
          <w:t xml:space="preserve">Wales (2020) </w:t>
        </w:r>
      </w:hyperlink>
      <w:hyperlink r:id="rId94">
        <w:r>
          <w:rPr>
            <w:i/>
          </w:rPr>
          <w:t>Future Generation report</w:t>
        </w:r>
      </w:hyperlink>
      <w:hyperlink r:id="rId95">
        <w:r>
          <w:t>. Available at: https://www.futuregenerations.wales/wp-content/uploads/2020/05/FGC-Report-Engli</w:t>
        </w:r>
        <w:r>
          <w:t>sh.pdf (Accessed: 11 October 2020).</w:t>
        </w:r>
      </w:hyperlink>
    </w:p>
    <w:p w:rsidR="006B1413" w:rsidRDefault="00B92348">
      <w:pPr>
        <w:widowControl w:val="0"/>
        <w:pBdr>
          <w:top w:val="nil"/>
          <w:left w:val="nil"/>
          <w:bottom w:val="nil"/>
          <w:right w:val="nil"/>
          <w:between w:val="nil"/>
        </w:pBdr>
        <w:spacing w:line="240" w:lineRule="auto"/>
        <w:rPr>
          <w:sz w:val="24"/>
          <w:szCs w:val="24"/>
        </w:rPr>
      </w:pPr>
      <w:hyperlink r:id="rId96">
        <w:r>
          <w:t xml:space="preserve">Huber, M. </w:t>
        </w:r>
      </w:hyperlink>
      <w:hyperlink r:id="rId97">
        <w:r>
          <w:rPr>
            <w:i/>
          </w:rPr>
          <w:t>et al.</w:t>
        </w:r>
      </w:hyperlink>
      <w:hyperlink r:id="rId98">
        <w:r>
          <w:t xml:space="preserve"> (2011) ‘How shoul</w:t>
        </w:r>
        <w:r>
          <w:t xml:space="preserve">d we define health?’, </w:t>
        </w:r>
      </w:hyperlink>
      <w:hyperlink r:id="rId99">
        <w:r>
          <w:rPr>
            <w:i/>
          </w:rPr>
          <w:t>BMJ</w:t>
        </w:r>
      </w:hyperlink>
      <w:hyperlink r:id="rId100">
        <w:r>
          <w:t xml:space="preserve">, 343(jul26 2), pp. d4163–d4163. </w:t>
        </w:r>
        <w:proofErr w:type="spellStart"/>
        <w:r>
          <w:t>doi</w:t>
        </w:r>
        <w:proofErr w:type="spellEnd"/>
        <w:r>
          <w:t>: 10.1136/</w:t>
        </w:r>
        <w:proofErr w:type="gramStart"/>
        <w:r>
          <w:t>bmj.d</w:t>
        </w:r>
        <w:proofErr w:type="gramEnd"/>
        <w:r>
          <w:t>4163.</w:t>
        </w:r>
      </w:hyperlink>
    </w:p>
    <w:p w:rsidR="006B1413" w:rsidRDefault="00B92348">
      <w:pPr>
        <w:widowControl w:val="0"/>
        <w:pBdr>
          <w:top w:val="nil"/>
          <w:left w:val="nil"/>
          <w:bottom w:val="nil"/>
          <w:right w:val="nil"/>
          <w:between w:val="nil"/>
        </w:pBdr>
        <w:spacing w:line="240" w:lineRule="auto"/>
        <w:rPr>
          <w:sz w:val="24"/>
          <w:szCs w:val="24"/>
        </w:rPr>
      </w:pPr>
      <w:hyperlink r:id="rId101">
        <w:r>
          <w:t xml:space="preserve">L.B, Curzon (2013) </w:t>
        </w:r>
      </w:hyperlink>
      <w:hyperlink r:id="rId102">
        <w:r>
          <w:rPr>
            <w:i/>
          </w:rPr>
          <w:t>Teaching in further education</w:t>
        </w:r>
      </w:hyperlink>
      <w:hyperlink r:id="rId103">
        <w:r>
          <w:t xml:space="preserve">. 7th </w:t>
        </w:r>
        <w:proofErr w:type="spellStart"/>
        <w:r>
          <w:t>edn</w:t>
        </w:r>
        <w:proofErr w:type="spellEnd"/>
        <w:r>
          <w:t>. London: Continuum.</w:t>
        </w:r>
      </w:hyperlink>
    </w:p>
    <w:p w:rsidR="006B1413" w:rsidRDefault="00B92348">
      <w:pPr>
        <w:widowControl w:val="0"/>
        <w:pBdr>
          <w:top w:val="nil"/>
          <w:left w:val="nil"/>
          <w:bottom w:val="nil"/>
          <w:right w:val="nil"/>
          <w:between w:val="nil"/>
        </w:pBdr>
        <w:spacing w:line="240" w:lineRule="auto"/>
        <w:rPr>
          <w:sz w:val="24"/>
          <w:szCs w:val="24"/>
        </w:rPr>
      </w:pPr>
      <w:hyperlink r:id="rId104">
        <w:r>
          <w:t xml:space="preserve">Margaret E., </w:t>
        </w:r>
        <w:proofErr w:type="spellStart"/>
        <w:r>
          <w:t>Gredler</w:t>
        </w:r>
        <w:proofErr w:type="spellEnd"/>
        <w:r>
          <w:t xml:space="preserve"> (2011) ‘Understanding Vygotsky for the classroom: Is it too late?’, </w:t>
        </w:r>
      </w:hyperlink>
      <w:hyperlink r:id="rId105">
        <w:r>
          <w:rPr>
            <w:i/>
          </w:rPr>
          <w:t>Education Psychology Review</w:t>
        </w:r>
      </w:hyperlink>
      <w:hyperlink r:id="rId106">
        <w:r>
          <w:t>.</w:t>
        </w:r>
      </w:hyperlink>
    </w:p>
    <w:p w:rsidR="006B1413" w:rsidRDefault="00B92348">
      <w:pPr>
        <w:widowControl w:val="0"/>
        <w:pBdr>
          <w:top w:val="nil"/>
          <w:left w:val="nil"/>
          <w:bottom w:val="nil"/>
          <w:right w:val="nil"/>
          <w:between w:val="nil"/>
        </w:pBdr>
        <w:spacing w:line="240" w:lineRule="auto"/>
        <w:rPr>
          <w:sz w:val="24"/>
          <w:szCs w:val="24"/>
        </w:rPr>
      </w:pPr>
      <w:hyperlink r:id="rId107">
        <w:r>
          <w:rPr>
            <w:i/>
          </w:rPr>
          <w:t>My Local School report School X updated 2019</w:t>
        </w:r>
      </w:hyperlink>
      <w:hyperlink r:id="rId108">
        <w:r>
          <w:t xml:space="preserve"> (no date). Available at: https://mylocalschool.gov.wales/School/6702239?lang=en (Accessed: 15 October 2020).</w:t>
        </w:r>
      </w:hyperlink>
    </w:p>
    <w:p w:rsidR="006B1413" w:rsidRDefault="00B92348">
      <w:pPr>
        <w:widowControl w:val="0"/>
        <w:pBdr>
          <w:top w:val="nil"/>
          <w:left w:val="nil"/>
          <w:bottom w:val="nil"/>
          <w:right w:val="nil"/>
          <w:between w:val="nil"/>
        </w:pBdr>
        <w:spacing w:line="240" w:lineRule="auto"/>
        <w:rPr>
          <w:sz w:val="24"/>
          <w:szCs w:val="24"/>
        </w:rPr>
      </w:pPr>
      <w:hyperlink r:id="rId109">
        <w:r>
          <w:t xml:space="preserve">National Assembly for Wales (2018) </w:t>
        </w:r>
      </w:hyperlink>
      <w:hyperlink r:id="rId110">
        <w:r>
          <w:rPr>
            <w:i/>
          </w:rPr>
          <w:t>The Emotional and Mental Health of Children and Young People in Wales</w:t>
        </w:r>
      </w:hyperlink>
      <w:hyperlink r:id="rId111">
        <w:r>
          <w:t>. Wales: Mind over Matter, p. 144. Available at: https://senedd.wales/laid%20documents/cr-ld11522/cr-ld11522-e.pdf.</w:t>
        </w:r>
      </w:hyperlink>
    </w:p>
    <w:p w:rsidR="006B1413" w:rsidRDefault="00B92348">
      <w:pPr>
        <w:widowControl w:val="0"/>
        <w:pBdr>
          <w:top w:val="nil"/>
          <w:left w:val="nil"/>
          <w:bottom w:val="nil"/>
          <w:right w:val="nil"/>
          <w:between w:val="nil"/>
        </w:pBdr>
        <w:spacing w:line="240" w:lineRule="auto"/>
        <w:rPr>
          <w:sz w:val="24"/>
          <w:szCs w:val="24"/>
        </w:rPr>
      </w:pPr>
      <w:hyperlink r:id="rId112">
        <w:r>
          <w:t>Nickerson, R. S. (1998) ‘Confirmation bias: A ubiquitous phenomenon in many gu</w:t>
        </w:r>
        <w:r>
          <w:t xml:space="preserve">ises’, </w:t>
        </w:r>
      </w:hyperlink>
      <w:hyperlink r:id="rId113">
        <w:r>
          <w:rPr>
            <w:i/>
          </w:rPr>
          <w:t>Review of General Psychology</w:t>
        </w:r>
      </w:hyperlink>
      <w:hyperlink r:id="rId114">
        <w:r>
          <w:t>.</w:t>
        </w:r>
      </w:hyperlink>
    </w:p>
    <w:p w:rsidR="006B1413" w:rsidRDefault="00B92348">
      <w:pPr>
        <w:widowControl w:val="0"/>
        <w:pBdr>
          <w:top w:val="nil"/>
          <w:left w:val="nil"/>
          <w:bottom w:val="nil"/>
          <w:right w:val="nil"/>
          <w:between w:val="nil"/>
        </w:pBdr>
        <w:spacing w:line="240" w:lineRule="auto"/>
        <w:rPr>
          <w:sz w:val="24"/>
          <w:szCs w:val="24"/>
        </w:rPr>
      </w:pPr>
      <w:hyperlink r:id="rId115">
        <w:r>
          <w:t>Nisbet, J, W., J. (1984) ‘Conduct</w:t>
        </w:r>
        <w:r>
          <w:t xml:space="preserve">ing Small-Scale Investigations in Educational management’, in </w:t>
        </w:r>
      </w:hyperlink>
      <w:hyperlink r:id="rId116">
        <w:r>
          <w:rPr>
            <w:i/>
          </w:rPr>
          <w:t>Chapter 5 in Bell, K., et al</w:t>
        </w:r>
      </w:hyperlink>
      <w:hyperlink r:id="rId117">
        <w:r>
          <w:t>. London: Harper Row, p. Chapter 5 in Bell</w:t>
        </w:r>
        <w:r>
          <w:t>, K., et al.</w:t>
        </w:r>
      </w:hyperlink>
    </w:p>
    <w:p w:rsidR="006B1413" w:rsidRDefault="00B92348">
      <w:pPr>
        <w:widowControl w:val="0"/>
        <w:pBdr>
          <w:top w:val="nil"/>
          <w:left w:val="nil"/>
          <w:bottom w:val="nil"/>
          <w:right w:val="nil"/>
          <w:between w:val="nil"/>
        </w:pBdr>
        <w:spacing w:line="240" w:lineRule="auto"/>
        <w:rPr>
          <w:sz w:val="24"/>
          <w:szCs w:val="24"/>
        </w:rPr>
      </w:pPr>
      <w:hyperlink r:id="rId118">
        <w:r>
          <w:t xml:space="preserve">P ,Conway (2001) ‘Anticipatory reflection while learning to teach: from a temporally truncated to a temporally distributed model of reflection in teacher education.’, </w:t>
        </w:r>
      </w:hyperlink>
      <w:hyperlink r:id="rId119">
        <w:r>
          <w:rPr>
            <w:i/>
          </w:rPr>
          <w:t>Teaching and Teacher Education</w:t>
        </w:r>
      </w:hyperlink>
      <w:hyperlink r:id="rId120">
        <w:r>
          <w:t>, 17.</w:t>
        </w:r>
      </w:hyperlink>
    </w:p>
    <w:p w:rsidR="006B1413" w:rsidRDefault="00B92348">
      <w:pPr>
        <w:widowControl w:val="0"/>
        <w:pBdr>
          <w:top w:val="nil"/>
          <w:left w:val="nil"/>
          <w:bottom w:val="nil"/>
          <w:right w:val="nil"/>
          <w:between w:val="nil"/>
        </w:pBdr>
        <w:spacing w:line="240" w:lineRule="auto"/>
        <w:rPr>
          <w:sz w:val="24"/>
          <w:szCs w:val="24"/>
        </w:rPr>
      </w:pPr>
      <w:hyperlink r:id="rId121">
        <w:r>
          <w:t xml:space="preserve">S, Brookfield (1995) </w:t>
        </w:r>
      </w:hyperlink>
      <w:hyperlink r:id="rId122">
        <w:r>
          <w:rPr>
            <w:i/>
          </w:rPr>
          <w:t>Becoming a Critically Reflective Teacher</w:t>
        </w:r>
      </w:hyperlink>
      <w:hyperlink r:id="rId123">
        <w:r>
          <w:t xml:space="preserve">. San </w:t>
        </w:r>
        <w:proofErr w:type="spellStart"/>
        <w:r>
          <w:t>Franscisco</w:t>
        </w:r>
        <w:proofErr w:type="spellEnd"/>
        <w:r>
          <w:t>.</w:t>
        </w:r>
      </w:hyperlink>
    </w:p>
    <w:p w:rsidR="006B1413" w:rsidRDefault="00B92348">
      <w:pPr>
        <w:widowControl w:val="0"/>
        <w:pBdr>
          <w:top w:val="nil"/>
          <w:left w:val="nil"/>
          <w:bottom w:val="nil"/>
          <w:right w:val="nil"/>
          <w:between w:val="nil"/>
        </w:pBdr>
        <w:spacing w:line="240" w:lineRule="auto"/>
        <w:rPr>
          <w:sz w:val="24"/>
          <w:szCs w:val="24"/>
        </w:rPr>
      </w:pPr>
      <w:hyperlink r:id="rId124">
        <w:r>
          <w:t xml:space="preserve">Stark, A. M. </w:t>
        </w:r>
      </w:hyperlink>
      <w:hyperlink r:id="rId125">
        <w:r>
          <w:rPr>
            <w:i/>
          </w:rPr>
          <w:t>et al.</w:t>
        </w:r>
      </w:hyperlink>
      <w:hyperlink r:id="rId126">
        <w:r>
          <w:t xml:space="preserve"> (2020) ‘Shifting from survival to supporting resilience in children and families in the COVID-19 pandemic: Lessons for informing U.S. mental health pri</w:t>
        </w:r>
        <w:r>
          <w:t xml:space="preserve">orities.’, </w:t>
        </w:r>
      </w:hyperlink>
      <w:hyperlink r:id="rId127">
        <w:r>
          <w:rPr>
            <w:i/>
          </w:rPr>
          <w:t>Psychological Trauma: Theory, Research, Practice, and Policy</w:t>
        </w:r>
      </w:hyperlink>
      <w:hyperlink r:id="rId128">
        <w:r>
          <w:t xml:space="preserve">, 12(S1), p. S133. </w:t>
        </w:r>
        <w:proofErr w:type="spellStart"/>
        <w:r>
          <w:t>doi</w:t>
        </w:r>
        <w:proofErr w:type="spellEnd"/>
        <w:r>
          <w:t>: 10.1037/tra0000781.</w:t>
        </w:r>
      </w:hyperlink>
    </w:p>
    <w:p w:rsidR="006B1413" w:rsidRDefault="00B92348">
      <w:pPr>
        <w:widowControl w:val="0"/>
        <w:pBdr>
          <w:top w:val="nil"/>
          <w:left w:val="nil"/>
          <w:bottom w:val="nil"/>
          <w:right w:val="nil"/>
          <w:between w:val="nil"/>
        </w:pBdr>
        <w:spacing w:line="240" w:lineRule="auto"/>
        <w:rPr>
          <w:sz w:val="24"/>
          <w:szCs w:val="24"/>
        </w:rPr>
      </w:pPr>
      <w:hyperlink r:id="rId129">
        <w:r>
          <w:t>‘well-being-of-future-generations-wales-act-2015-the-essentials.pdf’ (no date). Available at: https://gov.wales/sites/default/files/publications/2019-08/well-being-of-future-generations-wales-act-2015-the-essent</w:t>
        </w:r>
        <w:r>
          <w:t>ials.pdf (Accessed: 2 November 2020).</w:t>
        </w:r>
      </w:hyperlink>
    </w:p>
    <w:p w:rsidR="006B1413" w:rsidRDefault="00B92348">
      <w:pPr>
        <w:widowControl w:val="0"/>
        <w:pBdr>
          <w:top w:val="nil"/>
          <w:left w:val="nil"/>
          <w:bottom w:val="nil"/>
          <w:right w:val="nil"/>
          <w:between w:val="nil"/>
        </w:pBdr>
        <w:spacing w:line="240" w:lineRule="auto"/>
        <w:rPr>
          <w:sz w:val="24"/>
          <w:szCs w:val="24"/>
        </w:rPr>
      </w:pPr>
      <w:hyperlink r:id="rId130">
        <w:r>
          <w:t xml:space="preserve">World Health Organisation (1948) </w:t>
        </w:r>
      </w:hyperlink>
      <w:hyperlink r:id="rId131">
        <w:r>
          <w:rPr>
            <w:i/>
          </w:rPr>
          <w:t>WHO Constitution</w:t>
        </w:r>
      </w:hyperlink>
      <w:hyperlink r:id="rId132">
        <w:r>
          <w:t>. Available at: https://www.who.int/about/who-we-are/constitution (Accessed: 1 November 2020).</w:t>
        </w:r>
      </w:hyperlink>
    </w:p>
    <w:p w:rsidR="006B1413" w:rsidRDefault="00B92348">
      <w:pPr>
        <w:widowControl w:val="0"/>
        <w:pBdr>
          <w:top w:val="nil"/>
          <w:left w:val="nil"/>
          <w:bottom w:val="nil"/>
          <w:right w:val="nil"/>
          <w:between w:val="nil"/>
        </w:pBdr>
        <w:spacing w:line="240" w:lineRule="auto"/>
        <w:rPr>
          <w:sz w:val="24"/>
          <w:szCs w:val="24"/>
        </w:rPr>
      </w:pPr>
      <w:hyperlink r:id="rId133">
        <w:r>
          <w:t xml:space="preserve">Yana Weinstein, M. S. (2019) </w:t>
        </w:r>
      </w:hyperlink>
      <w:hyperlink r:id="rId134">
        <w:r>
          <w:rPr>
            <w:i/>
          </w:rPr>
          <w:t>Understanding how we learn</w:t>
        </w:r>
      </w:hyperlink>
      <w:hyperlink r:id="rId135">
        <w:r>
          <w:t>. Routledge.</w:t>
        </w:r>
      </w:hyperlink>
    </w:p>
    <w:p w:rsidR="006B1413" w:rsidRDefault="006B1413">
      <w:pPr>
        <w:rPr>
          <w:rFonts w:ascii="Times New Roman" w:eastAsia="Times New Roman" w:hAnsi="Times New Roman" w:cs="Times New Roman"/>
          <w:sz w:val="24"/>
          <w:szCs w:val="24"/>
        </w:rPr>
      </w:pPr>
    </w:p>
    <w:p w:rsidR="006B1413" w:rsidRDefault="006B1413">
      <w:pPr>
        <w:rPr>
          <w:rFonts w:ascii="Times New Roman" w:eastAsia="Times New Roman" w:hAnsi="Times New Roman" w:cs="Times New Roman"/>
          <w:sz w:val="24"/>
          <w:szCs w:val="24"/>
        </w:rPr>
      </w:pPr>
    </w:p>
    <w:p w:rsidR="006B1413" w:rsidRDefault="006B1413">
      <w:pPr>
        <w:rPr>
          <w:rFonts w:ascii="Times New Roman" w:eastAsia="Times New Roman" w:hAnsi="Times New Roman" w:cs="Times New Roman"/>
          <w:sz w:val="24"/>
          <w:szCs w:val="24"/>
        </w:rPr>
      </w:pPr>
    </w:p>
    <w:p w:rsidR="006B1413" w:rsidRDefault="006B1413">
      <w:pPr>
        <w:rPr>
          <w:rFonts w:ascii="Times New Roman" w:eastAsia="Times New Roman" w:hAnsi="Times New Roman" w:cs="Times New Roman"/>
          <w:sz w:val="24"/>
          <w:szCs w:val="24"/>
        </w:rPr>
      </w:pPr>
    </w:p>
    <w:p w:rsidR="006B1413" w:rsidRDefault="006B1413">
      <w:pPr>
        <w:rPr>
          <w:rFonts w:ascii="Times New Roman" w:eastAsia="Times New Roman" w:hAnsi="Times New Roman" w:cs="Times New Roman"/>
          <w:sz w:val="24"/>
          <w:szCs w:val="24"/>
        </w:rPr>
      </w:pPr>
    </w:p>
    <w:p w:rsidR="006B1413" w:rsidRDefault="006B1413">
      <w:pPr>
        <w:rPr>
          <w:rFonts w:ascii="Times New Roman" w:eastAsia="Times New Roman" w:hAnsi="Times New Roman" w:cs="Times New Roman"/>
          <w:sz w:val="24"/>
          <w:szCs w:val="24"/>
        </w:rPr>
      </w:pPr>
    </w:p>
    <w:p w:rsidR="006B1413" w:rsidRDefault="006B1413">
      <w:pPr>
        <w:rPr>
          <w:rFonts w:ascii="Times New Roman" w:eastAsia="Times New Roman" w:hAnsi="Times New Roman" w:cs="Times New Roman"/>
          <w:sz w:val="24"/>
          <w:szCs w:val="24"/>
        </w:rPr>
      </w:pPr>
    </w:p>
    <w:p w:rsidR="006B1413" w:rsidRDefault="00B92348">
      <w:pPr>
        <w:rPr>
          <w:rFonts w:ascii="Times New Roman" w:eastAsia="Times New Roman" w:hAnsi="Times New Roman" w:cs="Times New Roman"/>
          <w:sz w:val="24"/>
          <w:szCs w:val="24"/>
        </w:rPr>
      </w:pPr>
      <w:r>
        <w:rPr>
          <w:rFonts w:ascii="Times New Roman" w:eastAsia="Times New Roman" w:hAnsi="Times New Roman" w:cs="Times New Roman"/>
          <w:sz w:val="24"/>
          <w:szCs w:val="24"/>
        </w:rPr>
        <w:t>Appendix A1</w:t>
      </w:r>
    </w:p>
    <w:p w:rsidR="006B1413" w:rsidRDefault="006B1413">
      <w:pPr>
        <w:rPr>
          <w:rFonts w:ascii="Times New Roman" w:eastAsia="Times New Roman" w:hAnsi="Times New Roman" w:cs="Times New Roman"/>
          <w:sz w:val="24"/>
          <w:szCs w:val="24"/>
        </w:rPr>
      </w:pPr>
    </w:p>
    <w:p w:rsidR="006B1413" w:rsidRDefault="006B1413">
      <w:pPr>
        <w:rPr>
          <w:rFonts w:ascii="Times New Roman" w:eastAsia="Times New Roman" w:hAnsi="Times New Roman" w:cs="Times New Roman"/>
          <w:sz w:val="24"/>
          <w:szCs w:val="24"/>
        </w:rPr>
      </w:pPr>
    </w:p>
    <w:p w:rsidR="006B1413" w:rsidRDefault="00B92348">
      <w:r>
        <w:rPr>
          <w:noProof/>
        </w:rPr>
        <w:drawing>
          <wp:inline distT="114300" distB="114300" distL="114300" distR="114300">
            <wp:extent cx="5943600" cy="604520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6"/>
                    <a:srcRect/>
                    <a:stretch>
                      <a:fillRect/>
                    </a:stretch>
                  </pic:blipFill>
                  <pic:spPr>
                    <a:xfrm>
                      <a:off x="0" y="0"/>
                      <a:ext cx="5943600" cy="6045200"/>
                    </a:xfrm>
                    <a:prstGeom prst="rect">
                      <a:avLst/>
                    </a:prstGeom>
                    <a:ln/>
                  </pic:spPr>
                </pic:pic>
              </a:graphicData>
            </a:graphic>
          </wp:inline>
        </w:drawing>
      </w:r>
    </w:p>
    <w:p w:rsidR="006B1413" w:rsidRDefault="006B1413"/>
    <w:p w:rsidR="006B1413" w:rsidRDefault="00B92348">
      <w:r>
        <w:lastRenderedPageBreak/>
        <w:t>Appendix A2</w:t>
      </w:r>
      <w:r>
        <w:rPr>
          <w:noProof/>
        </w:rPr>
        <w:drawing>
          <wp:inline distT="114300" distB="114300" distL="114300" distR="114300">
            <wp:extent cx="5676900" cy="6781800"/>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7"/>
                    <a:srcRect/>
                    <a:stretch>
                      <a:fillRect/>
                    </a:stretch>
                  </pic:blipFill>
                  <pic:spPr>
                    <a:xfrm>
                      <a:off x="0" y="0"/>
                      <a:ext cx="5676900" cy="6781800"/>
                    </a:xfrm>
                    <a:prstGeom prst="rect">
                      <a:avLst/>
                    </a:prstGeom>
                    <a:ln/>
                  </pic:spPr>
                </pic:pic>
              </a:graphicData>
            </a:graphic>
          </wp:inline>
        </w:drawing>
      </w:r>
    </w:p>
    <w:p w:rsidR="006B1413" w:rsidRDefault="006B1413"/>
    <w:p w:rsidR="006B1413" w:rsidRDefault="00B92348">
      <w:r>
        <w:rPr>
          <w:noProof/>
        </w:rPr>
        <w:lastRenderedPageBreak/>
        <w:drawing>
          <wp:inline distT="114300" distB="114300" distL="114300" distR="114300">
            <wp:extent cx="5724525" cy="6600825"/>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8"/>
                    <a:srcRect/>
                    <a:stretch>
                      <a:fillRect/>
                    </a:stretch>
                  </pic:blipFill>
                  <pic:spPr>
                    <a:xfrm>
                      <a:off x="0" y="0"/>
                      <a:ext cx="5724525" cy="6600825"/>
                    </a:xfrm>
                    <a:prstGeom prst="rect">
                      <a:avLst/>
                    </a:prstGeom>
                    <a:ln/>
                  </pic:spPr>
                </pic:pic>
              </a:graphicData>
            </a:graphic>
          </wp:inline>
        </w:drawing>
      </w:r>
    </w:p>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B92348">
      <w:r>
        <w:lastRenderedPageBreak/>
        <w:t>B1</w:t>
      </w:r>
    </w:p>
    <w:p w:rsidR="006B1413" w:rsidRDefault="00B92348">
      <w:r>
        <w:rPr>
          <w:noProof/>
        </w:rPr>
        <w:drawing>
          <wp:inline distT="114300" distB="114300" distL="114300" distR="114300">
            <wp:extent cx="5762625" cy="6524625"/>
            <wp:effectExtent l="0" t="0" r="0" b="0"/>
            <wp:docPr id="1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39"/>
                    <a:srcRect/>
                    <a:stretch>
                      <a:fillRect/>
                    </a:stretch>
                  </pic:blipFill>
                  <pic:spPr>
                    <a:xfrm>
                      <a:off x="0" y="0"/>
                      <a:ext cx="5762625" cy="6524625"/>
                    </a:xfrm>
                    <a:prstGeom prst="rect">
                      <a:avLst/>
                    </a:prstGeom>
                    <a:ln/>
                  </pic:spPr>
                </pic:pic>
              </a:graphicData>
            </a:graphic>
          </wp:inline>
        </w:drawing>
      </w:r>
    </w:p>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B92348">
      <w:r>
        <w:lastRenderedPageBreak/>
        <w:t>B2</w:t>
      </w:r>
      <w:r>
        <w:rPr>
          <w:noProof/>
        </w:rPr>
        <w:drawing>
          <wp:inline distT="114300" distB="114300" distL="114300" distR="114300">
            <wp:extent cx="5857875" cy="6819900"/>
            <wp:effectExtent l="0" t="0" r="0" b="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0"/>
                    <a:srcRect/>
                    <a:stretch>
                      <a:fillRect/>
                    </a:stretch>
                  </pic:blipFill>
                  <pic:spPr>
                    <a:xfrm>
                      <a:off x="0" y="0"/>
                      <a:ext cx="5857875" cy="6819900"/>
                    </a:xfrm>
                    <a:prstGeom prst="rect">
                      <a:avLst/>
                    </a:prstGeom>
                    <a:ln/>
                  </pic:spPr>
                </pic:pic>
              </a:graphicData>
            </a:graphic>
          </wp:inline>
        </w:drawing>
      </w:r>
    </w:p>
    <w:p w:rsidR="006B1413" w:rsidRDefault="006B1413"/>
    <w:p w:rsidR="006B1413" w:rsidRDefault="00B92348">
      <w:r>
        <w:rPr>
          <w:noProof/>
        </w:rPr>
        <w:lastRenderedPageBreak/>
        <w:drawing>
          <wp:inline distT="114300" distB="114300" distL="114300" distR="114300">
            <wp:extent cx="5505450" cy="6591300"/>
            <wp:effectExtent l="0" t="0" r="0" b="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1"/>
                    <a:srcRect/>
                    <a:stretch>
                      <a:fillRect/>
                    </a:stretch>
                  </pic:blipFill>
                  <pic:spPr>
                    <a:xfrm>
                      <a:off x="0" y="0"/>
                      <a:ext cx="5505450" cy="6591300"/>
                    </a:xfrm>
                    <a:prstGeom prst="rect">
                      <a:avLst/>
                    </a:prstGeom>
                    <a:ln/>
                  </pic:spPr>
                </pic:pic>
              </a:graphicData>
            </a:graphic>
          </wp:inline>
        </w:drawing>
      </w:r>
    </w:p>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B92348">
      <w:r>
        <w:lastRenderedPageBreak/>
        <w:t>C1</w:t>
      </w:r>
    </w:p>
    <w:p w:rsidR="006B1413" w:rsidRDefault="006B1413"/>
    <w:p w:rsidR="006B1413" w:rsidRDefault="006B1413"/>
    <w:p w:rsidR="006B1413" w:rsidRDefault="00B92348">
      <w:r>
        <w:rPr>
          <w:noProof/>
        </w:rPr>
        <w:drawing>
          <wp:inline distT="114300" distB="114300" distL="114300" distR="114300">
            <wp:extent cx="5610225" cy="59055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2"/>
                    <a:srcRect/>
                    <a:stretch>
                      <a:fillRect/>
                    </a:stretch>
                  </pic:blipFill>
                  <pic:spPr>
                    <a:xfrm>
                      <a:off x="0" y="0"/>
                      <a:ext cx="5610225" cy="5905500"/>
                    </a:xfrm>
                    <a:prstGeom prst="rect">
                      <a:avLst/>
                    </a:prstGeom>
                    <a:ln/>
                  </pic:spPr>
                </pic:pic>
              </a:graphicData>
            </a:graphic>
          </wp:inline>
        </w:drawing>
      </w:r>
    </w:p>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B92348">
      <w:r>
        <w:t>C2</w:t>
      </w:r>
    </w:p>
    <w:p w:rsidR="006B1413" w:rsidRDefault="006B1413"/>
    <w:p w:rsidR="006B1413" w:rsidRDefault="00B92348">
      <w:r>
        <w:rPr>
          <w:noProof/>
        </w:rPr>
        <w:drawing>
          <wp:inline distT="114300" distB="114300" distL="114300" distR="114300">
            <wp:extent cx="4552950" cy="5867400"/>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3"/>
                    <a:srcRect/>
                    <a:stretch>
                      <a:fillRect/>
                    </a:stretch>
                  </pic:blipFill>
                  <pic:spPr>
                    <a:xfrm>
                      <a:off x="0" y="0"/>
                      <a:ext cx="4552950" cy="5867400"/>
                    </a:xfrm>
                    <a:prstGeom prst="rect">
                      <a:avLst/>
                    </a:prstGeom>
                    <a:ln/>
                  </pic:spPr>
                </pic:pic>
              </a:graphicData>
            </a:graphic>
          </wp:inline>
        </w:drawing>
      </w:r>
    </w:p>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B92348">
      <w:r>
        <w:rPr>
          <w:noProof/>
        </w:rPr>
        <w:drawing>
          <wp:inline distT="114300" distB="114300" distL="114300" distR="114300">
            <wp:extent cx="4591050" cy="4638675"/>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4"/>
                    <a:srcRect/>
                    <a:stretch>
                      <a:fillRect/>
                    </a:stretch>
                  </pic:blipFill>
                  <pic:spPr>
                    <a:xfrm>
                      <a:off x="0" y="0"/>
                      <a:ext cx="4591050" cy="4638675"/>
                    </a:xfrm>
                    <a:prstGeom prst="rect">
                      <a:avLst/>
                    </a:prstGeom>
                    <a:ln/>
                  </pic:spPr>
                </pic:pic>
              </a:graphicData>
            </a:graphic>
          </wp:inline>
        </w:drawing>
      </w:r>
    </w:p>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B92348">
      <w:r>
        <w:t>D1</w:t>
      </w:r>
    </w:p>
    <w:p w:rsidR="006B1413" w:rsidRDefault="006B1413"/>
    <w:p w:rsidR="006B1413" w:rsidRDefault="006B1413"/>
    <w:p w:rsidR="006B1413" w:rsidRDefault="00B92348">
      <w:r>
        <w:rPr>
          <w:noProof/>
        </w:rPr>
        <w:drawing>
          <wp:inline distT="114300" distB="114300" distL="114300" distR="114300">
            <wp:extent cx="5467350" cy="588645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5"/>
                    <a:srcRect/>
                    <a:stretch>
                      <a:fillRect/>
                    </a:stretch>
                  </pic:blipFill>
                  <pic:spPr>
                    <a:xfrm>
                      <a:off x="0" y="0"/>
                      <a:ext cx="5467350" cy="5886450"/>
                    </a:xfrm>
                    <a:prstGeom prst="rect">
                      <a:avLst/>
                    </a:prstGeom>
                    <a:ln/>
                  </pic:spPr>
                </pic:pic>
              </a:graphicData>
            </a:graphic>
          </wp:inline>
        </w:drawing>
      </w:r>
    </w:p>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6B1413"/>
    <w:p w:rsidR="006B1413" w:rsidRDefault="00B92348">
      <w:r>
        <w:t xml:space="preserve">D2 </w:t>
      </w:r>
      <w:r>
        <w:rPr>
          <w:noProof/>
        </w:rPr>
        <w:drawing>
          <wp:inline distT="114300" distB="114300" distL="114300" distR="114300">
            <wp:extent cx="5762625" cy="6524625"/>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9"/>
                    <a:srcRect/>
                    <a:stretch>
                      <a:fillRect/>
                    </a:stretch>
                  </pic:blipFill>
                  <pic:spPr>
                    <a:xfrm>
                      <a:off x="0" y="0"/>
                      <a:ext cx="5762625" cy="6524625"/>
                    </a:xfrm>
                    <a:prstGeom prst="rect">
                      <a:avLst/>
                    </a:prstGeom>
                    <a:ln/>
                  </pic:spPr>
                </pic:pic>
              </a:graphicData>
            </a:graphic>
          </wp:inline>
        </w:drawing>
      </w:r>
    </w:p>
    <w:p w:rsidR="006B1413" w:rsidRDefault="006B1413"/>
    <w:p w:rsidR="006B1413" w:rsidRDefault="006B1413"/>
    <w:p w:rsidR="006B1413" w:rsidRDefault="006B1413"/>
    <w:p w:rsidR="006B1413" w:rsidRDefault="006B1413"/>
    <w:p w:rsidR="006B1413" w:rsidRDefault="006B1413"/>
    <w:p w:rsidR="006B1413" w:rsidRDefault="006B1413"/>
    <w:p w:rsidR="006B1413" w:rsidRDefault="00B92348">
      <w:r>
        <w:rPr>
          <w:noProof/>
        </w:rPr>
        <w:drawing>
          <wp:inline distT="114300" distB="114300" distL="114300" distR="114300">
            <wp:extent cx="5600700" cy="60769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6"/>
                    <a:srcRect/>
                    <a:stretch>
                      <a:fillRect/>
                    </a:stretch>
                  </pic:blipFill>
                  <pic:spPr>
                    <a:xfrm>
                      <a:off x="0" y="0"/>
                      <a:ext cx="5600700" cy="6076950"/>
                    </a:xfrm>
                    <a:prstGeom prst="rect">
                      <a:avLst/>
                    </a:prstGeom>
                    <a:ln/>
                  </pic:spPr>
                </pic:pic>
              </a:graphicData>
            </a:graphic>
          </wp:inline>
        </w:drawing>
      </w:r>
    </w:p>
    <w:p w:rsidR="006B1413" w:rsidRDefault="006B1413"/>
    <w:sectPr w:rsidR="006B141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7B54CA"/>
    <w:multiLevelType w:val="multilevel"/>
    <w:tmpl w:val="01BC047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1413"/>
    <w:rsid w:val="006B1413"/>
    <w:rsid w:val="00885BEB"/>
    <w:rsid w:val="00B923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C8643A"/>
  <w15:docId w15:val="{422DC30D-96E0-CF43-B356-5D8920D0C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17" Type="http://schemas.openxmlformats.org/officeDocument/2006/relationships/hyperlink" Target="https://www.zotero.org/google-docs/?QfZVPf" TargetMode="External"/><Relationship Id="rId21" Type="http://schemas.openxmlformats.org/officeDocument/2006/relationships/hyperlink" Target="https://www.zotero.org/google-docs/?6Ogcro" TargetMode="External"/><Relationship Id="rId42" Type="http://schemas.openxmlformats.org/officeDocument/2006/relationships/hyperlink" Target="https://www.zotero.org/google-docs/?cqvn8d" TargetMode="External"/><Relationship Id="rId63" Type="http://schemas.openxmlformats.org/officeDocument/2006/relationships/hyperlink" Target="https://www.zotero.org/google-docs/?broken=M0iuoU" TargetMode="External"/><Relationship Id="rId84" Type="http://schemas.openxmlformats.org/officeDocument/2006/relationships/hyperlink" Target="https://www.zotero.org/google-docs/?QfZVPf" TargetMode="External"/><Relationship Id="rId138" Type="http://schemas.openxmlformats.org/officeDocument/2006/relationships/image" Target="media/image3.png"/><Relationship Id="rId107" Type="http://schemas.openxmlformats.org/officeDocument/2006/relationships/hyperlink" Target="https://www.zotero.org/google-docs/?QfZVPf" TargetMode="External"/><Relationship Id="rId11" Type="http://schemas.openxmlformats.org/officeDocument/2006/relationships/hyperlink" Target="https://www.zotero.org/google-docs/?WztwTD" TargetMode="External"/><Relationship Id="rId32" Type="http://schemas.openxmlformats.org/officeDocument/2006/relationships/hyperlink" Target="https://www.zotero.org/google-docs/?broken=KzGYVt" TargetMode="External"/><Relationship Id="rId53" Type="http://schemas.openxmlformats.org/officeDocument/2006/relationships/hyperlink" Target="https://www.zotero.org/google-docs/?broken=iz2Wso" TargetMode="External"/><Relationship Id="rId74" Type="http://schemas.openxmlformats.org/officeDocument/2006/relationships/hyperlink" Target="https://www.zotero.org/google-docs/?QfZVPf" TargetMode="External"/><Relationship Id="rId128" Type="http://schemas.openxmlformats.org/officeDocument/2006/relationships/hyperlink" Target="https://www.zotero.org/google-docs/?QfZVPf" TargetMode="External"/><Relationship Id="rId5" Type="http://schemas.openxmlformats.org/officeDocument/2006/relationships/hyperlink" Target="https://www.zotero.org/google-docs/?3Qq8qT" TargetMode="External"/><Relationship Id="rId90" Type="http://schemas.openxmlformats.org/officeDocument/2006/relationships/hyperlink" Target="https://www.zotero.org/google-docs/?QfZVPf" TargetMode="External"/><Relationship Id="rId95" Type="http://schemas.openxmlformats.org/officeDocument/2006/relationships/hyperlink" Target="https://www.zotero.org/google-docs/?QfZVPf" TargetMode="External"/><Relationship Id="rId22" Type="http://schemas.openxmlformats.org/officeDocument/2006/relationships/hyperlink" Target="https://www.zotero.org/google-docs/?6Ogcro" TargetMode="External"/><Relationship Id="rId27" Type="http://schemas.openxmlformats.org/officeDocument/2006/relationships/hyperlink" Target="https://www.zotero.org/google-docs/?143Bvo" TargetMode="External"/><Relationship Id="rId43" Type="http://schemas.openxmlformats.org/officeDocument/2006/relationships/hyperlink" Target="https://www.zotero.org/google-docs/?cqvn8d" TargetMode="External"/><Relationship Id="rId48" Type="http://schemas.openxmlformats.org/officeDocument/2006/relationships/hyperlink" Target="https://www.zotero.org/google-docs/?broken=ZEd0EA" TargetMode="External"/><Relationship Id="rId64" Type="http://schemas.openxmlformats.org/officeDocument/2006/relationships/hyperlink" Target="https://www.zotero.org/google-docs/?broken=XsHju4" TargetMode="External"/><Relationship Id="rId69" Type="http://schemas.openxmlformats.org/officeDocument/2006/relationships/hyperlink" Target="https://www.zotero.org/google-docs/?QfZVPf" TargetMode="External"/><Relationship Id="rId113" Type="http://schemas.openxmlformats.org/officeDocument/2006/relationships/hyperlink" Target="https://www.zotero.org/google-docs/?QfZVPf" TargetMode="External"/><Relationship Id="rId118" Type="http://schemas.openxmlformats.org/officeDocument/2006/relationships/hyperlink" Target="https://www.zotero.org/google-docs/?QfZVPf" TargetMode="External"/><Relationship Id="rId134" Type="http://schemas.openxmlformats.org/officeDocument/2006/relationships/hyperlink" Target="https://www.zotero.org/google-docs/?QfZVPf" TargetMode="External"/><Relationship Id="rId139" Type="http://schemas.openxmlformats.org/officeDocument/2006/relationships/image" Target="media/image4.png"/><Relationship Id="rId80" Type="http://schemas.openxmlformats.org/officeDocument/2006/relationships/hyperlink" Target="https://www.zotero.org/google-docs/?QfZVPf" TargetMode="External"/><Relationship Id="rId85" Type="http://schemas.openxmlformats.org/officeDocument/2006/relationships/hyperlink" Target="https://www.zotero.org/google-docs/?QfZVPf" TargetMode="External"/><Relationship Id="rId12" Type="http://schemas.openxmlformats.org/officeDocument/2006/relationships/hyperlink" Target="https://www.zotero.org/google-docs/?WztwTD" TargetMode="External"/><Relationship Id="rId17" Type="http://schemas.openxmlformats.org/officeDocument/2006/relationships/hyperlink" Target="https://www.zotero.org/google-docs/?lh79Qb" TargetMode="External"/><Relationship Id="rId33" Type="http://schemas.openxmlformats.org/officeDocument/2006/relationships/hyperlink" Target="https://www.zotero.org/google-docs/?CWSxPB" TargetMode="External"/><Relationship Id="rId38" Type="http://schemas.openxmlformats.org/officeDocument/2006/relationships/hyperlink" Target="https://www.zotero.org/google-docs/?NwlZyN" TargetMode="External"/><Relationship Id="rId59" Type="http://schemas.openxmlformats.org/officeDocument/2006/relationships/hyperlink" Target="https://www.zotero.org/google-docs/?broken=GcPmCS" TargetMode="External"/><Relationship Id="rId103" Type="http://schemas.openxmlformats.org/officeDocument/2006/relationships/hyperlink" Target="https://www.zotero.org/google-docs/?QfZVPf" TargetMode="External"/><Relationship Id="rId108" Type="http://schemas.openxmlformats.org/officeDocument/2006/relationships/hyperlink" Target="https://www.zotero.org/google-docs/?QfZVPf" TargetMode="External"/><Relationship Id="rId124" Type="http://schemas.openxmlformats.org/officeDocument/2006/relationships/hyperlink" Target="https://www.zotero.org/google-docs/?QfZVPf" TargetMode="External"/><Relationship Id="rId129" Type="http://schemas.openxmlformats.org/officeDocument/2006/relationships/hyperlink" Target="https://www.zotero.org/google-docs/?QfZVPf" TargetMode="External"/><Relationship Id="rId54" Type="http://schemas.openxmlformats.org/officeDocument/2006/relationships/hyperlink" Target="https://www.zotero.org/google-docs/?H7g8XS" TargetMode="External"/><Relationship Id="rId70" Type="http://schemas.openxmlformats.org/officeDocument/2006/relationships/hyperlink" Target="https://www.zotero.org/google-docs/?QfZVPf" TargetMode="External"/><Relationship Id="rId75" Type="http://schemas.openxmlformats.org/officeDocument/2006/relationships/hyperlink" Target="https://www.zotero.org/google-docs/?QfZVPf" TargetMode="External"/><Relationship Id="rId91" Type="http://schemas.openxmlformats.org/officeDocument/2006/relationships/hyperlink" Target="https://www.zotero.org/google-docs/?QfZVPf" TargetMode="External"/><Relationship Id="rId96" Type="http://schemas.openxmlformats.org/officeDocument/2006/relationships/hyperlink" Target="https://www.zotero.org/google-docs/?QfZVPf" TargetMode="External"/><Relationship Id="rId140" Type="http://schemas.openxmlformats.org/officeDocument/2006/relationships/image" Target="media/image5.png"/><Relationship Id="rId145"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hyperlink" Target="https://www.zotero.org/google-docs/?Q74jrq" TargetMode="External"/><Relationship Id="rId23" Type="http://schemas.openxmlformats.org/officeDocument/2006/relationships/hyperlink" Target="https://www.zotero.org/google-docs/?6Ogcro" TargetMode="External"/><Relationship Id="rId28" Type="http://schemas.openxmlformats.org/officeDocument/2006/relationships/hyperlink" Target="https://www.zotero.org/google-docs/?143Bvo" TargetMode="External"/><Relationship Id="rId49" Type="http://schemas.openxmlformats.org/officeDocument/2006/relationships/hyperlink" Target="https://www.zotero.org/google-docs/?2eupGO" TargetMode="External"/><Relationship Id="rId114" Type="http://schemas.openxmlformats.org/officeDocument/2006/relationships/hyperlink" Target="https://www.zotero.org/google-docs/?QfZVPf" TargetMode="External"/><Relationship Id="rId119" Type="http://schemas.openxmlformats.org/officeDocument/2006/relationships/hyperlink" Target="https://www.zotero.org/google-docs/?QfZVPf" TargetMode="External"/><Relationship Id="rId44" Type="http://schemas.openxmlformats.org/officeDocument/2006/relationships/hyperlink" Target="https://www.zotero.org/google-docs/?cqvn8d" TargetMode="External"/><Relationship Id="rId60" Type="http://schemas.openxmlformats.org/officeDocument/2006/relationships/hyperlink" Target="https://www.zotero.org/google-docs/?broken=GcPmCS" TargetMode="External"/><Relationship Id="rId65" Type="http://schemas.openxmlformats.org/officeDocument/2006/relationships/hyperlink" Target="https://www.zotero.org/google-docs/?SmbIGX" TargetMode="External"/><Relationship Id="rId81" Type="http://schemas.openxmlformats.org/officeDocument/2006/relationships/hyperlink" Target="https://www.zotero.org/google-docs/?QfZVPf" TargetMode="External"/><Relationship Id="rId86" Type="http://schemas.openxmlformats.org/officeDocument/2006/relationships/hyperlink" Target="https://www.zotero.org/google-docs/?QfZVPf" TargetMode="External"/><Relationship Id="rId130" Type="http://schemas.openxmlformats.org/officeDocument/2006/relationships/hyperlink" Target="https://www.zotero.org/google-docs/?QfZVPf" TargetMode="External"/><Relationship Id="rId135" Type="http://schemas.openxmlformats.org/officeDocument/2006/relationships/hyperlink" Target="https://www.zotero.org/google-docs/?QfZVPf" TargetMode="External"/><Relationship Id="rId13" Type="http://schemas.openxmlformats.org/officeDocument/2006/relationships/hyperlink" Target="https://www.zotero.org/google-docs/?WztwTD" TargetMode="External"/><Relationship Id="rId18" Type="http://schemas.openxmlformats.org/officeDocument/2006/relationships/hyperlink" Target="https://www.zotero.org/google-docs/?4RAW9L" TargetMode="External"/><Relationship Id="rId39" Type="http://schemas.openxmlformats.org/officeDocument/2006/relationships/hyperlink" Target="https://www.zotero.org/google-docs/?broken=U8Apoy" TargetMode="External"/><Relationship Id="rId109" Type="http://schemas.openxmlformats.org/officeDocument/2006/relationships/hyperlink" Target="https://www.zotero.org/google-docs/?QfZVPf" TargetMode="External"/><Relationship Id="rId34" Type="http://schemas.openxmlformats.org/officeDocument/2006/relationships/hyperlink" Target="https://www.zotero.org/google-docs/?7nOCxA" TargetMode="External"/><Relationship Id="rId50" Type="http://schemas.openxmlformats.org/officeDocument/2006/relationships/hyperlink" Target="https://www.zotero.org/google-docs/?2eupGO" TargetMode="External"/><Relationship Id="rId55" Type="http://schemas.openxmlformats.org/officeDocument/2006/relationships/hyperlink" Target="https://www.zotero.org/google-docs/?broken=uBxcsZ" TargetMode="External"/><Relationship Id="rId76" Type="http://schemas.openxmlformats.org/officeDocument/2006/relationships/hyperlink" Target="https://www.zotero.org/google-docs/?QfZVPf" TargetMode="External"/><Relationship Id="rId97" Type="http://schemas.openxmlformats.org/officeDocument/2006/relationships/hyperlink" Target="https://www.zotero.org/google-docs/?QfZVPf" TargetMode="External"/><Relationship Id="rId104" Type="http://schemas.openxmlformats.org/officeDocument/2006/relationships/hyperlink" Target="https://www.zotero.org/google-docs/?QfZVPf" TargetMode="External"/><Relationship Id="rId120" Type="http://schemas.openxmlformats.org/officeDocument/2006/relationships/hyperlink" Target="https://www.zotero.org/google-docs/?QfZVPf" TargetMode="External"/><Relationship Id="rId125" Type="http://schemas.openxmlformats.org/officeDocument/2006/relationships/hyperlink" Target="https://www.zotero.org/google-docs/?QfZVPf" TargetMode="External"/><Relationship Id="rId141" Type="http://schemas.openxmlformats.org/officeDocument/2006/relationships/image" Target="media/image6.png"/><Relationship Id="rId146" Type="http://schemas.openxmlformats.org/officeDocument/2006/relationships/image" Target="media/image11.png"/><Relationship Id="rId7" Type="http://schemas.openxmlformats.org/officeDocument/2006/relationships/hyperlink" Target="https://www.zotero.org/google-docs/?Y7moQl" TargetMode="External"/><Relationship Id="rId71" Type="http://schemas.openxmlformats.org/officeDocument/2006/relationships/hyperlink" Target="https://www.zotero.org/google-docs/?QfZVPf" TargetMode="External"/><Relationship Id="rId92" Type="http://schemas.openxmlformats.org/officeDocument/2006/relationships/hyperlink" Target="https://www.zotero.org/google-docs/?QfZVPf" TargetMode="External"/><Relationship Id="rId2" Type="http://schemas.openxmlformats.org/officeDocument/2006/relationships/styles" Target="styles.xml"/><Relationship Id="rId29" Type="http://schemas.openxmlformats.org/officeDocument/2006/relationships/hyperlink" Target="https://www.zotero.org/google-docs/?uewd5o" TargetMode="External"/><Relationship Id="rId24" Type="http://schemas.openxmlformats.org/officeDocument/2006/relationships/hyperlink" Target="https://www.zotero.org/google-docs/?hWShgA" TargetMode="External"/><Relationship Id="rId40" Type="http://schemas.openxmlformats.org/officeDocument/2006/relationships/hyperlink" Target="https://www.zotero.org/google-docs/?pB9brR" TargetMode="External"/><Relationship Id="rId45" Type="http://schemas.openxmlformats.org/officeDocument/2006/relationships/hyperlink" Target="https://www.zotero.org/google-docs/?8ka2PS" TargetMode="External"/><Relationship Id="rId66" Type="http://schemas.openxmlformats.org/officeDocument/2006/relationships/hyperlink" Target="https://www.zotero.org/google-docs/?8DQDVR" TargetMode="External"/><Relationship Id="rId87" Type="http://schemas.openxmlformats.org/officeDocument/2006/relationships/hyperlink" Target="https://www.zotero.org/google-docs/?QfZVPf" TargetMode="External"/><Relationship Id="rId110" Type="http://schemas.openxmlformats.org/officeDocument/2006/relationships/hyperlink" Target="https://www.zotero.org/google-docs/?QfZVPf" TargetMode="External"/><Relationship Id="rId115" Type="http://schemas.openxmlformats.org/officeDocument/2006/relationships/hyperlink" Target="https://www.zotero.org/google-docs/?QfZVPf" TargetMode="External"/><Relationship Id="rId131" Type="http://schemas.openxmlformats.org/officeDocument/2006/relationships/hyperlink" Target="https://www.zotero.org/google-docs/?QfZVPf" TargetMode="External"/><Relationship Id="rId136" Type="http://schemas.openxmlformats.org/officeDocument/2006/relationships/image" Target="media/image1.png"/><Relationship Id="rId61" Type="http://schemas.openxmlformats.org/officeDocument/2006/relationships/hyperlink" Target="https://www.zotero.org/google-docs/?broken=M0iuoU" TargetMode="External"/><Relationship Id="rId82" Type="http://schemas.openxmlformats.org/officeDocument/2006/relationships/hyperlink" Target="https://www.zotero.org/google-docs/?QfZVPf" TargetMode="External"/><Relationship Id="rId19" Type="http://schemas.openxmlformats.org/officeDocument/2006/relationships/hyperlink" Target="https://www.zotero.org/google-docs/?dlisVb" TargetMode="External"/><Relationship Id="rId14" Type="http://schemas.openxmlformats.org/officeDocument/2006/relationships/hyperlink" Target="https://www.zotero.org/google-docs/?WztwTD" TargetMode="External"/><Relationship Id="rId30" Type="http://schemas.openxmlformats.org/officeDocument/2006/relationships/hyperlink" Target="https://www.zotero.org/google-docs/?uewd5o" TargetMode="External"/><Relationship Id="rId35" Type="http://schemas.openxmlformats.org/officeDocument/2006/relationships/hyperlink" Target="https://www.zotero.org/google-docs/?eijjtZ" TargetMode="External"/><Relationship Id="rId56" Type="http://schemas.openxmlformats.org/officeDocument/2006/relationships/hyperlink" Target="https://www.zotero.org/google-docs/?broken=R37JXF" TargetMode="External"/><Relationship Id="rId77" Type="http://schemas.openxmlformats.org/officeDocument/2006/relationships/hyperlink" Target="https://www.zotero.org/google-docs/?QfZVPf" TargetMode="External"/><Relationship Id="rId100" Type="http://schemas.openxmlformats.org/officeDocument/2006/relationships/hyperlink" Target="https://www.zotero.org/google-docs/?QfZVPf" TargetMode="External"/><Relationship Id="rId105" Type="http://schemas.openxmlformats.org/officeDocument/2006/relationships/hyperlink" Target="https://www.zotero.org/google-docs/?QfZVPf" TargetMode="External"/><Relationship Id="rId126" Type="http://schemas.openxmlformats.org/officeDocument/2006/relationships/hyperlink" Target="https://www.zotero.org/google-docs/?QfZVPf" TargetMode="External"/><Relationship Id="rId147" Type="http://schemas.openxmlformats.org/officeDocument/2006/relationships/fontTable" Target="fontTable.xml"/><Relationship Id="rId8" Type="http://schemas.openxmlformats.org/officeDocument/2006/relationships/hyperlink" Target="https://www.zotero.org/google-docs/?9MDzbB" TargetMode="External"/><Relationship Id="rId51" Type="http://schemas.openxmlformats.org/officeDocument/2006/relationships/hyperlink" Target="https://www.zotero.org/google-docs/?2eupGO" TargetMode="External"/><Relationship Id="rId72" Type="http://schemas.openxmlformats.org/officeDocument/2006/relationships/hyperlink" Target="https://www.zotero.org/google-docs/?QfZVPf" TargetMode="External"/><Relationship Id="rId93" Type="http://schemas.openxmlformats.org/officeDocument/2006/relationships/hyperlink" Target="https://www.zotero.org/google-docs/?QfZVPf" TargetMode="External"/><Relationship Id="rId98" Type="http://schemas.openxmlformats.org/officeDocument/2006/relationships/hyperlink" Target="https://www.zotero.org/google-docs/?QfZVPf" TargetMode="External"/><Relationship Id="rId121" Type="http://schemas.openxmlformats.org/officeDocument/2006/relationships/hyperlink" Target="https://www.zotero.org/google-docs/?QfZVPf" TargetMode="External"/><Relationship Id="rId142" Type="http://schemas.openxmlformats.org/officeDocument/2006/relationships/image" Target="media/image7.png"/><Relationship Id="rId3" Type="http://schemas.openxmlformats.org/officeDocument/2006/relationships/settings" Target="settings.xml"/><Relationship Id="rId25" Type="http://schemas.openxmlformats.org/officeDocument/2006/relationships/hyperlink" Target="https://www.zotero.org/google-docs/?broken=kgETfY" TargetMode="External"/><Relationship Id="rId46" Type="http://schemas.openxmlformats.org/officeDocument/2006/relationships/hyperlink" Target="https://www.zotero.org/google-docs/?broken=ZEd0EA" TargetMode="External"/><Relationship Id="rId67" Type="http://schemas.openxmlformats.org/officeDocument/2006/relationships/hyperlink" Target="https://www.zotero.org/google-docs/?QfZVPf" TargetMode="External"/><Relationship Id="rId116" Type="http://schemas.openxmlformats.org/officeDocument/2006/relationships/hyperlink" Target="https://www.zotero.org/google-docs/?QfZVPf" TargetMode="External"/><Relationship Id="rId137" Type="http://schemas.openxmlformats.org/officeDocument/2006/relationships/image" Target="media/image2.png"/><Relationship Id="rId20" Type="http://schemas.openxmlformats.org/officeDocument/2006/relationships/hyperlink" Target="https://www.zotero.org/google-docs/?7Ckvhg" TargetMode="External"/><Relationship Id="rId41" Type="http://schemas.openxmlformats.org/officeDocument/2006/relationships/hyperlink" Target="https://www.zotero.org/google-docs/?ulcQL3" TargetMode="External"/><Relationship Id="rId62" Type="http://schemas.openxmlformats.org/officeDocument/2006/relationships/hyperlink" Target="https://www.zotero.org/google-docs/?broken=M0iuoU" TargetMode="External"/><Relationship Id="rId83" Type="http://schemas.openxmlformats.org/officeDocument/2006/relationships/hyperlink" Target="https://www.zotero.org/google-docs/?QfZVPf" TargetMode="External"/><Relationship Id="rId88" Type="http://schemas.openxmlformats.org/officeDocument/2006/relationships/hyperlink" Target="https://www.zotero.org/google-docs/?QfZVPf" TargetMode="External"/><Relationship Id="rId111" Type="http://schemas.openxmlformats.org/officeDocument/2006/relationships/hyperlink" Target="https://www.zotero.org/google-docs/?QfZVPf" TargetMode="External"/><Relationship Id="rId132" Type="http://schemas.openxmlformats.org/officeDocument/2006/relationships/hyperlink" Target="https://www.zotero.org/google-docs/?QfZVPf" TargetMode="External"/><Relationship Id="rId15" Type="http://schemas.openxmlformats.org/officeDocument/2006/relationships/hyperlink" Target="https://www.zotero.org/google-docs/?WztwTD" TargetMode="External"/><Relationship Id="rId36" Type="http://schemas.openxmlformats.org/officeDocument/2006/relationships/hyperlink" Target="https://www.zotero.org/google-docs/?eTUJH0" TargetMode="External"/><Relationship Id="rId57" Type="http://schemas.openxmlformats.org/officeDocument/2006/relationships/hyperlink" Target="https://www.zotero.org/google-docs/?Yi3SJc" TargetMode="External"/><Relationship Id="rId106" Type="http://schemas.openxmlformats.org/officeDocument/2006/relationships/hyperlink" Target="https://www.zotero.org/google-docs/?QfZVPf" TargetMode="External"/><Relationship Id="rId127" Type="http://schemas.openxmlformats.org/officeDocument/2006/relationships/hyperlink" Target="https://www.zotero.org/google-docs/?QfZVPf" TargetMode="External"/><Relationship Id="rId10" Type="http://schemas.openxmlformats.org/officeDocument/2006/relationships/hyperlink" Target="https://www.zotero.org/google-docs/?9MDzbB" TargetMode="External"/><Relationship Id="rId31" Type="http://schemas.openxmlformats.org/officeDocument/2006/relationships/hyperlink" Target="https://www.zotero.org/google-docs/?uewd5o" TargetMode="External"/><Relationship Id="rId52" Type="http://schemas.openxmlformats.org/officeDocument/2006/relationships/hyperlink" Target="https://www.zotero.org/google-docs/?DgjBPR" TargetMode="External"/><Relationship Id="rId73" Type="http://schemas.openxmlformats.org/officeDocument/2006/relationships/hyperlink" Target="https://www.zotero.org/google-docs/?QfZVPf" TargetMode="External"/><Relationship Id="rId78" Type="http://schemas.openxmlformats.org/officeDocument/2006/relationships/hyperlink" Target="https://www.zotero.org/google-docs/?QfZVPf" TargetMode="External"/><Relationship Id="rId94" Type="http://schemas.openxmlformats.org/officeDocument/2006/relationships/hyperlink" Target="https://www.zotero.org/google-docs/?QfZVPf" TargetMode="External"/><Relationship Id="rId99" Type="http://schemas.openxmlformats.org/officeDocument/2006/relationships/hyperlink" Target="https://www.zotero.org/google-docs/?QfZVPf" TargetMode="External"/><Relationship Id="rId101" Type="http://schemas.openxmlformats.org/officeDocument/2006/relationships/hyperlink" Target="https://www.zotero.org/google-docs/?QfZVPf" TargetMode="External"/><Relationship Id="rId122" Type="http://schemas.openxmlformats.org/officeDocument/2006/relationships/hyperlink" Target="https://www.zotero.org/google-docs/?QfZVPf" TargetMode="External"/><Relationship Id="rId143" Type="http://schemas.openxmlformats.org/officeDocument/2006/relationships/image" Target="media/image8.png"/><Relationship Id="rId14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zotero.org/google-docs/?9MDzbB" TargetMode="External"/><Relationship Id="rId26" Type="http://schemas.openxmlformats.org/officeDocument/2006/relationships/hyperlink" Target="https://www.zotero.org/google-docs/?143Bvo" TargetMode="External"/><Relationship Id="rId47" Type="http://schemas.openxmlformats.org/officeDocument/2006/relationships/hyperlink" Target="https://www.zotero.org/google-docs/?broken=ZEd0EA" TargetMode="External"/><Relationship Id="rId68" Type="http://schemas.openxmlformats.org/officeDocument/2006/relationships/hyperlink" Target="https://www.zotero.org/google-docs/?QfZVPf" TargetMode="External"/><Relationship Id="rId89" Type="http://schemas.openxmlformats.org/officeDocument/2006/relationships/hyperlink" Target="https://www.zotero.org/google-docs/?QfZVPf" TargetMode="External"/><Relationship Id="rId112" Type="http://schemas.openxmlformats.org/officeDocument/2006/relationships/hyperlink" Target="https://www.zotero.org/google-docs/?QfZVPf" TargetMode="External"/><Relationship Id="rId133" Type="http://schemas.openxmlformats.org/officeDocument/2006/relationships/hyperlink" Target="https://www.zotero.org/google-docs/?QfZVPf" TargetMode="External"/><Relationship Id="rId16" Type="http://schemas.openxmlformats.org/officeDocument/2006/relationships/hyperlink" Target="https://www.zotero.org/google-docs/?Azy33a" TargetMode="External"/><Relationship Id="rId37" Type="http://schemas.openxmlformats.org/officeDocument/2006/relationships/hyperlink" Target="https://www.zotero.org/google-docs/?zsDtSo" TargetMode="External"/><Relationship Id="rId58" Type="http://schemas.openxmlformats.org/officeDocument/2006/relationships/hyperlink" Target="https://www.zotero.org/google-docs/?broken=GcPmCS" TargetMode="External"/><Relationship Id="rId79" Type="http://schemas.openxmlformats.org/officeDocument/2006/relationships/hyperlink" Target="https://www.zotero.org/google-docs/?QfZVPf" TargetMode="External"/><Relationship Id="rId102" Type="http://schemas.openxmlformats.org/officeDocument/2006/relationships/hyperlink" Target="https://www.zotero.org/google-docs/?QfZVPf" TargetMode="External"/><Relationship Id="rId123" Type="http://schemas.openxmlformats.org/officeDocument/2006/relationships/hyperlink" Target="https://www.zotero.org/google-docs/?QfZVPf" TargetMode="External"/><Relationship Id="rId14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24</Pages>
  <Words>5240</Words>
  <Characters>29870</Characters>
  <Application>Microsoft Office Word</Application>
  <DocSecurity>0</DocSecurity>
  <Lines>248</Lines>
  <Paragraphs>70</Paragraphs>
  <ScaleCrop>false</ScaleCrop>
  <Company/>
  <LinksUpToDate>false</LinksUpToDate>
  <CharactersWithSpaces>35040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Walker, Enfys (e.walker408@canterbury.ac.uk)</cp:lastModifiedBy>
  <cp:revision>3</cp:revision>
  <dcterms:created xsi:type="dcterms:W3CDTF">2020-11-03T20:03:00Z</dcterms:created>
  <dcterms:modified xsi:type="dcterms:W3CDTF">2020-11-03T20:08:00Z</dcterms:modified>
</cp:coreProperties>
</file>