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8EEB9" w14:textId="7D2A403A" w:rsidR="001F3CA8" w:rsidRPr="00EF4F20" w:rsidRDefault="00FB567F" w:rsidP="00EF1BAF">
      <w:pPr>
        <w:jc w:val="center"/>
        <w:rPr>
          <w:rFonts w:ascii="Arial" w:eastAsiaTheme="majorEastAsia" w:hAnsi="Arial" w:cs="Arial"/>
          <w:b/>
          <w:bCs/>
          <w:i/>
          <w:iCs/>
          <w:color w:val="ED7D31" w:themeColor="accent2"/>
          <w:sz w:val="40"/>
          <w:szCs w:val="40"/>
        </w:rPr>
      </w:pPr>
      <w:r w:rsidRPr="00EF4F20">
        <w:rPr>
          <w:rFonts w:ascii="Arial" w:eastAsiaTheme="majorEastAsia" w:hAnsi="Arial" w:cs="Arial"/>
          <w:b/>
          <w:bCs/>
          <w:i/>
          <w:iCs/>
          <w:color w:val="ED7D31" w:themeColor="accent2"/>
          <w:sz w:val="40"/>
          <w:szCs w:val="40"/>
        </w:rPr>
        <w:t>Research Project Proposal – Impact of current challenges on the human resource department relating to</w:t>
      </w:r>
      <w:r w:rsidR="00EF1BAF" w:rsidRPr="00EF4F20">
        <w:rPr>
          <w:rFonts w:ascii="Arial" w:eastAsiaTheme="majorEastAsia" w:hAnsi="Arial" w:cs="Arial"/>
          <w:b/>
          <w:bCs/>
          <w:i/>
          <w:iCs/>
          <w:color w:val="ED7D31" w:themeColor="accent2"/>
          <w:sz w:val="40"/>
          <w:szCs w:val="40"/>
        </w:rPr>
        <w:t xml:space="preserve"> </w:t>
      </w:r>
      <w:r w:rsidRPr="00EF4F20">
        <w:rPr>
          <w:rFonts w:ascii="Arial" w:eastAsiaTheme="majorEastAsia" w:hAnsi="Arial" w:cs="Arial"/>
          <w:b/>
          <w:bCs/>
          <w:i/>
          <w:iCs/>
          <w:color w:val="ED7D31" w:themeColor="accent2"/>
          <w:sz w:val="40"/>
          <w:szCs w:val="40"/>
        </w:rPr>
        <w:t>recruitment and retention</w:t>
      </w:r>
      <w:r w:rsidR="00615CFA" w:rsidRPr="00EF4F20">
        <w:rPr>
          <w:rFonts w:ascii="Arial" w:eastAsiaTheme="majorEastAsia" w:hAnsi="Arial" w:cs="Arial"/>
          <w:b/>
          <w:bCs/>
          <w:i/>
          <w:iCs/>
          <w:color w:val="ED7D31" w:themeColor="accent2"/>
          <w:sz w:val="40"/>
          <w:szCs w:val="40"/>
        </w:rPr>
        <w:t xml:space="preserve"> of </w:t>
      </w:r>
      <w:r w:rsidR="00AA3305" w:rsidRPr="00EF4F20">
        <w:rPr>
          <w:rFonts w:ascii="Arial" w:eastAsiaTheme="majorEastAsia" w:hAnsi="Arial" w:cs="Arial"/>
          <w:b/>
          <w:bCs/>
          <w:i/>
          <w:iCs/>
          <w:color w:val="ED7D31" w:themeColor="accent2"/>
          <w:sz w:val="40"/>
          <w:szCs w:val="40"/>
        </w:rPr>
        <w:t>The Goring (London)</w:t>
      </w:r>
    </w:p>
    <w:p w14:paraId="2C86B04D" w14:textId="77777777" w:rsidR="00FB567F" w:rsidRDefault="00FB567F" w:rsidP="00FB567F">
      <w:pPr>
        <w:jc w:val="center"/>
        <w:rPr>
          <w:rFonts w:ascii="Arial" w:hAnsi="Arial" w:cs="Arial"/>
          <w:b/>
          <w:bCs/>
          <w:sz w:val="28"/>
          <w:szCs w:val="28"/>
        </w:rPr>
      </w:pPr>
    </w:p>
    <w:p w14:paraId="45CC36DB" w14:textId="77777777" w:rsidR="00FB567F" w:rsidRDefault="00FB567F" w:rsidP="00FB567F">
      <w:pPr>
        <w:jc w:val="center"/>
        <w:rPr>
          <w:rFonts w:ascii="Arial" w:hAnsi="Arial" w:cs="Arial"/>
          <w:b/>
          <w:bCs/>
          <w:sz w:val="28"/>
          <w:szCs w:val="28"/>
        </w:rPr>
      </w:pPr>
    </w:p>
    <w:p w14:paraId="1FEA4177" w14:textId="77777777" w:rsidR="00FB567F" w:rsidRDefault="00FB567F" w:rsidP="00FB567F"/>
    <w:p w14:paraId="023EAA0B" w14:textId="77777777" w:rsidR="00FB567F" w:rsidRDefault="00FB567F" w:rsidP="00FB567F"/>
    <w:p w14:paraId="1D8E5490" w14:textId="77777777" w:rsidR="00EF4F20" w:rsidRDefault="00EF4F20" w:rsidP="00FB567F"/>
    <w:p w14:paraId="04A756A2" w14:textId="77777777" w:rsidR="00EF4F20" w:rsidRDefault="00EF4F20" w:rsidP="00FB567F"/>
    <w:p w14:paraId="4FDE07B0" w14:textId="77777777" w:rsidR="00EF4F20" w:rsidRDefault="00EF4F20" w:rsidP="00FB567F"/>
    <w:p w14:paraId="25A0C97B" w14:textId="77777777" w:rsidR="00EF4F20" w:rsidRDefault="00EF4F20" w:rsidP="00FB567F"/>
    <w:p w14:paraId="5091A232" w14:textId="77777777" w:rsidR="00EF4F20" w:rsidRDefault="00EF4F20" w:rsidP="00FB567F"/>
    <w:p w14:paraId="6E26B848" w14:textId="77777777" w:rsidR="00FB567F" w:rsidRDefault="00FB567F" w:rsidP="00FB567F"/>
    <w:p w14:paraId="641F9CE7" w14:textId="743200D9" w:rsidR="0036500C" w:rsidRPr="0036500C" w:rsidRDefault="0036500C" w:rsidP="0036500C">
      <w:pPr>
        <w:jc w:val="center"/>
        <w:rPr>
          <w:rFonts w:ascii="Arial" w:hAnsi="Arial" w:cs="Arial"/>
          <w:b/>
          <w:bCs/>
          <w:sz w:val="28"/>
          <w:szCs w:val="28"/>
        </w:rPr>
      </w:pPr>
      <w:r>
        <w:rPr>
          <w:rFonts w:ascii="Arial" w:hAnsi="Arial" w:cs="Arial"/>
          <w:b/>
          <w:bCs/>
          <w:sz w:val="28"/>
          <w:szCs w:val="28"/>
        </w:rPr>
        <w:t xml:space="preserve">Student </w:t>
      </w:r>
      <w:r w:rsidRPr="0036500C">
        <w:rPr>
          <w:rFonts w:ascii="Arial" w:hAnsi="Arial" w:cs="Arial"/>
          <w:b/>
          <w:bCs/>
          <w:sz w:val="28"/>
          <w:szCs w:val="28"/>
        </w:rPr>
        <w:t>Name</w:t>
      </w:r>
      <w:r>
        <w:rPr>
          <w:rFonts w:ascii="Arial" w:hAnsi="Arial" w:cs="Arial"/>
          <w:b/>
          <w:bCs/>
          <w:sz w:val="28"/>
          <w:szCs w:val="28"/>
        </w:rPr>
        <w:t>:</w:t>
      </w:r>
      <w:r w:rsidR="00316AF0">
        <w:rPr>
          <w:rFonts w:ascii="Arial" w:hAnsi="Arial" w:cs="Arial"/>
          <w:b/>
          <w:bCs/>
          <w:sz w:val="28"/>
          <w:szCs w:val="28"/>
        </w:rPr>
        <w:t xml:space="preserve"> Majeda Begum 2119064</w:t>
      </w:r>
    </w:p>
    <w:p w14:paraId="6AD80893" w14:textId="0835FA18" w:rsidR="00316AF0" w:rsidRPr="00316AF0" w:rsidRDefault="0036500C" w:rsidP="00316AF0">
      <w:pPr>
        <w:jc w:val="center"/>
        <w:rPr>
          <w:rFonts w:ascii="Arial" w:hAnsi="Arial" w:cs="Arial"/>
          <w:b/>
          <w:bCs/>
          <w:sz w:val="28"/>
          <w:szCs w:val="28"/>
        </w:rPr>
      </w:pPr>
      <w:r>
        <w:rPr>
          <w:rFonts w:ascii="Arial" w:hAnsi="Arial" w:cs="Arial"/>
          <w:b/>
          <w:bCs/>
          <w:sz w:val="28"/>
          <w:szCs w:val="28"/>
        </w:rPr>
        <w:t>M</w:t>
      </w:r>
      <w:r w:rsidRPr="0036500C">
        <w:rPr>
          <w:rFonts w:ascii="Arial" w:hAnsi="Arial" w:cs="Arial"/>
          <w:b/>
          <w:bCs/>
          <w:sz w:val="28"/>
          <w:szCs w:val="28"/>
        </w:rPr>
        <w:t xml:space="preserve">odule </w:t>
      </w:r>
      <w:r>
        <w:rPr>
          <w:rFonts w:ascii="Arial" w:hAnsi="Arial" w:cs="Arial"/>
          <w:b/>
          <w:bCs/>
          <w:sz w:val="28"/>
          <w:szCs w:val="28"/>
        </w:rPr>
        <w:t>T</w:t>
      </w:r>
      <w:r w:rsidRPr="0036500C">
        <w:rPr>
          <w:rFonts w:ascii="Arial" w:hAnsi="Arial" w:cs="Arial"/>
          <w:b/>
          <w:bCs/>
          <w:sz w:val="28"/>
          <w:szCs w:val="28"/>
        </w:rPr>
        <w:t>itle:</w:t>
      </w:r>
      <w:r w:rsidR="00316AF0" w:rsidRPr="00316AF0">
        <w:t xml:space="preserve"> </w:t>
      </w:r>
      <w:r w:rsidR="00316AF0" w:rsidRPr="00316AF0">
        <w:rPr>
          <w:rFonts w:ascii="Arial" w:hAnsi="Arial" w:cs="Arial"/>
          <w:b/>
          <w:bCs/>
          <w:sz w:val="28"/>
          <w:szCs w:val="28"/>
        </w:rPr>
        <w:t>Personnel Resourcing &amp; Development (BMIH5005)</w:t>
      </w:r>
    </w:p>
    <w:p w14:paraId="6A54FA7B" w14:textId="77777777" w:rsidR="00316AF0" w:rsidRPr="0036500C" w:rsidRDefault="0036500C" w:rsidP="00316AF0">
      <w:pPr>
        <w:jc w:val="center"/>
        <w:rPr>
          <w:rFonts w:ascii="Arial" w:hAnsi="Arial" w:cs="Arial"/>
          <w:b/>
          <w:bCs/>
          <w:sz w:val="28"/>
          <w:szCs w:val="28"/>
        </w:rPr>
      </w:pPr>
      <w:r>
        <w:rPr>
          <w:rFonts w:ascii="Arial" w:hAnsi="Arial" w:cs="Arial"/>
          <w:b/>
          <w:bCs/>
          <w:sz w:val="28"/>
          <w:szCs w:val="28"/>
        </w:rPr>
        <w:t>M</w:t>
      </w:r>
      <w:r w:rsidRPr="0036500C">
        <w:rPr>
          <w:rFonts w:ascii="Arial" w:hAnsi="Arial" w:cs="Arial"/>
          <w:b/>
          <w:bCs/>
          <w:sz w:val="28"/>
          <w:szCs w:val="28"/>
        </w:rPr>
        <w:t xml:space="preserve">odule </w:t>
      </w:r>
      <w:r>
        <w:rPr>
          <w:rFonts w:ascii="Arial" w:hAnsi="Arial" w:cs="Arial"/>
          <w:b/>
          <w:bCs/>
          <w:sz w:val="28"/>
          <w:szCs w:val="28"/>
        </w:rPr>
        <w:t>N</w:t>
      </w:r>
      <w:r w:rsidRPr="0036500C">
        <w:rPr>
          <w:rFonts w:ascii="Arial" w:hAnsi="Arial" w:cs="Arial"/>
          <w:b/>
          <w:bCs/>
          <w:sz w:val="28"/>
          <w:szCs w:val="28"/>
        </w:rPr>
        <w:t>umber</w:t>
      </w:r>
      <w:r>
        <w:rPr>
          <w:rFonts w:ascii="Arial" w:hAnsi="Arial" w:cs="Arial"/>
          <w:b/>
          <w:bCs/>
          <w:sz w:val="28"/>
          <w:szCs w:val="28"/>
        </w:rPr>
        <w:t>:</w:t>
      </w:r>
      <w:r w:rsidR="00316AF0">
        <w:rPr>
          <w:rFonts w:ascii="Arial" w:hAnsi="Arial" w:cs="Arial"/>
          <w:b/>
          <w:bCs/>
          <w:sz w:val="28"/>
          <w:szCs w:val="28"/>
        </w:rPr>
        <w:t xml:space="preserve"> </w:t>
      </w:r>
      <w:r w:rsidR="00316AF0" w:rsidRPr="00316AF0">
        <w:rPr>
          <w:rFonts w:ascii="Arial" w:hAnsi="Arial" w:cs="Arial"/>
          <w:b/>
          <w:bCs/>
          <w:sz w:val="28"/>
          <w:szCs w:val="28"/>
        </w:rPr>
        <w:t>BMIH5005</w:t>
      </w:r>
    </w:p>
    <w:p w14:paraId="2BD32FD2" w14:textId="591A405C" w:rsidR="0036500C" w:rsidRPr="0036500C" w:rsidRDefault="0036500C" w:rsidP="0036500C">
      <w:pPr>
        <w:jc w:val="center"/>
        <w:rPr>
          <w:rFonts w:ascii="Arial" w:hAnsi="Arial" w:cs="Arial"/>
          <w:b/>
          <w:bCs/>
          <w:sz w:val="28"/>
          <w:szCs w:val="28"/>
        </w:rPr>
      </w:pPr>
    </w:p>
    <w:p w14:paraId="054F56CB" w14:textId="77777777" w:rsidR="00FB567F" w:rsidRDefault="00FB567F" w:rsidP="00FB567F"/>
    <w:p w14:paraId="479B0B75" w14:textId="77777777" w:rsidR="00FB567F" w:rsidRDefault="00FB567F" w:rsidP="00FB567F"/>
    <w:p w14:paraId="5CC0DC2F" w14:textId="77777777" w:rsidR="00FB567F" w:rsidRDefault="00FB567F" w:rsidP="00FB567F"/>
    <w:p w14:paraId="3ECCD62C" w14:textId="77777777" w:rsidR="00FB567F" w:rsidRDefault="00FB567F" w:rsidP="00FB567F"/>
    <w:p w14:paraId="06338A92" w14:textId="77777777" w:rsidR="00FB567F" w:rsidRDefault="00FB567F" w:rsidP="00FB567F"/>
    <w:p w14:paraId="7A07775D" w14:textId="77777777" w:rsidR="00FB567F" w:rsidRDefault="00FB567F" w:rsidP="00FB567F"/>
    <w:p w14:paraId="0DDFA397" w14:textId="77777777" w:rsidR="00FB567F" w:rsidRDefault="00FB567F" w:rsidP="00FB567F"/>
    <w:p w14:paraId="73CD8AFF" w14:textId="77777777" w:rsidR="00FB567F" w:rsidRDefault="00FB567F" w:rsidP="00FB567F"/>
    <w:p w14:paraId="6530133A" w14:textId="77777777" w:rsidR="00FB567F" w:rsidRPr="00EF4F20" w:rsidRDefault="00FB567F" w:rsidP="00EF4F20">
      <w:pPr>
        <w:jc w:val="both"/>
        <w:rPr>
          <w:rFonts w:ascii="Arial" w:hAnsi="Arial" w:cs="Arial"/>
          <w:sz w:val="24"/>
          <w:szCs w:val="24"/>
        </w:rPr>
      </w:pPr>
    </w:p>
    <w:p w14:paraId="66FF09DE" w14:textId="535A8043" w:rsidR="003B2EB1" w:rsidRPr="00EF4F20" w:rsidRDefault="00AA3305"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lastRenderedPageBreak/>
        <w:t>Introduction and Background of The Goring (London)</w:t>
      </w:r>
    </w:p>
    <w:p w14:paraId="31B242FC" w14:textId="77777777" w:rsidR="00A659D4" w:rsidRPr="00EF4F20" w:rsidRDefault="00A659D4" w:rsidP="00EF4F20">
      <w:pPr>
        <w:pStyle w:val="Heading1"/>
        <w:jc w:val="both"/>
        <w:rPr>
          <w:rFonts w:ascii="Arial" w:hAnsi="Arial" w:cs="Arial"/>
          <w:b/>
          <w:bCs/>
          <w:i/>
          <w:iCs/>
          <w:color w:val="ED7D31" w:themeColor="accent2"/>
          <w:sz w:val="24"/>
          <w:szCs w:val="24"/>
        </w:rPr>
      </w:pPr>
    </w:p>
    <w:p w14:paraId="045E9DC2" w14:textId="6C2476ED" w:rsidR="00A659D4" w:rsidRPr="00EF4F20" w:rsidRDefault="00A659D4"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 xml:space="preserve"> </w:t>
      </w:r>
      <w:r w:rsidR="003B2EB1" w:rsidRPr="00EF4F20">
        <w:rPr>
          <w:rFonts w:ascii="Arial" w:hAnsi="Arial" w:cs="Arial"/>
          <w:b/>
          <w:bCs/>
          <w:i/>
          <w:iCs/>
          <w:color w:val="ED7D31" w:themeColor="accent2"/>
          <w:sz w:val="24"/>
          <w:szCs w:val="24"/>
        </w:rPr>
        <w:t>1.1</w:t>
      </w:r>
      <w:r w:rsidRPr="00EF4F20">
        <w:rPr>
          <w:rFonts w:ascii="Arial" w:hAnsi="Arial" w:cs="Arial"/>
          <w:b/>
          <w:bCs/>
          <w:i/>
          <w:iCs/>
          <w:color w:val="ED7D31" w:themeColor="accent2"/>
          <w:sz w:val="24"/>
          <w:szCs w:val="24"/>
        </w:rPr>
        <w:t>Brief Overview of The Goring (London)</w:t>
      </w:r>
    </w:p>
    <w:p w14:paraId="14EB798D" w14:textId="344E891C" w:rsidR="00A659D4" w:rsidRPr="00EF4F20" w:rsidRDefault="00951322" w:rsidP="00EF4F20">
      <w:pPr>
        <w:jc w:val="both"/>
        <w:rPr>
          <w:rFonts w:ascii="Arial" w:hAnsi="Arial" w:cs="Arial"/>
          <w:sz w:val="24"/>
          <w:szCs w:val="24"/>
        </w:rPr>
      </w:pPr>
      <w:r w:rsidRPr="00EF4F20">
        <w:rPr>
          <w:rFonts w:ascii="Arial" w:hAnsi="Arial" w:cs="Arial"/>
          <w:sz w:val="24"/>
          <w:szCs w:val="24"/>
        </w:rPr>
        <w:t xml:space="preserve">This research proposal on the effect of current difficulties on the human resource department's recruitment and retention efforts </w:t>
      </w:r>
      <w:r w:rsidR="00EF4F20" w:rsidRPr="00EF4F20">
        <w:rPr>
          <w:rFonts w:ascii="Arial" w:hAnsi="Arial" w:cs="Arial"/>
          <w:sz w:val="24"/>
          <w:szCs w:val="24"/>
        </w:rPr>
        <w:t>centres</w:t>
      </w:r>
      <w:r w:rsidRPr="00EF4F20">
        <w:rPr>
          <w:rFonts w:ascii="Arial" w:hAnsi="Arial" w:cs="Arial"/>
          <w:sz w:val="24"/>
          <w:szCs w:val="24"/>
        </w:rPr>
        <w:t xml:space="preserve"> on The Goring, a prominent hotel in London</w:t>
      </w:r>
      <w:r w:rsidR="00941D64" w:rsidRPr="00EF4F20">
        <w:rPr>
          <w:rFonts w:ascii="Arial" w:hAnsi="Arial" w:cs="Arial"/>
          <w:sz w:val="24"/>
          <w:szCs w:val="24"/>
        </w:rPr>
        <w:t xml:space="preserve"> (Unesco.org, 2023)</w:t>
      </w:r>
      <w:r w:rsidR="00A659D4" w:rsidRPr="00EF4F20">
        <w:rPr>
          <w:rFonts w:ascii="Arial" w:hAnsi="Arial" w:cs="Arial"/>
          <w:sz w:val="24"/>
          <w:szCs w:val="24"/>
        </w:rPr>
        <w:t>. Renowned for its exceptional service and dedication to providing high-quality accommodation and experiences, The Goring has established itself as a prominent player in the global hospitality industry</w:t>
      </w:r>
      <w:r w:rsidR="00AC1F6C" w:rsidRPr="00EF4F20">
        <w:rPr>
          <w:rFonts w:ascii="Arial" w:hAnsi="Arial" w:cs="Arial"/>
          <w:sz w:val="24"/>
          <w:szCs w:val="24"/>
        </w:rPr>
        <w:t xml:space="preserve"> (Rollet-Manus, 2021)</w:t>
      </w:r>
      <w:r w:rsidR="00A659D4" w:rsidRPr="00EF4F20">
        <w:rPr>
          <w:rFonts w:ascii="Arial" w:hAnsi="Arial" w:cs="Arial"/>
          <w:sz w:val="24"/>
          <w:szCs w:val="24"/>
        </w:rPr>
        <w:t>.</w:t>
      </w:r>
    </w:p>
    <w:p w14:paraId="0B8D6242" w14:textId="434A625E" w:rsidR="00A659D4" w:rsidRPr="00EF4F20" w:rsidRDefault="00A659D4" w:rsidP="00EF4F20">
      <w:pPr>
        <w:jc w:val="both"/>
        <w:rPr>
          <w:rFonts w:ascii="Arial" w:hAnsi="Arial" w:cs="Arial"/>
          <w:sz w:val="24"/>
          <w:szCs w:val="24"/>
        </w:rPr>
      </w:pPr>
      <w:r w:rsidRPr="00EF4F20">
        <w:rPr>
          <w:rFonts w:ascii="Arial" w:hAnsi="Arial" w:cs="Arial"/>
          <w:sz w:val="24"/>
          <w:szCs w:val="24"/>
        </w:rPr>
        <w:t>Strategically situated in the heart of a bustling city center, The Goring enjoys a prime location that attracts both business and leisure travelers</w:t>
      </w:r>
      <w:r w:rsidR="00257DE6" w:rsidRPr="00EF4F20">
        <w:rPr>
          <w:rFonts w:ascii="Arial" w:hAnsi="Arial" w:cs="Arial"/>
          <w:sz w:val="24"/>
          <w:szCs w:val="24"/>
        </w:rPr>
        <w:t xml:space="preserve"> (Fromental, 2015)</w:t>
      </w:r>
      <w:r w:rsidRPr="00EF4F20">
        <w:rPr>
          <w:rFonts w:ascii="Arial" w:hAnsi="Arial" w:cs="Arial"/>
          <w:sz w:val="24"/>
          <w:szCs w:val="24"/>
        </w:rPr>
        <w:t>. Its advantageous position provides easy access to major tourist attractions, corporate offices, and transportation hubs. This strategic advantage ensures a steady flow of guests, contributing to The Goring's prominence and success in the competitive hospitality market.</w:t>
      </w:r>
    </w:p>
    <w:p w14:paraId="5F6391F0" w14:textId="5630A400" w:rsidR="00A659D4" w:rsidRPr="00EF4F20" w:rsidRDefault="00A659D4" w:rsidP="00EF4F20">
      <w:pPr>
        <w:jc w:val="both"/>
        <w:rPr>
          <w:rFonts w:ascii="Arial" w:hAnsi="Arial" w:cs="Arial"/>
          <w:sz w:val="24"/>
          <w:szCs w:val="24"/>
        </w:rPr>
      </w:pPr>
      <w:r w:rsidRPr="00EF4F20">
        <w:rPr>
          <w:rFonts w:ascii="Arial" w:hAnsi="Arial" w:cs="Arial"/>
          <w:sz w:val="24"/>
          <w:szCs w:val="24"/>
        </w:rPr>
        <w:t>With a substantial infrastructure, The Goring offers a diverse range of guest rooms and luxurious suites, catering to the varied needs and preferences of its discerning clientele</w:t>
      </w:r>
      <w:r w:rsidR="00150571" w:rsidRPr="00EF4F20">
        <w:rPr>
          <w:rFonts w:ascii="Arial" w:hAnsi="Arial" w:cs="Arial"/>
          <w:sz w:val="24"/>
          <w:szCs w:val="24"/>
        </w:rPr>
        <w:t xml:space="preserve"> (Jovanović and Brkić, 2016)</w:t>
      </w:r>
      <w:r w:rsidRPr="00EF4F20">
        <w:rPr>
          <w:rFonts w:ascii="Arial" w:hAnsi="Arial" w:cs="Arial"/>
          <w:sz w:val="24"/>
          <w:szCs w:val="24"/>
        </w:rPr>
        <w:t>. The hotel also features state-of-the-art conference facilities, meeting rooms, and a selection of dining options, further enhancing the guest experience. The Goring's comprehensive range of amenities and services positions it as an ideal choice for both individual and corporate guests seeking luxury and comfort.</w:t>
      </w:r>
    </w:p>
    <w:p w14:paraId="54AFDA2F" w14:textId="108E2744" w:rsidR="00A659D4" w:rsidRPr="00EF4F20" w:rsidRDefault="00A659D4" w:rsidP="00EF4F20">
      <w:pPr>
        <w:jc w:val="both"/>
        <w:rPr>
          <w:rFonts w:ascii="Arial" w:hAnsi="Arial" w:cs="Arial"/>
          <w:sz w:val="24"/>
          <w:szCs w:val="24"/>
        </w:rPr>
      </w:pPr>
      <w:r w:rsidRPr="00EF4F20">
        <w:rPr>
          <w:rFonts w:ascii="Arial" w:hAnsi="Arial" w:cs="Arial"/>
          <w:sz w:val="24"/>
          <w:szCs w:val="24"/>
        </w:rPr>
        <w:t>Despite its successes, The Goring faces significant challenges in terms of employee retention and recruitment. One notable challenge is the shortage of qualified staff, which is a common issue in the highly competitive hotel industry. Attracting and retaining skilled employees can be demanding, requiring innovative strategies, and appealing work environments. Additionally, the absence of comprehensive training programs may hinder employee development and job satisfaction, leading to higher turnover rates</w:t>
      </w:r>
      <w:r w:rsidR="00062DD6" w:rsidRPr="00EF4F20">
        <w:rPr>
          <w:rFonts w:ascii="Arial" w:hAnsi="Arial" w:cs="Arial"/>
          <w:sz w:val="24"/>
          <w:szCs w:val="24"/>
        </w:rPr>
        <w:t xml:space="preserve"> (Ohemeng K. L. F., 2009)</w:t>
      </w:r>
      <w:r w:rsidRPr="00EF4F20">
        <w:rPr>
          <w:rFonts w:ascii="Arial" w:hAnsi="Arial" w:cs="Arial"/>
          <w:sz w:val="24"/>
          <w:szCs w:val="24"/>
        </w:rPr>
        <w:t>.</w:t>
      </w:r>
    </w:p>
    <w:p w14:paraId="5DB5FBA2" w14:textId="4B5C1F96" w:rsidR="00A659D4" w:rsidRPr="00EF4F20" w:rsidRDefault="00A659D4" w:rsidP="00EF4F20">
      <w:pPr>
        <w:jc w:val="both"/>
        <w:rPr>
          <w:rFonts w:ascii="Arial" w:hAnsi="Arial" w:cs="Arial"/>
          <w:sz w:val="24"/>
          <w:szCs w:val="24"/>
        </w:rPr>
      </w:pPr>
      <w:r w:rsidRPr="00EF4F20">
        <w:rPr>
          <w:rFonts w:ascii="Arial" w:hAnsi="Arial" w:cs="Arial"/>
          <w:sz w:val="24"/>
          <w:szCs w:val="24"/>
        </w:rPr>
        <w:t>Furthermore, poor management practices can contribute to retention issues. Ineffective leadership and inadequate communication can adversely impact employee morale and job satisfaction, negatively affecting their commitment to the organization</w:t>
      </w:r>
      <w:r w:rsidR="00C030E7" w:rsidRPr="00EF4F20">
        <w:rPr>
          <w:rFonts w:ascii="Arial" w:hAnsi="Arial" w:cs="Arial"/>
          <w:sz w:val="24"/>
          <w:szCs w:val="24"/>
        </w:rPr>
        <w:t xml:space="preserve"> (Park Y., Song J. H., and Lim D. H., 2016)</w:t>
      </w:r>
      <w:r w:rsidRPr="00EF4F20">
        <w:rPr>
          <w:rFonts w:ascii="Arial" w:hAnsi="Arial" w:cs="Arial"/>
          <w:sz w:val="24"/>
          <w:szCs w:val="24"/>
        </w:rPr>
        <w:t>. Addressing these challenges is crucial for The Goring to maintain a skilled and motivated workforce, ultimately influencing its business performance and maintaining its reputation for excellence.</w:t>
      </w:r>
    </w:p>
    <w:p w14:paraId="2A091657" w14:textId="14703EA4" w:rsidR="008B741D" w:rsidRPr="00EF4F20" w:rsidRDefault="00A659D4" w:rsidP="00EF4F20">
      <w:pPr>
        <w:jc w:val="both"/>
        <w:rPr>
          <w:rFonts w:ascii="Arial" w:hAnsi="Arial" w:cs="Arial"/>
          <w:sz w:val="24"/>
          <w:szCs w:val="24"/>
        </w:rPr>
      </w:pPr>
      <w:r w:rsidRPr="00EF4F20">
        <w:rPr>
          <w:rFonts w:ascii="Arial" w:hAnsi="Arial" w:cs="Arial"/>
          <w:sz w:val="24"/>
          <w:szCs w:val="24"/>
        </w:rPr>
        <w:t xml:space="preserve">Therefore, this research proposal aims to examine the specific challenges faced by The Goring in terms of employee retention and recruitment. By identifying and </w:t>
      </w:r>
      <w:r w:rsidR="00EF4F20" w:rsidRPr="00EF4F20">
        <w:rPr>
          <w:rFonts w:ascii="Arial" w:hAnsi="Arial" w:cs="Arial"/>
          <w:sz w:val="24"/>
          <w:szCs w:val="24"/>
        </w:rPr>
        <w:t>analysing</w:t>
      </w:r>
      <w:r w:rsidRPr="00EF4F20">
        <w:rPr>
          <w:rFonts w:ascii="Arial" w:hAnsi="Arial" w:cs="Arial"/>
          <w:sz w:val="24"/>
          <w:szCs w:val="24"/>
        </w:rPr>
        <w:t xml:space="preserve"> these challenges, the study will provide valuable insights and recommendations to enhance the human resource department's strategies and practices. The goal is to develop effective solutions that foster employee satisfaction, promote professional development, and contribute to the overall success of The Goring in the face of existing challenges.</w:t>
      </w:r>
    </w:p>
    <w:p w14:paraId="6A4A3316" w14:textId="77777777" w:rsidR="008B741D" w:rsidRPr="00EF4F20" w:rsidRDefault="008B741D" w:rsidP="00EF4F20">
      <w:pPr>
        <w:jc w:val="both"/>
        <w:rPr>
          <w:rFonts w:ascii="Arial" w:hAnsi="Arial" w:cs="Arial"/>
          <w:sz w:val="24"/>
          <w:szCs w:val="24"/>
        </w:rPr>
      </w:pPr>
    </w:p>
    <w:p w14:paraId="31439902" w14:textId="77777777" w:rsidR="007621EE" w:rsidRPr="00EF4F20" w:rsidRDefault="007621EE"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Discussion/Literature Review</w:t>
      </w:r>
    </w:p>
    <w:p w14:paraId="58DF320A" w14:textId="77777777" w:rsidR="00B16D3C" w:rsidRPr="00EF4F20" w:rsidRDefault="00B16D3C" w:rsidP="00EF4F20">
      <w:pPr>
        <w:jc w:val="both"/>
        <w:rPr>
          <w:rFonts w:ascii="Arial" w:hAnsi="Arial" w:cs="Arial"/>
          <w:sz w:val="24"/>
          <w:szCs w:val="24"/>
        </w:rPr>
      </w:pPr>
    </w:p>
    <w:p w14:paraId="0951ABE9" w14:textId="5D8824CA" w:rsidR="007621EE" w:rsidRPr="00EF4F20" w:rsidRDefault="005D76D9"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2.1 Previous</w:t>
      </w:r>
      <w:r w:rsidR="007621EE" w:rsidRPr="00EF4F20">
        <w:rPr>
          <w:rFonts w:ascii="Arial" w:hAnsi="Arial" w:cs="Arial"/>
          <w:b/>
          <w:bCs/>
          <w:i/>
          <w:iCs/>
          <w:color w:val="ED7D31" w:themeColor="accent2"/>
          <w:sz w:val="24"/>
          <w:szCs w:val="24"/>
        </w:rPr>
        <w:t xml:space="preserve"> Research and Findings</w:t>
      </w:r>
    </w:p>
    <w:p w14:paraId="3E66AC66" w14:textId="2FB44FFD" w:rsidR="005D76D9" w:rsidRPr="00EF4F20" w:rsidRDefault="005D76D9"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2.1.1 Overview of Existing Literature</w:t>
      </w:r>
    </w:p>
    <w:p w14:paraId="1BE7C20E" w14:textId="45E74404" w:rsidR="00B81C33" w:rsidRPr="00EF4F20" w:rsidRDefault="00B81C33" w:rsidP="00EF4F20">
      <w:pPr>
        <w:jc w:val="both"/>
        <w:rPr>
          <w:rFonts w:ascii="Arial" w:hAnsi="Arial" w:cs="Arial"/>
          <w:sz w:val="24"/>
          <w:szCs w:val="24"/>
        </w:rPr>
      </w:pPr>
      <w:r w:rsidRPr="00EF4F20">
        <w:rPr>
          <w:rFonts w:ascii="Arial" w:hAnsi="Arial" w:cs="Arial"/>
          <w:sz w:val="24"/>
          <w:szCs w:val="24"/>
        </w:rPr>
        <w:t>Extensive research on the hospitality industry highlights recruitment and retention challenges. Staff shortages are a recurring issue, affecting luxury hotels like The Goring (London). Effective recruitment practices, partnerships with educational institutions, and multiple talent acquisition channels are recommended solutions. Training and development programs significantly impact employee retention, with comprehensive initiatives enhancing satisfaction, engagement, and loyalty. Structured training, career advancement opportunities, and continuous skill development are key. Leadership and management practices also influence retention, with effective communication, supportive supervision, and recognition being crucial. Competitive compensation, rewards programs, and attractive benefits play a vital role in retaining talent. Regularly reviewing salary structures, benchmarking, and offering incentives are suggested for improving retention efforts</w:t>
      </w:r>
      <w:r w:rsidR="00790B81" w:rsidRPr="00EF4F20">
        <w:rPr>
          <w:rFonts w:ascii="Arial" w:hAnsi="Arial" w:cs="Arial"/>
          <w:sz w:val="24"/>
          <w:szCs w:val="24"/>
        </w:rPr>
        <w:t xml:space="preserve"> (O’Gorman, 2010)</w:t>
      </w:r>
      <w:r w:rsidRPr="00EF4F20">
        <w:rPr>
          <w:rFonts w:ascii="Arial" w:hAnsi="Arial" w:cs="Arial"/>
          <w:sz w:val="24"/>
          <w:szCs w:val="24"/>
        </w:rPr>
        <w:t>.</w:t>
      </w:r>
    </w:p>
    <w:p w14:paraId="4247D32E" w14:textId="250C5BEB" w:rsidR="005D76D9" w:rsidRPr="00EF4F20" w:rsidRDefault="005D76D9"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2.2.2 Gaps and Future Directions</w:t>
      </w:r>
    </w:p>
    <w:p w14:paraId="5D3AA911" w14:textId="2DDF72D2" w:rsidR="005D76D9" w:rsidRPr="00EF4F20" w:rsidRDefault="005D76D9" w:rsidP="00EF4F20">
      <w:pPr>
        <w:jc w:val="both"/>
        <w:rPr>
          <w:rFonts w:ascii="Arial" w:hAnsi="Arial" w:cs="Arial"/>
          <w:sz w:val="24"/>
          <w:szCs w:val="24"/>
        </w:rPr>
      </w:pPr>
      <w:r w:rsidRPr="00EF4F20">
        <w:rPr>
          <w:rFonts w:ascii="Arial" w:hAnsi="Arial" w:cs="Arial"/>
          <w:sz w:val="24"/>
          <w:szCs w:val="24"/>
        </w:rPr>
        <w:t>While the existing research provides valuable insights into the challenges faced by the hospitality industry concerning recruitment and retention, certain gaps still need to be addressed. Limited research specifically focuses on high-end establishments like The Goring (London)</w:t>
      </w:r>
      <w:r w:rsidR="00CB549A" w:rsidRPr="00EF4F20">
        <w:rPr>
          <w:rFonts w:ascii="Arial" w:hAnsi="Arial" w:cs="Arial"/>
          <w:sz w:val="24"/>
          <w:szCs w:val="24"/>
        </w:rPr>
        <w:t xml:space="preserve"> (</w:t>
      </w:r>
      <w:r w:rsidR="00EF4F20" w:rsidRPr="00EF4F20">
        <w:rPr>
          <w:rFonts w:ascii="Arial" w:hAnsi="Arial" w:cs="Arial"/>
          <w:sz w:val="24"/>
          <w:szCs w:val="24"/>
        </w:rPr>
        <w:t xml:space="preserve">research </w:t>
      </w:r>
      <w:proofErr w:type="spellStart"/>
      <w:r w:rsidR="00EF4F20" w:rsidRPr="00EF4F20">
        <w:rPr>
          <w:rFonts w:ascii="Arial" w:hAnsi="Arial" w:cs="Arial"/>
          <w:sz w:val="24"/>
          <w:szCs w:val="24"/>
        </w:rPr>
        <w:t>senedd</w:t>
      </w:r>
      <w:proofErr w:type="spellEnd"/>
      <w:r w:rsidR="00EF4F20">
        <w:rPr>
          <w:rFonts w:ascii="Arial" w:hAnsi="Arial" w:cs="Arial"/>
          <w:sz w:val="24"/>
          <w:szCs w:val="24"/>
        </w:rPr>
        <w:t xml:space="preserve"> </w:t>
      </w:r>
      <w:proofErr w:type="spellStart"/>
      <w:r w:rsidR="00CB549A" w:rsidRPr="00EF4F20">
        <w:rPr>
          <w:rFonts w:ascii="Arial" w:hAnsi="Arial" w:cs="Arial"/>
          <w:sz w:val="24"/>
          <w:szCs w:val="24"/>
        </w:rPr>
        <w:t>wales</w:t>
      </w:r>
      <w:proofErr w:type="spellEnd"/>
      <w:r w:rsidR="00CB549A" w:rsidRPr="00EF4F20">
        <w:rPr>
          <w:rFonts w:ascii="Arial" w:hAnsi="Arial" w:cs="Arial"/>
          <w:sz w:val="24"/>
          <w:szCs w:val="24"/>
        </w:rPr>
        <w:t>, 2022)</w:t>
      </w:r>
      <w:r w:rsidRPr="00EF4F20">
        <w:rPr>
          <w:rFonts w:ascii="Arial" w:hAnsi="Arial" w:cs="Arial"/>
          <w:sz w:val="24"/>
          <w:szCs w:val="24"/>
        </w:rPr>
        <w:t xml:space="preserve">. </w:t>
      </w:r>
      <w:r w:rsidR="000A7984" w:rsidRPr="00EF4F20">
        <w:rPr>
          <w:rFonts w:ascii="Arial" w:hAnsi="Arial" w:cs="Arial"/>
          <w:sz w:val="24"/>
          <w:szCs w:val="24"/>
        </w:rPr>
        <w:t xml:space="preserve">Therefore, more research is needed to comprehend the </w:t>
      </w:r>
      <w:r w:rsidR="00F12D52" w:rsidRPr="00EF4F20">
        <w:rPr>
          <w:rFonts w:ascii="Arial" w:hAnsi="Arial" w:cs="Arial"/>
          <w:sz w:val="24"/>
          <w:szCs w:val="24"/>
        </w:rPr>
        <w:t>difficulties</w:t>
      </w:r>
      <w:r w:rsidR="000A7984" w:rsidRPr="00EF4F20">
        <w:rPr>
          <w:rFonts w:ascii="Arial" w:hAnsi="Arial" w:cs="Arial"/>
          <w:sz w:val="24"/>
          <w:szCs w:val="24"/>
        </w:rPr>
        <w:t xml:space="preserve"> that luxury hotels experience in luring and keeping qualified workers.</w:t>
      </w:r>
    </w:p>
    <w:p w14:paraId="5340D73E" w14:textId="7675E9AC" w:rsidR="005D76D9" w:rsidRPr="00EF4F20" w:rsidRDefault="005D76D9" w:rsidP="00EF4F20">
      <w:pPr>
        <w:jc w:val="both"/>
        <w:rPr>
          <w:rFonts w:ascii="Arial" w:hAnsi="Arial" w:cs="Arial"/>
          <w:sz w:val="24"/>
          <w:szCs w:val="24"/>
        </w:rPr>
      </w:pPr>
      <w:r w:rsidRPr="00EF4F20">
        <w:rPr>
          <w:rFonts w:ascii="Arial" w:hAnsi="Arial" w:cs="Arial"/>
          <w:sz w:val="24"/>
          <w:szCs w:val="24"/>
        </w:rPr>
        <w:t>Moreover, there is a dearth of research investigating the impact of emerging trends and external factors, such as the evolving demands of the modern workforce, technological advancements, and changing guest expectations, on recruitment and retention within the hospitality industry</w:t>
      </w:r>
      <w:r w:rsidR="00A76A45" w:rsidRPr="00EF4F20">
        <w:rPr>
          <w:rFonts w:ascii="Arial" w:hAnsi="Arial" w:cs="Arial"/>
          <w:sz w:val="24"/>
          <w:szCs w:val="24"/>
        </w:rPr>
        <w:t xml:space="preserve"> (Ezzaouia and Bulchand-Gidumal, 2022)</w:t>
      </w:r>
      <w:r w:rsidRPr="00EF4F20">
        <w:rPr>
          <w:rFonts w:ascii="Arial" w:hAnsi="Arial" w:cs="Arial"/>
          <w:sz w:val="24"/>
          <w:szCs w:val="24"/>
        </w:rPr>
        <w:t>. Understanding these influences is essential for organizations like The Goring to adapt their human resource strategies, remain competitive, and attract and retain top talent.</w:t>
      </w:r>
    </w:p>
    <w:p w14:paraId="2EBDC449" w14:textId="493F3944" w:rsidR="005D76D9" w:rsidRPr="00EF4F20" w:rsidRDefault="005D76D9" w:rsidP="00EF4F20">
      <w:pPr>
        <w:jc w:val="both"/>
        <w:rPr>
          <w:rFonts w:ascii="Arial" w:hAnsi="Arial" w:cs="Arial"/>
          <w:sz w:val="24"/>
          <w:szCs w:val="24"/>
        </w:rPr>
      </w:pPr>
      <w:r w:rsidRPr="00EF4F20">
        <w:rPr>
          <w:rFonts w:ascii="Arial" w:hAnsi="Arial" w:cs="Arial"/>
          <w:sz w:val="24"/>
          <w:szCs w:val="24"/>
        </w:rPr>
        <w:t>Addressing these gaps and exploring new avenues of research will provide The Goring (London) and the broader hospitality industry with valuable insights and recommendations to improve their recruitment and retention practices</w:t>
      </w:r>
      <w:r w:rsidR="008A4000" w:rsidRPr="00EF4F20">
        <w:rPr>
          <w:rFonts w:ascii="Arial" w:hAnsi="Arial" w:cs="Arial"/>
          <w:sz w:val="24"/>
          <w:szCs w:val="24"/>
        </w:rPr>
        <w:t xml:space="preserve"> (Harari, 2017)</w:t>
      </w:r>
      <w:r w:rsidRPr="00EF4F20">
        <w:rPr>
          <w:rFonts w:ascii="Arial" w:hAnsi="Arial" w:cs="Arial"/>
          <w:sz w:val="24"/>
          <w:szCs w:val="24"/>
        </w:rPr>
        <w:t>. The proposed research aims to fill these gaps by examining the specific challenges faced by The Goring and providing tailored recommendations to enhance the strategies and practices of its human resource department</w:t>
      </w:r>
      <w:r w:rsidR="00432092" w:rsidRPr="00EF4F20">
        <w:rPr>
          <w:rFonts w:ascii="Arial" w:hAnsi="Arial" w:cs="Arial"/>
          <w:sz w:val="24"/>
          <w:szCs w:val="24"/>
        </w:rPr>
        <w:t xml:space="preserve"> (Oshins, 2017)</w:t>
      </w:r>
      <w:r w:rsidRPr="00EF4F20">
        <w:rPr>
          <w:rFonts w:ascii="Arial" w:hAnsi="Arial" w:cs="Arial"/>
          <w:sz w:val="24"/>
          <w:szCs w:val="24"/>
        </w:rPr>
        <w:t>.</w:t>
      </w:r>
    </w:p>
    <w:p w14:paraId="68A24877" w14:textId="77777777" w:rsidR="005D76D9" w:rsidRPr="00EF4F20" w:rsidRDefault="005D76D9" w:rsidP="00EF4F20">
      <w:pPr>
        <w:jc w:val="both"/>
        <w:rPr>
          <w:rFonts w:ascii="Arial" w:hAnsi="Arial" w:cs="Arial"/>
          <w:sz w:val="24"/>
          <w:szCs w:val="24"/>
        </w:rPr>
      </w:pPr>
    </w:p>
    <w:p w14:paraId="3D2D6B93" w14:textId="77777777" w:rsidR="007621EE" w:rsidRPr="00EF4F20" w:rsidRDefault="007621EE" w:rsidP="00EF4F20">
      <w:pPr>
        <w:jc w:val="both"/>
        <w:rPr>
          <w:rFonts w:ascii="Arial" w:hAnsi="Arial" w:cs="Arial"/>
          <w:b/>
          <w:bCs/>
          <w:sz w:val="24"/>
          <w:szCs w:val="24"/>
        </w:rPr>
      </w:pPr>
    </w:p>
    <w:p w14:paraId="1284B30F" w14:textId="77777777" w:rsidR="007621EE" w:rsidRPr="00EF4F20" w:rsidRDefault="007621EE"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lastRenderedPageBreak/>
        <w:t>2.2 Impact of External Factors on Recruitment and Retention</w:t>
      </w:r>
    </w:p>
    <w:p w14:paraId="51501D05" w14:textId="77777777" w:rsidR="00F54B61" w:rsidRPr="00EF4F20" w:rsidRDefault="00F54B61" w:rsidP="00EF4F20">
      <w:pPr>
        <w:jc w:val="both"/>
        <w:rPr>
          <w:rFonts w:ascii="Arial" w:hAnsi="Arial" w:cs="Arial"/>
          <w:sz w:val="24"/>
          <w:szCs w:val="24"/>
        </w:rPr>
      </w:pPr>
    </w:p>
    <w:p w14:paraId="43342605" w14:textId="6DD4B4E0" w:rsidR="00F54B61" w:rsidRPr="00EF4F20" w:rsidRDefault="00033F52" w:rsidP="00EF4F20">
      <w:pPr>
        <w:jc w:val="both"/>
        <w:rPr>
          <w:rFonts w:ascii="Arial" w:hAnsi="Arial" w:cs="Arial"/>
          <w:sz w:val="24"/>
          <w:szCs w:val="24"/>
        </w:rPr>
      </w:pPr>
      <w:r w:rsidRPr="00EF4F20">
        <w:rPr>
          <w:rFonts w:ascii="Arial" w:hAnsi="Arial" w:cs="Arial"/>
          <w:sz w:val="24"/>
          <w:szCs w:val="24"/>
        </w:rPr>
        <w:t>In especially for hotels like The Goring in London, external issues like Brexit, COVID-19, and inflation have had a significant impact on hiring and retention in the hospitality business</w:t>
      </w:r>
      <w:r w:rsidR="00F2318D" w:rsidRPr="00EF4F20">
        <w:rPr>
          <w:rFonts w:ascii="Arial" w:hAnsi="Arial" w:cs="Arial"/>
          <w:sz w:val="24"/>
          <w:szCs w:val="24"/>
        </w:rPr>
        <w:t xml:space="preserve"> (Radley, 2021)</w:t>
      </w:r>
      <w:r w:rsidRPr="00EF4F20">
        <w:rPr>
          <w:rFonts w:ascii="Arial" w:hAnsi="Arial" w:cs="Arial"/>
          <w:sz w:val="24"/>
          <w:szCs w:val="24"/>
        </w:rPr>
        <w:t xml:space="preserve">. Stricter immigration regulations have been put in place as one key effect of Brexit, making it more difficult to hire talent from outside. The European Union's restrictions on free movement have an impact on the hotel's capacity to recruit qualified foreign personnel. </w:t>
      </w:r>
      <w:r w:rsidR="00F54B61" w:rsidRPr="00EF4F20">
        <w:rPr>
          <w:rFonts w:ascii="Arial" w:hAnsi="Arial" w:cs="Arial"/>
          <w:sz w:val="24"/>
          <w:szCs w:val="24"/>
        </w:rPr>
        <w:t>This limitation requires hotels to shift their focus towards local talent pools and invest in training programs to develop a skilled workforce.</w:t>
      </w:r>
    </w:p>
    <w:p w14:paraId="11BB2A7B" w14:textId="77777777" w:rsidR="00F54B61" w:rsidRPr="00EF4F20" w:rsidRDefault="00F54B61" w:rsidP="00EF4F20">
      <w:pPr>
        <w:jc w:val="both"/>
        <w:rPr>
          <w:rFonts w:ascii="Arial" w:hAnsi="Arial" w:cs="Arial"/>
          <w:sz w:val="24"/>
          <w:szCs w:val="24"/>
        </w:rPr>
      </w:pPr>
      <w:r w:rsidRPr="00EF4F20">
        <w:rPr>
          <w:rFonts w:ascii="Arial" w:hAnsi="Arial" w:cs="Arial"/>
          <w:sz w:val="24"/>
          <w:szCs w:val="24"/>
        </w:rPr>
        <w:t>The Covid-19 pandemic has further exacerbated recruitment and retention challenges. Many hotels, including The Goring, were forced to downsize or lay off employees due to reduced demand for travel and accommodation. This has created uncertainty among the existing workforce, potentially leading to decreased employee loyalty and retention. To address this, hotels must implement effective communication channels, provide reassurance, and offer career development opportunities to motivate and retain their employees.</w:t>
      </w:r>
    </w:p>
    <w:p w14:paraId="17D6ADC5" w14:textId="1D25A7A8" w:rsidR="00F54B61" w:rsidRPr="00EF4F20" w:rsidRDefault="00F54B61" w:rsidP="00EF4F20">
      <w:pPr>
        <w:jc w:val="both"/>
        <w:rPr>
          <w:rFonts w:ascii="Arial" w:hAnsi="Arial" w:cs="Arial"/>
          <w:sz w:val="24"/>
          <w:szCs w:val="24"/>
        </w:rPr>
      </w:pPr>
      <w:r w:rsidRPr="00EF4F20">
        <w:rPr>
          <w:rFonts w:ascii="Arial" w:hAnsi="Arial" w:cs="Arial"/>
          <w:sz w:val="24"/>
          <w:szCs w:val="24"/>
        </w:rPr>
        <w:t>Inflation is yet another external factor impacting recruitment and retention in the hospitality industry. Rising costs affect the hotel's ability to offer competitive compensation and benefits, which can make it difficult to attract and retain top talent. To overcome this challenge, hotels should explore cost-effective strategies such as flexible work arrangements, performance-based incentives, and non-monetary perks to enhance employee satisfaction and loyalty. So, the hospitality industry, including hotels like The Goring, faces numerous challenges in recruitment and retention due to external factors like Brexit, Covid-19, and inflation. However, by focusing on local talent, investing in training programs, and adopting cost-effective strategies to retain employees, hotels can overcome these challenges and maintain a skilled and motivated workforce.</w:t>
      </w:r>
    </w:p>
    <w:p w14:paraId="07FF2C34" w14:textId="77777777" w:rsidR="00F54B61" w:rsidRPr="00EF4F20" w:rsidRDefault="00F54B61" w:rsidP="00EF4F20">
      <w:pPr>
        <w:jc w:val="both"/>
        <w:rPr>
          <w:rFonts w:ascii="Arial" w:hAnsi="Arial" w:cs="Arial"/>
          <w:sz w:val="24"/>
          <w:szCs w:val="24"/>
        </w:rPr>
      </w:pPr>
    </w:p>
    <w:p w14:paraId="62AC1C11" w14:textId="43C67093" w:rsidR="0088605B" w:rsidRPr="00EF4F20" w:rsidRDefault="00990EE7" w:rsidP="00EF4F20">
      <w:pPr>
        <w:jc w:val="both"/>
        <w:rPr>
          <w:rFonts w:ascii="Arial" w:hAnsi="Arial" w:cs="Arial"/>
          <w:sz w:val="24"/>
          <w:szCs w:val="24"/>
        </w:rPr>
      </w:pPr>
      <w:r w:rsidRPr="00EF4F20">
        <w:rPr>
          <w:rFonts w:ascii="Arial" w:hAnsi="Arial" w:cs="Arial"/>
          <w:sz w:val="24"/>
          <w:szCs w:val="24"/>
        </w:rPr>
        <w:t xml:space="preserve">To fully comprehend the external factors influencing The Goring's (London) recruitment and retention efforts, a thorough PESTLE (Political, Economic, Socio-cultural, Technological, Legal, and Environmental) and SWOT (Strengths, Weaknesses, Opportunities, and Threats) analysis must be conducted. </w:t>
      </w:r>
      <w:r w:rsidR="0088605B" w:rsidRPr="00EF4F20">
        <w:rPr>
          <w:rFonts w:ascii="Arial" w:hAnsi="Arial" w:cs="Arial"/>
          <w:sz w:val="24"/>
          <w:szCs w:val="24"/>
        </w:rPr>
        <w:t>This analysis provides insights into the specific impacts of these factors and helps identify potential opportunities and threats. Moreover, it enables the hotel to develop effective strategies to mitigate negative effects and capitalize on positive aspects.</w:t>
      </w:r>
    </w:p>
    <w:p w14:paraId="2999D278" w14:textId="40163939" w:rsidR="0088605B" w:rsidRPr="00EF4F20" w:rsidRDefault="0088605B" w:rsidP="00EF4F20">
      <w:pPr>
        <w:jc w:val="both"/>
        <w:rPr>
          <w:rFonts w:ascii="Arial" w:hAnsi="Arial" w:cs="Arial"/>
          <w:sz w:val="24"/>
          <w:szCs w:val="24"/>
        </w:rPr>
      </w:pPr>
      <w:r w:rsidRPr="00EF4F20">
        <w:rPr>
          <w:rFonts w:ascii="Arial" w:hAnsi="Arial" w:cs="Arial"/>
          <w:sz w:val="24"/>
          <w:szCs w:val="24"/>
        </w:rPr>
        <w:t>In terms of political factors, it is important to examine the impact of Brexit on the hospitality industry, particularly changes in immigration policies and regulations. Stricter immigration rules can hinder the hotel's ability to attract and retain international talent, especially skilled employees from EU countries. Through the PESTLE analysis, these political factors, and their implications for The Goring (London) can be identified</w:t>
      </w:r>
      <w:r w:rsidR="00944D01" w:rsidRPr="00EF4F20">
        <w:rPr>
          <w:rFonts w:ascii="Arial" w:hAnsi="Arial" w:cs="Arial"/>
          <w:sz w:val="24"/>
          <w:szCs w:val="24"/>
        </w:rPr>
        <w:t xml:space="preserve"> (Wood, 2022)</w:t>
      </w:r>
      <w:r w:rsidRPr="00EF4F20">
        <w:rPr>
          <w:rFonts w:ascii="Arial" w:hAnsi="Arial" w:cs="Arial"/>
          <w:sz w:val="24"/>
          <w:szCs w:val="24"/>
        </w:rPr>
        <w:t>.</w:t>
      </w:r>
    </w:p>
    <w:p w14:paraId="6C29EBC2" w14:textId="77777777" w:rsidR="0088605B" w:rsidRPr="00EF4F20" w:rsidRDefault="0088605B" w:rsidP="00EF4F20">
      <w:pPr>
        <w:jc w:val="both"/>
        <w:rPr>
          <w:rFonts w:ascii="Arial" w:hAnsi="Arial" w:cs="Arial"/>
          <w:sz w:val="24"/>
          <w:szCs w:val="24"/>
        </w:rPr>
      </w:pPr>
      <w:r w:rsidRPr="00EF4F20">
        <w:rPr>
          <w:rFonts w:ascii="Arial" w:hAnsi="Arial" w:cs="Arial"/>
          <w:sz w:val="24"/>
          <w:szCs w:val="24"/>
        </w:rPr>
        <w:lastRenderedPageBreak/>
        <w:t>Economic factors, including inflation and overall market conditions, directly influence recruitment and retention efforts. Rising costs of goods and services due to inflation can challenge the hotel in providing competitive compensation packages and benefits to employees. Understanding the economic environment and its impact on the hospitality industry allows The Goring (London) to make informed decisions regarding recruitment and retention strategies.</w:t>
      </w:r>
    </w:p>
    <w:p w14:paraId="6B75BE1D" w14:textId="77777777" w:rsidR="0088605B" w:rsidRPr="00EF4F20" w:rsidRDefault="0088605B" w:rsidP="00EF4F20">
      <w:pPr>
        <w:jc w:val="both"/>
        <w:rPr>
          <w:rFonts w:ascii="Arial" w:hAnsi="Arial" w:cs="Arial"/>
          <w:sz w:val="24"/>
          <w:szCs w:val="24"/>
        </w:rPr>
      </w:pPr>
      <w:r w:rsidRPr="00EF4F20">
        <w:rPr>
          <w:rFonts w:ascii="Arial" w:hAnsi="Arial" w:cs="Arial"/>
          <w:sz w:val="24"/>
          <w:szCs w:val="24"/>
        </w:rPr>
        <w:t>Socio-cultural factors play a crucial role in employee recruitment and retention. Factors such as changing demographics, diversity, and societal trends need to be considered by the hotel. Analyzing these socio-cultural factors helps identify the preferences and needs of employees, facilitating the creation of a work environment that fosters inclusivity, diversity, and employee satisfaction.</w:t>
      </w:r>
    </w:p>
    <w:p w14:paraId="0E085AD5" w14:textId="7F160E87" w:rsidR="0088605B" w:rsidRPr="00EF4F20" w:rsidRDefault="0088605B" w:rsidP="00EF4F20">
      <w:pPr>
        <w:jc w:val="both"/>
        <w:rPr>
          <w:rFonts w:ascii="Arial" w:hAnsi="Arial" w:cs="Arial"/>
          <w:sz w:val="24"/>
          <w:szCs w:val="24"/>
        </w:rPr>
      </w:pPr>
      <w:r w:rsidRPr="00EF4F20">
        <w:rPr>
          <w:rFonts w:ascii="Arial" w:hAnsi="Arial" w:cs="Arial"/>
          <w:sz w:val="24"/>
          <w:szCs w:val="24"/>
        </w:rPr>
        <w:t xml:space="preserve">Technological factors have a significant impact on the recruitment and retention landscape. The Goring (London) must assess how technological advancements, such as online recruitment platforms, artificial intelligence, and automation, affect their human resource </w:t>
      </w:r>
      <w:r w:rsidR="00432092" w:rsidRPr="00EF4F20">
        <w:rPr>
          <w:rFonts w:ascii="Arial" w:hAnsi="Arial" w:cs="Arial"/>
          <w:sz w:val="24"/>
          <w:szCs w:val="24"/>
        </w:rPr>
        <w:t>strategies:</w:t>
      </w:r>
      <w:r w:rsidR="00350A05" w:rsidRPr="00EF4F20">
        <w:rPr>
          <w:rFonts w:ascii="Arial" w:hAnsi="Arial" w:cs="Arial"/>
          <w:sz w:val="24"/>
          <w:szCs w:val="24"/>
        </w:rPr>
        <w:t xml:space="preserve"> (Lídia, 2022)</w:t>
      </w:r>
      <w:r w:rsidRPr="00EF4F20">
        <w:rPr>
          <w:rFonts w:ascii="Arial" w:hAnsi="Arial" w:cs="Arial"/>
          <w:sz w:val="24"/>
          <w:szCs w:val="24"/>
        </w:rPr>
        <w:t>. Embracing technology can streamline recruitment processes and enhance employee engagement, resulting in improved retention rates.</w:t>
      </w:r>
    </w:p>
    <w:p w14:paraId="70674140" w14:textId="77777777" w:rsidR="0088605B" w:rsidRPr="00EF4F20" w:rsidRDefault="0088605B" w:rsidP="00EF4F20">
      <w:pPr>
        <w:jc w:val="both"/>
        <w:rPr>
          <w:rFonts w:ascii="Arial" w:hAnsi="Arial" w:cs="Arial"/>
          <w:sz w:val="24"/>
          <w:szCs w:val="24"/>
        </w:rPr>
      </w:pPr>
      <w:r w:rsidRPr="00EF4F20">
        <w:rPr>
          <w:rFonts w:ascii="Arial" w:hAnsi="Arial" w:cs="Arial"/>
          <w:sz w:val="24"/>
          <w:szCs w:val="24"/>
        </w:rPr>
        <w:t>Analyzing legal factors ensures compliance with employment laws and regulations. The hotel needs to understand any changes in employment legislation that may impact recruitment and retention practices. This analysis helps The Goring (London) adapt its policies and procedures to remain compliant and mitigate legal risks.</w:t>
      </w:r>
    </w:p>
    <w:p w14:paraId="48225402" w14:textId="77777777" w:rsidR="0088605B" w:rsidRPr="00EF4F20" w:rsidRDefault="0088605B" w:rsidP="00EF4F20">
      <w:pPr>
        <w:jc w:val="both"/>
        <w:rPr>
          <w:rFonts w:ascii="Arial" w:hAnsi="Arial" w:cs="Arial"/>
          <w:sz w:val="24"/>
          <w:szCs w:val="24"/>
        </w:rPr>
      </w:pPr>
      <w:r w:rsidRPr="00EF4F20">
        <w:rPr>
          <w:rFonts w:ascii="Arial" w:hAnsi="Arial" w:cs="Arial"/>
          <w:sz w:val="24"/>
          <w:szCs w:val="24"/>
        </w:rPr>
        <w:t>Environmental factors, including sustainability and green initiatives, are increasingly important in the hospitality industry. The Goring (London) should consider the environmental impact of its operations and incorporate sustainable practices into its recruitment and retention strategies. Environmentally conscious organizations are more appealing to employees, particularly the younger generation.</w:t>
      </w:r>
    </w:p>
    <w:p w14:paraId="7A600FD0" w14:textId="0937B1D8" w:rsidR="0088605B" w:rsidRPr="00EF4F20" w:rsidRDefault="0088605B" w:rsidP="00EF4F20">
      <w:pPr>
        <w:jc w:val="both"/>
        <w:rPr>
          <w:rFonts w:ascii="Arial" w:hAnsi="Arial" w:cs="Arial"/>
          <w:sz w:val="24"/>
          <w:szCs w:val="24"/>
        </w:rPr>
      </w:pPr>
      <w:r w:rsidRPr="00EF4F20">
        <w:rPr>
          <w:rFonts w:ascii="Arial" w:hAnsi="Arial" w:cs="Arial"/>
          <w:sz w:val="24"/>
          <w:szCs w:val="24"/>
        </w:rPr>
        <w:t>By conducting a comprehensive PESTLE and SWOT analysis, The Goring (London) gains a holistic view of the external factors influencing recruitment and retention. This analysis helps identify potential opportunities, such as leveraging technology, adapting to socio-cultural preferences, and embracing sustainability practices. It also aids in identifying threats and developing strategies to address them effectively.</w:t>
      </w:r>
    </w:p>
    <w:p w14:paraId="6411E2B1" w14:textId="77777777" w:rsidR="005D76D9" w:rsidRPr="00EF4F20" w:rsidRDefault="005D76D9" w:rsidP="00EF4F20">
      <w:pPr>
        <w:jc w:val="both"/>
        <w:rPr>
          <w:rFonts w:ascii="Arial" w:hAnsi="Arial" w:cs="Arial"/>
          <w:sz w:val="24"/>
          <w:szCs w:val="24"/>
        </w:rPr>
      </w:pPr>
    </w:p>
    <w:p w14:paraId="7F98491F" w14:textId="1081F147" w:rsidR="007621EE" w:rsidRPr="00EF4F20" w:rsidRDefault="007621EE"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2.3 Industry Examples</w:t>
      </w:r>
    </w:p>
    <w:p w14:paraId="5BEDF60B" w14:textId="77777777" w:rsidR="003B2EB1" w:rsidRPr="00EF4F20" w:rsidRDefault="003B2EB1"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Introduction</w:t>
      </w:r>
    </w:p>
    <w:p w14:paraId="5304E148"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 xml:space="preserve">The hospitality industry faces significant challenges in recruitment and retention due to various external factors. This research project aims to analyze the strategies, initiatives, and best practices employed by major players in the industry, including The Marriott, IHG, and Radisson, to address these challenges. By studying successful approaches, the </w:t>
      </w:r>
      <w:r w:rsidRPr="00EF4F20">
        <w:rPr>
          <w:rFonts w:ascii="Arial" w:hAnsi="Arial" w:cs="Arial"/>
          <w:sz w:val="24"/>
          <w:szCs w:val="24"/>
        </w:rPr>
        <w:lastRenderedPageBreak/>
        <w:t>project aims to provide valuable insights and recommendations for The Goring (London) to enhance its recruitment and retention efforts.</w:t>
      </w:r>
    </w:p>
    <w:p w14:paraId="1DBEBEDF" w14:textId="77777777" w:rsidR="003B2EB1" w:rsidRPr="00EF4F20" w:rsidRDefault="003B2EB1"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Objectives</w:t>
      </w:r>
    </w:p>
    <w:p w14:paraId="39AD2A2F"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a. Examine the current challenges affecting recruitment and retention in the hospitality industry.</w:t>
      </w:r>
    </w:p>
    <w:p w14:paraId="43381741"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b. Analyze the strategies and initiatives implemented by The Marriott, IHG, and Radisson to address these challenges.</w:t>
      </w:r>
    </w:p>
    <w:p w14:paraId="59E0EBB5"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c. Identify best practices that have positively influenced employee recruitment and retention.</w:t>
      </w:r>
    </w:p>
    <w:p w14:paraId="24BF6974"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d. Assess the applicability of these practices to The Goring (London) and propose relevant recommendations.</w:t>
      </w:r>
    </w:p>
    <w:p w14:paraId="71C4659D" w14:textId="017A9CB6" w:rsidR="003B2EB1" w:rsidRPr="00EF4F20" w:rsidRDefault="003B2EB1"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Methodology</w:t>
      </w:r>
    </w:p>
    <w:p w14:paraId="167B3432" w14:textId="0D82AD47" w:rsidR="003B2EB1" w:rsidRPr="00EF4F20" w:rsidRDefault="003B2EB1" w:rsidP="00EF4F20">
      <w:pPr>
        <w:jc w:val="both"/>
        <w:rPr>
          <w:rFonts w:ascii="Arial" w:hAnsi="Arial" w:cs="Arial"/>
          <w:sz w:val="24"/>
          <w:szCs w:val="24"/>
        </w:rPr>
      </w:pPr>
      <w:r w:rsidRPr="00EF4F20">
        <w:rPr>
          <w:rFonts w:ascii="Arial" w:hAnsi="Arial" w:cs="Arial"/>
          <w:sz w:val="24"/>
          <w:szCs w:val="24"/>
        </w:rPr>
        <w:t>a. Literature Review: Review existing literature on recruitment and retention challenges in the hospitality industry and identify relevant strategies employed by major players</w:t>
      </w:r>
      <w:r w:rsidR="004226EC" w:rsidRPr="00EF4F20">
        <w:rPr>
          <w:rFonts w:ascii="Arial" w:hAnsi="Arial" w:cs="Arial"/>
          <w:sz w:val="24"/>
          <w:szCs w:val="24"/>
        </w:rPr>
        <w:t xml:space="preserve"> (Bryman, 2016)</w:t>
      </w:r>
      <w:r w:rsidRPr="00EF4F20">
        <w:rPr>
          <w:rFonts w:ascii="Arial" w:hAnsi="Arial" w:cs="Arial"/>
          <w:sz w:val="24"/>
          <w:szCs w:val="24"/>
        </w:rPr>
        <w:t>.</w:t>
      </w:r>
    </w:p>
    <w:p w14:paraId="0F8E14E5"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b. Case Studies: Conduct in-depth case studies on The Marriott, IHG, and Radisson, focusing on their specific initiatives and best practices related to recruitment and retention.</w:t>
      </w:r>
    </w:p>
    <w:p w14:paraId="58C4478B"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c. Data Collection: Gather data through interviews, surveys, and analysis of public documents to gain insights into the effectiveness of the strategies employed by these major players.</w:t>
      </w:r>
    </w:p>
    <w:p w14:paraId="7CF97BBB" w14:textId="34167F1B" w:rsidR="003B2EB1" w:rsidRPr="00EF4F20" w:rsidRDefault="003B2EB1" w:rsidP="00EF4F20">
      <w:pPr>
        <w:jc w:val="both"/>
        <w:rPr>
          <w:rFonts w:ascii="Arial" w:hAnsi="Arial" w:cs="Arial"/>
          <w:sz w:val="24"/>
          <w:szCs w:val="24"/>
        </w:rPr>
      </w:pPr>
      <w:r w:rsidRPr="00EF4F20">
        <w:rPr>
          <w:rFonts w:ascii="Arial" w:hAnsi="Arial" w:cs="Arial"/>
          <w:sz w:val="24"/>
          <w:szCs w:val="24"/>
        </w:rPr>
        <w:t>d. Analysis: Analyze the collected data to identify common trends, successful approaches, and potential recommendations for The Goring (London)</w:t>
      </w:r>
      <w:r w:rsidR="00A82F04" w:rsidRPr="00EF4F20">
        <w:rPr>
          <w:rFonts w:ascii="Arial" w:hAnsi="Arial" w:cs="Arial"/>
          <w:sz w:val="24"/>
          <w:szCs w:val="24"/>
        </w:rPr>
        <w:t xml:space="preserve"> (Bell, 2022)</w:t>
      </w:r>
      <w:r w:rsidRPr="00EF4F20">
        <w:rPr>
          <w:rFonts w:ascii="Arial" w:hAnsi="Arial" w:cs="Arial"/>
          <w:sz w:val="24"/>
          <w:szCs w:val="24"/>
        </w:rPr>
        <w:t>.</w:t>
      </w:r>
    </w:p>
    <w:p w14:paraId="22408C0D" w14:textId="77777777" w:rsidR="003B2EB1" w:rsidRPr="00EF4F20" w:rsidRDefault="003B2EB1"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t>Expected Findings</w:t>
      </w:r>
    </w:p>
    <w:p w14:paraId="21499083"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a. Identification of key challenges in recruitment and retention faced by the hospitality industry.</w:t>
      </w:r>
    </w:p>
    <w:p w14:paraId="1E39B780"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b. Detailed analysis of the strategies and initiatives employed by The Marriott, IHG, and Radisson, including recruitment channels, employee development programs, and retention incentives.</w:t>
      </w:r>
    </w:p>
    <w:p w14:paraId="27416F09"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c. Identification of best practices that have demonstrated positive impacts on employee recruitment and retention.</w:t>
      </w:r>
    </w:p>
    <w:p w14:paraId="144D7554"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d. Assessment of the applicability of these practices to The Goring (London) and the potential benefits they may provide.</w:t>
      </w:r>
    </w:p>
    <w:p w14:paraId="1FFCDD5A" w14:textId="77777777" w:rsidR="003B2EB1" w:rsidRPr="00EF4F20" w:rsidRDefault="003B2EB1" w:rsidP="00EF4F20">
      <w:pPr>
        <w:pStyle w:val="Heading1"/>
        <w:jc w:val="both"/>
        <w:rPr>
          <w:rFonts w:ascii="Arial" w:hAnsi="Arial" w:cs="Arial"/>
          <w:b/>
          <w:bCs/>
          <w:i/>
          <w:iCs/>
          <w:color w:val="ED7D31" w:themeColor="accent2"/>
          <w:sz w:val="24"/>
          <w:szCs w:val="24"/>
        </w:rPr>
      </w:pPr>
      <w:r w:rsidRPr="00EF4F20">
        <w:rPr>
          <w:rFonts w:ascii="Arial" w:hAnsi="Arial" w:cs="Arial"/>
          <w:b/>
          <w:bCs/>
          <w:i/>
          <w:iCs/>
          <w:color w:val="ED7D31" w:themeColor="accent2"/>
          <w:sz w:val="24"/>
          <w:szCs w:val="24"/>
        </w:rPr>
        <w:lastRenderedPageBreak/>
        <w:t>Significance and Implications</w:t>
      </w:r>
    </w:p>
    <w:p w14:paraId="42C48CCD"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This research project aims to contribute to the understanding of recruitment and retention challenges in the hospitality industry and provide practical insights for The Goring (London). The findings will enable the human resource department at The Goring (London) to develop effective strategies and initiatives to attract and retain qualified employees, enhancing the hotel's overall performance and competitiveness.</w:t>
      </w:r>
    </w:p>
    <w:p w14:paraId="6F718BC6" w14:textId="77777777" w:rsidR="003B2EB1" w:rsidRPr="00EF4F20" w:rsidRDefault="003B2EB1" w:rsidP="00EF4F20">
      <w:pPr>
        <w:jc w:val="both"/>
        <w:rPr>
          <w:rFonts w:ascii="Arial" w:eastAsiaTheme="majorEastAsia" w:hAnsi="Arial" w:cs="Arial"/>
          <w:b/>
          <w:bCs/>
          <w:i/>
          <w:iCs/>
          <w:color w:val="ED7D31" w:themeColor="accent2"/>
          <w:sz w:val="24"/>
          <w:szCs w:val="24"/>
        </w:rPr>
      </w:pPr>
      <w:r w:rsidRPr="00EF4F20">
        <w:rPr>
          <w:rFonts w:ascii="Arial" w:eastAsiaTheme="majorEastAsia" w:hAnsi="Arial" w:cs="Arial"/>
          <w:b/>
          <w:bCs/>
          <w:i/>
          <w:iCs/>
          <w:color w:val="ED7D31" w:themeColor="accent2"/>
          <w:sz w:val="24"/>
          <w:szCs w:val="24"/>
        </w:rPr>
        <w:t>Conclusion</w:t>
      </w:r>
    </w:p>
    <w:p w14:paraId="47C78DA4" w14:textId="720C0E95" w:rsidR="00FF7852" w:rsidRPr="00EF4F20" w:rsidRDefault="003B2EB1" w:rsidP="00EF4F20">
      <w:pPr>
        <w:jc w:val="both"/>
        <w:rPr>
          <w:rFonts w:ascii="Arial" w:hAnsi="Arial" w:cs="Arial"/>
          <w:sz w:val="24"/>
          <w:szCs w:val="24"/>
        </w:rPr>
      </w:pPr>
      <w:r w:rsidRPr="00EF4F20">
        <w:rPr>
          <w:rFonts w:ascii="Arial" w:hAnsi="Arial" w:cs="Arial"/>
          <w:sz w:val="24"/>
          <w:szCs w:val="24"/>
        </w:rPr>
        <w:t>By examining the strategies and best practices employed by major players in the hospitality industry, this research project will provide valuable insights for The Goring (London). The findings will help the hotel address the current challenges in recruitment and retention, ultimately leading to a more successful human resource management approach.</w:t>
      </w:r>
    </w:p>
    <w:p w14:paraId="7A45F0BA" w14:textId="77777777" w:rsidR="008A4000" w:rsidRPr="00EF4F20" w:rsidRDefault="008A4000" w:rsidP="00EF4F20">
      <w:pPr>
        <w:jc w:val="both"/>
        <w:rPr>
          <w:rFonts w:ascii="Arial" w:hAnsi="Arial" w:cs="Arial"/>
          <w:sz w:val="24"/>
          <w:szCs w:val="24"/>
        </w:rPr>
      </w:pPr>
    </w:p>
    <w:p w14:paraId="398B11F8" w14:textId="77777777" w:rsidR="008A4000" w:rsidRPr="00EF4F20" w:rsidRDefault="008A4000" w:rsidP="00EF4F20">
      <w:pPr>
        <w:jc w:val="both"/>
        <w:rPr>
          <w:rFonts w:ascii="Arial" w:hAnsi="Arial" w:cs="Arial"/>
          <w:sz w:val="24"/>
          <w:szCs w:val="24"/>
        </w:rPr>
      </w:pPr>
    </w:p>
    <w:p w14:paraId="2B3F7C76" w14:textId="77777777" w:rsidR="00C60631" w:rsidRPr="00EF4F20" w:rsidRDefault="00C60631" w:rsidP="00EF4F20">
      <w:pPr>
        <w:jc w:val="both"/>
        <w:rPr>
          <w:rFonts w:ascii="Arial" w:hAnsi="Arial" w:cs="Arial"/>
          <w:sz w:val="24"/>
          <w:szCs w:val="24"/>
        </w:rPr>
      </w:pPr>
    </w:p>
    <w:p w14:paraId="0A0A3CC4" w14:textId="77777777" w:rsidR="008A4000" w:rsidRPr="00EF4F20" w:rsidRDefault="008A4000" w:rsidP="00EF4F20">
      <w:pPr>
        <w:jc w:val="both"/>
        <w:rPr>
          <w:rFonts w:ascii="Arial" w:hAnsi="Arial" w:cs="Arial"/>
          <w:sz w:val="24"/>
          <w:szCs w:val="24"/>
        </w:rPr>
      </w:pPr>
    </w:p>
    <w:p w14:paraId="6F870751" w14:textId="77777777" w:rsidR="008A4000" w:rsidRPr="00EF4F20" w:rsidRDefault="008A4000" w:rsidP="00EF4F20">
      <w:pPr>
        <w:jc w:val="both"/>
        <w:rPr>
          <w:rFonts w:ascii="Arial" w:hAnsi="Arial" w:cs="Arial"/>
          <w:sz w:val="24"/>
          <w:szCs w:val="24"/>
        </w:rPr>
      </w:pPr>
    </w:p>
    <w:p w14:paraId="257AACC3" w14:textId="77777777" w:rsidR="008A4000" w:rsidRPr="00EF4F20" w:rsidRDefault="008A4000" w:rsidP="00EF4F20">
      <w:pPr>
        <w:jc w:val="both"/>
        <w:rPr>
          <w:rFonts w:ascii="Arial" w:hAnsi="Arial" w:cs="Arial"/>
          <w:sz w:val="24"/>
          <w:szCs w:val="24"/>
        </w:rPr>
      </w:pPr>
    </w:p>
    <w:p w14:paraId="06E4C35E" w14:textId="77777777" w:rsidR="008A4000" w:rsidRPr="00EF4F20" w:rsidRDefault="008A4000" w:rsidP="00EF4F20">
      <w:pPr>
        <w:jc w:val="both"/>
        <w:rPr>
          <w:rFonts w:ascii="Arial" w:hAnsi="Arial" w:cs="Arial"/>
          <w:sz w:val="24"/>
          <w:szCs w:val="24"/>
        </w:rPr>
      </w:pPr>
    </w:p>
    <w:p w14:paraId="3610C567" w14:textId="77777777" w:rsidR="008A4000" w:rsidRPr="00EF4F20" w:rsidRDefault="008A4000" w:rsidP="00EF4F20">
      <w:pPr>
        <w:jc w:val="both"/>
        <w:rPr>
          <w:rFonts w:ascii="Arial" w:hAnsi="Arial" w:cs="Arial"/>
          <w:sz w:val="24"/>
          <w:szCs w:val="24"/>
        </w:rPr>
      </w:pPr>
    </w:p>
    <w:p w14:paraId="784A5693" w14:textId="77777777" w:rsidR="008A4000" w:rsidRPr="00EF4F20" w:rsidRDefault="008A4000" w:rsidP="00EF4F20">
      <w:pPr>
        <w:jc w:val="both"/>
        <w:rPr>
          <w:rFonts w:ascii="Arial" w:hAnsi="Arial" w:cs="Arial"/>
          <w:sz w:val="24"/>
          <w:szCs w:val="24"/>
        </w:rPr>
      </w:pPr>
    </w:p>
    <w:p w14:paraId="26A969BB" w14:textId="77777777" w:rsidR="008A4000" w:rsidRPr="00EF4F20" w:rsidRDefault="008A4000" w:rsidP="00EF4F20">
      <w:pPr>
        <w:jc w:val="both"/>
        <w:rPr>
          <w:rFonts w:ascii="Arial" w:hAnsi="Arial" w:cs="Arial"/>
          <w:sz w:val="24"/>
          <w:szCs w:val="24"/>
        </w:rPr>
      </w:pPr>
    </w:p>
    <w:p w14:paraId="38AE9539" w14:textId="77777777" w:rsidR="00CB549A" w:rsidRPr="00EF4F20" w:rsidRDefault="00CB549A" w:rsidP="00EF4F20">
      <w:pPr>
        <w:jc w:val="both"/>
        <w:rPr>
          <w:rFonts w:ascii="Arial" w:hAnsi="Arial" w:cs="Arial"/>
          <w:sz w:val="24"/>
          <w:szCs w:val="24"/>
        </w:rPr>
      </w:pPr>
    </w:p>
    <w:p w14:paraId="3E703279" w14:textId="77777777" w:rsidR="00FF7852" w:rsidRPr="00EF4F20" w:rsidRDefault="00FF7852" w:rsidP="00EF4F20">
      <w:pPr>
        <w:jc w:val="both"/>
        <w:rPr>
          <w:rFonts w:ascii="Arial" w:hAnsi="Arial" w:cs="Arial"/>
          <w:sz w:val="24"/>
          <w:szCs w:val="24"/>
        </w:rPr>
      </w:pPr>
    </w:p>
    <w:p w14:paraId="38C3C85E" w14:textId="77777777" w:rsidR="00FF7852" w:rsidRPr="00EF4F20" w:rsidRDefault="00FF7852" w:rsidP="00EF4F20">
      <w:pPr>
        <w:jc w:val="both"/>
        <w:rPr>
          <w:rFonts w:ascii="Arial" w:eastAsiaTheme="majorEastAsia" w:hAnsi="Arial" w:cs="Arial"/>
          <w:b/>
          <w:bCs/>
          <w:i/>
          <w:iCs/>
          <w:color w:val="ED7D31" w:themeColor="accent2"/>
          <w:sz w:val="24"/>
          <w:szCs w:val="24"/>
        </w:rPr>
      </w:pPr>
    </w:p>
    <w:p w14:paraId="00F0F2FE" w14:textId="7E3F9174" w:rsidR="007621EE" w:rsidRPr="00EF4F20" w:rsidRDefault="003B2EB1" w:rsidP="00EF4F20">
      <w:pPr>
        <w:jc w:val="both"/>
        <w:rPr>
          <w:rFonts w:ascii="Arial" w:eastAsiaTheme="majorEastAsia" w:hAnsi="Arial" w:cs="Arial"/>
          <w:b/>
          <w:bCs/>
          <w:i/>
          <w:iCs/>
          <w:color w:val="ED7D31" w:themeColor="accent2"/>
          <w:sz w:val="24"/>
          <w:szCs w:val="24"/>
        </w:rPr>
      </w:pPr>
      <w:r w:rsidRPr="00EF4F20">
        <w:rPr>
          <w:rFonts w:ascii="Arial" w:eastAsiaTheme="majorEastAsia" w:hAnsi="Arial" w:cs="Arial"/>
          <w:b/>
          <w:bCs/>
          <w:i/>
          <w:iCs/>
          <w:color w:val="ED7D31" w:themeColor="accent2"/>
          <w:sz w:val="24"/>
          <w:szCs w:val="24"/>
        </w:rPr>
        <w:t xml:space="preserve">3. </w:t>
      </w:r>
      <w:r w:rsidR="007621EE" w:rsidRPr="00EF4F20">
        <w:rPr>
          <w:rFonts w:ascii="Arial" w:eastAsiaTheme="majorEastAsia" w:hAnsi="Arial" w:cs="Arial"/>
          <w:b/>
          <w:bCs/>
          <w:i/>
          <w:iCs/>
          <w:color w:val="ED7D31" w:themeColor="accent2"/>
          <w:sz w:val="24"/>
          <w:szCs w:val="24"/>
        </w:rPr>
        <w:t>Evaluation and Conclusion (Recommendations)</w:t>
      </w:r>
    </w:p>
    <w:p w14:paraId="3BE9C034" w14:textId="77777777" w:rsidR="00FB567F" w:rsidRPr="00EF4F20" w:rsidRDefault="00FB567F" w:rsidP="00EF4F20">
      <w:pPr>
        <w:jc w:val="both"/>
        <w:rPr>
          <w:rFonts w:ascii="Arial" w:eastAsiaTheme="majorEastAsia" w:hAnsi="Arial" w:cs="Arial"/>
          <w:b/>
          <w:bCs/>
          <w:i/>
          <w:iCs/>
          <w:color w:val="ED7D31" w:themeColor="accent2"/>
          <w:sz w:val="24"/>
          <w:szCs w:val="24"/>
        </w:rPr>
      </w:pPr>
    </w:p>
    <w:p w14:paraId="6C1A7EA5" w14:textId="77777777" w:rsidR="003B2EB1" w:rsidRPr="00EF4F20" w:rsidRDefault="003B2EB1" w:rsidP="00EF4F20">
      <w:pPr>
        <w:jc w:val="both"/>
        <w:rPr>
          <w:rFonts w:ascii="Arial" w:eastAsiaTheme="majorEastAsia" w:hAnsi="Arial" w:cs="Arial"/>
          <w:b/>
          <w:bCs/>
          <w:i/>
          <w:iCs/>
          <w:color w:val="ED7D31" w:themeColor="accent2"/>
          <w:sz w:val="24"/>
          <w:szCs w:val="24"/>
        </w:rPr>
      </w:pPr>
      <w:r w:rsidRPr="00EF4F20">
        <w:rPr>
          <w:rFonts w:ascii="Arial" w:eastAsiaTheme="majorEastAsia" w:hAnsi="Arial" w:cs="Arial"/>
          <w:b/>
          <w:bCs/>
          <w:i/>
          <w:iCs/>
          <w:color w:val="ED7D31" w:themeColor="accent2"/>
          <w:sz w:val="24"/>
          <w:szCs w:val="24"/>
        </w:rPr>
        <w:t>3.1 Evaluation of Findings</w:t>
      </w:r>
    </w:p>
    <w:p w14:paraId="2AF09A6F" w14:textId="70CF6132" w:rsidR="006B3627" w:rsidRPr="00EF4F20" w:rsidRDefault="006B3627" w:rsidP="00EF4F20">
      <w:pPr>
        <w:jc w:val="both"/>
        <w:rPr>
          <w:rFonts w:ascii="Arial" w:hAnsi="Arial" w:cs="Arial"/>
          <w:sz w:val="24"/>
          <w:szCs w:val="24"/>
        </w:rPr>
      </w:pPr>
      <w:r w:rsidRPr="00EF4F20">
        <w:rPr>
          <w:rFonts w:ascii="Arial" w:hAnsi="Arial" w:cs="Arial"/>
          <w:sz w:val="24"/>
          <w:szCs w:val="24"/>
        </w:rPr>
        <w:t>The research's conclusions have highlighted the unique issues that The Goring (London) has with hiring and retaining staff</w:t>
      </w:r>
      <w:r w:rsidR="00723381" w:rsidRPr="00EF4F20">
        <w:rPr>
          <w:rFonts w:ascii="Arial" w:hAnsi="Arial" w:cs="Arial"/>
          <w:sz w:val="24"/>
          <w:szCs w:val="24"/>
        </w:rPr>
        <w:t xml:space="preserve"> (Hardman, 2021)</w:t>
      </w:r>
      <w:r w:rsidRPr="00EF4F20">
        <w:rPr>
          <w:rFonts w:ascii="Arial" w:hAnsi="Arial" w:cs="Arial"/>
          <w:sz w:val="24"/>
          <w:szCs w:val="24"/>
        </w:rPr>
        <w:t xml:space="preserve">. The difficulties that have been identified include a lack of qualified employees, bad management techniques, inadequate training programs, and the effects of outside variables like Brexit, COVID-19, and inflation. </w:t>
      </w:r>
      <w:r w:rsidRPr="00EF4F20">
        <w:rPr>
          <w:rFonts w:ascii="Arial" w:hAnsi="Arial" w:cs="Arial"/>
          <w:sz w:val="24"/>
          <w:szCs w:val="24"/>
        </w:rPr>
        <w:lastRenderedPageBreak/>
        <w:t>These difficulties have substantial effects on the human resources division and may make it more difficult for the hotel to find and keep qualified staff.</w:t>
      </w:r>
    </w:p>
    <w:p w14:paraId="3EE92EED" w14:textId="2798C5FF" w:rsidR="003B2EB1" w:rsidRPr="00EF4F20" w:rsidRDefault="003B2EB1" w:rsidP="00EF4F20">
      <w:pPr>
        <w:jc w:val="both"/>
        <w:rPr>
          <w:rFonts w:ascii="Arial" w:hAnsi="Arial" w:cs="Arial"/>
          <w:sz w:val="24"/>
          <w:szCs w:val="24"/>
        </w:rPr>
      </w:pPr>
      <w:r w:rsidRPr="00EF4F20">
        <w:rPr>
          <w:rFonts w:ascii="Arial" w:hAnsi="Arial" w:cs="Arial"/>
          <w:sz w:val="24"/>
          <w:szCs w:val="24"/>
        </w:rPr>
        <w:t>The evaluation of findings reveals a pattern of common challenges faced by the hospitality industry. Staff shortages are a recurring issue, driven by the competitive nature of the industry and the demand for qualified employees. Inadequate training programs and poor management practices contribute to low employee satisfaction and higher turnover rates. External factors, such as Brexit and the Covid-19 pandemic, have introduced additional complexities and uncertainties that impact recruitment and retention efforts.</w:t>
      </w:r>
    </w:p>
    <w:p w14:paraId="04A1F222"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Furthermore, the evaluation highlights the significance of addressing these challenges for The Goring (London). As a prestigious luxury hotel, maintaining a skilled and motivated workforce is essential to deliver exceptional service and uphold its reputation for excellence. Failure to address these challenges can result in decreased guest satisfaction, lower employee morale, and a decline in the hotel's overall competitiveness.</w:t>
      </w:r>
    </w:p>
    <w:p w14:paraId="53D2C749" w14:textId="77777777" w:rsidR="003B2EB1" w:rsidRPr="00EF4F20" w:rsidRDefault="003B2EB1" w:rsidP="00EF4F20">
      <w:pPr>
        <w:jc w:val="both"/>
        <w:rPr>
          <w:rFonts w:ascii="Arial" w:hAnsi="Arial" w:cs="Arial"/>
          <w:sz w:val="24"/>
          <w:szCs w:val="24"/>
        </w:rPr>
      </w:pPr>
    </w:p>
    <w:p w14:paraId="5834198E" w14:textId="77777777" w:rsidR="003B2EB1" w:rsidRPr="00EF4F20" w:rsidRDefault="003B2EB1" w:rsidP="00EF4F20">
      <w:pPr>
        <w:jc w:val="both"/>
        <w:rPr>
          <w:rFonts w:ascii="Arial" w:eastAsiaTheme="majorEastAsia" w:hAnsi="Arial" w:cs="Arial"/>
          <w:b/>
          <w:bCs/>
          <w:i/>
          <w:iCs/>
          <w:color w:val="ED7D31" w:themeColor="accent2"/>
          <w:sz w:val="24"/>
          <w:szCs w:val="24"/>
        </w:rPr>
      </w:pPr>
      <w:r w:rsidRPr="00EF4F20">
        <w:rPr>
          <w:rFonts w:ascii="Arial" w:eastAsiaTheme="majorEastAsia" w:hAnsi="Arial" w:cs="Arial"/>
          <w:b/>
          <w:bCs/>
          <w:i/>
          <w:iCs/>
          <w:color w:val="ED7D31" w:themeColor="accent2"/>
          <w:sz w:val="24"/>
          <w:szCs w:val="24"/>
        </w:rPr>
        <w:t>3.2 Recommendations</w:t>
      </w:r>
    </w:p>
    <w:p w14:paraId="48951B65" w14:textId="5241F740" w:rsidR="00D6420A" w:rsidRPr="00EF4F20" w:rsidRDefault="00D6420A" w:rsidP="00EF4F20">
      <w:pPr>
        <w:jc w:val="both"/>
        <w:rPr>
          <w:rFonts w:ascii="Arial" w:hAnsi="Arial" w:cs="Arial"/>
          <w:sz w:val="24"/>
          <w:szCs w:val="24"/>
        </w:rPr>
      </w:pPr>
      <w:r w:rsidRPr="00EF4F20">
        <w:rPr>
          <w:rFonts w:ascii="Arial" w:hAnsi="Arial" w:cs="Arial"/>
          <w:sz w:val="24"/>
          <w:szCs w:val="24"/>
        </w:rPr>
        <w:t>According to the research's findings, The Goring (London) could consider the following suggestions to address the problems found there and enhance employee retention and recruitment:</w:t>
      </w:r>
    </w:p>
    <w:p w14:paraId="0420DF7A" w14:textId="0F775967" w:rsidR="003B2EB1" w:rsidRPr="00EF4F20" w:rsidRDefault="003B2EB1" w:rsidP="00EF4F20">
      <w:pPr>
        <w:jc w:val="both"/>
        <w:rPr>
          <w:rFonts w:ascii="Arial" w:hAnsi="Arial" w:cs="Arial"/>
          <w:sz w:val="24"/>
          <w:szCs w:val="24"/>
        </w:rPr>
      </w:pPr>
      <w:r w:rsidRPr="00EF4F20">
        <w:rPr>
          <w:rFonts w:ascii="Arial" w:hAnsi="Arial" w:cs="Arial"/>
          <w:sz w:val="24"/>
          <w:szCs w:val="24"/>
        </w:rPr>
        <w:t>Develop Comprehensive Training Programs: Implement structured training programs that focus on both technical skills and soft skills development</w:t>
      </w:r>
      <w:r w:rsidR="00EA1A3D" w:rsidRPr="00EF4F20">
        <w:rPr>
          <w:rFonts w:ascii="Arial" w:hAnsi="Arial" w:cs="Arial"/>
          <w:sz w:val="24"/>
          <w:szCs w:val="24"/>
        </w:rPr>
        <w:t xml:space="preserve"> (Cvetkovic, 2020)</w:t>
      </w:r>
      <w:r w:rsidRPr="00EF4F20">
        <w:rPr>
          <w:rFonts w:ascii="Arial" w:hAnsi="Arial" w:cs="Arial"/>
          <w:sz w:val="24"/>
          <w:szCs w:val="24"/>
        </w:rPr>
        <w:t>. Provide opportunities for career advancement and continuous learning to enhance employee engagement and job satisfaction.</w:t>
      </w:r>
    </w:p>
    <w:p w14:paraId="23ADCDA8" w14:textId="17C10B32" w:rsidR="00D6420A" w:rsidRPr="00EF4F20" w:rsidRDefault="00D6420A" w:rsidP="00EF4F20">
      <w:pPr>
        <w:jc w:val="both"/>
        <w:rPr>
          <w:rFonts w:ascii="Arial" w:hAnsi="Arial" w:cs="Arial"/>
          <w:sz w:val="24"/>
          <w:szCs w:val="24"/>
        </w:rPr>
      </w:pPr>
      <w:r w:rsidRPr="00EF4F20">
        <w:rPr>
          <w:rFonts w:ascii="Arial" w:hAnsi="Arial" w:cs="Arial"/>
          <w:sz w:val="24"/>
          <w:szCs w:val="24"/>
        </w:rPr>
        <w:t xml:space="preserve">Improve Management and Leadership Techniques: Encourage clear communication, helpful management, and appreciation inside the company. Spend money on leadership development programs to provide managers and </w:t>
      </w:r>
      <w:r w:rsidR="000C70E9" w:rsidRPr="00EF4F20">
        <w:rPr>
          <w:rFonts w:ascii="Arial" w:hAnsi="Arial" w:cs="Arial"/>
          <w:sz w:val="24"/>
          <w:szCs w:val="24"/>
        </w:rPr>
        <w:t>supervisors with</w:t>
      </w:r>
      <w:r w:rsidRPr="00EF4F20">
        <w:rPr>
          <w:rFonts w:ascii="Arial" w:hAnsi="Arial" w:cs="Arial"/>
          <w:sz w:val="24"/>
          <w:szCs w:val="24"/>
        </w:rPr>
        <w:t xml:space="preserve"> the abilities they need to inspire and keep workers.</w:t>
      </w:r>
    </w:p>
    <w:p w14:paraId="3E22F7E8" w14:textId="5CE21EC7" w:rsidR="003B2EB1" w:rsidRPr="00EF4F20" w:rsidRDefault="003B2EB1" w:rsidP="00EF4F20">
      <w:pPr>
        <w:jc w:val="both"/>
        <w:rPr>
          <w:rFonts w:ascii="Arial" w:hAnsi="Arial" w:cs="Arial"/>
          <w:sz w:val="24"/>
          <w:szCs w:val="24"/>
        </w:rPr>
      </w:pPr>
      <w:r w:rsidRPr="00EF4F20">
        <w:rPr>
          <w:rFonts w:ascii="Arial" w:hAnsi="Arial" w:cs="Arial"/>
          <w:sz w:val="24"/>
          <w:szCs w:val="24"/>
        </w:rPr>
        <w:t>Strengthen Recruitment Channels: Establish partnerships with educational institutions, industry associations, and job boards to tap into diverse talent pools</w:t>
      </w:r>
      <w:r w:rsidR="00FB2029" w:rsidRPr="00EF4F20">
        <w:rPr>
          <w:rFonts w:ascii="Arial" w:hAnsi="Arial" w:cs="Arial"/>
          <w:sz w:val="24"/>
          <w:szCs w:val="24"/>
        </w:rPr>
        <w:t xml:space="preserve"> (Harver, 2019)</w:t>
      </w:r>
      <w:r w:rsidRPr="00EF4F20">
        <w:rPr>
          <w:rFonts w:ascii="Arial" w:hAnsi="Arial" w:cs="Arial"/>
          <w:sz w:val="24"/>
          <w:szCs w:val="24"/>
        </w:rPr>
        <w:t>. Leverage online recruitment platforms and social media to reach a wider audience of potential candidates.</w:t>
      </w:r>
    </w:p>
    <w:p w14:paraId="71B773E0"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Embrace Technology: Incorporate technological advancements into recruitment and retention strategies. Utilize artificial intelligence for candidate screening and streamline administrative processes. Leverage data analytics to identify trends and patterns in employee turnover and engagement.</w:t>
      </w:r>
    </w:p>
    <w:p w14:paraId="6A8F76FE" w14:textId="77777777" w:rsidR="003B2EB1" w:rsidRPr="00EF4F20" w:rsidRDefault="003B2EB1" w:rsidP="00EF4F20">
      <w:pPr>
        <w:jc w:val="both"/>
        <w:rPr>
          <w:rFonts w:ascii="Arial" w:hAnsi="Arial" w:cs="Arial"/>
          <w:sz w:val="24"/>
          <w:szCs w:val="24"/>
        </w:rPr>
      </w:pPr>
      <w:r w:rsidRPr="00EF4F20">
        <w:rPr>
          <w:rFonts w:ascii="Arial" w:hAnsi="Arial" w:cs="Arial"/>
          <w:sz w:val="24"/>
          <w:szCs w:val="24"/>
        </w:rPr>
        <w:t>Address External Factors: Monitor changes in immigration policies and adapt recruitment strategies accordingly. Explore cost-effective strategies to retain employees in the face of economic challenges caused by inflation. Embrace sustainability practices to attract environmentally conscious employees.</w:t>
      </w:r>
    </w:p>
    <w:p w14:paraId="2E4F4132" w14:textId="3ADE308B" w:rsidR="003B2EB1" w:rsidRPr="00EF4F20" w:rsidRDefault="003B2EB1" w:rsidP="00EF4F20">
      <w:pPr>
        <w:jc w:val="both"/>
        <w:rPr>
          <w:rFonts w:ascii="Arial" w:hAnsi="Arial" w:cs="Arial"/>
          <w:sz w:val="24"/>
          <w:szCs w:val="24"/>
        </w:rPr>
      </w:pPr>
      <w:r w:rsidRPr="00EF4F20">
        <w:rPr>
          <w:rFonts w:ascii="Arial" w:hAnsi="Arial" w:cs="Arial"/>
          <w:sz w:val="24"/>
          <w:szCs w:val="24"/>
        </w:rPr>
        <w:lastRenderedPageBreak/>
        <w:t>Benchmark Compensation and Benefits: Regularly review salary structures and benchmark against industry standards to ensure competitive compensation</w:t>
      </w:r>
      <w:r w:rsidR="003A521D" w:rsidRPr="00EF4F20">
        <w:rPr>
          <w:rFonts w:ascii="Arial" w:hAnsi="Arial" w:cs="Arial"/>
          <w:sz w:val="24"/>
          <w:szCs w:val="24"/>
        </w:rPr>
        <w:t xml:space="preserve"> (Cemazar, 2022)</w:t>
      </w:r>
      <w:r w:rsidRPr="00EF4F20">
        <w:rPr>
          <w:rFonts w:ascii="Arial" w:hAnsi="Arial" w:cs="Arial"/>
          <w:sz w:val="24"/>
          <w:szCs w:val="24"/>
        </w:rPr>
        <w:t>. Introduce rewards programs and attractive benefits packages to incentivize employee loyalty and retention.</w:t>
      </w:r>
    </w:p>
    <w:p w14:paraId="16873FC8" w14:textId="08735C54" w:rsidR="006433D2" w:rsidRPr="00EF4F20" w:rsidRDefault="006433D2" w:rsidP="00EF4F20">
      <w:pPr>
        <w:jc w:val="both"/>
        <w:rPr>
          <w:rFonts w:ascii="Arial" w:hAnsi="Arial" w:cs="Arial"/>
          <w:sz w:val="24"/>
          <w:szCs w:val="24"/>
        </w:rPr>
      </w:pPr>
      <w:r w:rsidRPr="00EF4F20">
        <w:rPr>
          <w:rFonts w:ascii="Arial" w:hAnsi="Arial" w:cs="Arial"/>
          <w:sz w:val="24"/>
          <w:szCs w:val="24"/>
        </w:rPr>
        <w:t>Foster a positive work: Create a culture of support and inclusion at work that promotes diversity and the well-being of all employees to foster a positive work environment. Offer chances for professional development, employee recognition, and work-life balance.</w:t>
      </w:r>
    </w:p>
    <w:p w14:paraId="1B5D5048" w14:textId="248410C9" w:rsidR="006433D2" w:rsidRPr="00EF4F20" w:rsidRDefault="006433D2" w:rsidP="00EF4F20">
      <w:pPr>
        <w:jc w:val="both"/>
        <w:rPr>
          <w:rFonts w:ascii="Arial" w:hAnsi="Arial" w:cs="Arial"/>
          <w:sz w:val="24"/>
          <w:szCs w:val="24"/>
        </w:rPr>
      </w:pPr>
      <w:r w:rsidRPr="00EF4F20">
        <w:rPr>
          <w:rFonts w:ascii="Arial" w:hAnsi="Arial" w:cs="Arial"/>
          <w:sz w:val="24"/>
          <w:szCs w:val="24"/>
        </w:rPr>
        <w:t>The Goring (London) may improve its hiring and retention strategies by putting these suggestions into practice, which will result in a more contented and engaged workforce. These tactics are adapted to the requirements and conditions of The Goring (London) and draw on the best practices seen in the industry examples, such as The Marriott, IHG, and Radisson.</w:t>
      </w:r>
    </w:p>
    <w:p w14:paraId="0226A5BC" w14:textId="24458DCA" w:rsidR="003B2EB1" w:rsidRPr="00EF4F20" w:rsidRDefault="003B2EB1" w:rsidP="00EF4F20">
      <w:pPr>
        <w:jc w:val="both"/>
        <w:rPr>
          <w:rFonts w:ascii="Arial" w:hAnsi="Arial" w:cs="Arial"/>
          <w:sz w:val="24"/>
          <w:szCs w:val="24"/>
        </w:rPr>
      </w:pPr>
      <w:r w:rsidRPr="00EF4F20">
        <w:rPr>
          <w:rFonts w:ascii="Arial" w:hAnsi="Arial" w:cs="Arial"/>
          <w:sz w:val="24"/>
          <w:szCs w:val="24"/>
        </w:rPr>
        <w:t>Finally, it can be said that this research project proposal highlights the challenges faced by The Goring (London) in terms of employee recruitment and retention. By evaluating the findings and providing targeted recommendations, this research aims to assist the hotel in overcoming these challenges and improving its human resource strategies. Implementing these recommendations will contribute to a skilled and motivated workforce, ultimately enhancing the hotel's performance and competitiveness in the dynamic hospitality industry.</w:t>
      </w:r>
    </w:p>
    <w:p w14:paraId="5F8EC9E3" w14:textId="77777777" w:rsidR="00EE13AF" w:rsidRPr="00EF4F20" w:rsidRDefault="00EE13AF" w:rsidP="00EF4F20">
      <w:pPr>
        <w:jc w:val="both"/>
        <w:rPr>
          <w:rFonts w:ascii="Arial" w:hAnsi="Arial" w:cs="Arial"/>
          <w:sz w:val="24"/>
          <w:szCs w:val="24"/>
        </w:rPr>
      </w:pPr>
    </w:p>
    <w:p w14:paraId="5C0C310B" w14:textId="77777777" w:rsidR="00EE13AF" w:rsidRPr="00EF4F20" w:rsidRDefault="00EE13AF" w:rsidP="00EF4F20">
      <w:pPr>
        <w:jc w:val="both"/>
        <w:rPr>
          <w:rFonts w:ascii="Arial" w:hAnsi="Arial" w:cs="Arial"/>
          <w:sz w:val="24"/>
          <w:szCs w:val="24"/>
        </w:rPr>
      </w:pPr>
    </w:p>
    <w:p w14:paraId="6F9C6AC7" w14:textId="77777777" w:rsidR="00EE13AF" w:rsidRPr="00EF4F20" w:rsidRDefault="00EE13AF" w:rsidP="00EF4F20">
      <w:pPr>
        <w:jc w:val="both"/>
        <w:rPr>
          <w:rFonts w:ascii="Arial" w:hAnsi="Arial" w:cs="Arial"/>
          <w:sz w:val="24"/>
          <w:szCs w:val="24"/>
        </w:rPr>
      </w:pPr>
    </w:p>
    <w:p w14:paraId="02B56E4F" w14:textId="77777777" w:rsidR="00EE13AF" w:rsidRDefault="00EE13AF" w:rsidP="003B2EB1">
      <w:pPr>
        <w:rPr>
          <w:rFonts w:ascii="Arial" w:hAnsi="Arial" w:cs="Arial"/>
          <w:sz w:val="24"/>
          <w:szCs w:val="24"/>
        </w:rPr>
      </w:pPr>
    </w:p>
    <w:p w14:paraId="3DB29E0C" w14:textId="77777777" w:rsidR="00EE13AF" w:rsidRDefault="00EE13AF" w:rsidP="003B2EB1">
      <w:pPr>
        <w:rPr>
          <w:rFonts w:ascii="Arial" w:hAnsi="Arial" w:cs="Arial"/>
          <w:sz w:val="24"/>
          <w:szCs w:val="24"/>
        </w:rPr>
      </w:pPr>
    </w:p>
    <w:p w14:paraId="6D813B2C" w14:textId="77777777" w:rsidR="00EE13AF" w:rsidRDefault="00EE13AF" w:rsidP="003B2EB1">
      <w:pPr>
        <w:rPr>
          <w:rFonts w:ascii="Arial" w:hAnsi="Arial" w:cs="Arial"/>
          <w:sz w:val="24"/>
          <w:szCs w:val="24"/>
        </w:rPr>
      </w:pPr>
    </w:p>
    <w:p w14:paraId="68AE4197" w14:textId="77777777" w:rsidR="00EF4F20" w:rsidRDefault="00EF4F20" w:rsidP="003B2EB1">
      <w:pPr>
        <w:rPr>
          <w:rFonts w:ascii="Arial" w:hAnsi="Arial" w:cs="Arial"/>
          <w:sz w:val="24"/>
          <w:szCs w:val="24"/>
        </w:rPr>
      </w:pPr>
    </w:p>
    <w:p w14:paraId="154A676B" w14:textId="77777777" w:rsidR="00EF4F20" w:rsidRDefault="00EF4F20" w:rsidP="003B2EB1">
      <w:pPr>
        <w:rPr>
          <w:rFonts w:ascii="Arial" w:hAnsi="Arial" w:cs="Arial"/>
          <w:sz w:val="24"/>
          <w:szCs w:val="24"/>
        </w:rPr>
      </w:pPr>
    </w:p>
    <w:p w14:paraId="39EABE00" w14:textId="77777777" w:rsidR="00EF4F20" w:rsidRDefault="00EF4F20" w:rsidP="003B2EB1">
      <w:pPr>
        <w:rPr>
          <w:rFonts w:ascii="Arial" w:hAnsi="Arial" w:cs="Arial"/>
          <w:sz w:val="24"/>
          <w:szCs w:val="24"/>
        </w:rPr>
      </w:pPr>
    </w:p>
    <w:p w14:paraId="60F0A949" w14:textId="77777777" w:rsidR="00EF4F20" w:rsidRDefault="00EF4F20" w:rsidP="003B2EB1">
      <w:pPr>
        <w:rPr>
          <w:rFonts w:ascii="Arial" w:hAnsi="Arial" w:cs="Arial"/>
          <w:sz w:val="24"/>
          <w:szCs w:val="24"/>
        </w:rPr>
      </w:pPr>
    </w:p>
    <w:p w14:paraId="5BF8E825" w14:textId="77777777" w:rsidR="00EF4F20" w:rsidRDefault="00EF4F20" w:rsidP="003B2EB1">
      <w:pPr>
        <w:rPr>
          <w:rFonts w:ascii="Arial" w:hAnsi="Arial" w:cs="Arial"/>
          <w:sz w:val="24"/>
          <w:szCs w:val="24"/>
        </w:rPr>
      </w:pPr>
    </w:p>
    <w:p w14:paraId="40510C95" w14:textId="1DAB4E2F" w:rsidR="00EE13AF" w:rsidRPr="00EF4F20" w:rsidRDefault="00EE13AF" w:rsidP="00EF4F20">
      <w:pPr>
        <w:jc w:val="both"/>
        <w:rPr>
          <w:rFonts w:ascii="Arial" w:eastAsiaTheme="majorEastAsia" w:hAnsi="Arial" w:cs="Arial"/>
          <w:b/>
          <w:bCs/>
          <w:i/>
          <w:iCs/>
          <w:color w:val="ED7D31" w:themeColor="accent2"/>
          <w:sz w:val="24"/>
          <w:szCs w:val="24"/>
        </w:rPr>
      </w:pPr>
      <w:r w:rsidRPr="00EF4F20">
        <w:rPr>
          <w:rFonts w:ascii="Arial" w:eastAsiaTheme="majorEastAsia" w:hAnsi="Arial" w:cs="Arial"/>
          <w:b/>
          <w:bCs/>
          <w:i/>
          <w:iCs/>
          <w:color w:val="ED7D31" w:themeColor="accent2"/>
          <w:sz w:val="24"/>
          <w:szCs w:val="24"/>
        </w:rPr>
        <w:t>Reference</w:t>
      </w:r>
      <w:r w:rsidR="00EF4F20">
        <w:rPr>
          <w:rFonts w:ascii="Arial" w:eastAsiaTheme="majorEastAsia" w:hAnsi="Arial" w:cs="Arial"/>
          <w:b/>
          <w:bCs/>
          <w:i/>
          <w:iCs/>
          <w:color w:val="ED7D31" w:themeColor="accent2"/>
          <w:sz w:val="24"/>
          <w:szCs w:val="24"/>
        </w:rPr>
        <w:t>s</w:t>
      </w:r>
    </w:p>
    <w:p w14:paraId="5690A3FE" w14:textId="079984DC" w:rsidR="00EE13AF" w:rsidRPr="004226EC" w:rsidRDefault="004226EC" w:rsidP="00EE13AF">
      <w:pPr>
        <w:rPr>
          <w:rFonts w:ascii="Arial" w:hAnsi="Arial" w:cs="Arial"/>
          <w:sz w:val="24"/>
          <w:szCs w:val="24"/>
        </w:rPr>
      </w:pPr>
      <w:r w:rsidRPr="004226EC">
        <w:rPr>
          <w:rFonts w:ascii="Arial" w:hAnsi="Arial" w:cs="Arial"/>
          <w:sz w:val="24"/>
          <w:szCs w:val="24"/>
        </w:rPr>
        <w:t>Bryman, A. (2016). Social Research Methods. Oxford University Press.</w:t>
      </w:r>
    </w:p>
    <w:p w14:paraId="311BC35D" w14:textId="3C2A001A" w:rsidR="00A82F04" w:rsidRDefault="00A82F04" w:rsidP="00691ED0">
      <w:pPr>
        <w:rPr>
          <w:rFonts w:ascii="Arial" w:hAnsi="Arial" w:cs="Arial"/>
          <w:sz w:val="24"/>
          <w:szCs w:val="24"/>
        </w:rPr>
      </w:pPr>
      <w:r w:rsidRPr="00A82F04">
        <w:rPr>
          <w:rFonts w:ascii="Arial" w:hAnsi="Arial" w:cs="Arial"/>
          <w:sz w:val="24"/>
          <w:szCs w:val="24"/>
        </w:rPr>
        <w:t xml:space="preserve">Bell, E., (2022). Business Research Methods. New Edition, Sixth Edition, New Edition, Sixth Edition ed. [online] Oxford University Press. Oxford, New York: Oxford University </w:t>
      </w:r>
      <w:r w:rsidRPr="00A82F04">
        <w:rPr>
          <w:rFonts w:ascii="Arial" w:hAnsi="Arial" w:cs="Arial"/>
          <w:sz w:val="24"/>
          <w:szCs w:val="24"/>
        </w:rPr>
        <w:lastRenderedPageBreak/>
        <w:t xml:space="preserve">Press. Available at: </w:t>
      </w:r>
      <w:hyperlink r:id="rId5" w:history="1">
        <w:r w:rsidRPr="00D16685">
          <w:rPr>
            <w:rStyle w:val="Hyperlink"/>
            <w:rFonts w:ascii="Arial" w:hAnsi="Arial" w:cs="Arial"/>
            <w:sz w:val="24"/>
            <w:szCs w:val="24"/>
          </w:rPr>
          <w:t>https://global.oup.com/academic/product/business-research-methods-9780198869443?lang=en&amp;cc=zw</w:t>
        </w:r>
      </w:hyperlink>
      <w:r w:rsidRPr="00A82F04">
        <w:rPr>
          <w:rFonts w:ascii="Arial" w:hAnsi="Arial" w:cs="Arial"/>
          <w:sz w:val="24"/>
          <w:szCs w:val="24"/>
        </w:rPr>
        <w:t>.</w:t>
      </w:r>
    </w:p>
    <w:p w14:paraId="6F5632F8" w14:textId="08877916" w:rsidR="00A82F04" w:rsidRDefault="00EA1A3D" w:rsidP="00691ED0">
      <w:pPr>
        <w:rPr>
          <w:rFonts w:ascii="Arial" w:hAnsi="Arial" w:cs="Arial"/>
          <w:sz w:val="24"/>
          <w:szCs w:val="24"/>
        </w:rPr>
      </w:pPr>
      <w:r w:rsidRPr="00EA1A3D">
        <w:rPr>
          <w:rFonts w:ascii="Arial" w:hAnsi="Arial" w:cs="Arial"/>
          <w:sz w:val="24"/>
          <w:szCs w:val="24"/>
        </w:rPr>
        <w:t xml:space="preserve">Cvetkovic, A. (2020). Top 7 best hospitality training ideas. [online] blog.typsy.com. Available at: </w:t>
      </w:r>
      <w:hyperlink r:id="rId6" w:history="1">
        <w:r w:rsidRPr="00795AC9">
          <w:rPr>
            <w:rStyle w:val="Hyperlink"/>
            <w:rFonts w:ascii="Arial" w:hAnsi="Arial" w:cs="Arial"/>
            <w:sz w:val="24"/>
            <w:szCs w:val="24"/>
          </w:rPr>
          <w:t>https://blog.typsy.com/top-7-best-hospitality-training-ideas</w:t>
        </w:r>
      </w:hyperlink>
      <w:r w:rsidRPr="00EA1A3D">
        <w:rPr>
          <w:rFonts w:ascii="Arial" w:hAnsi="Arial" w:cs="Arial"/>
          <w:sz w:val="24"/>
          <w:szCs w:val="24"/>
        </w:rPr>
        <w:t>.</w:t>
      </w:r>
    </w:p>
    <w:p w14:paraId="652E368A" w14:textId="291383E7" w:rsidR="003A521D" w:rsidRDefault="003A521D" w:rsidP="00691ED0">
      <w:pPr>
        <w:rPr>
          <w:rFonts w:ascii="Arial" w:hAnsi="Arial" w:cs="Arial"/>
          <w:sz w:val="24"/>
          <w:szCs w:val="24"/>
        </w:rPr>
      </w:pPr>
      <w:r w:rsidRPr="003A521D">
        <w:rPr>
          <w:rFonts w:ascii="Arial" w:hAnsi="Arial" w:cs="Arial"/>
          <w:sz w:val="24"/>
          <w:szCs w:val="24"/>
        </w:rPr>
        <w:t>Cemazar, S. (2022). Top Compensation Management Software for Your HR Tech Stack. [online] Orgnostic. Available at: https://orgnostic.com/blog/compensation-management-software/ [Accessed 12 Jun. 2023].</w:t>
      </w:r>
    </w:p>
    <w:p w14:paraId="30E541FC" w14:textId="69241A58" w:rsidR="00F2318D" w:rsidRDefault="00691ED0" w:rsidP="00691ED0">
      <w:pPr>
        <w:rPr>
          <w:rFonts w:ascii="Arial" w:hAnsi="Arial" w:cs="Arial"/>
          <w:sz w:val="24"/>
          <w:szCs w:val="24"/>
        </w:rPr>
      </w:pPr>
      <w:r w:rsidRPr="00A76A45">
        <w:rPr>
          <w:rFonts w:ascii="Arial" w:hAnsi="Arial" w:cs="Arial"/>
          <w:sz w:val="24"/>
          <w:szCs w:val="24"/>
        </w:rPr>
        <w:t xml:space="preserve">Ezzaouia, I. and Bulchand-Gidumal, J. (2022). The impact of information technology adoption on hotel performance: Evidence from a developing country. Journal of Quality Assurance in Hospitality &amp; Tourism, pp.1–23. doi: </w:t>
      </w:r>
      <w:hyperlink r:id="rId7" w:history="1">
        <w:r w:rsidRPr="00D16685">
          <w:rPr>
            <w:rStyle w:val="Hyperlink"/>
            <w:rFonts w:ascii="Arial" w:hAnsi="Arial" w:cs="Arial"/>
            <w:sz w:val="24"/>
            <w:szCs w:val="24"/>
          </w:rPr>
          <w:t>https://doi.org/10.1080/1528008x.2022.2077886</w:t>
        </w:r>
      </w:hyperlink>
      <w:r w:rsidRPr="00A76A45">
        <w:rPr>
          <w:rFonts w:ascii="Arial" w:hAnsi="Arial" w:cs="Arial"/>
          <w:sz w:val="24"/>
          <w:szCs w:val="24"/>
        </w:rPr>
        <w:t>.</w:t>
      </w:r>
    </w:p>
    <w:p w14:paraId="4CA4C00D" w14:textId="2896CB14" w:rsidR="00F2318D" w:rsidRDefault="00EF4F20" w:rsidP="000D5A79">
      <w:pPr>
        <w:rPr>
          <w:rFonts w:ascii="Arial" w:hAnsi="Arial" w:cs="Arial"/>
          <w:sz w:val="24"/>
          <w:szCs w:val="24"/>
        </w:rPr>
      </w:pPr>
      <w:r w:rsidRPr="00257DE6">
        <w:rPr>
          <w:rFonts w:ascii="Arial" w:hAnsi="Arial" w:cs="Arial"/>
          <w:sz w:val="24"/>
          <w:szCs w:val="24"/>
        </w:rPr>
        <w:t>Fragmental</w:t>
      </w:r>
      <w:r w:rsidR="000D5A79" w:rsidRPr="00257DE6">
        <w:rPr>
          <w:rFonts w:ascii="Arial" w:hAnsi="Arial" w:cs="Arial"/>
          <w:sz w:val="24"/>
          <w:szCs w:val="24"/>
        </w:rPr>
        <w:t>. (</w:t>
      </w:r>
      <w:r w:rsidR="000D5A79">
        <w:rPr>
          <w:rFonts w:ascii="Arial" w:hAnsi="Arial" w:cs="Arial"/>
          <w:sz w:val="24"/>
          <w:szCs w:val="24"/>
        </w:rPr>
        <w:t>2015</w:t>
      </w:r>
      <w:r w:rsidR="000D5A79" w:rsidRPr="00257DE6">
        <w:rPr>
          <w:rFonts w:ascii="Arial" w:hAnsi="Arial" w:cs="Arial"/>
          <w:sz w:val="24"/>
          <w:szCs w:val="24"/>
        </w:rPr>
        <w:t>). The Goring Hotel, London. [online] Available at: https://fromental.co.uk/blogs/case-studies/the-goring-hotel-london [Accessed 12 Jun. 2023].</w:t>
      </w:r>
    </w:p>
    <w:p w14:paraId="2221EAAF" w14:textId="77777777" w:rsidR="00691ED0" w:rsidRDefault="00691ED0" w:rsidP="00691ED0">
      <w:pPr>
        <w:rPr>
          <w:rFonts w:ascii="Arial" w:hAnsi="Arial" w:cs="Arial"/>
          <w:sz w:val="24"/>
          <w:szCs w:val="24"/>
        </w:rPr>
      </w:pPr>
      <w:r w:rsidRPr="008A4000">
        <w:rPr>
          <w:rFonts w:ascii="Arial" w:hAnsi="Arial" w:cs="Arial"/>
          <w:sz w:val="24"/>
          <w:szCs w:val="24"/>
        </w:rPr>
        <w:t xml:space="preserve">Harari, Y.N. (2017). The Rise of the Useless Class. [online] ideas.ted.com. Available at: </w:t>
      </w:r>
      <w:hyperlink r:id="rId8" w:history="1">
        <w:r w:rsidRPr="00D16685">
          <w:rPr>
            <w:rStyle w:val="Hyperlink"/>
            <w:rFonts w:ascii="Arial" w:hAnsi="Arial" w:cs="Arial"/>
            <w:sz w:val="24"/>
            <w:szCs w:val="24"/>
          </w:rPr>
          <w:t>https://ideas.ted.com/the-rise-of-the-useless-class/</w:t>
        </w:r>
      </w:hyperlink>
      <w:r w:rsidRPr="008A4000">
        <w:rPr>
          <w:rFonts w:ascii="Arial" w:hAnsi="Arial" w:cs="Arial"/>
          <w:sz w:val="24"/>
          <w:szCs w:val="24"/>
        </w:rPr>
        <w:t>.</w:t>
      </w:r>
    </w:p>
    <w:p w14:paraId="096E52DC" w14:textId="0C9F64F9" w:rsidR="00F2318D" w:rsidRDefault="00723381" w:rsidP="00691ED0">
      <w:pPr>
        <w:rPr>
          <w:rFonts w:ascii="Arial" w:hAnsi="Arial" w:cs="Arial"/>
          <w:sz w:val="24"/>
          <w:szCs w:val="24"/>
        </w:rPr>
      </w:pPr>
      <w:r w:rsidRPr="00723381">
        <w:rPr>
          <w:rFonts w:ascii="Arial" w:hAnsi="Arial" w:cs="Arial"/>
          <w:sz w:val="24"/>
          <w:szCs w:val="24"/>
        </w:rPr>
        <w:t xml:space="preserve">Hardman, M. (2021). How to Attract and Retain Hospitality Staff. [online] SevenRooms. Available at: </w:t>
      </w:r>
      <w:hyperlink r:id="rId9" w:history="1">
        <w:r w:rsidRPr="00795AC9">
          <w:rPr>
            <w:rStyle w:val="Hyperlink"/>
            <w:rFonts w:ascii="Arial" w:hAnsi="Arial" w:cs="Arial"/>
            <w:sz w:val="24"/>
            <w:szCs w:val="24"/>
          </w:rPr>
          <w:t>https://sevenrooms.com/en/blog/how-to-attract-and-retain-hospitality-staff/</w:t>
        </w:r>
      </w:hyperlink>
      <w:r w:rsidRPr="00723381">
        <w:rPr>
          <w:rFonts w:ascii="Arial" w:hAnsi="Arial" w:cs="Arial"/>
          <w:sz w:val="24"/>
          <w:szCs w:val="24"/>
        </w:rPr>
        <w:t>.</w:t>
      </w:r>
    </w:p>
    <w:p w14:paraId="1D10FDF0" w14:textId="2B7AD230" w:rsidR="00FB2029" w:rsidRDefault="00FB2029" w:rsidP="00691ED0">
      <w:pPr>
        <w:rPr>
          <w:rFonts w:ascii="Arial" w:hAnsi="Arial" w:cs="Arial"/>
          <w:sz w:val="24"/>
          <w:szCs w:val="24"/>
        </w:rPr>
      </w:pPr>
      <w:r w:rsidRPr="00FB2029">
        <w:rPr>
          <w:rFonts w:ascii="Arial" w:hAnsi="Arial" w:cs="Arial"/>
          <w:sz w:val="24"/>
          <w:szCs w:val="24"/>
        </w:rPr>
        <w:t xml:space="preserve">Harver. (2019). 9 Steps to Hiring Exceptional Hotel Staff. [online] Available at: </w:t>
      </w:r>
      <w:hyperlink r:id="rId10" w:history="1">
        <w:r w:rsidRPr="00795AC9">
          <w:rPr>
            <w:rStyle w:val="Hyperlink"/>
            <w:rFonts w:ascii="Arial" w:hAnsi="Arial" w:cs="Arial"/>
            <w:sz w:val="24"/>
            <w:szCs w:val="24"/>
          </w:rPr>
          <w:t>https://harver.com/blog/hiring-hotel-staff/</w:t>
        </w:r>
      </w:hyperlink>
      <w:r w:rsidRPr="00FB2029">
        <w:rPr>
          <w:rFonts w:ascii="Arial" w:hAnsi="Arial" w:cs="Arial"/>
          <w:sz w:val="24"/>
          <w:szCs w:val="24"/>
        </w:rPr>
        <w:t>.</w:t>
      </w:r>
    </w:p>
    <w:p w14:paraId="062EDF11" w14:textId="1B4A44D4" w:rsidR="00F2318D" w:rsidRDefault="000D5A79" w:rsidP="000D5A79">
      <w:pPr>
        <w:rPr>
          <w:rFonts w:ascii="Arial" w:hAnsi="Arial" w:cs="Arial"/>
          <w:sz w:val="24"/>
          <w:szCs w:val="24"/>
        </w:rPr>
      </w:pPr>
      <w:r w:rsidRPr="00150571">
        <w:rPr>
          <w:rFonts w:ascii="Arial" w:hAnsi="Arial" w:cs="Arial"/>
          <w:sz w:val="24"/>
          <w:szCs w:val="24"/>
        </w:rPr>
        <w:t xml:space="preserve">Jovanović, V. and Brkić, M. (2016). KONCEPT NORMALIZACIJE. Socijalna politika, (1), pp.7–25. doi: </w:t>
      </w:r>
      <w:hyperlink r:id="rId11" w:history="1">
        <w:r w:rsidRPr="00D16685">
          <w:rPr>
            <w:rStyle w:val="Hyperlink"/>
            <w:rFonts w:ascii="Arial" w:hAnsi="Arial" w:cs="Arial"/>
            <w:sz w:val="24"/>
            <w:szCs w:val="24"/>
          </w:rPr>
          <w:t>https://doi.org/10.22182/sp.12016.1</w:t>
        </w:r>
      </w:hyperlink>
      <w:r w:rsidRPr="00150571">
        <w:rPr>
          <w:rFonts w:ascii="Arial" w:hAnsi="Arial" w:cs="Arial"/>
          <w:sz w:val="24"/>
          <w:szCs w:val="24"/>
        </w:rPr>
        <w:t>.</w:t>
      </w:r>
    </w:p>
    <w:p w14:paraId="60656A3D" w14:textId="64D6B0D2" w:rsidR="000D5A79" w:rsidRDefault="00691ED0" w:rsidP="00691ED0">
      <w:pPr>
        <w:rPr>
          <w:rFonts w:ascii="Arial" w:hAnsi="Arial" w:cs="Arial"/>
          <w:sz w:val="24"/>
          <w:szCs w:val="24"/>
        </w:rPr>
      </w:pPr>
      <w:r w:rsidRPr="00350A05">
        <w:rPr>
          <w:rFonts w:ascii="Arial" w:hAnsi="Arial" w:cs="Arial"/>
          <w:sz w:val="24"/>
          <w:szCs w:val="24"/>
        </w:rPr>
        <w:t>Lídia, O. (2022). Handbook of Research on Digital Communications, Internet of Things, and the Future of Cultural Tourism. [online] Google Books. IGI Global. Available at: https://books.google.com.bd/books?id=_m9bEAAAQBAJ&amp;pg=PA568&amp;lpg=PA568&amp;dq=Yallop [Accessed 12 Jun. 2023].</w:t>
      </w:r>
    </w:p>
    <w:p w14:paraId="1B1DE494" w14:textId="77777777" w:rsidR="00EF4F20" w:rsidRDefault="00691ED0" w:rsidP="00691ED0">
      <w:pPr>
        <w:rPr>
          <w:rFonts w:ascii="Arial" w:hAnsi="Arial" w:cs="Arial"/>
          <w:sz w:val="24"/>
          <w:szCs w:val="24"/>
        </w:rPr>
      </w:pPr>
      <w:r w:rsidRPr="00790B81">
        <w:rPr>
          <w:rFonts w:ascii="Arial" w:hAnsi="Arial" w:cs="Arial"/>
          <w:sz w:val="24"/>
          <w:szCs w:val="24"/>
        </w:rPr>
        <w:t>O’Gorman, K.D. (2010). The Origins of Hospitality and Tourism. [online] Google Books. Goodfellow Publishers Limited. Available at: https://books.google.com/books/about/The_Origins_of_Hospitality_and_Tourism.html?id=Qn5QyQEACAAJ [Accessed 12 Jun. 2023].</w:t>
      </w:r>
    </w:p>
    <w:p w14:paraId="48430DBA" w14:textId="0800A09A" w:rsidR="00691ED0" w:rsidRDefault="00691ED0" w:rsidP="00691ED0">
      <w:pPr>
        <w:rPr>
          <w:rFonts w:ascii="Arial" w:hAnsi="Arial" w:cs="Arial"/>
          <w:sz w:val="24"/>
          <w:szCs w:val="24"/>
        </w:rPr>
      </w:pPr>
      <w:r w:rsidRPr="00604A93">
        <w:rPr>
          <w:rFonts w:ascii="Arial" w:hAnsi="Arial" w:cs="Arial"/>
          <w:sz w:val="24"/>
          <w:szCs w:val="24"/>
        </w:rPr>
        <w:t xml:space="preserve">Oshins, M. (2017). Changes in the Hospitality Industry: New Paradigms, Frames, and Perspectives. vtechworks.lib.vt.edu. [online] Available at: </w:t>
      </w:r>
      <w:hyperlink r:id="rId12" w:history="1">
        <w:r w:rsidRPr="00D16685">
          <w:rPr>
            <w:rStyle w:val="Hyperlink"/>
            <w:rFonts w:ascii="Arial" w:hAnsi="Arial" w:cs="Arial"/>
            <w:sz w:val="24"/>
            <w:szCs w:val="24"/>
          </w:rPr>
          <w:t>https://vtechworks.lib.vt.edu/handle/10919/79603</w:t>
        </w:r>
      </w:hyperlink>
      <w:r w:rsidRPr="00604A93">
        <w:rPr>
          <w:rFonts w:ascii="Arial" w:hAnsi="Arial" w:cs="Arial"/>
          <w:sz w:val="24"/>
          <w:szCs w:val="24"/>
        </w:rPr>
        <w:t>.</w:t>
      </w:r>
    </w:p>
    <w:p w14:paraId="2A0D896E" w14:textId="35E9F804" w:rsidR="00F2318D" w:rsidRDefault="000D5A79" w:rsidP="000D5A79">
      <w:pPr>
        <w:rPr>
          <w:rFonts w:ascii="Arial" w:hAnsi="Arial" w:cs="Arial"/>
          <w:sz w:val="24"/>
          <w:szCs w:val="24"/>
        </w:rPr>
      </w:pPr>
      <w:r w:rsidRPr="00062DD6">
        <w:rPr>
          <w:rFonts w:ascii="Arial" w:hAnsi="Arial" w:cs="Arial"/>
          <w:sz w:val="24"/>
          <w:szCs w:val="24"/>
        </w:rPr>
        <w:t>Ohemeng K. L. F. (2009). Constraints in the implementation of performance management systems in developing countries: The Ghanaian case. International Journal of Cross-Cultural Management, 9(1), 109–132.</w:t>
      </w:r>
    </w:p>
    <w:p w14:paraId="3AB2613B" w14:textId="53F33FF8" w:rsidR="000C70E9" w:rsidRDefault="00EE35D8" w:rsidP="00EE35D8">
      <w:pPr>
        <w:rPr>
          <w:rFonts w:ascii="Arial" w:hAnsi="Arial" w:cs="Arial"/>
          <w:sz w:val="24"/>
          <w:szCs w:val="24"/>
        </w:rPr>
      </w:pPr>
      <w:r w:rsidRPr="00C030E7">
        <w:rPr>
          <w:rFonts w:ascii="Arial" w:hAnsi="Arial" w:cs="Arial"/>
          <w:sz w:val="24"/>
          <w:szCs w:val="24"/>
        </w:rPr>
        <w:lastRenderedPageBreak/>
        <w:t>Park Y., Song J. H., Lim D. H. (2016). Organizational justice and work engagement: The mediating effect of self-leadership. Leadership &amp; Organization Development Journal, 37(6), 711–729.</w:t>
      </w:r>
    </w:p>
    <w:p w14:paraId="286311E8" w14:textId="77777777" w:rsidR="00EE35D8" w:rsidRDefault="00EE35D8" w:rsidP="00EE35D8">
      <w:pPr>
        <w:rPr>
          <w:rFonts w:ascii="Arial" w:hAnsi="Arial" w:cs="Arial"/>
          <w:sz w:val="24"/>
          <w:szCs w:val="24"/>
        </w:rPr>
      </w:pPr>
      <w:r w:rsidRPr="00AC1F6C">
        <w:rPr>
          <w:rFonts w:ascii="Arial" w:hAnsi="Arial" w:cs="Arial"/>
          <w:sz w:val="24"/>
          <w:szCs w:val="24"/>
        </w:rPr>
        <w:t>Rollet-Manus, F. (</w:t>
      </w:r>
      <w:r>
        <w:rPr>
          <w:rFonts w:ascii="Arial" w:hAnsi="Arial" w:cs="Arial"/>
          <w:sz w:val="24"/>
          <w:szCs w:val="24"/>
        </w:rPr>
        <w:t>2021</w:t>
      </w:r>
      <w:r w:rsidRPr="00AC1F6C">
        <w:rPr>
          <w:rFonts w:ascii="Arial" w:hAnsi="Arial" w:cs="Arial"/>
          <w:sz w:val="24"/>
          <w:szCs w:val="24"/>
        </w:rPr>
        <w:t>). The Goring, London. [online] Suitcase Magazine. Available at: https://suitcasemag.com/articles/the-goring [Accessed 12 Jun. 2023].</w:t>
      </w:r>
    </w:p>
    <w:p w14:paraId="57B38644" w14:textId="77777777" w:rsidR="000D5A79" w:rsidRDefault="000D5A79" w:rsidP="000D5A79">
      <w:pPr>
        <w:rPr>
          <w:rFonts w:ascii="Arial" w:hAnsi="Arial" w:cs="Arial"/>
          <w:sz w:val="24"/>
          <w:szCs w:val="24"/>
        </w:rPr>
      </w:pPr>
      <w:proofErr w:type="gramStart"/>
      <w:r w:rsidRPr="00CB549A">
        <w:rPr>
          <w:rFonts w:ascii="Arial" w:hAnsi="Arial" w:cs="Arial"/>
          <w:sz w:val="24"/>
          <w:szCs w:val="24"/>
        </w:rPr>
        <w:t>research.senedd</w:t>
      </w:r>
      <w:proofErr w:type="gramEnd"/>
      <w:r w:rsidRPr="00CB549A">
        <w:rPr>
          <w:rFonts w:ascii="Arial" w:hAnsi="Arial" w:cs="Arial"/>
          <w:sz w:val="24"/>
          <w:szCs w:val="24"/>
        </w:rPr>
        <w:t>.wales. (n.d.). Labour market November 2022 update. [online] Available at: https://research.senedd.wales/research-articles/labour-market-november-2022-update/ [Accessed 12 Jun. 2023].</w:t>
      </w:r>
    </w:p>
    <w:p w14:paraId="1DB867FE" w14:textId="1AE1652D" w:rsidR="00F2318D" w:rsidRDefault="00F2318D" w:rsidP="00EF4F20">
      <w:pPr>
        <w:rPr>
          <w:rFonts w:ascii="Arial" w:hAnsi="Arial" w:cs="Arial"/>
          <w:sz w:val="24"/>
          <w:szCs w:val="24"/>
        </w:rPr>
      </w:pPr>
      <w:r w:rsidRPr="00F2318D">
        <w:rPr>
          <w:rFonts w:ascii="Arial" w:hAnsi="Arial" w:cs="Arial"/>
          <w:sz w:val="24"/>
          <w:szCs w:val="24"/>
        </w:rPr>
        <w:t xml:space="preserve">Radley, M. (2021). The impact of Brexit on the UK hospitality industry and what businesses can do | Trail. [online] trailapp.com. Available at: </w:t>
      </w:r>
      <w:hyperlink r:id="rId13" w:history="1">
        <w:r w:rsidRPr="00795AC9">
          <w:rPr>
            <w:rStyle w:val="Hyperlink"/>
            <w:rFonts w:ascii="Arial" w:hAnsi="Arial" w:cs="Arial"/>
            <w:sz w:val="24"/>
            <w:szCs w:val="24"/>
          </w:rPr>
          <w:t>https://trailapp.com/blog/impact-brexit-hospitality</w:t>
        </w:r>
      </w:hyperlink>
      <w:r w:rsidRPr="00F2318D">
        <w:rPr>
          <w:rFonts w:ascii="Arial" w:hAnsi="Arial" w:cs="Arial"/>
          <w:sz w:val="24"/>
          <w:szCs w:val="24"/>
        </w:rPr>
        <w:t>.</w:t>
      </w:r>
    </w:p>
    <w:p w14:paraId="53122D8A" w14:textId="4FE33033" w:rsidR="00F2318D" w:rsidRDefault="000D5A79" w:rsidP="000D5A79">
      <w:pPr>
        <w:rPr>
          <w:rFonts w:ascii="Arial" w:hAnsi="Arial" w:cs="Arial"/>
          <w:sz w:val="24"/>
          <w:szCs w:val="24"/>
        </w:rPr>
      </w:pPr>
      <w:r w:rsidRPr="00941D64">
        <w:rPr>
          <w:rFonts w:ascii="Arial" w:hAnsi="Arial" w:cs="Arial"/>
          <w:sz w:val="24"/>
          <w:szCs w:val="24"/>
        </w:rPr>
        <w:t>Unesco.org. (2023). Available at: https://unesdoc.unesco.org/ark:/48223/pf0000219566 [Accessed 12 Jun. 2023].</w:t>
      </w:r>
    </w:p>
    <w:p w14:paraId="0FC37403" w14:textId="22E36459" w:rsidR="00EE35D8" w:rsidRDefault="00944D01" w:rsidP="00EE35D8">
      <w:pPr>
        <w:rPr>
          <w:rFonts w:ascii="Arial" w:hAnsi="Arial" w:cs="Arial"/>
          <w:sz w:val="24"/>
          <w:szCs w:val="24"/>
        </w:rPr>
      </w:pPr>
      <w:r w:rsidRPr="00944D01">
        <w:rPr>
          <w:rFonts w:ascii="Arial" w:hAnsi="Arial" w:cs="Arial"/>
          <w:sz w:val="24"/>
          <w:szCs w:val="24"/>
        </w:rPr>
        <w:t xml:space="preserve">Wood, A. (2022). What is a PESTLE Analysis? Why do I need it? | </w:t>
      </w:r>
      <w:r w:rsidR="00EF4F20" w:rsidRPr="00944D01">
        <w:rPr>
          <w:rFonts w:ascii="Arial" w:hAnsi="Arial" w:cs="Arial"/>
          <w:sz w:val="24"/>
          <w:szCs w:val="24"/>
        </w:rPr>
        <w:t>On Strategy</w:t>
      </w:r>
      <w:r w:rsidRPr="00944D01">
        <w:rPr>
          <w:rFonts w:ascii="Arial" w:hAnsi="Arial" w:cs="Arial"/>
          <w:sz w:val="24"/>
          <w:szCs w:val="24"/>
        </w:rPr>
        <w:t xml:space="preserve">. [online] </w:t>
      </w:r>
      <w:r w:rsidR="00EF4F20" w:rsidRPr="00944D01">
        <w:rPr>
          <w:rFonts w:ascii="Arial" w:hAnsi="Arial" w:cs="Arial"/>
          <w:sz w:val="24"/>
          <w:szCs w:val="24"/>
        </w:rPr>
        <w:t>on strategy</w:t>
      </w:r>
      <w:r w:rsidRPr="00944D01">
        <w:rPr>
          <w:rFonts w:ascii="Arial" w:hAnsi="Arial" w:cs="Arial"/>
          <w:sz w:val="24"/>
          <w:szCs w:val="24"/>
        </w:rPr>
        <w:t xml:space="preserve">. Available at: </w:t>
      </w:r>
      <w:hyperlink r:id="rId14" w:history="1">
        <w:r w:rsidRPr="00D16685">
          <w:rPr>
            <w:rStyle w:val="Hyperlink"/>
            <w:rFonts w:ascii="Arial" w:hAnsi="Arial" w:cs="Arial"/>
            <w:sz w:val="24"/>
            <w:szCs w:val="24"/>
          </w:rPr>
          <w:t>https://onstrategyhq.com/resources/pestle-analysis/</w:t>
        </w:r>
      </w:hyperlink>
      <w:r w:rsidRPr="00944D01">
        <w:rPr>
          <w:rFonts w:ascii="Arial" w:hAnsi="Arial" w:cs="Arial"/>
          <w:sz w:val="24"/>
          <w:szCs w:val="24"/>
        </w:rPr>
        <w:t>.</w:t>
      </w:r>
    </w:p>
    <w:p w14:paraId="2F86F4D1" w14:textId="77777777" w:rsidR="00944D01" w:rsidRDefault="00944D01" w:rsidP="00EE35D8">
      <w:pPr>
        <w:rPr>
          <w:rFonts w:ascii="Arial" w:hAnsi="Arial" w:cs="Arial"/>
          <w:sz w:val="24"/>
          <w:szCs w:val="24"/>
        </w:rPr>
      </w:pPr>
    </w:p>
    <w:p w14:paraId="5BCFF391" w14:textId="77777777" w:rsidR="00FB567F" w:rsidRDefault="00FB567F" w:rsidP="00FB567F"/>
    <w:p w14:paraId="03607C9A" w14:textId="77777777" w:rsidR="00FB567F" w:rsidRPr="00FB567F" w:rsidRDefault="00FB567F" w:rsidP="00FB567F"/>
    <w:sectPr w:rsidR="00FB567F" w:rsidRPr="00FB56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F619C5"/>
    <w:multiLevelType w:val="hybridMultilevel"/>
    <w:tmpl w:val="43CC63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40579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67F"/>
    <w:rsid w:val="00033F52"/>
    <w:rsid w:val="00057FC7"/>
    <w:rsid w:val="00062DD6"/>
    <w:rsid w:val="000A7984"/>
    <w:rsid w:val="000C70E9"/>
    <w:rsid w:val="000D5A79"/>
    <w:rsid w:val="00150571"/>
    <w:rsid w:val="001F3CA8"/>
    <w:rsid w:val="00257DE6"/>
    <w:rsid w:val="00316AF0"/>
    <w:rsid w:val="0033782F"/>
    <w:rsid w:val="00350A05"/>
    <w:rsid w:val="0036500C"/>
    <w:rsid w:val="003A521D"/>
    <w:rsid w:val="003B2EB1"/>
    <w:rsid w:val="004226EC"/>
    <w:rsid w:val="00432092"/>
    <w:rsid w:val="005D76D9"/>
    <w:rsid w:val="00604A93"/>
    <w:rsid w:val="00615CFA"/>
    <w:rsid w:val="006433D2"/>
    <w:rsid w:val="00691ED0"/>
    <w:rsid w:val="006B3627"/>
    <w:rsid w:val="00723381"/>
    <w:rsid w:val="007621EE"/>
    <w:rsid w:val="00781DB5"/>
    <w:rsid w:val="00790B81"/>
    <w:rsid w:val="00803ECA"/>
    <w:rsid w:val="0088605B"/>
    <w:rsid w:val="008A4000"/>
    <w:rsid w:val="008B741D"/>
    <w:rsid w:val="008E27BF"/>
    <w:rsid w:val="00941D64"/>
    <w:rsid w:val="00944D01"/>
    <w:rsid w:val="00951322"/>
    <w:rsid w:val="00990EE7"/>
    <w:rsid w:val="00A659D4"/>
    <w:rsid w:val="00A76A45"/>
    <w:rsid w:val="00A82F04"/>
    <w:rsid w:val="00AA3305"/>
    <w:rsid w:val="00AC1F6C"/>
    <w:rsid w:val="00B16D3C"/>
    <w:rsid w:val="00B713A2"/>
    <w:rsid w:val="00B81C33"/>
    <w:rsid w:val="00BB162C"/>
    <w:rsid w:val="00C030E7"/>
    <w:rsid w:val="00C60631"/>
    <w:rsid w:val="00C63D43"/>
    <w:rsid w:val="00CA1B3C"/>
    <w:rsid w:val="00CA3670"/>
    <w:rsid w:val="00CB549A"/>
    <w:rsid w:val="00D6420A"/>
    <w:rsid w:val="00EA1A3D"/>
    <w:rsid w:val="00EC66A2"/>
    <w:rsid w:val="00EE13AF"/>
    <w:rsid w:val="00EE35D8"/>
    <w:rsid w:val="00EF1BAF"/>
    <w:rsid w:val="00EF4F20"/>
    <w:rsid w:val="00F12D52"/>
    <w:rsid w:val="00F2318D"/>
    <w:rsid w:val="00F54B61"/>
    <w:rsid w:val="00FB2029"/>
    <w:rsid w:val="00FB567F"/>
    <w:rsid w:val="00FF7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ABAF5"/>
  <w15:chartTrackingRefBased/>
  <w15:docId w15:val="{EA6A4256-FC57-424B-A2EF-C8FF74926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A33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30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50571"/>
    <w:rPr>
      <w:color w:val="0563C1" w:themeColor="hyperlink"/>
      <w:u w:val="single"/>
    </w:rPr>
  </w:style>
  <w:style w:type="character" w:styleId="UnresolvedMention">
    <w:name w:val="Unresolved Mention"/>
    <w:basedOn w:val="DefaultParagraphFont"/>
    <w:uiPriority w:val="99"/>
    <w:semiHidden/>
    <w:unhideWhenUsed/>
    <w:rsid w:val="00150571"/>
    <w:rPr>
      <w:color w:val="605E5C"/>
      <w:shd w:val="clear" w:color="auto" w:fill="E1DFDD"/>
    </w:rPr>
  </w:style>
  <w:style w:type="character" w:styleId="FollowedHyperlink">
    <w:name w:val="FollowedHyperlink"/>
    <w:basedOn w:val="DefaultParagraphFont"/>
    <w:uiPriority w:val="99"/>
    <w:semiHidden/>
    <w:unhideWhenUsed/>
    <w:rsid w:val="00EF4F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26756">
      <w:bodyDiv w:val="1"/>
      <w:marLeft w:val="0"/>
      <w:marRight w:val="0"/>
      <w:marTop w:val="0"/>
      <w:marBottom w:val="0"/>
      <w:divBdr>
        <w:top w:val="none" w:sz="0" w:space="0" w:color="auto"/>
        <w:left w:val="none" w:sz="0" w:space="0" w:color="auto"/>
        <w:bottom w:val="none" w:sz="0" w:space="0" w:color="auto"/>
        <w:right w:val="none" w:sz="0" w:space="0" w:color="auto"/>
      </w:divBdr>
    </w:div>
    <w:div w:id="204760602">
      <w:bodyDiv w:val="1"/>
      <w:marLeft w:val="0"/>
      <w:marRight w:val="0"/>
      <w:marTop w:val="0"/>
      <w:marBottom w:val="0"/>
      <w:divBdr>
        <w:top w:val="none" w:sz="0" w:space="0" w:color="auto"/>
        <w:left w:val="none" w:sz="0" w:space="0" w:color="auto"/>
        <w:bottom w:val="none" w:sz="0" w:space="0" w:color="auto"/>
        <w:right w:val="none" w:sz="0" w:space="0" w:color="auto"/>
      </w:divBdr>
    </w:div>
    <w:div w:id="260182481">
      <w:bodyDiv w:val="1"/>
      <w:marLeft w:val="0"/>
      <w:marRight w:val="0"/>
      <w:marTop w:val="0"/>
      <w:marBottom w:val="0"/>
      <w:divBdr>
        <w:top w:val="none" w:sz="0" w:space="0" w:color="auto"/>
        <w:left w:val="none" w:sz="0" w:space="0" w:color="auto"/>
        <w:bottom w:val="none" w:sz="0" w:space="0" w:color="auto"/>
        <w:right w:val="none" w:sz="0" w:space="0" w:color="auto"/>
      </w:divBdr>
    </w:div>
    <w:div w:id="328214709">
      <w:bodyDiv w:val="1"/>
      <w:marLeft w:val="0"/>
      <w:marRight w:val="0"/>
      <w:marTop w:val="0"/>
      <w:marBottom w:val="0"/>
      <w:divBdr>
        <w:top w:val="none" w:sz="0" w:space="0" w:color="auto"/>
        <w:left w:val="none" w:sz="0" w:space="0" w:color="auto"/>
        <w:bottom w:val="none" w:sz="0" w:space="0" w:color="auto"/>
        <w:right w:val="none" w:sz="0" w:space="0" w:color="auto"/>
      </w:divBdr>
    </w:div>
    <w:div w:id="347416999">
      <w:bodyDiv w:val="1"/>
      <w:marLeft w:val="0"/>
      <w:marRight w:val="0"/>
      <w:marTop w:val="0"/>
      <w:marBottom w:val="0"/>
      <w:divBdr>
        <w:top w:val="none" w:sz="0" w:space="0" w:color="auto"/>
        <w:left w:val="none" w:sz="0" w:space="0" w:color="auto"/>
        <w:bottom w:val="none" w:sz="0" w:space="0" w:color="auto"/>
        <w:right w:val="none" w:sz="0" w:space="0" w:color="auto"/>
      </w:divBdr>
    </w:div>
    <w:div w:id="370691116">
      <w:bodyDiv w:val="1"/>
      <w:marLeft w:val="0"/>
      <w:marRight w:val="0"/>
      <w:marTop w:val="0"/>
      <w:marBottom w:val="0"/>
      <w:divBdr>
        <w:top w:val="none" w:sz="0" w:space="0" w:color="auto"/>
        <w:left w:val="none" w:sz="0" w:space="0" w:color="auto"/>
        <w:bottom w:val="none" w:sz="0" w:space="0" w:color="auto"/>
        <w:right w:val="none" w:sz="0" w:space="0" w:color="auto"/>
      </w:divBdr>
    </w:div>
    <w:div w:id="400368613">
      <w:bodyDiv w:val="1"/>
      <w:marLeft w:val="0"/>
      <w:marRight w:val="0"/>
      <w:marTop w:val="0"/>
      <w:marBottom w:val="0"/>
      <w:divBdr>
        <w:top w:val="none" w:sz="0" w:space="0" w:color="auto"/>
        <w:left w:val="none" w:sz="0" w:space="0" w:color="auto"/>
        <w:bottom w:val="none" w:sz="0" w:space="0" w:color="auto"/>
        <w:right w:val="none" w:sz="0" w:space="0" w:color="auto"/>
      </w:divBdr>
    </w:div>
    <w:div w:id="741877214">
      <w:bodyDiv w:val="1"/>
      <w:marLeft w:val="0"/>
      <w:marRight w:val="0"/>
      <w:marTop w:val="0"/>
      <w:marBottom w:val="0"/>
      <w:divBdr>
        <w:top w:val="none" w:sz="0" w:space="0" w:color="auto"/>
        <w:left w:val="none" w:sz="0" w:space="0" w:color="auto"/>
        <w:bottom w:val="none" w:sz="0" w:space="0" w:color="auto"/>
        <w:right w:val="none" w:sz="0" w:space="0" w:color="auto"/>
      </w:divBdr>
    </w:div>
    <w:div w:id="1104418248">
      <w:bodyDiv w:val="1"/>
      <w:marLeft w:val="0"/>
      <w:marRight w:val="0"/>
      <w:marTop w:val="0"/>
      <w:marBottom w:val="0"/>
      <w:divBdr>
        <w:top w:val="none" w:sz="0" w:space="0" w:color="auto"/>
        <w:left w:val="none" w:sz="0" w:space="0" w:color="auto"/>
        <w:bottom w:val="none" w:sz="0" w:space="0" w:color="auto"/>
        <w:right w:val="none" w:sz="0" w:space="0" w:color="auto"/>
      </w:divBdr>
      <w:divsChild>
        <w:div w:id="1950234598">
          <w:marLeft w:val="0"/>
          <w:marRight w:val="0"/>
          <w:marTop w:val="0"/>
          <w:marBottom w:val="0"/>
          <w:divBdr>
            <w:top w:val="none" w:sz="0" w:space="0" w:color="auto"/>
            <w:left w:val="none" w:sz="0" w:space="0" w:color="auto"/>
            <w:bottom w:val="none" w:sz="0" w:space="0" w:color="auto"/>
            <w:right w:val="none" w:sz="0" w:space="0" w:color="auto"/>
          </w:divBdr>
          <w:divsChild>
            <w:div w:id="1688093330">
              <w:marLeft w:val="0"/>
              <w:marRight w:val="0"/>
              <w:marTop w:val="0"/>
              <w:marBottom w:val="0"/>
              <w:divBdr>
                <w:top w:val="none" w:sz="0" w:space="0" w:color="auto"/>
                <w:left w:val="none" w:sz="0" w:space="0" w:color="auto"/>
                <w:bottom w:val="none" w:sz="0" w:space="0" w:color="auto"/>
                <w:right w:val="none" w:sz="0" w:space="0" w:color="auto"/>
              </w:divBdr>
              <w:divsChild>
                <w:div w:id="1596747623">
                  <w:marLeft w:val="0"/>
                  <w:marRight w:val="0"/>
                  <w:marTop w:val="0"/>
                  <w:marBottom w:val="0"/>
                  <w:divBdr>
                    <w:top w:val="none" w:sz="0" w:space="0" w:color="auto"/>
                    <w:left w:val="none" w:sz="0" w:space="0" w:color="auto"/>
                    <w:bottom w:val="none" w:sz="0" w:space="0" w:color="auto"/>
                    <w:right w:val="none" w:sz="0" w:space="0" w:color="auto"/>
                  </w:divBdr>
                  <w:divsChild>
                    <w:div w:id="163459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458325">
          <w:marLeft w:val="0"/>
          <w:marRight w:val="0"/>
          <w:marTop w:val="0"/>
          <w:marBottom w:val="0"/>
          <w:divBdr>
            <w:top w:val="none" w:sz="0" w:space="0" w:color="auto"/>
            <w:left w:val="none" w:sz="0" w:space="0" w:color="auto"/>
            <w:bottom w:val="none" w:sz="0" w:space="0" w:color="auto"/>
            <w:right w:val="none" w:sz="0" w:space="0" w:color="auto"/>
          </w:divBdr>
        </w:div>
      </w:divsChild>
    </w:div>
    <w:div w:id="1375156422">
      <w:bodyDiv w:val="1"/>
      <w:marLeft w:val="0"/>
      <w:marRight w:val="0"/>
      <w:marTop w:val="0"/>
      <w:marBottom w:val="0"/>
      <w:divBdr>
        <w:top w:val="none" w:sz="0" w:space="0" w:color="auto"/>
        <w:left w:val="none" w:sz="0" w:space="0" w:color="auto"/>
        <w:bottom w:val="none" w:sz="0" w:space="0" w:color="auto"/>
        <w:right w:val="none" w:sz="0" w:space="0" w:color="auto"/>
      </w:divBdr>
    </w:div>
    <w:div w:id="1590385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deas.ted.com/the-rise-of-the-useless-class/" TargetMode="External"/><Relationship Id="rId13" Type="http://schemas.openxmlformats.org/officeDocument/2006/relationships/hyperlink" Target="https://trailapp.com/blog/impact-brexit-hospitality" TargetMode="External"/><Relationship Id="rId3" Type="http://schemas.openxmlformats.org/officeDocument/2006/relationships/settings" Target="settings.xml"/><Relationship Id="rId7" Type="http://schemas.openxmlformats.org/officeDocument/2006/relationships/hyperlink" Target="https://doi.org/10.1080/1528008x.2022.2077886" TargetMode="External"/><Relationship Id="rId12" Type="http://schemas.openxmlformats.org/officeDocument/2006/relationships/hyperlink" Target="https://vtechworks.lib.vt.edu/handle/10919/7960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log.typsy.com/top-7-best-hospitality-training-ideas" TargetMode="External"/><Relationship Id="rId11" Type="http://schemas.openxmlformats.org/officeDocument/2006/relationships/hyperlink" Target="https://doi.org/10.22182/sp.12016.1" TargetMode="External"/><Relationship Id="rId5" Type="http://schemas.openxmlformats.org/officeDocument/2006/relationships/hyperlink" Target="https://global.oup.com/academic/product/business-research-methods-9780198869443?lang=en&amp;cc=zw" TargetMode="External"/><Relationship Id="rId15" Type="http://schemas.openxmlformats.org/officeDocument/2006/relationships/fontTable" Target="fontTable.xml"/><Relationship Id="rId10" Type="http://schemas.openxmlformats.org/officeDocument/2006/relationships/hyperlink" Target="https://harver.com/blog/hiring-hotel-staff/" TargetMode="External"/><Relationship Id="rId4" Type="http://schemas.openxmlformats.org/officeDocument/2006/relationships/webSettings" Target="webSettings.xml"/><Relationship Id="rId9" Type="http://schemas.openxmlformats.org/officeDocument/2006/relationships/hyperlink" Target="https://sevenrooms.com/en/blog/how-to-attract-and-retain-hospitality-staff/" TargetMode="External"/><Relationship Id="rId14" Type="http://schemas.openxmlformats.org/officeDocument/2006/relationships/hyperlink" Target="https://onstrategyhq.com/resources/pestl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11</Pages>
  <Words>2930</Words>
  <Characters>19681</Characters>
  <Application>Microsoft Office Word</Application>
  <DocSecurity>0</DocSecurity>
  <Lines>370</Lines>
  <Paragraphs>91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22518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7</cp:revision>
  <dcterms:created xsi:type="dcterms:W3CDTF">2023-06-12T16:04:00Z</dcterms:created>
  <dcterms:modified xsi:type="dcterms:W3CDTF">2023-06-16T15:20:00Z</dcterms:modified>
  <cp:category/>
</cp:coreProperties>
</file>