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A49FD" w:rsidRPr="00516BFB" w:rsidRDefault="00516BFB">
      <w:pPr>
        <w:rPr>
          <w:u w:val="single"/>
        </w:rPr>
      </w:pPr>
      <w:r>
        <w:rPr>
          <w:u w:val="single"/>
        </w:rPr>
        <w:t xml:space="preserve">Review of: </w:t>
      </w:r>
      <w:r w:rsidR="00A32B2C" w:rsidRPr="00516BFB">
        <w:rPr>
          <w:i/>
          <w:u w:val="single"/>
        </w:rPr>
        <w:t xml:space="preserve">Philip </w:t>
      </w:r>
      <w:r w:rsidR="000D7EB0" w:rsidRPr="00516BFB">
        <w:rPr>
          <w:i/>
          <w:u w:val="single"/>
        </w:rPr>
        <w:t xml:space="preserve">II </w:t>
      </w:r>
      <w:r w:rsidR="00A32B2C" w:rsidRPr="00516BFB">
        <w:rPr>
          <w:i/>
          <w:u w:val="single"/>
        </w:rPr>
        <w:t>of Macedon</w:t>
      </w:r>
      <w:r w:rsidR="000D7EB0" w:rsidRPr="00516BFB">
        <w:rPr>
          <w:i/>
          <w:u w:val="single"/>
        </w:rPr>
        <w:t>: Greater than Alexander</w:t>
      </w:r>
    </w:p>
    <w:p w:rsidR="00A32B2C" w:rsidRDefault="00A32B2C"/>
    <w:p w:rsidR="00A32B2C" w:rsidRDefault="001173C8">
      <w:r>
        <w:t xml:space="preserve">In this book, Gabriel, an author with considerable experience in the American military, </w:t>
      </w:r>
      <w:r w:rsidR="007A06CA">
        <w:t>provides an account of the life of Philip, focussing upon his military strategies, and his importance</w:t>
      </w:r>
      <w:r w:rsidR="00182D43">
        <w:t xml:space="preserve"> to history</w:t>
      </w:r>
      <w:r w:rsidR="007A06CA">
        <w:t>.</w:t>
      </w:r>
      <w:r w:rsidR="007A06CA">
        <w:rPr>
          <w:rStyle w:val="FootnoteReference"/>
        </w:rPr>
        <w:footnoteReference w:id="1"/>
      </w:r>
      <w:r w:rsidR="00B55435">
        <w:t xml:space="preserve"> The point of this book is </w:t>
      </w:r>
      <w:r w:rsidR="00516BFB">
        <w:t>misleading</w:t>
      </w:r>
      <w:r w:rsidR="00B55435">
        <w:t xml:space="preserve"> in the title, </w:t>
      </w:r>
      <w:r w:rsidR="00516BFB">
        <w:t>as the main purpose is Philip’s greatness, with little attention given to Alexander</w:t>
      </w:r>
      <w:r w:rsidR="00B55435">
        <w:t>; Philip’s greatness is what Gabriel argues to the reader. Not only seeking to contrast Philip to Alexander, Gabriel also seeks to show how Philip organised</w:t>
      </w:r>
      <w:r w:rsidR="00182D43">
        <w:t xml:space="preserve"> his country, </w:t>
      </w:r>
      <w:r w:rsidR="00B55435">
        <w:t>took hegemony over the Southern Greeks</w:t>
      </w:r>
      <w:r w:rsidR="00182D43">
        <w:t>, and expanded his kingdom</w:t>
      </w:r>
      <w:r w:rsidR="00B55435">
        <w:t>.</w:t>
      </w:r>
      <w:r w:rsidR="00DD3071">
        <w:rPr>
          <w:rStyle w:val="FootnoteReference"/>
        </w:rPr>
        <w:footnoteReference w:id="2"/>
      </w:r>
      <w:r w:rsidR="00E03C15">
        <w:t xml:space="preserve"> </w:t>
      </w:r>
      <w:r w:rsidR="00DD3071">
        <w:t xml:space="preserve">Although modern scholarship now is keen to highlight the military achievements of Philip, this work by Gabriel and its theme for </w:t>
      </w:r>
      <w:r w:rsidR="00516BFB">
        <w:t>h</w:t>
      </w:r>
      <w:r w:rsidR="00DD3071">
        <w:t>is contemporaries was innovative.</w:t>
      </w:r>
      <w:r w:rsidR="00DD3071">
        <w:rPr>
          <w:rStyle w:val="FootnoteReference"/>
        </w:rPr>
        <w:footnoteReference w:id="3"/>
      </w:r>
      <w:r w:rsidR="00DD3071">
        <w:t xml:space="preserve"> </w:t>
      </w:r>
      <w:r w:rsidR="00E03C15">
        <w:t>To prove this, Gabriel’s argument focuses on Philip’s military and—to a lesser extent—diplomatic prowess over these opponents Philip is often compared to.</w:t>
      </w:r>
      <w:r w:rsidR="00DD3071">
        <w:rPr>
          <w:rStyle w:val="FootnoteReference"/>
        </w:rPr>
        <w:footnoteReference w:id="4"/>
      </w:r>
      <w:r w:rsidR="00E03C15">
        <w:t xml:space="preserve"> This review is easily accessible to anyone with an interest in military history, and to the general unacademic reader</w:t>
      </w:r>
      <w:r w:rsidR="00020CA1">
        <w:t>.</w:t>
      </w:r>
      <w:r w:rsidR="00DD3071">
        <w:rPr>
          <w:rStyle w:val="FootnoteReference"/>
        </w:rPr>
        <w:footnoteReference w:id="5"/>
      </w:r>
      <w:r w:rsidR="00020CA1">
        <w:t xml:space="preserve"> However, this text does not </w:t>
      </w:r>
      <w:r w:rsidR="003C2E62">
        <w:t xml:space="preserve">often </w:t>
      </w:r>
      <w:r w:rsidR="00020CA1">
        <w:t xml:space="preserve">challenge—or even sometimes divulge—the sources and scholars </w:t>
      </w:r>
      <w:r w:rsidR="0077378A">
        <w:t xml:space="preserve">from which </w:t>
      </w:r>
      <w:r w:rsidR="00020CA1">
        <w:t>Gabriel is drawin</w:t>
      </w:r>
      <w:r w:rsidR="0077378A">
        <w:t>g informati</w:t>
      </w:r>
      <w:r w:rsidR="00182D43">
        <w:t>on, making this book more difficult to use in an academic sense</w:t>
      </w:r>
      <w:r w:rsidR="00020CA1">
        <w:t>.</w:t>
      </w:r>
      <w:r w:rsidR="00DD3071">
        <w:rPr>
          <w:rStyle w:val="FootnoteReference"/>
        </w:rPr>
        <w:footnoteReference w:id="6"/>
      </w:r>
      <w:r w:rsidR="00DD3071">
        <w:t xml:space="preserve"> </w:t>
      </w:r>
      <w:r w:rsidR="00516BFB">
        <w:t>Therefore while clearly Gabriel has read many sources and scholars, he does not include many contrasting ideas or discussions in the main text, and he does seem to sparsely consult any archaeological evidence.</w:t>
      </w:r>
      <w:r w:rsidR="00516BFB">
        <w:rPr>
          <w:rStyle w:val="FootnoteReference"/>
        </w:rPr>
        <w:footnoteReference w:id="7"/>
      </w:r>
    </w:p>
    <w:p w:rsidR="00182D43" w:rsidRDefault="00182D43">
      <w:r>
        <w:t>In the first chapter, Gabriel describes the personal life of Philip, his wives, wounds, personality, and early life. Gabriel begins with a literary scene of Philip II, macabrely dancing upon dead soldiers.</w:t>
      </w:r>
      <w:r>
        <w:rPr>
          <w:rStyle w:val="FootnoteReference"/>
        </w:rPr>
        <w:footnoteReference w:id="8"/>
      </w:r>
      <w:r>
        <w:t xml:space="preserve"> While attested</w:t>
      </w:r>
      <w:r w:rsidR="003C2E62">
        <w:t xml:space="preserve"> to</w:t>
      </w:r>
      <w:r>
        <w:t xml:space="preserve"> in ancient sources, this image is mainly put at the beginning of this book to evoke interest in the reader.</w:t>
      </w:r>
      <w:r>
        <w:rPr>
          <w:rStyle w:val="FootnoteReference"/>
        </w:rPr>
        <w:footnoteReference w:id="9"/>
      </w:r>
      <w:r>
        <w:t xml:space="preserve"> While Gabriel acknowledges in the notes that there is a compelling argument by Hammond that this scene did not occur, Gabriel leaves this debate out of his narrative.</w:t>
      </w:r>
      <w:r>
        <w:rPr>
          <w:rStyle w:val="FootnoteReference"/>
        </w:rPr>
        <w:footnoteReference w:id="10"/>
      </w:r>
      <w:r w:rsidR="00EE02B1">
        <w:t xml:space="preserve"> Gabriel describes with reasonable detail the events that made Philip the king that he was, and accurately relates that no ancient author has not attempted to show Philip in an unbiased way.</w:t>
      </w:r>
      <w:r w:rsidR="00EE02B1">
        <w:rPr>
          <w:rStyle w:val="FootnoteReference"/>
        </w:rPr>
        <w:footnoteReference w:id="11"/>
      </w:r>
      <w:r w:rsidR="00EE02B1">
        <w:t xml:space="preserve"> While this chapter serves as a good introduction for Gabriel’s point, he makes several assumptions based upon the ancient sources he himself claims were biased, like Philip’s speaking ability.</w:t>
      </w:r>
      <w:r w:rsidR="00EE02B1">
        <w:rPr>
          <w:rStyle w:val="FootnoteReference"/>
        </w:rPr>
        <w:footnoteReference w:id="12"/>
      </w:r>
      <w:r w:rsidR="00F50029">
        <w:t xml:space="preserve"> This chapter sets up the true purpose of this book, which is to provide a biography on Philip II.</w:t>
      </w:r>
      <w:r w:rsidR="00F368E2">
        <w:t xml:space="preserve"> </w:t>
      </w:r>
    </w:p>
    <w:p w:rsidR="00CE75B1" w:rsidRDefault="00CE75B1">
      <w:r>
        <w:t>Chapter two discusses the resources of Macedonia. Gabriel highlights its naturally high fertility, and its subsequently large population.</w:t>
      </w:r>
      <w:r w:rsidR="0077378A">
        <w:rPr>
          <w:rStyle w:val="FootnoteReference"/>
        </w:rPr>
        <w:footnoteReference w:id="13"/>
      </w:r>
      <w:r>
        <w:t xml:space="preserve"> He also mentions several other</w:t>
      </w:r>
      <w:r w:rsidR="0077378A">
        <w:t xml:space="preserve"> aspects like its mineral wealth and timber.</w:t>
      </w:r>
      <w:r w:rsidR="0077378A">
        <w:rPr>
          <w:rStyle w:val="FootnoteReference"/>
        </w:rPr>
        <w:footnoteReference w:id="14"/>
      </w:r>
      <w:r>
        <w:t xml:space="preserve"> </w:t>
      </w:r>
      <w:r w:rsidR="0077378A">
        <w:t xml:space="preserve">Although bold, Gabriel’s statement that Macedon was the wealthiest region of Greece, </w:t>
      </w:r>
      <w:r w:rsidR="003C2E62">
        <w:t>it</w:t>
      </w:r>
      <w:r w:rsidR="0077378A">
        <w:t xml:space="preserve"> is supported by Borza, who </w:t>
      </w:r>
      <w:r w:rsidR="003C2E62">
        <w:t xml:space="preserve">also </w:t>
      </w:r>
      <w:r w:rsidR="0077378A">
        <w:t>proclaims Macedon’s great mineral wealth and arable lands.</w:t>
      </w:r>
      <w:r w:rsidR="0077378A">
        <w:rPr>
          <w:rStyle w:val="FootnoteReference"/>
        </w:rPr>
        <w:footnoteReference w:id="15"/>
      </w:r>
      <w:r w:rsidR="0077378A">
        <w:t xml:space="preserve"> Gabriel highlights well the differences between Macedon and more southern states, with </w:t>
      </w:r>
      <w:r w:rsidR="003C2E62">
        <w:t>its</w:t>
      </w:r>
      <w:r w:rsidR="0077378A">
        <w:t xml:space="preserve"> absence </w:t>
      </w:r>
      <w:r w:rsidR="0077378A">
        <w:lastRenderedPageBreak/>
        <w:t>of slavery.</w:t>
      </w:r>
      <w:r w:rsidR="0077378A">
        <w:rPr>
          <w:rStyle w:val="FootnoteReference"/>
        </w:rPr>
        <w:footnoteReference w:id="16"/>
      </w:r>
      <w:r w:rsidR="0077378A">
        <w:t xml:space="preserve"> Most of this chapter serves as a useful background going forward in this book before establishing a narrative of Philip. This allows any reader to </w:t>
      </w:r>
      <w:r w:rsidR="00EE02B1">
        <w:t xml:space="preserve">both </w:t>
      </w:r>
      <w:r w:rsidR="0077378A">
        <w:t>understand the background of Philip II</w:t>
      </w:r>
      <w:r w:rsidR="00EE02B1">
        <w:t>,</w:t>
      </w:r>
      <w:r w:rsidR="0077378A">
        <w:t xml:space="preserve"> and the threats that he will overcome in the rest of the book.</w:t>
      </w:r>
    </w:p>
    <w:p w:rsidR="00C80E5F" w:rsidRDefault="00C80E5F">
      <w:r>
        <w:t>Throughout chapter three, Gabriel exclusively investigates the military institutions of Macedon under Philip. Gabriel attributes many military reforms to Philip, who subsequently</w:t>
      </w:r>
      <w:r w:rsidR="00C879E0">
        <w:t xml:space="preserve"> claims that before Philip, Macedon’s infantry was nothing more than gangs of peasants.</w:t>
      </w:r>
      <w:r w:rsidR="00C879E0">
        <w:rPr>
          <w:rStyle w:val="FootnoteReference"/>
        </w:rPr>
        <w:footnoteReference w:id="17"/>
      </w:r>
      <w:r w:rsidR="00C879E0">
        <w:t xml:space="preserve"> While Philip’s reforms are attested as incredibly important, Gabriel vastly understates Philip’s starting point, as Thucydides says that Archelaus advanced Macedon’s heavy infantry and other war tools significantly.</w:t>
      </w:r>
      <w:r w:rsidR="00C879E0">
        <w:rPr>
          <w:rStyle w:val="FootnoteReference"/>
        </w:rPr>
        <w:footnoteReference w:id="18"/>
      </w:r>
      <w:r w:rsidR="00C879E0">
        <w:t xml:space="preserve"> However, concerning the Macedonian phalanx</w:t>
      </w:r>
      <w:r w:rsidR="003C2E62">
        <w:t>,</w:t>
      </w:r>
      <w:r w:rsidR="00C879E0">
        <w:t xml:space="preserve"> Gabriel succinctly and effectively describes to the reader the workings of the Macedonian phalanx, which was a crucial element of Philip’s successes later on</w:t>
      </w:r>
      <w:r w:rsidR="003C2E62">
        <w:t>,</w:t>
      </w:r>
      <w:r w:rsidR="00C879E0">
        <w:t xml:space="preserve"> and therefore the early description of this is most useful to any inexperienced historians.</w:t>
      </w:r>
      <w:r w:rsidR="00C879E0">
        <w:rPr>
          <w:rStyle w:val="FootnoteReference"/>
        </w:rPr>
        <w:footnoteReference w:id="19"/>
      </w:r>
      <w:r w:rsidR="00C879E0">
        <w:t xml:space="preserve"> Gabriel also comments on the effectiveness and prioritization of the Macedonian cavalry in Philip’s army, unlike King, who does not go into great detail.</w:t>
      </w:r>
      <w:r w:rsidR="00C879E0">
        <w:rPr>
          <w:rStyle w:val="FootnoteReference"/>
        </w:rPr>
        <w:footnoteReference w:id="20"/>
      </w:r>
      <w:r w:rsidR="00C879E0">
        <w:t xml:space="preserve">  </w:t>
      </w:r>
    </w:p>
    <w:p w:rsidR="000F07A8" w:rsidRDefault="000F07A8">
      <w:r>
        <w:t>In the fourth chapter, Gabriel discusses Philip’s exploits at the beginning of his reign, although Gabriel emphasises that Philip did act as regent during some of this time</w:t>
      </w:r>
      <w:r w:rsidR="00381663">
        <w:t>, which continues into chapter five</w:t>
      </w:r>
      <w:r>
        <w:t>.</w:t>
      </w:r>
      <w:r>
        <w:rPr>
          <w:rStyle w:val="FootnoteReference"/>
        </w:rPr>
        <w:footnoteReference w:id="21"/>
      </w:r>
      <w:r>
        <w:t xml:space="preserve"> Throughout this section Gabriel is keen to emphasise Philip’s calculating nature and will to act, which seems to be the driving force behind his arguments. The primary argument of this chapter is well laid out in the introduction, with Macedon being in tatters, and Philip smartly unifying and expanding his borders.</w:t>
      </w:r>
      <w:r>
        <w:rPr>
          <w:rStyle w:val="FootnoteReference"/>
        </w:rPr>
        <w:footnoteReference w:id="22"/>
      </w:r>
      <w:r>
        <w:t xml:space="preserve"> </w:t>
      </w:r>
      <w:r w:rsidR="00F368E2">
        <w:t>This dangerous time for Macedon is attested in similar content in Fox’s later</w:t>
      </w:r>
      <w:r w:rsidR="003C2E62">
        <w:t>—published in 2015—</w:t>
      </w:r>
      <w:r w:rsidR="00F368E2">
        <w:t xml:space="preserve">introductory paragraph to Philip, although Gabriel is able to more strongly stress the overwhelming </w:t>
      </w:r>
      <w:r w:rsidR="003C2E62">
        <w:t>problems</w:t>
      </w:r>
      <w:r w:rsidR="00F368E2">
        <w:t xml:space="preserve"> for Macedon.</w:t>
      </w:r>
      <w:r w:rsidR="00F368E2">
        <w:rPr>
          <w:rStyle w:val="FootnoteReference"/>
        </w:rPr>
        <w:footnoteReference w:id="23"/>
      </w:r>
      <w:r w:rsidR="00F368E2">
        <w:t xml:space="preserve"> </w:t>
      </w:r>
      <w:r>
        <w:t>While Gabriel relies heavily on ancient sources, it is clear that at times he focuses on Diodorus overtly, and is rarely critical of th</w:t>
      </w:r>
      <w:r w:rsidR="007E1C97">
        <w:t>i</w:t>
      </w:r>
      <w:r>
        <w:t>s source, which may affect the accuracy of his narrative.</w:t>
      </w:r>
      <w:r>
        <w:rPr>
          <w:rStyle w:val="FootnoteReference"/>
        </w:rPr>
        <w:footnoteReference w:id="24"/>
      </w:r>
      <w:r w:rsidR="007E1C97">
        <w:t xml:space="preserve"> Gabriel mentions keenly the important elements identified by Diodorus, like the mines of Philippi, and the timber supplies of Macedon, although does not perceive the utilisation of</w:t>
      </w:r>
      <w:r w:rsidR="003C2E62">
        <w:t xml:space="preserve"> some of</w:t>
      </w:r>
      <w:r w:rsidR="007E1C97">
        <w:t xml:space="preserve"> these resources in the same way as a more thorough</w:t>
      </w:r>
      <w:r w:rsidR="003C2E62">
        <w:t>,</w:t>
      </w:r>
      <w:r w:rsidR="007E1C97">
        <w:t xml:space="preserve"> contemporary viewpoint, perhaps due to his focus upon other aspects of history.</w:t>
      </w:r>
      <w:r w:rsidR="007E1C97">
        <w:rPr>
          <w:rStyle w:val="FootnoteReference"/>
        </w:rPr>
        <w:footnoteReference w:id="25"/>
      </w:r>
      <w:r w:rsidR="00381663">
        <w:t xml:space="preserve"> As such, Gabriel’s focus upon warfare provides useful perspectives </w:t>
      </w:r>
      <w:r w:rsidR="003C2E62">
        <w:t>for this period to</w:t>
      </w:r>
      <w:r w:rsidR="00381663">
        <w:t xml:space="preserve"> any military historian, and his simplified narrative of the period allows for general readership. Gabriel uniquely has placed focus on Philip’s interest with the seaboard, with Macedon’s naval interests often </w:t>
      </w:r>
      <w:r w:rsidR="003C2E62">
        <w:t>underplaye</w:t>
      </w:r>
      <w:r w:rsidR="00381663">
        <w:t>d by scholars.</w:t>
      </w:r>
      <w:r w:rsidR="00381663">
        <w:rPr>
          <w:rStyle w:val="FootnoteReference"/>
        </w:rPr>
        <w:footnoteReference w:id="26"/>
      </w:r>
    </w:p>
    <w:p w:rsidR="00381663" w:rsidRDefault="00381663">
      <w:r>
        <w:t>During chapter 5, Gabriel emphasises the importance and power of Thessaly, and the ways in which Philip came into Southern Greek affairs. Gabriel sets this aside</w:t>
      </w:r>
      <w:r w:rsidR="00BB245F">
        <w:t xml:space="preserve"> as a separate chapter</w:t>
      </w:r>
      <w:r>
        <w:t xml:space="preserve"> from </w:t>
      </w:r>
      <w:r w:rsidR="00BB245F">
        <w:t xml:space="preserve">the </w:t>
      </w:r>
      <w:r>
        <w:t>more northern conflicts</w:t>
      </w:r>
      <w:r w:rsidR="00BB245F">
        <w:t>,</w:t>
      </w:r>
      <w:r>
        <w:t xml:space="preserve"> due to his narrative in this case displaying Philip’s almost benevolent diploma</w:t>
      </w:r>
      <w:r w:rsidR="003C2E62">
        <w:t>ti</w:t>
      </w:r>
      <w:r>
        <w:t>c</w:t>
      </w:r>
      <w:r w:rsidR="003C2E62">
        <w:t xml:space="preserve"> relations</w:t>
      </w:r>
      <w:r>
        <w:t xml:space="preserve"> towards the Thessalians</w:t>
      </w:r>
      <w:r w:rsidR="00BB245F">
        <w:t xml:space="preserve">. However, this image that Gabriel accentuates seems contradictory, as on the very same page </w:t>
      </w:r>
      <w:r w:rsidR="00C80E5F">
        <w:t xml:space="preserve">while </w:t>
      </w:r>
      <w:r w:rsidR="00BB245F">
        <w:t>Philip is winning hearts and minds</w:t>
      </w:r>
      <w:r w:rsidR="00C80E5F">
        <w:t>, he is</w:t>
      </w:r>
      <w:r w:rsidR="00BB245F">
        <w:t xml:space="preserve"> also banishing and selling into slavery the Thessalians that stood against him.</w:t>
      </w:r>
      <w:r w:rsidR="00BB245F">
        <w:rPr>
          <w:rStyle w:val="FootnoteReference"/>
        </w:rPr>
        <w:footnoteReference w:id="27"/>
      </w:r>
      <w:r w:rsidR="00BB245F">
        <w:t xml:space="preserve"> Gabriel’s descriptions and </w:t>
      </w:r>
      <w:r w:rsidR="00BB245F">
        <w:lastRenderedPageBreak/>
        <w:t xml:space="preserve">reasonings of the battles that occur are insightful and seem to be in keeping with most scholarly opinions, as Gabriel is keen to highlight that </w:t>
      </w:r>
      <w:proofErr w:type="spellStart"/>
      <w:r w:rsidR="00BB245F">
        <w:t>Onomarchus</w:t>
      </w:r>
      <w:proofErr w:type="spellEnd"/>
      <w:r w:rsidR="00BB245F">
        <w:t>’ victories were sophisticated, and Philip gains valuable experience from them.</w:t>
      </w:r>
      <w:r w:rsidR="00BB245F">
        <w:rPr>
          <w:rStyle w:val="FootnoteReference"/>
        </w:rPr>
        <w:footnoteReference w:id="28"/>
      </w:r>
      <w:r w:rsidR="00BB245F">
        <w:t xml:space="preserve"> However, Gabriel does seem to downplay the events, </w:t>
      </w:r>
      <w:r w:rsidR="008D0787">
        <w:t>suggesting</w:t>
      </w:r>
      <w:r w:rsidR="00BB245F">
        <w:t xml:space="preserve"> that it may have been only one defeat.</w:t>
      </w:r>
      <w:r w:rsidR="008D0787">
        <w:rPr>
          <w:rStyle w:val="FootnoteReference"/>
        </w:rPr>
        <w:footnoteReference w:id="29"/>
      </w:r>
      <w:r w:rsidR="008D0787">
        <w:t xml:space="preserve"> This is unusual, as King and others mention two defeats, but do not delve into the events in as much detail as Gabriel.</w:t>
      </w:r>
      <w:r w:rsidR="008D0787">
        <w:rPr>
          <w:rStyle w:val="FootnoteReference"/>
        </w:rPr>
        <w:footnoteReference w:id="30"/>
      </w:r>
      <w:r w:rsidR="00DD11F4">
        <w:t xml:space="preserve"> The Battle of the Crocus Field is focussed </w:t>
      </w:r>
      <w:r w:rsidR="003C2E62">
        <w:t>up</w:t>
      </w:r>
      <w:r w:rsidR="00DD11F4">
        <w:t>on heavily in this chapter, marking Philip’s reassertion of power, which restored morale, which agrees with Worthington’s description of Philip’s army’s morale at this point.</w:t>
      </w:r>
      <w:r w:rsidR="00DD11F4">
        <w:rPr>
          <w:rStyle w:val="FootnoteReference"/>
        </w:rPr>
        <w:footnoteReference w:id="31"/>
      </w:r>
      <w:r w:rsidR="00DD11F4">
        <w:t xml:space="preserve"> In contrast to Worthington, Gabriel suggests that Philip’s attempt to breach Thermopylae was not a serious one, intended only to satisfy his allies.</w:t>
      </w:r>
      <w:r w:rsidR="00DD11F4">
        <w:rPr>
          <w:rStyle w:val="FootnoteReference"/>
        </w:rPr>
        <w:footnoteReference w:id="32"/>
      </w:r>
      <w:r w:rsidR="00DD11F4">
        <w:t xml:space="preserve"> This point is argued well, although it does neatly fit Gabriel’s theme of Philip’s genius and is never suggested by any ancient sources.</w:t>
      </w:r>
      <w:r w:rsidR="00DD11F4">
        <w:rPr>
          <w:rStyle w:val="FootnoteReference"/>
        </w:rPr>
        <w:footnoteReference w:id="33"/>
      </w:r>
      <w:r w:rsidR="00DD11F4">
        <w:t xml:space="preserve"> This also contrasts to the more modern work of King, which simply suggests Philip intended to march through, but was thwarted by an Athenian defence.</w:t>
      </w:r>
      <w:r w:rsidR="00DD11F4">
        <w:rPr>
          <w:rStyle w:val="FootnoteReference"/>
        </w:rPr>
        <w:footnoteReference w:id="34"/>
      </w:r>
    </w:p>
    <w:p w:rsidR="009F5671" w:rsidRDefault="002801E8">
      <w:r>
        <w:t>In chapter 6 Gabriel displays Philip as triumphant from his victory in the south, and therefore able to stabilise and assert his power in his lands</w:t>
      </w:r>
      <w:r w:rsidR="000949B6">
        <w:t>, whilst expanding Westward and Eastward</w:t>
      </w:r>
      <w:r>
        <w:t>. This may be an attempt to set him away from Alexander who is sometimes displayed as reckless and rushed, and who Gabriel mentions rarely in these sections.</w:t>
      </w:r>
      <w:r>
        <w:rPr>
          <w:rStyle w:val="FootnoteReference"/>
        </w:rPr>
        <w:footnoteReference w:id="35"/>
      </w:r>
      <w:r>
        <w:t xml:space="preserve"> Rather than elements of luck, Gabriel portrays Philip as exploiting the volatile situation in the East purposefully.</w:t>
      </w:r>
      <w:r>
        <w:rPr>
          <w:rStyle w:val="FootnoteReference"/>
        </w:rPr>
        <w:footnoteReference w:id="36"/>
      </w:r>
      <w:r>
        <w:t xml:space="preserve"> During Gabriel’s account of the less-recorded parts of Philip’s campaign, </w:t>
      </w:r>
      <w:r w:rsidR="000949B6">
        <w:t>he mentions frustration</w:t>
      </w:r>
      <w:r w:rsidR="003C2E62">
        <w:t xml:space="preserve"> about this</w:t>
      </w:r>
      <w:r w:rsidR="000949B6">
        <w:t xml:space="preserve">, </w:t>
      </w:r>
      <w:r w:rsidR="003C2E62">
        <w:t xml:space="preserve">in </w:t>
      </w:r>
      <w:r w:rsidR="000949B6">
        <w:t>which</w:t>
      </w:r>
      <w:r w:rsidR="003C2E62">
        <w:t xml:space="preserve"> he</w:t>
      </w:r>
      <w:r w:rsidR="000949B6">
        <w:t xml:space="preserve"> acknowledges the gaps </w:t>
      </w:r>
      <w:r w:rsidR="003C2E62">
        <w:t>of</w:t>
      </w:r>
      <w:r w:rsidR="000949B6">
        <w:t xml:space="preserve"> knowledge</w:t>
      </w:r>
      <w:r w:rsidR="003C2E62">
        <w:t xml:space="preserve"> that</w:t>
      </w:r>
      <w:r w:rsidR="000949B6">
        <w:t xml:space="preserve"> scholarship has about Philip II’s actions in theatres further away from Athens.</w:t>
      </w:r>
      <w:r w:rsidR="000949B6">
        <w:rPr>
          <w:rStyle w:val="FootnoteReference"/>
        </w:rPr>
        <w:footnoteReference w:id="37"/>
      </w:r>
      <w:r w:rsidR="000949B6">
        <w:t xml:space="preserve"> </w:t>
      </w:r>
      <w:r w:rsidR="00E749C8">
        <w:t xml:space="preserve">Gabriel recognizes this cluelessness specifically when reasoning why Philip attacked Epirus, only speculating that it was due to his defeat by </w:t>
      </w:r>
      <w:proofErr w:type="spellStart"/>
      <w:r w:rsidR="00E749C8">
        <w:t>Onomarchus</w:t>
      </w:r>
      <w:proofErr w:type="spellEnd"/>
      <w:r w:rsidR="00E749C8">
        <w:t xml:space="preserve">, while </w:t>
      </w:r>
      <w:r w:rsidR="00896D65">
        <w:t xml:space="preserve">conversely </w:t>
      </w:r>
      <w:r w:rsidR="00E749C8">
        <w:t>King speculates aggression was derived from Philip’s recent illness.</w:t>
      </w:r>
      <w:r w:rsidR="00E749C8">
        <w:rPr>
          <w:rStyle w:val="FootnoteReference"/>
        </w:rPr>
        <w:footnoteReference w:id="38"/>
      </w:r>
      <w:r w:rsidR="00896D65">
        <w:t xml:space="preserve"> Gabriel suggests in this chapter that Philip’s war with Olynthus was due to their contact with Athens which was against their treaty. King echoes Gabriel’s sentiments that Philip was worried about Olynthus’ potential to attempt to depose him with one of his relatives who resided there.</w:t>
      </w:r>
      <w:r w:rsidR="00896D65">
        <w:rPr>
          <w:rStyle w:val="FootnoteReference"/>
        </w:rPr>
        <w:footnoteReference w:id="39"/>
      </w:r>
      <w:r w:rsidR="00896D65">
        <w:t xml:space="preserve"> Gabriel’s suggestion that Philip moved into Thessaly to put down the revolt due to fears it might allow Phocis to become powerful in the region agai</w:t>
      </w:r>
      <w:r w:rsidR="003665B4">
        <w:t xml:space="preserve">n are different to Worthington’s who sees the revolt of </w:t>
      </w:r>
      <w:proofErr w:type="spellStart"/>
      <w:r w:rsidR="003665B4">
        <w:t>Pherae</w:t>
      </w:r>
      <w:proofErr w:type="spellEnd"/>
      <w:r w:rsidR="003665B4">
        <w:t xml:space="preserve"> enough to warrant Philip’s actions.</w:t>
      </w:r>
      <w:r w:rsidR="003665B4">
        <w:rPr>
          <w:rStyle w:val="FootnoteReference"/>
        </w:rPr>
        <w:footnoteReference w:id="40"/>
      </w:r>
      <w:r w:rsidR="00A13D9C">
        <w:t xml:space="preserve"> </w:t>
      </w:r>
    </w:p>
    <w:p w:rsidR="002801E8" w:rsidRDefault="00A13D9C">
      <w:r>
        <w:t>Looking at grand strategy, Gabriel argues that rather than simply to frustrate or weaken Athens, Philip’s attempts to control Chalcis were a more direct way to threaten the polis of Athens itself.</w:t>
      </w:r>
      <w:r>
        <w:rPr>
          <w:rStyle w:val="FootnoteReference"/>
        </w:rPr>
        <w:footnoteReference w:id="41"/>
      </w:r>
      <w:r>
        <w:t xml:space="preserve"> This required naval capacity, which is rarely mentioned in terms of Macedon.</w:t>
      </w:r>
      <w:r>
        <w:rPr>
          <w:rStyle w:val="FootnoteReference"/>
        </w:rPr>
        <w:footnoteReference w:id="42"/>
      </w:r>
      <w:r>
        <w:t xml:space="preserve"> Gabriel again stresses the abilities and presence of the Macedonian navy, who were successfully raiding important ports and able to threaten Olynthus’ trade.</w:t>
      </w:r>
      <w:r>
        <w:rPr>
          <w:rStyle w:val="FootnoteReference"/>
        </w:rPr>
        <w:footnoteReference w:id="43"/>
      </w:r>
      <w:r w:rsidR="00623EBB">
        <w:t xml:space="preserve"> </w:t>
      </w:r>
      <w:r>
        <w:t xml:space="preserve">This starkly contrasts to King’s more modern view that </w:t>
      </w:r>
      <w:r>
        <w:lastRenderedPageBreak/>
        <w:t>Macedon’s navy ‘could not stand up in a naval battle of any size’.</w:t>
      </w:r>
      <w:r>
        <w:rPr>
          <w:rStyle w:val="FootnoteReference"/>
        </w:rPr>
        <w:footnoteReference w:id="44"/>
      </w:r>
      <w:r w:rsidR="00434136">
        <w:t xml:space="preserve"> King’s views are based on Macedonian setbacks in the Aegean that did occur, but against massive naval powers</w:t>
      </w:r>
      <w:r w:rsidR="00FD2135">
        <w:t>.</w:t>
      </w:r>
      <w:r w:rsidR="00FD2135">
        <w:rPr>
          <w:rStyle w:val="FootnoteReference"/>
        </w:rPr>
        <w:footnoteReference w:id="45"/>
      </w:r>
      <w:r w:rsidR="00434136">
        <w:t xml:space="preserve"> and while the Macedonian navy may not have been the dominating force</w:t>
      </w:r>
      <w:r w:rsidR="00FD2135">
        <w:t>,</w:t>
      </w:r>
      <w:r w:rsidR="00434136">
        <w:t xml:space="preserve"> Gabriel’s perception that the ability to raid ships and ports seems more accurate and reasonable than King’s suggestion that Macedon had no effective presence on the water at this point.</w:t>
      </w:r>
      <w:r w:rsidR="00434136">
        <w:rPr>
          <w:rStyle w:val="FootnoteReference"/>
        </w:rPr>
        <w:footnoteReference w:id="46"/>
      </w:r>
      <w:r w:rsidR="00434136">
        <w:t xml:space="preserve"> Gabriel engages with ancient sources in this chapter also, dismissing the claims of Demosthenes due to a lack of supporting evidence, which does seem reasonable as Diodorus or Justin would likely have mentioned the destruction of multiple other cities.</w:t>
      </w:r>
      <w:r w:rsidR="00434136">
        <w:rPr>
          <w:rStyle w:val="FootnoteReference"/>
        </w:rPr>
        <w:footnoteReference w:id="47"/>
      </w:r>
      <w:r w:rsidR="00434136">
        <w:t xml:space="preserve">Interestingly, Diodorus does not mention razing Olynthus, only plundering it, but Gabriel </w:t>
      </w:r>
      <w:r w:rsidR="000D22C2">
        <w:t>interprets</w:t>
      </w:r>
      <w:r w:rsidR="00434136">
        <w:t xml:space="preserve"> that Olynthus was destroyed utterly</w:t>
      </w:r>
      <w:r w:rsidR="000D22C2">
        <w:t>, which implies a misreading of the source</w:t>
      </w:r>
      <w:r w:rsidR="00434136">
        <w:t>.</w:t>
      </w:r>
      <w:r w:rsidR="00434136">
        <w:rPr>
          <w:rStyle w:val="FootnoteReference"/>
        </w:rPr>
        <w:footnoteReference w:id="48"/>
      </w:r>
      <w:r w:rsidR="000D22C2">
        <w:t xml:space="preserve"> </w:t>
      </w:r>
      <w:r w:rsidR="009F5671">
        <w:t xml:space="preserve"> While King acknowledges Athenian alarm at Philip’s power as reason for the Peace of </w:t>
      </w:r>
      <w:proofErr w:type="spellStart"/>
      <w:r w:rsidR="009F5671">
        <w:t>Philocrates</w:t>
      </w:r>
      <w:proofErr w:type="spellEnd"/>
      <w:r w:rsidR="009F5671">
        <w:t>, Gabriel stresses this reason to make it seem like Athens was completely forced into this position by Philip’s power.</w:t>
      </w:r>
      <w:r w:rsidR="009F5671">
        <w:rPr>
          <w:rStyle w:val="FootnoteReference"/>
        </w:rPr>
        <w:footnoteReference w:id="49"/>
      </w:r>
      <w:r w:rsidR="009F5671">
        <w:t xml:space="preserve"> Demosthenes’ speech </w:t>
      </w:r>
      <w:r w:rsidR="009F5671">
        <w:rPr>
          <w:i/>
        </w:rPr>
        <w:t>On the Peace</w:t>
      </w:r>
      <w:r w:rsidR="009F5671">
        <w:t xml:space="preserve"> demonstrates that certainly not all Athenians felt that the peace was a needed move, which disagrees with Gabriel’s arguments here.</w:t>
      </w:r>
      <w:r w:rsidR="009F5671">
        <w:rPr>
          <w:rStyle w:val="FootnoteReference"/>
        </w:rPr>
        <w:footnoteReference w:id="50"/>
      </w:r>
    </w:p>
    <w:p w:rsidR="009F5671" w:rsidRDefault="00335AB6">
      <w:r>
        <w:t xml:space="preserve">Throughout chapter </w:t>
      </w:r>
      <w:r w:rsidR="00882AA9">
        <w:t>seven</w:t>
      </w:r>
      <w:r>
        <w:t>, Gabriel tackles events in many different theatres of conflict, as Philip exerts himself upon his neighbours now from a position of dominance. Starting with a modern term that alludes to the author’s background, Gabriel describes Philip’s shrewd capture of Thermopylae ‘without having to fire a shot’.</w:t>
      </w:r>
      <w:r>
        <w:rPr>
          <w:rStyle w:val="FootnoteReference"/>
        </w:rPr>
        <w:footnoteReference w:id="51"/>
      </w:r>
      <w:r>
        <w:t xml:space="preserve"> Philip’s entry into Southern Greece is portrayed as swift, and unstoppable, underplaying the notion that if Philip had been unable to use bribery, his army could have remained above Thermopylae.</w:t>
      </w:r>
      <w:r>
        <w:rPr>
          <w:rStyle w:val="FootnoteReference"/>
        </w:rPr>
        <w:footnoteReference w:id="52"/>
      </w:r>
      <w:r>
        <w:t xml:space="preserve"> However, Gabriel concisely argues that Philip’s diplomacy with th</w:t>
      </w:r>
      <w:r w:rsidR="00FD2135">
        <w:t xml:space="preserve">e </w:t>
      </w:r>
      <w:r>
        <w:t>Athen</w:t>
      </w:r>
      <w:r w:rsidR="00FD2135">
        <w:t>ians</w:t>
      </w:r>
      <w:r>
        <w:t xml:space="preserve"> may have affected his relations with other Greek poleis</w:t>
      </w:r>
      <w:r w:rsidR="00623EBB">
        <w:t>—especially Thebes—</w:t>
      </w:r>
      <w:r>
        <w:t>negatively.</w:t>
      </w:r>
      <w:r>
        <w:rPr>
          <w:rStyle w:val="FootnoteReference"/>
        </w:rPr>
        <w:footnoteReference w:id="53"/>
      </w:r>
      <w:r w:rsidR="00623EBB">
        <w:t xml:space="preserve"> King does not specifically mention the Boeotians’ distaste for this, and it does not seem to have been brought up.</w:t>
      </w:r>
      <w:r w:rsidR="00623EBB">
        <w:rPr>
          <w:rStyle w:val="FootnoteReference"/>
        </w:rPr>
        <w:footnoteReference w:id="54"/>
      </w:r>
      <w:r w:rsidR="00623EBB">
        <w:t xml:space="preserve"> This chapter is easy to read, but lacks considerable scholarly debate or </w:t>
      </w:r>
      <w:r w:rsidR="00882AA9">
        <w:t xml:space="preserve">consistent </w:t>
      </w:r>
      <w:r w:rsidR="00623EBB">
        <w:t xml:space="preserve">ancient source critique. Indeed, Gabriel accepts </w:t>
      </w:r>
      <w:proofErr w:type="spellStart"/>
      <w:r w:rsidR="00623EBB">
        <w:t>Theopompus</w:t>
      </w:r>
      <w:proofErr w:type="spellEnd"/>
      <w:r w:rsidR="00623EBB">
        <w:t>’ claim of armies in Illyria of 300,000 men, which sounds impressive to the reader, but is an extremely unlikely figure</w:t>
      </w:r>
      <w:r w:rsidR="00882AA9">
        <w:t>, as Diodorus mentions no numbers this high for their military strength.</w:t>
      </w:r>
      <w:r w:rsidR="00882AA9">
        <w:rPr>
          <w:rStyle w:val="FootnoteReference"/>
        </w:rPr>
        <w:footnoteReference w:id="55"/>
      </w:r>
      <w:r w:rsidR="00882AA9">
        <w:t xml:space="preserve"> Gabriel’s engagement with Justin is concerning the locations of Philip’s depopulations, the truth of which has been lost.</w:t>
      </w:r>
      <w:r w:rsidR="00882AA9">
        <w:rPr>
          <w:rStyle w:val="FootnoteReference"/>
        </w:rPr>
        <w:footnoteReference w:id="56"/>
      </w:r>
      <w:r w:rsidR="00882AA9">
        <w:t xml:space="preserve"> Gabriel’s statement that Diodorus’ claim </w:t>
      </w:r>
      <w:proofErr w:type="spellStart"/>
      <w:r w:rsidR="00882AA9">
        <w:t>Arybbas</w:t>
      </w:r>
      <w:proofErr w:type="spellEnd"/>
      <w:r w:rsidR="00882AA9">
        <w:t xml:space="preserve"> died when Philip put Alexandros on the throne is accurate, and shows that these ancient sources are sometimes found to contain errors due to the authors lack of first-hand knowledge.</w:t>
      </w:r>
      <w:r w:rsidR="00882AA9">
        <w:rPr>
          <w:rStyle w:val="FootnoteReference"/>
        </w:rPr>
        <w:footnoteReference w:id="57"/>
      </w:r>
    </w:p>
    <w:p w:rsidR="00623EBB" w:rsidRDefault="00882AA9">
      <w:r>
        <w:t xml:space="preserve">Chapter eight discusses ‘the War with Athens’, which in reality involved several other factions other than the Athenians. Gabriel’s assessment that there was no other option for Philip other than war with Athens is supported by </w:t>
      </w:r>
      <w:r w:rsidR="009D3D05">
        <w:t>Worthington, who describes the Athenians as violating the peace treaty and acting against Philip’s allies</w:t>
      </w:r>
      <w:r>
        <w:t>.</w:t>
      </w:r>
      <w:r>
        <w:rPr>
          <w:rStyle w:val="FootnoteReference"/>
        </w:rPr>
        <w:footnoteReference w:id="58"/>
      </w:r>
      <w:r w:rsidR="009D3D05">
        <w:t xml:space="preserve"> Worthington also agrees with Gabriel that Philip deliberately was </w:t>
      </w:r>
      <w:r w:rsidR="009D3D05">
        <w:lastRenderedPageBreak/>
        <w:t>not one to break the peace.</w:t>
      </w:r>
      <w:r w:rsidR="009D3D05">
        <w:rPr>
          <w:rStyle w:val="FootnoteReference"/>
        </w:rPr>
        <w:footnoteReference w:id="59"/>
      </w:r>
      <w:r w:rsidR="009D3D05">
        <w:t xml:space="preserve"> Gabriel provides rare insight into the dealings with the Scythian king </w:t>
      </w:r>
      <w:proofErr w:type="spellStart"/>
      <w:r w:rsidR="009D3D05">
        <w:t>Atheas</w:t>
      </w:r>
      <w:proofErr w:type="spellEnd"/>
      <w:r w:rsidR="009D3D05">
        <w:t>, who slighted</w:t>
      </w:r>
      <w:r w:rsidR="00F93EF0">
        <w:t xml:space="preserve">, </w:t>
      </w:r>
      <w:r w:rsidR="009D3D05">
        <w:t xml:space="preserve">threatened, </w:t>
      </w:r>
      <w:r w:rsidR="00F93EF0">
        <w:t>and saw through the attempts of Philip to infiltrate Scythia.</w:t>
      </w:r>
      <w:r w:rsidR="00F93EF0">
        <w:rPr>
          <w:rStyle w:val="FootnoteReference"/>
        </w:rPr>
        <w:footnoteReference w:id="60"/>
      </w:r>
      <w:r w:rsidR="00F93EF0">
        <w:t xml:space="preserve"> Gabriel again assesses in depth the battle between these two kings, reasoning how Philip’s army was able to defeat the more mobile Scythians, and kill </w:t>
      </w:r>
      <w:proofErr w:type="spellStart"/>
      <w:r w:rsidR="00F93EF0">
        <w:t>Atheas</w:t>
      </w:r>
      <w:proofErr w:type="spellEnd"/>
      <w:r w:rsidR="00F93EF0">
        <w:t>.</w:t>
      </w:r>
      <w:r w:rsidR="00F93EF0">
        <w:rPr>
          <w:rStyle w:val="FootnoteReference"/>
        </w:rPr>
        <w:footnoteReference w:id="61"/>
      </w:r>
      <w:r w:rsidR="00F93EF0">
        <w:t xml:space="preserve"> This description is long in comparison to Worthington, who barely mentions the battle, and therefore Gabriel’s more conclusive discussion is more useful.</w:t>
      </w:r>
      <w:r w:rsidR="00F93EF0">
        <w:rPr>
          <w:rStyle w:val="FootnoteReference"/>
        </w:rPr>
        <w:footnoteReference w:id="62"/>
      </w:r>
      <w:r w:rsidR="00DA0072">
        <w:t xml:space="preserve"> Worthington does however mention the importance of the lack of gold and silver captured by Philip, attesting for the first time that Scythia was as poor as was said, a detail Gabriel did not find important enough to note.</w:t>
      </w:r>
      <w:r w:rsidR="00DA0072">
        <w:rPr>
          <w:rStyle w:val="FootnoteReference"/>
        </w:rPr>
        <w:footnoteReference w:id="63"/>
      </w:r>
      <w:r w:rsidR="00DA0072">
        <w:t xml:space="preserve"> Gabriel surpasses Worthington, </w:t>
      </w:r>
      <w:proofErr w:type="spellStart"/>
      <w:r w:rsidR="00DA0072">
        <w:t>Cawkwell</w:t>
      </w:r>
      <w:proofErr w:type="spellEnd"/>
      <w:r w:rsidR="00DA0072">
        <w:t>, and King in his assessment of Chaeronea, with considerable attention to detail being paid throughout.</w:t>
      </w:r>
      <w:r w:rsidR="00DA0072">
        <w:rPr>
          <w:rStyle w:val="FootnoteReference"/>
        </w:rPr>
        <w:footnoteReference w:id="64"/>
      </w:r>
    </w:p>
    <w:p w:rsidR="00DA0072" w:rsidRDefault="00DA0072">
      <w:r>
        <w:t xml:space="preserve">In chapter 9, </w:t>
      </w:r>
      <w:r w:rsidR="005A5826">
        <w:t>Gabriel deals with Philip’s victory, and subsequent untimely demise.</w:t>
      </w:r>
      <w:r w:rsidR="005A5826">
        <w:rPr>
          <w:rStyle w:val="FootnoteReference"/>
        </w:rPr>
        <w:footnoteReference w:id="65"/>
      </w:r>
      <w:r w:rsidR="005A5826">
        <w:t xml:space="preserve"> Gabriel reasons that the Macedonian losses from Chaeronea must have been minute, as the burial tumulus was described as so small, which seems like reasonable—although vague—evidence.</w:t>
      </w:r>
      <w:r w:rsidR="005A5826">
        <w:rPr>
          <w:rStyle w:val="FootnoteReference"/>
        </w:rPr>
        <w:footnoteReference w:id="66"/>
      </w:r>
      <w:r w:rsidR="005A5826">
        <w:t xml:space="preserve"> Gabriel in this short chapter places important emphasis on the </w:t>
      </w:r>
      <w:r w:rsidR="00C879E0">
        <w:t>achievements</w:t>
      </w:r>
      <w:r w:rsidR="005A5826">
        <w:t xml:space="preserve"> of Philip, concluding the book well with an engaging, bittersweet ending. In this chapter Philip is contrasted and compared to Alexander in open terms, allowing </w:t>
      </w:r>
      <w:r w:rsidR="00CE75B1">
        <w:t>Gabriel to consolidate the reason for his title.</w:t>
      </w:r>
      <w:r w:rsidR="00CE75B1">
        <w:rPr>
          <w:rStyle w:val="FootnoteReference"/>
        </w:rPr>
        <w:footnoteReference w:id="67"/>
      </w:r>
      <w:r w:rsidR="005A5826">
        <w:t xml:space="preserve"> </w:t>
      </w:r>
    </w:p>
    <w:p w:rsidR="00F50029" w:rsidRPr="009F5671" w:rsidRDefault="00F50029">
      <w:r>
        <w:t xml:space="preserve">In conclusion, Gabriel successfully </w:t>
      </w:r>
      <w:r w:rsidR="00B023CE">
        <w:t>writes an accessible biography of Philip II. While neglecting at times to provide scholarly debate or enough ancient source examination, which makes the book less useful overall for scholars, but easier for people with an interest in military history in general. Gabriel’s passion for military history becomes clear very early on from this book, but he does not exclusively focus upon it, and his valuable and unique insights into military tactics and grand strategy provides the reader with a unique look at Philip; Philip was an innovative tactician and master strategist. This persona has, since the publication of this work, become a more common view of Philip, who had already been the subject of several more biographical history books, which all to an extend share this message. The biggest advantage of this book however, is Gabriel’s assessments of Philip’s tactics and strategies, which feature much less prominently in other works.</w:t>
      </w:r>
      <w:bookmarkStart w:id="0" w:name="_GoBack"/>
      <w:bookmarkEnd w:id="0"/>
    </w:p>
    <w:p w:rsidR="00516BFB" w:rsidRDefault="00516BFB">
      <w:pPr>
        <w:rPr>
          <w:u w:val="single"/>
        </w:rPr>
      </w:pPr>
    </w:p>
    <w:p w:rsidR="00516BFB" w:rsidRDefault="00516BFB">
      <w:pPr>
        <w:rPr>
          <w:u w:val="single"/>
        </w:rPr>
      </w:pPr>
    </w:p>
    <w:p w:rsidR="00516BFB" w:rsidRDefault="00516BFB">
      <w:pPr>
        <w:rPr>
          <w:u w:val="single"/>
        </w:rPr>
      </w:pPr>
    </w:p>
    <w:p w:rsidR="00516BFB" w:rsidRDefault="00516BFB">
      <w:pPr>
        <w:rPr>
          <w:u w:val="single"/>
        </w:rPr>
      </w:pPr>
    </w:p>
    <w:p w:rsidR="00516BFB" w:rsidRDefault="00516BFB">
      <w:pPr>
        <w:rPr>
          <w:u w:val="single"/>
        </w:rPr>
      </w:pPr>
    </w:p>
    <w:p w:rsidR="00516BFB" w:rsidRDefault="00516BFB">
      <w:pPr>
        <w:rPr>
          <w:u w:val="single"/>
        </w:rPr>
      </w:pPr>
    </w:p>
    <w:p w:rsidR="00516BFB" w:rsidRDefault="00516BFB">
      <w:pPr>
        <w:rPr>
          <w:u w:val="single"/>
        </w:rPr>
      </w:pPr>
    </w:p>
    <w:p w:rsidR="00516BFB" w:rsidRDefault="00516BFB">
      <w:pPr>
        <w:rPr>
          <w:u w:val="single"/>
        </w:rPr>
      </w:pPr>
    </w:p>
    <w:p w:rsidR="00516BFB" w:rsidRDefault="00516BFB">
      <w:pPr>
        <w:rPr>
          <w:u w:val="single"/>
        </w:rPr>
      </w:pPr>
    </w:p>
    <w:p w:rsidR="00516BFB" w:rsidRDefault="00516BFB">
      <w:pPr>
        <w:rPr>
          <w:u w:val="single"/>
        </w:rPr>
      </w:pPr>
    </w:p>
    <w:p w:rsidR="00516BFB" w:rsidRDefault="00516BFB">
      <w:pPr>
        <w:rPr>
          <w:u w:val="single"/>
        </w:rPr>
      </w:pPr>
    </w:p>
    <w:p w:rsidR="00516BFB" w:rsidRDefault="00516BFB">
      <w:pPr>
        <w:rPr>
          <w:u w:val="single"/>
        </w:rPr>
      </w:pPr>
    </w:p>
    <w:p w:rsidR="00516BFB" w:rsidRDefault="00516BFB">
      <w:pPr>
        <w:rPr>
          <w:u w:val="single"/>
        </w:rPr>
      </w:pPr>
    </w:p>
    <w:p w:rsidR="00516BFB" w:rsidRDefault="00516BFB">
      <w:pPr>
        <w:rPr>
          <w:u w:val="single"/>
        </w:rPr>
      </w:pPr>
    </w:p>
    <w:p w:rsidR="00516BFB" w:rsidRDefault="00516BFB">
      <w:pPr>
        <w:rPr>
          <w:u w:val="single"/>
        </w:rPr>
      </w:pPr>
    </w:p>
    <w:p w:rsidR="00516BFB" w:rsidRDefault="00516BFB">
      <w:pPr>
        <w:rPr>
          <w:u w:val="single"/>
        </w:rPr>
      </w:pPr>
    </w:p>
    <w:p w:rsidR="00516BFB" w:rsidRDefault="00516BFB">
      <w:pPr>
        <w:rPr>
          <w:u w:val="single"/>
        </w:rPr>
      </w:pPr>
    </w:p>
    <w:p w:rsidR="00516BFB" w:rsidRDefault="00516BFB">
      <w:pPr>
        <w:rPr>
          <w:u w:val="single"/>
        </w:rPr>
      </w:pPr>
    </w:p>
    <w:p w:rsidR="00516BFB" w:rsidRDefault="00516BFB">
      <w:pPr>
        <w:rPr>
          <w:u w:val="single"/>
        </w:rPr>
      </w:pPr>
    </w:p>
    <w:p w:rsidR="00516BFB" w:rsidRDefault="00516BFB">
      <w:pPr>
        <w:rPr>
          <w:u w:val="single"/>
        </w:rPr>
      </w:pPr>
    </w:p>
    <w:p w:rsidR="00516BFB" w:rsidRDefault="00516BFB">
      <w:pPr>
        <w:rPr>
          <w:u w:val="single"/>
        </w:rPr>
      </w:pPr>
    </w:p>
    <w:p w:rsidR="00516BFB" w:rsidRDefault="00516BFB">
      <w:pPr>
        <w:rPr>
          <w:u w:val="single"/>
        </w:rPr>
      </w:pPr>
    </w:p>
    <w:p w:rsidR="00516BFB" w:rsidRDefault="00516BFB">
      <w:pPr>
        <w:rPr>
          <w:u w:val="single"/>
        </w:rPr>
      </w:pPr>
    </w:p>
    <w:p w:rsidR="00516BFB" w:rsidRDefault="00516BFB">
      <w:pPr>
        <w:rPr>
          <w:u w:val="single"/>
        </w:rPr>
      </w:pPr>
    </w:p>
    <w:p w:rsidR="00516BFB" w:rsidRDefault="00516BFB">
      <w:pPr>
        <w:rPr>
          <w:u w:val="single"/>
        </w:rPr>
      </w:pPr>
    </w:p>
    <w:p w:rsidR="00516BFB" w:rsidRDefault="00516BFB">
      <w:pPr>
        <w:rPr>
          <w:u w:val="single"/>
        </w:rPr>
      </w:pPr>
    </w:p>
    <w:p w:rsidR="00516BFB" w:rsidRDefault="00516BFB">
      <w:pPr>
        <w:rPr>
          <w:u w:val="single"/>
        </w:rPr>
      </w:pPr>
    </w:p>
    <w:p w:rsidR="00516BFB" w:rsidRDefault="00516BFB">
      <w:pPr>
        <w:rPr>
          <w:u w:val="single"/>
        </w:rPr>
      </w:pPr>
    </w:p>
    <w:p w:rsidR="00516BFB" w:rsidRDefault="00516BFB">
      <w:pPr>
        <w:rPr>
          <w:u w:val="single"/>
        </w:rPr>
      </w:pPr>
    </w:p>
    <w:p w:rsidR="00A32B2C" w:rsidRDefault="004340C8">
      <w:pPr>
        <w:rPr>
          <w:u w:val="single"/>
        </w:rPr>
      </w:pPr>
      <w:r w:rsidRPr="004340C8">
        <w:rPr>
          <w:u w:val="single"/>
        </w:rPr>
        <w:t>Bibliography</w:t>
      </w:r>
    </w:p>
    <w:p w:rsidR="004340C8" w:rsidRPr="004340C8" w:rsidRDefault="004340C8">
      <w:pPr>
        <w:rPr>
          <w:u w:val="single"/>
        </w:rPr>
      </w:pPr>
    </w:p>
    <w:p w:rsidR="004340C8" w:rsidRPr="004340C8" w:rsidRDefault="004340C8">
      <w:pPr>
        <w:rPr>
          <w:u w:val="single"/>
        </w:rPr>
      </w:pPr>
      <w:r w:rsidRPr="004340C8">
        <w:rPr>
          <w:u w:val="single"/>
        </w:rPr>
        <w:t>Ancient sources:</w:t>
      </w:r>
    </w:p>
    <w:p w:rsidR="009F5671" w:rsidRPr="00C80E5F" w:rsidRDefault="009F5671">
      <w:r>
        <w:t>Demosthenes</w:t>
      </w:r>
      <w:r w:rsidR="00C80E5F">
        <w:t xml:space="preserve">, </w:t>
      </w:r>
      <w:r w:rsidR="00C80E5F">
        <w:rPr>
          <w:i/>
        </w:rPr>
        <w:t xml:space="preserve">On the Peace. </w:t>
      </w:r>
      <w:r w:rsidR="00C80E5F">
        <w:t>J.H. Vince (trans.). 1930. London: William Heinemann.</w:t>
      </w:r>
    </w:p>
    <w:p w:rsidR="004340C8" w:rsidRPr="00747B15" w:rsidRDefault="004340C8" w:rsidP="004340C8">
      <w:r w:rsidRPr="00747B15">
        <w:t xml:space="preserve">Diodorus Siculus, </w:t>
      </w:r>
      <w:r w:rsidRPr="00747B15">
        <w:rPr>
          <w:i/>
        </w:rPr>
        <w:t xml:space="preserve">Libraries. </w:t>
      </w:r>
      <w:r w:rsidRPr="00747B15">
        <w:t xml:space="preserve">C.H. </w:t>
      </w:r>
      <w:proofErr w:type="spellStart"/>
      <w:r w:rsidRPr="00747B15">
        <w:t>Oldfather</w:t>
      </w:r>
      <w:proofErr w:type="spellEnd"/>
      <w:r w:rsidRPr="00747B15">
        <w:t xml:space="preserve"> (trans.). </w:t>
      </w:r>
      <w:r w:rsidRPr="00747B15">
        <w:rPr>
          <w:i/>
        </w:rPr>
        <w:t xml:space="preserve"> </w:t>
      </w:r>
      <w:r w:rsidRPr="00747B15">
        <w:t>1989. London: William Heinemann Ltd.</w:t>
      </w:r>
    </w:p>
    <w:p w:rsidR="004340C8" w:rsidRDefault="004340C8">
      <w:r w:rsidRPr="00747B15">
        <w:t xml:space="preserve">Herodotus, </w:t>
      </w:r>
      <w:r w:rsidRPr="00747B15">
        <w:rPr>
          <w:i/>
        </w:rPr>
        <w:t xml:space="preserve">The Histories. </w:t>
      </w:r>
      <w:r w:rsidRPr="00747B15">
        <w:t xml:space="preserve">A.D. Godley (trans.). 1920. London: William Heinemann Ltd. </w:t>
      </w:r>
    </w:p>
    <w:p w:rsidR="004340C8" w:rsidRPr="00C95779" w:rsidRDefault="004340C8" w:rsidP="004340C8">
      <w:r>
        <w:t xml:space="preserve">Marcus </w:t>
      </w:r>
      <w:proofErr w:type="spellStart"/>
      <w:r>
        <w:t>Junianus</w:t>
      </w:r>
      <w:proofErr w:type="spellEnd"/>
      <w:r>
        <w:t xml:space="preserve"> Justinus, </w:t>
      </w:r>
      <w:r w:rsidRPr="00C95779">
        <w:rPr>
          <w:i/>
        </w:rPr>
        <w:t>Epitome</w:t>
      </w:r>
      <w:r>
        <w:rPr>
          <w:i/>
        </w:rPr>
        <w:t xml:space="preserve"> of the Philippic History of </w:t>
      </w:r>
      <w:proofErr w:type="spellStart"/>
      <w:r>
        <w:rPr>
          <w:i/>
        </w:rPr>
        <w:t>Pompeius</w:t>
      </w:r>
      <w:proofErr w:type="spellEnd"/>
      <w:r>
        <w:rPr>
          <w:i/>
        </w:rPr>
        <w:t xml:space="preserve"> </w:t>
      </w:r>
      <w:proofErr w:type="spellStart"/>
      <w:r>
        <w:rPr>
          <w:i/>
        </w:rPr>
        <w:t>Trogus</w:t>
      </w:r>
      <w:proofErr w:type="spellEnd"/>
      <w:r>
        <w:rPr>
          <w:i/>
        </w:rPr>
        <w:t xml:space="preserve">. </w:t>
      </w:r>
      <w:r>
        <w:t>J.S. Watson (trans.). 1853. London: Henry G Bohn.</w:t>
      </w:r>
    </w:p>
    <w:p w:rsidR="00C879E0" w:rsidRPr="00F368E2" w:rsidRDefault="00C879E0" w:rsidP="00660563">
      <w:pPr>
        <w:ind w:left="720" w:hanging="720"/>
      </w:pPr>
      <w:r>
        <w:t>Thucydides</w:t>
      </w:r>
      <w:r w:rsidR="00660563">
        <w:t xml:space="preserve">, </w:t>
      </w:r>
      <w:r w:rsidR="00F368E2">
        <w:rPr>
          <w:i/>
        </w:rPr>
        <w:t xml:space="preserve">The Peloponnesian War. </w:t>
      </w:r>
      <w:r w:rsidR="00F368E2">
        <w:t>J.M. Dent (trans.). 1910. New York: E.P. Dutton.</w:t>
      </w:r>
    </w:p>
    <w:p w:rsidR="004340C8" w:rsidRDefault="004340C8"/>
    <w:p w:rsidR="004340C8" w:rsidRPr="004340C8" w:rsidRDefault="004340C8">
      <w:pPr>
        <w:rPr>
          <w:u w:val="single"/>
        </w:rPr>
      </w:pPr>
      <w:r w:rsidRPr="004340C8">
        <w:rPr>
          <w:u w:val="single"/>
        </w:rPr>
        <w:t>Modern scholarship</w:t>
      </w:r>
      <w:r>
        <w:rPr>
          <w:u w:val="single"/>
        </w:rPr>
        <w:t>:</w:t>
      </w:r>
    </w:p>
    <w:p w:rsidR="004340C8" w:rsidRPr="00747B15" w:rsidRDefault="004340C8" w:rsidP="004340C8">
      <w:proofErr w:type="spellStart"/>
      <w:r w:rsidRPr="00747B15">
        <w:t>Bissa</w:t>
      </w:r>
      <w:proofErr w:type="spellEnd"/>
      <w:r w:rsidRPr="00747B15">
        <w:t xml:space="preserve">, E.M.A. 2009. </w:t>
      </w:r>
      <w:r w:rsidRPr="00747B15">
        <w:rPr>
          <w:i/>
        </w:rPr>
        <w:t xml:space="preserve">Governmental Intervention in Foreign Trade in Archaic and Classical Greece. </w:t>
      </w:r>
      <w:r w:rsidRPr="00747B15">
        <w:t xml:space="preserve">Leiden: Brill. </w:t>
      </w:r>
    </w:p>
    <w:p w:rsidR="004340C8" w:rsidRPr="00747B15" w:rsidRDefault="004340C8" w:rsidP="004340C8">
      <w:r w:rsidRPr="00747B15">
        <w:t xml:space="preserve">Borza, E.N. 1990. </w:t>
      </w:r>
      <w:r w:rsidRPr="00747B15">
        <w:rPr>
          <w:i/>
        </w:rPr>
        <w:t xml:space="preserve">In the shadow of Olympus: The emergence of Macedon. </w:t>
      </w:r>
      <w:r w:rsidRPr="00747B15">
        <w:t>Chichester: Princeton University Press.</w:t>
      </w:r>
    </w:p>
    <w:p w:rsidR="004340C8" w:rsidRDefault="004340C8" w:rsidP="004340C8">
      <w:proofErr w:type="spellStart"/>
      <w:r w:rsidRPr="00747B15">
        <w:t>Cawkwell</w:t>
      </w:r>
      <w:proofErr w:type="spellEnd"/>
      <w:r w:rsidRPr="00747B15">
        <w:t xml:space="preserve">, G. 1978. </w:t>
      </w:r>
      <w:r w:rsidRPr="00747B15">
        <w:rPr>
          <w:i/>
        </w:rPr>
        <w:t xml:space="preserve">Philip of Macedon. </w:t>
      </w:r>
      <w:r w:rsidRPr="00747B15">
        <w:t xml:space="preserve">London: Faber. </w:t>
      </w:r>
    </w:p>
    <w:p w:rsidR="002F7C0C" w:rsidRPr="002F7C0C" w:rsidRDefault="002F7C0C" w:rsidP="004340C8">
      <w:r>
        <w:t xml:space="preserve">Fox, R.J.L. 2015 ‘Philip of Macedon: </w:t>
      </w:r>
      <w:proofErr w:type="spellStart"/>
      <w:r>
        <w:t>Accension</w:t>
      </w:r>
      <w:proofErr w:type="spellEnd"/>
      <w:r>
        <w:t xml:space="preserve">, Ambitions, and Self-Presentation’, in R.J.L. Fox (ed.), </w:t>
      </w:r>
      <w:r>
        <w:rPr>
          <w:i/>
        </w:rPr>
        <w:t xml:space="preserve">Brill’s Companion to Ancient Macedon: Studies in Archaeology and History of Macedon, 650BC-300AD. </w:t>
      </w:r>
      <w:r>
        <w:t>Leiden: Brill.</w:t>
      </w:r>
    </w:p>
    <w:p w:rsidR="004340C8" w:rsidRDefault="004340C8">
      <w:r>
        <w:t xml:space="preserve">Gabriel, R.A. 2010. </w:t>
      </w:r>
      <w:r>
        <w:rPr>
          <w:i/>
        </w:rPr>
        <w:t xml:space="preserve">Philip of Macedon: Greater than Alexander. </w:t>
      </w:r>
      <w:r>
        <w:t xml:space="preserve">Lincoln: Potomac Books. </w:t>
      </w:r>
    </w:p>
    <w:p w:rsidR="00182D43" w:rsidRPr="00182D43" w:rsidRDefault="00182D43">
      <w:r>
        <w:t>Hammond</w:t>
      </w:r>
      <w:r w:rsidR="00EE02B1">
        <w:t>, N.G.L.</w:t>
      </w:r>
      <w:r>
        <w:t xml:space="preserve"> 1994. </w:t>
      </w:r>
      <w:r w:rsidRPr="00182D43">
        <w:rPr>
          <w:i/>
        </w:rPr>
        <w:t xml:space="preserve">Philip </w:t>
      </w:r>
      <w:r>
        <w:rPr>
          <w:i/>
        </w:rPr>
        <w:t>o</w:t>
      </w:r>
      <w:r w:rsidRPr="00182D43">
        <w:rPr>
          <w:i/>
        </w:rPr>
        <w:t>f Macedon</w:t>
      </w:r>
      <w:r>
        <w:t xml:space="preserve">. </w:t>
      </w:r>
      <w:r w:rsidR="00EE02B1">
        <w:t xml:space="preserve">Baltimore: John Hopkins University Press. </w:t>
      </w:r>
    </w:p>
    <w:p w:rsidR="004340C8" w:rsidRDefault="004340C8" w:rsidP="004340C8">
      <w:r w:rsidRPr="00747B15">
        <w:t>King, C. J. 2018</w:t>
      </w:r>
      <w:r w:rsidRPr="00747B15">
        <w:rPr>
          <w:i/>
        </w:rPr>
        <w:t>. Ancient Macedonia</w:t>
      </w:r>
      <w:r w:rsidRPr="00747B15">
        <w:t>. London: Routledge.</w:t>
      </w:r>
    </w:p>
    <w:p w:rsidR="001173C8" w:rsidRDefault="007A06CA">
      <w:r>
        <w:t>Madsen,</w:t>
      </w:r>
      <w:r w:rsidR="008D0787">
        <w:t xml:space="preserve"> </w:t>
      </w:r>
      <w:r>
        <w:t>J.M</w:t>
      </w:r>
      <w:r w:rsidR="001173C8">
        <w:t xml:space="preserve">. </w:t>
      </w:r>
      <w:r>
        <w:t>(</w:t>
      </w:r>
      <w:r w:rsidR="001173C8">
        <w:t>2011</w:t>
      </w:r>
      <w:r>
        <w:t>)</w:t>
      </w:r>
      <w:r w:rsidR="001173C8">
        <w:t xml:space="preserve"> </w:t>
      </w:r>
      <w:r>
        <w:t>‘</w:t>
      </w:r>
      <w:r w:rsidRPr="007A06CA">
        <w:t>Philip II of Macedonia: Greater than Alexander</w:t>
      </w:r>
      <w:r>
        <w:t>.</w:t>
      </w:r>
      <w:r w:rsidRPr="007A06CA">
        <w:t>’</w:t>
      </w:r>
      <w:r>
        <w:rPr>
          <w:i/>
        </w:rPr>
        <w:t xml:space="preserve">. </w:t>
      </w:r>
      <w:r>
        <w:t>Review of ‘</w:t>
      </w:r>
      <w:r w:rsidRPr="007A06CA">
        <w:rPr>
          <w:i/>
        </w:rPr>
        <w:t>Philip II of Macedonia: Greater than Alexander,</w:t>
      </w:r>
      <w:r>
        <w:t xml:space="preserve"> by Richard A. Gabriel. </w:t>
      </w:r>
      <w:r>
        <w:rPr>
          <w:i/>
        </w:rPr>
        <w:t xml:space="preserve">Bryn </w:t>
      </w:r>
      <w:proofErr w:type="spellStart"/>
      <w:r>
        <w:rPr>
          <w:i/>
        </w:rPr>
        <w:t>Mawr</w:t>
      </w:r>
      <w:proofErr w:type="spellEnd"/>
      <w:r>
        <w:rPr>
          <w:i/>
        </w:rPr>
        <w:t xml:space="preserve"> Classical Review</w:t>
      </w:r>
      <w:r w:rsidRPr="007A06CA">
        <w:t xml:space="preserve">, </w:t>
      </w:r>
      <w:r w:rsidR="00B55435">
        <w:t>5</w:t>
      </w:r>
      <w:r>
        <w:t xml:space="preserve">, pp. </w:t>
      </w:r>
      <w:r w:rsidR="00B55435">
        <w:t>41-42</w:t>
      </w:r>
      <w:r>
        <w:t>.</w:t>
      </w:r>
    </w:p>
    <w:p w:rsidR="007A06CA" w:rsidRPr="007A06CA" w:rsidRDefault="007A06CA" w:rsidP="007A06CA">
      <w:pPr>
        <w:rPr>
          <w:i/>
        </w:rPr>
      </w:pPr>
      <w:r>
        <w:t>Sears, M. (2011) ‘</w:t>
      </w:r>
      <w:r w:rsidRPr="007A06CA">
        <w:t>Philip II of Macedonia: Greater than Alexander’</w:t>
      </w:r>
      <w:r>
        <w:rPr>
          <w:i/>
        </w:rPr>
        <w:t xml:space="preserve">. </w:t>
      </w:r>
      <w:r>
        <w:t>Review of ‘</w:t>
      </w:r>
      <w:r w:rsidRPr="007A06CA">
        <w:rPr>
          <w:i/>
        </w:rPr>
        <w:t>Philip II of Macedonia: Greater than Alexander,</w:t>
      </w:r>
      <w:r>
        <w:t xml:space="preserve"> by Richard A. Gabriel. </w:t>
      </w:r>
      <w:r>
        <w:rPr>
          <w:i/>
        </w:rPr>
        <w:t>The Classical Review</w:t>
      </w:r>
      <w:r w:rsidRPr="007A06CA">
        <w:t>, 61(2)</w:t>
      </w:r>
      <w:r>
        <w:t>, pp. 540-542.</w:t>
      </w:r>
    </w:p>
    <w:p w:rsidR="007A06CA" w:rsidRDefault="007A06CA" w:rsidP="007A06CA">
      <w:r>
        <w:t>S</w:t>
      </w:r>
      <w:r w:rsidR="00B55435">
        <w:t>heldon, R.M</w:t>
      </w:r>
      <w:r>
        <w:t>. (2011) ‘</w:t>
      </w:r>
      <w:r w:rsidRPr="007A06CA">
        <w:t>Philip II of Macedonia: Greater than Alexander</w:t>
      </w:r>
      <w:r w:rsidR="00B55435">
        <w:t>- By Richard A. Gabriel.</w:t>
      </w:r>
      <w:r w:rsidRPr="007A06CA">
        <w:t>’</w:t>
      </w:r>
      <w:r>
        <w:rPr>
          <w:i/>
        </w:rPr>
        <w:t xml:space="preserve">. </w:t>
      </w:r>
      <w:r>
        <w:t>Review of ‘</w:t>
      </w:r>
      <w:r w:rsidRPr="007A06CA">
        <w:rPr>
          <w:i/>
        </w:rPr>
        <w:t>Philip II of Macedonia: Greater than Alexander,</w:t>
      </w:r>
      <w:r>
        <w:t xml:space="preserve"> by Richard A. Gabriel. </w:t>
      </w:r>
      <w:r w:rsidR="00B55435">
        <w:rPr>
          <w:i/>
        </w:rPr>
        <w:t>Historian</w:t>
      </w:r>
      <w:r w:rsidRPr="007A06CA">
        <w:t xml:space="preserve">, </w:t>
      </w:r>
      <w:r w:rsidR="00B55435">
        <w:t>74</w:t>
      </w:r>
      <w:r w:rsidRPr="007A06CA">
        <w:t>(2)</w:t>
      </w:r>
      <w:r>
        <w:t xml:space="preserve">, pp. </w:t>
      </w:r>
      <w:r w:rsidR="00B55435">
        <w:t>393</w:t>
      </w:r>
      <w:r>
        <w:t>-</w:t>
      </w:r>
      <w:r w:rsidR="00B55435">
        <w:t>395</w:t>
      </w:r>
      <w:r>
        <w:t>.</w:t>
      </w:r>
    </w:p>
    <w:p w:rsidR="004340C8" w:rsidRPr="00747B15" w:rsidRDefault="004340C8" w:rsidP="004340C8">
      <w:r>
        <w:t xml:space="preserve">Worthington, I. 2008. </w:t>
      </w:r>
      <w:r>
        <w:rPr>
          <w:i/>
        </w:rPr>
        <w:t xml:space="preserve">Philip II of Macedonia. </w:t>
      </w:r>
      <w:r>
        <w:t xml:space="preserve">London: Yale University Press. </w:t>
      </w:r>
    </w:p>
    <w:p w:rsidR="007A06CA" w:rsidRPr="007A06CA" w:rsidRDefault="007A06CA">
      <w:pPr>
        <w:rPr>
          <w:i/>
        </w:rPr>
      </w:pPr>
    </w:p>
    <w:sectPr w:rsidR="007A06CA" w:rsidRPr="007A06C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15845" w:rsidRDefault="00315845" w:rsidP="007A06CA">
      <w:pPr>
        <w:spacing w:after="0" w:line="240" w:lineRule="auto"/>
      </w:pPr>
      <w:r>
        <w:separator/>
      </w:r>
    </w:p>
  </w:endnote>
  <w:endnote w:type="continuationSeparator" w:id="0">
    <w:p w:rsidR="00315845" w:rsidRDefault="00315845" w:rsidP="007A06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15845" w:rsidRDefault="00315845" w:rsidP="007A06CA">
      <w:pPr>
        <w:spacing w:after="0" w:line="240" w:lineRule="auto"/>
      </w:pPr>
      <w:r>
        <w:separator/>
      </w:r>
    </w:p>
  </w:footnote>
  <w:footnote w:type="continuationSeparator" w:id="0">
    <w:p w:rsidR="00315845" w:rsidRDefault="00315845" w:rsidP="007A06CA">
      <w:pPr>
        <w:spacing w:after="0" w:line="240" w:lineRule="auto"/>
      </w:pPr>
      <w:r>
        <w:continuationSeparator/>
      </w:r>
    </w:p>
  </w:footnote>
  <w:footnote w:id="1">
    <w:p w:rsidR="009D3D05" w:rsidRDefault="009D3D05">
      <w:pPr>
        <w:pStyle w:val="FootnoteText"/>
      </w:pPr>
      <w:r>
        <w:rPr>
          <w:rStyle w:val="FootnoteReference"/>
        </w:rPr>
        <w:footnoteRef/>
      </w:r>
      <w:r>
        <w:t xml:space="preserve"> Sears 2011: 540</w:t>
      </w:r>
    </w:p>
  </w:footnote>
  <w:footnote w:id="2">
    <w:p w:rsidR="009D3D05" w:rsidRDefault="009D3D05">
      <w:pPr>
        <w:pStyle w:val="FootnoteText"/>
      </w:pPr>
      <w:r>
        <w:rPr>
          <w:rStyle w:val="FootnoteReference"/>
        </w:rPr>
        <w:footnoteRef/>
      </w:r>
      <w:r>
        <w:t xml:space="preserve"> Sears 2011: 540</w:t>
      </w:r>
    </w:p>
  </w:footnote>
  <w:footnote w:id="3">
    <w:p w:rsidR="009D3D05" w:rsidRDefault="009D3D05">
      <w:pPr>
        <w:pStyle w:val="FootnoteText"/>
      </w:pPr>
      <w:r>
        <w:rPr>
          <w:rStyle w:val="FootnoteReference"/>
        </w:rPr>
        <w:footnoteRef/>
      </w:r>
      <w:r>
        <w:t xml:space="preserve"> Sheldon 2012: 393</w:t>
      </w:r>
    </w:p>
  </w:footnote>
  <w:footnote w:id="4">
    <w:p w:rsidR="009D3D05" w:rsidRDefault="009D3D05">
      <w:pPr>
        <w:pStyle w:val="FootnoteText"/>
      </w:pPr>
      <w:r>
        <w:rPr>
          <w:rStyle w:val="FootnoteReference"/>
        </w:rPr>
        <w:footnoteRef/>
      </w:r>
      <w:r>
        <w:t xml:space="preserve"> Sears 2011: 540</w:t>
      </w:r>
    </w:p>
  </w:footnote>
  <w:footnote w:id="5">
    <w:p w:rsidR="009D3D05" w:rsidRDefault="009D3D05">
      <w:pPr>
        <w:pStyle w:val="FootnoteText"/>
      </w:pPr>
      <w:r>
        <w:rPr>
          <w:rStyle w:val="FootnoteReference"/>
        </w:rPr>
        <w:footnoteRef/>
      </w:r>
      <w:r>
        <w:t xml:space="preserve"> Sears 2011: 540</w:t>
      </w:r>
    </w:p>
  </w:footnote>
  <w:footnote w:id="6">
    <w:p w:rsidR="009D3D05" w:rsidRDefault="009D3D05">
      <w:pPr>
        <w:pStyle w:val="FootnoteText"/>
      </w:pPr>
      <w:r>
        <w:rPr>
          <w:rStyle w:val="FootnoteReference"/>
        </w:rPr>
        <w:footnoteRef/>
      </w:r>
      <w:r>
        <w:t xml:space="preserve"> Sears 2011: 540</w:t>
      </w:r>
    </w:p>
  </w:footnote>
  <w:footnote w:id="7">
    <w:p w:rsidR="00516BFB" w:rsidRDefault="00516BFB">
      <w:pPr>
        <w:pStyle w:val="FootnoteText"/>
      </w:pPr>
      <w:r>
        <w:rPr>
          <w:rStyle w:val="FootnoteReference"/>
        </w:rPr>
        <w:footnoteRef/>
      </w:r>
      <w:r>
        <w:t xml:space="preserve"> Gabriel 2010: 254-282</w:t>
      </w:r>
    </w:p>
  </w:footnote>
  <w:footnote w:id="8">
    <w:p w:rsidR="00182D43" w:rsidRDefault="00182D43">
      <w:pPr>
        <w:pStyle w:val="FootnoteText"/>
      </w:pPr>
      <w:r>
        <w:rPr>
          <w:rStyle w:val="FootnoteReference"/>
        </w:rPr>
        <w:footnoteRef/>
      </w:r>
      <w:r>
        <w:t xml:space="preserve"> Gabriel 2010: 1</w:t>
      </w:r>
    </w:p>
  </w:footnote>
  <w:footnote w:id="9">
    <w:p w:rsidR="00182D43" w:rsidRDefault="00182D43">
      <w:pPr>
        <w:pStyle w:val="FootnoteText"/>
      </w:pPr>
      <w:r>
        <w:rPr>
          <w:rStyle w:val="FootnoteReference"/>
        </w:rPr>
        <w:footnoteRef/>
      </w:r>
      <w:r>
        <w:t xml:space="preserve"> Diod. 16.87; Gabriel 2010: 1</w:t>
      </w:r>
    </w:p>
  </w:footnote>
  <w:footnote w:id="10">
    <w:p w:rsidR="00182D43" w:rsidRDefault="00182D43">
      <w:pPr>
        <w:pStyle w:val="FootnoteText"/>
      </w:pPr>
      <w:r>
        <w:rPr>
          <w:rStyle w:val="FootnoteReference"/>
        </w:rPr>
        <w:footnoteRef/>
      </w:r>
      <w:r>
        <w:t xml:space="preserve"> </w:t>
      </w:r>
      <w:proofErr w:type="spellStart"/>
      <w:r>
        <w:t>Diod</w:t>
      </w:r>
      <w:proofErr w:type="spellEnd"/>
      <w:r>
        <w:t>. 16.87; Gabriel 2010: 1; Hammond 1994: 156</w:t>
      </w:r>
    </w:p>
  </w:footnote>
  <w:footnote w:id="11">
    <w:p w:rsidR="00EE02B1" w:rsidRDefault="00EE02B1">
      <w:pPr>
        <w:pStyle w:val="FootnoteText"/>
      </w:pPr>
      <w:r>
        <w:rPr>
          <w:rStyle w:val="FootnoteReference"/>
        </w:rPr>
        <w:footnoteRef/>
      </w:r>
      <w:r>
        <w:t xml:space="preserve"> Gabriel 2010: 18</w:t>
      </w:r>
    </w:p>
  </w:footnote>
  <w:footnote w:id="12">
    <w:p w:rsidR="00EE02B1" w:rsidRDefault="00EE02B1">
      <w:pPr>
        <w:pStyle w:val="FootnoteText"/>
      </w:pPr>
      <w:r>
        <w:rPr>
          <w:rStyle w:val="FootnoteReference"/>
        </w:rPr>
        <w:footnoteRef/>
      </w:r>
      <w:r>
        <w:t xml:space="preserve"> Just. 8.4.7; Gabriel 2010: 19</w:t>
      </w:r>
    </w:p>
  </w:footnote>
  <w:footnote w:id="13">
    <w:p w:rsidR="0077378A" w:rsidRDefault="0077378A">
      <w:pPr>
        <w:pStyle w:val="FootnoteText"/>
      </w:pPr>
      <w:r>
        <w:rPr>
          <w:rStyle w:val="FootnoteReference"/>
        </w:rPr>
        <w:footnoteRef/>
      </w:r>
      <w:r>
        <w:t xml:space="preserve"> Gabriel 2010: 33-34</w:t>
      </w:r>
    </w:p>
  </w:footnote>
  <w:footnote w:id="14">
    <w:p w:rsidR="0077378A" w:rsidRDefault="0077378A">
      <w:pPr>
        <w:pStyle w:val="FootnoteText"/>
      </w:pPr>
      <w:r>
        <w:rPr>
          <w:rStyle w:val="FootnoteReference"/>
        </w:rPr>
        <w:footnoteRef/>
      </w:r>
      <w:r>
        <w:t xml:space="preserve"> Gabriel 2010: 35-36</w:t>
      </w:r>
    </w:p>
  </w:footnote>
  <w:footnote w:id="15">
    <w:p w:rsidR="0077378A" w:rsidRDefault="0077378A">
      <w:pPr>
        <w:pStyle w:val="FootnoteText"/>
      </w:pPr>
      <w:r>
        <w:rPr>
          <w:rStyle w:val="FootnoteReference"/>
        </w:rPr>
        <w:footnoteRef/>
      </w:r>
      <w:r>
        <w:t xml:space="preserve"> Gabriel 2010: 34; Borza 1990: 50-51</w:t>
      </w:r>
    </w:p>
  </w:footnote>
  <w:footnote w:id="16">
    <w:p w:rsidR="0077378A" w:rsidRDefault="0077378A">
      <w:pPr>
        <w:pStyle w:val="FootnoteText"/>
      </w:pPr>
      <w:r>
        <w:rPr>
          <w:rStyle w:val="FootnoteReference"/>
        </w:rPr>
        <w:footnoteRef/>
      </w:r>
      <w:r>
        <w:t xml:space="preserve"> Gabriel 2010: 37</w:t>
      </w:r>
    </w:p>
  </w:footnote>
  <w:footnote w:id="17">
    <w:p w:rsidR="00C879E0" w:rsidRDefault="00C879E0">
      <w:pPr>
        <w:pStyle w:val="FootnoteText"/>
      </w:pPr>
      <w:r>
        <w:rPr>
          <w:rStyle w:val="FootnoteReference"/>
        </w:rPr>
        <w:footnoteRef/>
      </w:r>
      <w:r>
        <w:t xml:space="preserve"> Gabriel 2010: 61</w:t>
      </w:r>
    </w:p>
  </w:footnote>
  <w:footnote w:id="18">
    <w:p w:rsidR="00C879E0" w:rsidRDefault="00C879E0">
      <w:pPr>
        <w:pStyle w:val="FootnoteText"/>
      </w:pPr>
      <w:r>
        <w:rPr>
          <w:rStyle w:val="FootnoteReference"/>
        </w:rPr>
        <w:footnoteRef/>
      </w:r>
      <w:r>
        <w:t xml:space="preserve"> Thuc. 2.100.2; Gabriel 2010: 61</w:t>
      </w:r>
    </w:p>
  </w:footnote>
  <w:footnote w:id="19">
    <w:p w:rsidR="00C879E0" w:rsidRDefault="00C879E0">
      <w:pPr>
        <w:pStyle w:val="FootnoteText"/>
      </w:pPr>
      <w:r>
        <w:rPr>
          <w:rStyle w:val="FootnoteReference"/>
        </w:rPr>
        <w:footnoteRef/>
      </w:r>
      <w:r>
        <w:t xml:space="preserve"> Gabriel 2010: 62-72</w:t>
      </w:r>
    </w:p>
  </w:footnote>
  <w:footnote w:id="20">
    <w:p w:rsidR="00C879E0" w:rsidRDefault="00C879E0">
      <w:pPr>
        <w:pStyle w:val="FootnoteText"/>
      </w:pPr>
      <w:r>
        <w:rPr>
          <w:rStyle w:val="FootnoteReference"/>
        </w:rPr>
        <w:footnoteRef/>
      </w:r>
      <w:r>
        <w:t xml:space="preserve"> Gabriel 2010 72-82</w:t>
      </w:r>
    </w:p>
  </w:footnote>
  <w:footnote w:id="21">
    <w:p w:rsidR="009D3D05" w:rsidRDefault="009D3D05">
      <w:pPr>
        <w:pStyle w:val="FootnoteText"/>
      </w:pPr>
      <w:r>
        <w:rPr>
          <w:rStyle w:val="FootnoteReference"/>
        </w:rPr>
        <w:footnoteRef/>
      </w:r>
      <w:r>
        <w:t xml:space="preserve"> Gabriel 2010: 103, 117</w:t>
      </w:r>
    </w:p>
  </w:footnote>
  <w:footnote w:id="22">
    <w:p w:rsidR="009D3D05" w:rsidRDefault="009D3D05">
      <w:pPr>
        <w:pStyle w:val="FootnoteText"/>
      </w:pPr>
      <w:r>
        <w:rPr>
          <w:rStyle w:val="FootnoteReference"/>
        </w:rPr>
        <w:footnoteRef/>
      </w:r>
      <w:r>
        <w:t xml:space="preserve"> Gabriel 2010: 97</w:t>
      </w:r>
    </w:p>
  </w:footnote>
  <w:footnote w:id="23">
    <w:p w:rsidR="00F368E2" w:rsidRDefault="00F368E2">
      <w:pPr>
        <w:pStyle w:val="FootnoteText"/>
      </w:pPr>
      <w:r>
        <w:rPr>
          <w:rStyle w:val="FootnoteReference"/>
        </w:rPr>
        <w:footnoteRef/>
      </w:r>
      <w:r>
        <w:t xml:space="preserve"> </w:t>
      </w:r>
      <w:r>
        <w:t>Fox 2015: 335-337</w:t>
      </w:r>
      <w:r>
        <w:t xml:space="preserve">; Gabriel 2010: 97 </w:t>
      </w:r>
    </w:p>
  </w:footnote>
  <w:footnote w:id="24">
    <w:p w:rsidR="009D3D05" w:rsidRDefault="009D3D05">
      <w:pPr>
        <w:pStyle w:val="FootnoteText"/>
      </w:pPr>
      <w:r>
        <w:rPr>
          <w:rStyle w:val="FootnoteReference"/>
        </w:rPr>
        <w:footnoteRef/>
      </w:r>
      <w:r>
        <w:t xml:space="preserve"> Gabriel 2010: 100, 102, 104, 105</w:t>
      </w:r>
    </w:p>
  </w:footnote>
  <w:footnote w:id="25">
    <w:p w:rsidR="009D3D05" w:rsidRDefault="009D3D05">
      <w:pPr>
        <w:pStyle w:val="FootnoteText"/>
      </w:pPr>
      <w:r>
        <w:rPr>
          <w:rStyle w:val="FootnoteReference"/>
        </w:rPr>
        <w:footnoteRef/>
      </w:r>
      <w:r>
        <w:t xml:space="preserve"> </w:t>
      </w:r>
      <w:proofErr w:type="spellStart"/>
      <w:r>
        <w:t>Diod</w:t>
      </w:r>
      <w:proofErr w:type="spellEnd"/>
      <w:r>
        <w:t xml:space="preserve">. 16.3, 16.8; Gabriel 2010: 98, 114; </w:t>
      </w:r>
      <w:proofErr w:type="spellStart"/>
      <w:r>
        <w:t>Bissa</w:t>
      </w:r>
      <w:proofErr w:type="spellEnd"/>
      <w:r>
        <w:t xml:space="preserve"> 2009: 137-140</w:t>
      </w:r>
    </w:p>
  </w:footnote>
  <w:footnote w:id="26">
    <w:p w:rsidR="009D3D05" w:rsidRDefault="009D3D05">
      <w:pPr>
        <w:pStyle w:val="FootnoteText"/>
      </w:pPr>
      <w:r>
        <w:rPr>
          <w:rStyle w:val="FootnoteReference"/>
        </w:rPr>
        <w:footnoteRef/>
      </w:r>
      <w:r>
        <w:t xml:space="preserve"> Gabriel 2010: 110-114</w:t>
      </w:r>
    </w:p>
  </w:footnote>
  <w:footnote w:id="27">
    <w:p w:rsidR="009D3D05" w:rsidRDefault="009D3D05">
      <w:pPr>
        <w:pStyle w:val="FootnoteText"/>
      </w:pPr>
      <w:r>
        <w:rPr>
          <w:rStyle w:val="FootnoteReference"/>
        </w:rPr>
        <w:footnoteRef/>
      </w:r>
      <w:r>
        <w:t xml:space="preserve"> Gabriel 2010: 138-139</w:t>
      </w:r>
    </w:p>
  </w:footnote>
  <w:footnote w:id="28">
    <w:p w:rsidR="009D3D05" w:rsidRDefault="009D3D05">
      <w:pPr>
        <w:pStyle w:val="FootnoteText"/>
      </w:pPr>
      <w:r>
        <w:rPr>
          <w:rStyle w:val="FootnoteReference"/>
        </w:rPr>
        <w:footnoteRef/>
      </w:r>
      <w:r>
        <w:t xml:space="preserve"> Gabriel 2010: 128-130</w:t>
      </w:r>
    </w:p>
  </w:footnote>
  <w:footnote w:id="29">
    <w:p w:rsidR="009D3D05" w:rsidRDefault="009D3D05">
      <w:pPr>
        <w:pStyle w:val="FootnoteText"/>
      </w:pPr>
      <w:r>
        <w:rPr>
          <w:rStyle w:val="FootnoteReference"/>
        </w:rPr>
        <w:footnoteRef/>
      </w:r>
      <w:r>
        <w:t xml:space="preserve"> Gabriel 2010: 129</w:t>
      </w:r>
    </w:p>
  </w:footnote>
  <w:footnote w:id="30">
    <w:p w:rsidR="009D3D05" w:rsidRDefault="009D3D05">
      <w:pPr>
        <w:pStyle w:val="FootnoteText"/>
      </w:pPr>
      <w:r>
        <w:rPr>
          <w:rStyle w:val="FootnoteReference"/>
        </w:rPr>
        <w:footnoteRef/>
      </w:r>
      <w:r>
        <w:t xml:space="preserve"> </w:t>
      </w:r>
      <w:proofErr w:type="spellStart"/>
      <w:r>
        <w:t>Cawkwell</w:t>
      </w:r>
      <w:proofErr w:type="spellEnd"/>
      <w:r>
        <w:t xml:space="preserve"> 1978: 61; Gabriel 2010: 129; King 2018: 78-79</w:t>
      </w:r>
    </w:p>
  </w:footnote>
  <w:footnote w:id="31">
    <w:p w:rsidR="009D3D05" w:rsidRDefault="009D3D05">
      <w:pPr>
        <w:pStyle w:val="FootnoteText"/>
      </w:pPr>
      <w:r>
        <w:rPr>
          <w:rStyle w:val="FootnoteReference"/>
        </w:rPr>
        <w:footnoteRef/>
      </w:r>
      <w:r>
        <w:t xml:space="preserve"> Gabriel 2010: 132-135; Worthington 2008; 62-63</w:t>
      </w:r>
    </w:p>
  </w:footnote>
  <w:footnote w:id="32">
    <w:p w:rsidR="009D3D05" w:rsidRDefault="009D3D05">
      <w:pPr>
        <w:pStyle w:val="FootnoteText"/>
      </w:pPr>
      <w:r>
        <w:rPr>
          <w:rStyle w:val="FootnoteReference"/>
        </w:rPr>
        <w:footnoteRef/>
      </w:r>
      <w:r>
        <w:t xml:space="preserve"> Gabriel 2010: 141; Worthington 2008: 66-67</w:t>
      </w:r>
    </w:p>
  </w:footnote>
  <w:footnote w:id="33">
    <w:p w:rsidR="009D3D05" w:rsidRDefault="009D3D05">
      <w:pPr>
        <w:pStyle w:val="FootnoteText"/>
      </w:pPr>
      <w:r>
        <w:rPr>
          <w:rStyle w:val="FootnoteReference"/>
        </w:rPr>
        <w:footnoteRef/>
      </w:r>
      <w:r>
        <w:t xml:space="preserve"> </w:t>
      </w:r>
      <w:proofErr w:type="spellStart"/>
      <w:r>
        <w:t>Diod</w:t>
      </w:r>
      <w:proofErr w:type="spellEnd"/>
      <w:r>
        <w:t>. 16.38; Gabriel 2010: 141</w:t>
      </w:r>
    </w:p>
  </w:footnote>
  <w:footnote w:id="34">
    <w:p w:rsidR="009D3D05" w:rsidRDefault="009D3D05">
      <w:pPr>
        <w:pStyle w:val="FootnoteText"/>
      </w:pPr>
      <w:r>
        <w:rPr>
          <w:rStyle w:val="FootnoteReference"/>
        </w:rPr>
        <w:footnoteRef/>
      </w:r>
      <w:r>
        <w:t xml:space="preserve"> King 2018: 79</w:t>
      </w:r>
    </w:p>
  </w:footnote>
  <w:footnote w:id="35">
    <w:p w:rsidR="009D3D05" w:rsidRDefault="009D3D05">
      <w:pPr>
        <w:pStyle w:val="FootnoteText"/>
      </w:pPr>
      <w:r>
        <w:rPr>
          <w:rStyle w:val="FootnoteReference"/>
        </w:rPr>
        <w:footnoteRef/>
      </w:r>
      <w:r>
        <w:t xml:space="preserve"> Gabriel 2010: 143</w:t>
      </w:r>
    </w:p>
  </w:footnote>
  <w:footnote w:id="36">
    <w:p w:rsidR="009D3D05" w:rsidRDefault="009D3D05">
      <w:pPr>
        <w:pStyle w:val="FootnoteText"/>
      </w:pPr>
      <w:r>
        <w:rPr>
          <w:rStyle w:val="FootnoteReference"/>
        </w:rPr>
        <w:footnoteRef/>
      </w:r>
      <w:r>
        <w:t xml:space="preserve"> Gabriel 2010: 144-145</w:t>
      </w:r>
    </w:p>
  </w:footnote>
  <w:footnote w:id="37">
    <w:p w:rsidR="009D3D05" w:rsidRDefault="009D3D05">
      <w:pPr>
        <w:pStyle w:val="FootnoteText"/>
      </w:pPr>
      <w:r>
        <w:rPr>
          <w:rStyle w:val="FootnoteReference"/>
        </w:rPr>
        <w:footnoteRef/>
      </w:r>
      <w:r>
        <w:t xml:space="preserve"> Gabriel 2010: 145-147</w:t>
      </w:r>
    </w:p>
  </w:footnote>
  <w:footnote w:id="38">
    <w:p w:rsidR="009D3D05" w:rsidRDefault="009D3D05">
      <w:pPr>
        <w:pStyle w:val="FootnoteText"/>
      </w:pPr>
      <w:r>
        <w:rPr>
          <w:rStyle w:val="FootnoteReference"/>
        </w:rPr>
        <w:footnoteRef/>
      </w:r>
      <w:r>
        <w:t xml:space="preserve"> Gabriel 2010: 147; King 2018: 80</w:t>
      </w:r>
    </w:p>
  </w:footnote>
  <w:footnote w:id="39">
    <w:p w:rsidR="009D3D05" w:rsidRDefault="009D3D05">
      <w:pPr>
        <w:pStyle w:val="FootnoteText"/>
      </w:pPr>
      <w:r>
        <w:rPr>
          <w:rStyle w:val="FootnoteReference"/>
        </w:rPr>
        <w:footnoteRef/>
      </w:r>
      <w:r>
        <w:t xml:space="preserve"> Gabriel 2010: 149; King 2018: 82-83</w:t>
      </w:r>
    </w:p>
  </w:footnote>
  <w:footnote w:id="40">
    <w:p w:rsidR="009D3D05" w:rsidRDefault="009D3D05">
      <w:pPr>
        <w:pStyle w:val="FootnoteText"/>
      </w:pPr>
      <w:r>
        <w:rPr>
          <w:rStyle w:val="FootnoteReference"/>
        </w:rPr>
        <w:footnoteRef/>
      </w:r>
      <w:r>
        <w:t xml:space="preserve"> Gabriel 2010: 151; Worthington 2008: 110-111</w:t>
      </w:r>
    </w:p>
  </w:footnote>
  <w:footnote w:id="41">
    <w:p w:rsidR="009D3D05" w:rsidRDefault="009D3D05">
      <w:pPr>
        <w:pStyle w:val="FootnoteText"/>
      </w:pPr>
      <w:r>
        <w:rPr>
          <w:rStyle w:val="FootnoteReference"/>
        </w:rPr>
        <w:footnoteRef/>
      </w:r>
      <w:r>
        <w:t xml:space="preserve"> Gabriel 2010: 152</w:t>
      </w:r>
    </w:p>
  </w:footnote>
  <w:footnote w:id="42">
    <w:p w:rsidR="009D3D05" w:rsidRDefault="009D3D05">
      <w:pPr>
        <w:pStyle w:val="FootnoteText"/>
      </w:pPr>
      <w:r>
        <w:rPr>
          <w:rStyle w:val="FootnoteReference"/>
        </w:rPr>
        <w:footnoteRef/>
      </w:r>
      <w:r>
        <w:t xml:space="preserve"> Gabriel 2010: 152-153</w:t>
      </w:r>
    </w:p>
  </w:footnote>
  <w:footnote w:id="43">
    <w:p w:rsidR="009D3D05" w:rsidRDefault="009D3D05">
      <w:pPr>
        <w:pStyle w:val="FootnoteText"/>
      </w:pPr>
      <w:r>
        <w:rPr>
          <w:rStyle w:val="FootnoteReference"/>
        </w:rPr>
        <w:footnoteRef/>
      </w:r>
      <w:r>
        <w:t xml:space="preserve"> Gabriel 2010: 153</w:t>
      </w:r>
    </w:p>
  </w:footnote>
  <w:footnote w:id="44">
    <w:p w:rsidR="009D3D05" w:rsidRDefault="009D3D05">
      <w:pPr>
        <w:pStyle w:val="FootnoteText"/>
      </w:pPr>
      <w:r>
        <w:rPr>
          <w:rStyle w:val="FootnoteReference"/>
        </w:rPr>
        <w:footnoteRef/>
      </w:r>
      <w:r>
        <w:t xml:space="preserve"> King 2018: 92-93</w:t>
      </w:r>
    </w:p>
  </w:footnote>
  <w:footnote w:id="45">
    <w:p w:rsidR="00FD2135" w:rsidRDefault="00FD2135">
      <w:pPr>
        <w:pStyle w:val="FootnoteText"/>
      </w:pPr>
      <w:r>
        <w:rPr>
          <w:rStyle w:val="FootnoteReference"/>
        </w:rPr>
        <w:footnoteRef/>
      </w:r>
      <w:r>
        <w:t xml:space="preserve"> </w:t>
      </w:r>
      <w:r>
        <w:t>Gabriel 2010: 153; King 2018: 92-93</w:t>
      </w:r>
    </w:p>
  </w:footnote>
  <w:footnote w:id="46">
    <w:p w:rsidR="009D3D05" w:rsidRDefault="009D3D05">
      <w:pPr>
        <w:pStyle w:val="FootnoteText"/>
      </w:pPr>
      <w:r>
        <w:rPr>
          <w:rStyle w:val="FootnoteReference"/>
        </w:rPr>
        <w:footnoteRef/>
      </w:r>
      <w:r>
        <w:t xml:space="preserve"> Gabriel 2010: 153; King 2018: 92-93</w:t>
      </w:r>
    </w:p>
  </w:footnote>
  <w:footnote w:id="47">
    <w:p w:rsidR="009D3D05" w:rsidRDefault="009D3D05">
      <w:pPr>
        <w:pStyle w:val="FootnoteText"/>
      </w:pPr>
      <w:r>
        <w:rPr>
          <w:rStyle w:val="FootnoteReference"/>
        </w:rPr>
        <w:footnoteRef/>
      </w:r>
      <w:r>
        <w:t xml:space="preserve"> Gabriel 2010: 155</w:t>
      </w:r>
    </w:p>
  </w:footnote>
  <w:footnote w:id="48">
    <w:p w:rsidR="009D3D05" w:rsidRDefault="009D3D05">
      <w:pPr>
        <w:pStyle w:val="FootnoteText"/>
      </w:pPr>
      <w:r>
        <w:rPr>
          <w:rStyle w:val="FootnoteReference"/>
        </w:rPr>
        <w:footnoteRef/>
      </w:r>
      <w:r>
        <w:t xml:space="preserve"> </w:t>
      </w:r>
      <w:proofErr w:type="spellStart"/>
      <w:r>
        <w:t>Diod</w:t>
      </w:r>
      <w:proofErr w:type="spellEnd"/>
      <w:r>
        <w:t>. 16.53; Gabriel 2010: 155</w:t>
      </w:r>
    </w:p>
  </w:footnote>
  <w:footnote w:id="49">
    <w:p w:rsidR="009D3D05" w:rsidRDefault="009D3D05">
      <w:pPr>
        <w:pStyle w:val="FootnoteText"/>
      </w:pPr>
      <w:r>
        <w:rPr>
          <w:rStyle w:val="FootnoteReference"/>
        </w:rPr>
        <w:footnoteRef/>
      </w:r>
      <w:r>
        <w:t xml:space="preserve"> Gabriel 2010: 162-163; King 2018: 83</w:t>
      </w:r>
    </w:p>
  </w:footnote>
  <w:footnote w:id="50">
    <w:p w:rsidR="009D3D05" w:rsidRDefault="009D3D05">
      <w:pPr>
        <w:pStyle w:val="FootnoteText"/>
      </w:pPr>
      <w:r>
        <w:rPr>
          <w:rStyle w:val="FootnoteReference"/>
        </w:rPr>
        <w:footnoteRef/>
      </w:r>
      <w:r>
        <w:t xml:space="preserve"> Dem. 5 13; Gabriel 2010: 162-163</w:t>
      </w:r>
    </w:p>
  </w:footnote>
  <w:footnote w:id="51">
    <w:p w:rsidR="009D3D05" w:rsidRDefault="009D3D05">
      <w:pPr>
        <w:pStyle w:val="FootnoteText"/>
      </w:pPr>
      <w:r>
        <w:rPr>
          <w:rStyle w:val="FootnoteReference"/>
        </w:rPr>
        <w:footnoteRef/>
      </w:r>
      <w:r>
        <w:t xml:space="preserve"> Gabriel 2010: 167</w:t>
      </w:r>
    </w:p>
  </w:footnote>
  <w:footnote w:id="52">
    <w:p w:rsidR="009D3D05" w:rsidRDefault="009D3D05">
      <w:pPr>
        <w:pStyle w:val="FootnoteText"/>
      </w:pPr>
      <w:r>
        <w:rPr>
          <w:rStyle w:val="FootnoteReference"/>
        </w:rPr>
        <w:footnoteRef/>
      </w:r>
      <w:r>
        <w:t xml:space="preserve"> Gabriel 2010: 168</w:t>
      </w:r>
    </w:p>
  </w:footnote>
  <w:footnote w:id="53">
    <w:p w:rsidR="009D3D05" w:rsidRDefault="009D3D05">
      <w:pPr>
        <w:pStyle w:val="FootnoteText"/>
      </w:pPr>
      <w:r>
        <w:rPr>
          <w:rStyle w:val="FootnoteReference"/>
        </w:rPr>
        <w:footnoteRef/>
      </w:r>
      <w:r>
        <w:t xml:space="preserve"> Gabriel 2010: 169</w:t>
      </w:r>
    </w:p>
  </w:footnote>
  <w:footnote w:id="54">
    <w:p w:rsidR="009D3D05" w:rsidRDefault="009D3D05">
      <w:pPr>
        <w:pStyle w:val="FootnoteText"/>
      </w:pPr>
      <w:r>
        <w:rPr>
          <w:rStyle w:val="FootnoteReference"/>
        </w:rPr>
        <w:footnoteRef/>
      </w:r>
      <w:r>
        <w:t xml:space="preserve"> King 2018: 102-103</w:t>
      </w:r>
    </w:p>
  </w:footnote>
  <w:footnote w:id="55">
    <w:p w:rsidR="009D3D05" w:rsidRDefault="009D3D05">
      <w:pPr>
        <w:pStyle w:val="FootnoteText"/>
      </w:pPr>
      <w:r>
        <w:rPr>
          <w:rStyle w:val="FootnoteReference"/>
        </w:rPr>
        <w:footnoteRef/>
      </w:r>
      <w:r>
        <w:t xml:space="preserve"> Gabriel 2010: 177</w:t>
      </w:r>
    </w:p>
  </w:footnote>
  <w:footnote w:id="56">
    <w:p w:rsidR="009D3D05" w:rsidRDefault="009D3D05">
      <w:pPr>
        <w:pStyle w:val="FootnoteText"/>
      </w:pPr>
      <w:r>
        <w:rPr>
          <w:rStyle w:val="FootnoteReference"/>
        </w:rPr>
        <w:footnoteRef/>
      </w:r>
      <w:r>
        <w:t xml:space="preserve"> Gabriel 2010: 177-178</w:t>
      </w:r>
    </w:p>
  </w:footnote>
  <w:footnote w:id="57">
    <w:p w:rsidR="009D3D05" w:rsidRDefault="009D3D05">
      <w:pPr>
        <w:pStyle w:val="FootnoteText"/>
      </w:pPr>
      <w:r>
        <w:rPr>
          <w:rStyle w:val="FootnoteReference"/>
        </w:rPr>
        <w:footnoteRef/>
      </w:r>
      <w:r>
        <w:t xml:space="preserve"> Gabriel 2010: 180</w:t>
      </w:r>
    </w:p>
  </w:footnote>
  <w:footnote w:id="58">
    <w:p w:rsidR="009D3D05" w:rsidRDefault="009D3D05">
      <w:pPr>
        <w:pStyle w:val="FootnoteText"/>
      </w:pPr>
      <w:r>
        <w:rPr>
          <w:rStyle w:val="FootnoteReference"/>
        </w:rPr>
        <w:footnoteRef/>
      </w:r>
      <w:r>
        <w:t xml:space="preserve"> Gabriel 2010: 189; Worthington 2008: 126</w:t>
      </w:r>
    </w:p>
  </w:footnote>
  <w:footnote w:id="59">
    <w:p w:rsidR="009D3D05" w:rsidRDefault="009D3D05">
      <w:pPr>
        <w:pStyle w:val="FootnoteText"/>
      </w:pPr>
      <w:r>
        <w:rPr>
          <w:rStyle w:val="FootnoteReference"/>
        </w:rPr>
        <w:footnoteRef/>
      </w:r>
      <w:r>
        <w:t xml:space="preserve"> Gabriel 2010: 189; Worthington 2008: 126</w:t>
      </w:r>
    </w:p>
  </w:footnote>
  <w:footnote w:id="60">
    <w:p w:rsidR="00F93EF0" w:rsidRDefault="00F93EF0">
      <w:pPr>
        <w:pStyle w:val="FootnoteText"/>
      </w:pPr>
      <w:r>
        <w:rPr>
          <w:rStyle w:val="FootnoteReference"/>
        </w:rPr>
        <w:footnoteRef/>
      </w:r>
      <w:r>
        <w:t xml:space="preserve"> Gabriel 2010: 199-200</w:t>
      </w:r>
    </w:p>
  </w:footnote>
  <w:footnote w:id="61">
    <w:p w:rsidR="00F93EF0" w:rsidRDefault="00F93EF0">
      <w:pPr>
        <w:pStyle w:val="FootnoteText"/>
      </w:pPr>
      <w:r>
        <w:rPr>
          <w:rStyle w:val="FootnoteReference"/>
        </w:rPr>
        <w:footnoteRef/>
      </w:r>
      <w:r>
        <w:t xml:space="preserve"> Gabriel 2010: 202</w:t>
      </w:r>
    </w:p>
  </w:footnote>
  <w:footnote w:id="62">
    <w:p w:rsidR="00F93EF0" w:rsidRDefault="00F93EF0">
      <w:pPr>
        <w:pStyle w:val="FootnoteText"/>
      </w:pPr>
      <w:r>
        <w:rPr>
          <w:rStyle w:val="FootnoteReference"/>
        </w:rPr>
        <w:footnoteRef/>
      </w:r>
      <w:r>
        <w:t xml:space="preserve"> Gabriel 2010: 200-203; Worthington 2008: 138-140</w:t>
      </w:r>
    </w:p>
  </w:footnote>
  <w:footnote w:id="63">
    <w:p w:rsidR="00DA0072" w:rsidRDefault="00DA0072">
      <w:pPr>
        <w:pStyle w:val="FootnoteText"/>
      </w:pPr>
      <w:r>
        <w:rPr>
          <w:rStyle w:val="FootnoteReference"/>
        </w:rPr>
        <w:footnoteRef/>
      </w:r>
      <w:r>
        <w:t xml:space="preserve"> Gabriel 2010: 200-203; Worthington 2008: 138-140</w:t>
      </w:r>
    </w:p>
  </w:footnote>
  <w:footnote w:id="64">
    <w:p w:rsidR="00DA0072" w:rsidRDefault="00DA0072">
      <w:pPr>
        <w:pStyle w:val="FootnoteText"/>
      </w:pPr>
      <w:r>
        <w:rPr>
          <w:rStyle w:val="FootnoteReference"/>
        </w:rPr>
        <w:footnoteRef/>
      </w:r>
      <w:r>
        <w:t xml:space="preserve"> Borza </w:t>
      </w:r>
      <w:r w:rsidR="005A5826">
        <w:t xml:space="preserve">1990: 225; </w:t>
      </w:r>
      <w:proofErr w:type="spellStart"/>
      <w:r>
        <w:t>Cawkwell</w:t>
      </w:r>
      <w:proofErr w:type="spellEnd"/>
      <w:r>
        <w:t xml:space="preserve"> 1978: 145-149</w:t>
      </w:r>
      <w:r>
        <w:t>; Gabriel 2010: 214-222; King 2018: 95-96; Worthington 2008: 147-151</w:t>
      </w:r>
    </w:p>
  </w:footnote>
  <w:footnote w:id="65">
    <w:p w:rsidR="005A5826" w:rsidRDefault="005A5826">
      <w:pPr>
        <w:pStyle w:val="FootnoteText"/>
      </w:pPr>
      <w:r>
        <w:rPr>
          <w:rStyle w:val="FootnoteReference"/>
        </w:rPr>
        <w:footnoteRef/>
      </w:r>
      <w:r>
        <w:t xml:space="preserve"> Gabriel 2010: 223</w:t>
      </w:r>
    </w:p>
  </w:footnote>
  <w:footnote w:id="66">
    <w:p w:rsidR="005A5826" w:rsidRDefault="005A5826">
      <w:pPr>
        <w:pStyle w:val="FootnoteText"/>
      </w:pPr>
      <w:r>
        <w:rPr>
          <w:rStyle w:val="FootnoteReference"/>
        </w:rPr>
        <w:footnoteRef/>
      </w:r>
      <w:r>
        <w:t xml:space="preserve"> Gabriel 2010: 223</w:t>
      </w:r>
    </w:p>
  </w:footnote>
  <w:footnote w:id="67">
    <w:p w:rsidR="00CE75B1" w:rsidRDefault="00CE75B1">
      <w:pPr>
        <w:pStyle w:val="FootnoteText"/>
      </w:pPr>
      <w:r>
        <w:rPr>
          <w:rStyle w:val="FootnoteReference"/>
        </w:rPr>
        <w:footnoteRef/>
      </w:r>
      <w:r>
        <w:t xml:space="preserve"> Gabriel 243-251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2B2C"/>
    <w:rsid w:val="00020CA1"/>
    <w:rsid w:val="00021FC8"/>
    <w:rsid w:val="00031333"/>
    <w:rsid w:val="000949B6"/>
    <w:rsid w:val="000D22C2"/>
    <w:rsid w:val="000D7EB0"/>
    <w:rsid w:val="000E3CB0"/>
    <w:rsid w:val="000F07A8"/>
    <w:rsid w:val="001173C8"/>
    <w:rsid w:val="00182D43"/>
    <w:rsid w:val="0019491B"/>
    <w:rsid w:val="001C5E17"/>
    <w:rsid w:val="00214CCF"/>
    <w:rsid w:val="00233E23"/>
    <w:rsid w:val="002801E8"/>
    <w:rsid w:val="002F7C0C"/>
    <w:rsid w:val="00315845"/>
    <w:rsid w:val="00335AB6"/>
    <w:rsid w:val="003665B4"/>
    <w:rsid w:val="00381663"/>
    <w:rsid w:val="003C2E62"/>
    <w:rsid w:val="003F6692"/>
    <w:rsid w:val="004340C8"/>
    <w:rsid w:val="00434136"/>
    <w:rsid w:val="00434EF9"/>
    <w:rsid w:val="004368D2"/>
    <w:rsid w:val="00506DB2"/>
    <w:rsid w:val="00516BFB"/>
    <w:rsid w:val="005A5826"/>
    <w:rsid w:val="00613F17"/>
    <w:rsid w:val="00623DD4"/>
    <w:rsid w:val="00623EBB"/>
    <w:rsid w:val="00660563"/>
    <w:rsid w:val="00700F8A"/>
    <w:rsid w:val="007442AD"/>
    <w:rsid w:val="0077378A"/>
    <w:rsid w:val="007A06CA"/>
    <w:rsid w:val="007B2E60"/>
    <w:rsid w:val="007E1C97"/>
    <w:rsid w:val="007F5ABB"/>
    <w:rsid w:val="00882AA9"/>
    <w:rsid w:val="00896029"/>
    <w:rsid w:val="00896D65"/>
    <w:rsid w:val="008D0787"/>
    <w:rsid w:val="008D7214"/>
    <w:rsid w:val="009538A8"/>
    <w:rsid w:val="009D3D05"/>
    <w:rsid w:val="009F5671"/>
    <w:rsid w:val="00A02E8F"/>
    <w:rsid w:val="00A13D9C"/>
    <w:rsid w:val="00A32B2C"/>
    <w:rsid w:val="00A364B0"/>
    <w:rsid w:val="00B023CE"/>
    <w:rsid w:val="00B22C15"/>
    <w:rsid w:val="00B54163"/>
    <w:rsid w:val="00B55435"/>
    <w:rsid w:val="00B663DD"/>
    <w:rsid w:val="00BB245F"/>
    <w:rsid w:val="00C14BD7"/>
    <w:rsid w:val="00C73BF4"/>
    <w:rsid w:val="00C80E5F"/>
    <w:rsid w:val="00C879E0"/>
    <w:rsid w:val="00CA37D4"/>
    <w:rsid w:val="00CE75B1"/>
    <w:rsid w:val="00DA0072"/>
    <w:rsid w:val="00DD11F4"/>
    <w:rsid w:val="00DD3071"/>
    <w:rsid w:val="00E03C15"/>
    <w:rsid w:val="00E749C8"/>
    <w:rsid w:val="00EE00B0"/>
    <w:rsid w:val="00EE02B1"/>
    <w:rsid w:val="00EE417A"/>
    <w:rsid w:val="00F368E2"/>
    <w:rsid w:val="00F50029"/>
    <w:rsid w:val="00F544E8"/>
    <w:rsid w:val="00F93EF0"/>
    <w:rsid w:val="00FA49FD"/>
    <w:rsid w:val="00FD21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FBFC5B"/>
  <w15:chartTrackingRefBased/>
  <w15:docId w15:val="{0CBE4E5F-401B-48E1-93DB-72D64A392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7A06C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A06CA"/>
    <w:rPr>
      <w:sz w:val="20"/>
      <w:szCs w:val="20"/>
    </w:rPr>
  </w:style>
  <w:style w:type="character" w:styleId="FootnoteReference">
    <w:name w:val="footnote reference"/>
    <w:basedOn w:val="DefaultParagraphFont"/>
    <w:uiPriority w:val="99"/>
    <w:semiHidden/>
    <w:unhideWhenUsed/>
    <w:rsid w:val="007A06C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2D714E-DCAE-493F-83E8-39C4797A01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527</TotalTime>
  <Pages>7</Pages>
  <Words>2528</Words>
  <Characters>14415</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Student</cp:lastModifiedBy>
  <cp:revision>10</cp:revision>
  <dcterms:created xsi:type="dcterms:W3CDTF">2019-03-25T19:52:00Z</dcterms:created>
  <dcterms:modified xsi:type="dcterms:W3CDTF">2019-04-05T20:57:00Z</dcterms:modified>
</cp:coreProperties>
</file>