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DA238" w14:textId="77777777" w:rsidR="000D5796" w:rsidRDefault="000D5796" w:rsidP="000D5796">
      <w:r>
        <w:t xml:space="preserve">This essay will be addressing what happened at the Terrys party in question, assessing how it came to be and also advise Karim of his potential criminal liability alongside any defences that he could use in to assist him in his case. This will be done by using accessible information and assessing what laws Karim has broken and applying the </w:t>
      </w:r>
      <w:proofErr w:type="spellStart"/>
      <w:r>
        <w:t>mens</w:t>
      </w:r>
      <w:proofErr w:type="spellEnd"/>
      <w:r>
        <w:t xml:space="preserve"> reus and actus reus with examples of different cases that might have similarities to this case and then apply defences that could be used by Karim. </w:t>
      </w:r>
    </w:p>
    <w:p w14:paraId="46CE1B15" w14:textId="77777777" w:rsidR="006300E0" w:rsidRDefault="000D5796" w:rsidP="000D5796">
      <w:r>
        <w:t xml:space="preserve">The party in question was held at Terrys house while his family were out of town. He was told not to have anyone round but still went through with inviting some friends over. Karim started off his night with someone spilling red wine on his white top, so he had to go change, however it says that the top he changed into was Terrys fathers which was in Terrys parents’ room which was off limits, this was known and evident because terry had put a sign up telling “NO ENTRY” which clearly suggests that Terry doesn’t want anyone to enter this room and that its off limits. </w:t>
      </w:r>
      <w:r w:rsidR="003F12F1">
        <w:t xml:space="preserve">Within </w:t>
      </w:r>
      <w:r w:rsidR="008E258B">
        <w:t>t</w:t>
      </w:r>
      <w:r w:rsidR="003F12F1">
        <w:t xml:space="preserve">his statement </w:t>
      </w:r>
      <w:r w:rsidR="008E258B">
        <w:t xml:space="preserve">it can be argued that </w:t>
      </w:r>
      <w:r w:rsidR="003F12F1">
        <w:t xml:space="preserve">Karim </w:t>
      </w:r>
      <w:r w:rsidR="008E258B">
        <w:t>has committed the</w:t>
      </w:r>
      <w:r w:rsidR="003F12F1">
        <w:t xml:space="preserve"> crime of burglary </w:t>
      </w:r>
      <w:r w:rsidR="008E258B">
        <w:t xml:space="preserve">and could be charged under the </w:t>
      </w:r>
      <w:r w:rsidR="008E258B" w:rsidRPr="008E258B">
        <w:t>s9(1)(a) Theft Act 1968</w:t>
      </w:r>
      <w:r w:rsidR="008E258B">
        <w:t xml:space="preserve">. </w:t>
      </w:r>
    </w:p>
    <w:p w14:paraId="6655013A" w14:textId="700E7BA4" w:rsidR="00386646" w:rsidRDefault="008E258B" w:rsidP="000D5796">
      <w:r w:rsidRPr="008E258B">
        <w:t xml:space="preserve">A person </w:t>
      </w:r>
      <w:r>
        <w:t>can be found</w:t>
      </w:r>
      <w:r w:rsidRPr="008E258B">
        <w:t xml:space="preserve"> guilty of burglary i</w:t>
      </w:r>
      <w:r>
        <w:t>f they</w:t>
      </w:r>
      <w:r w:rsidRPr="008E258B">
        <w:t xml:space="preserve"> enter any building or part of a building as a trespasser with </w:t>
      </w:r>
      <w:r w:rsidR="00C51203">
        <w:t xml:space="preserve">the </w:t>
      </w:r>
      <w:r w:rsidRPr="008E258B">
        <w:t>intent</w:t>
      </w:r>
      <w:r w:rsidR="00C51203">
        <w:t xml:space="preserve"> </w:t>
      </w:r>
      <w:r w:rsidRPr="008E258B">
        <w:t>to commit any</w:t>
      </w:r>
      <w:r w:rsidR="00C51203">
        <w:t xml:space="preserve"> of these</w:t>
      </w:r>
      <w:r w:rsidRPr="008E258B">
        <w:t xml:space="preserve"> offence</w:t>
      </w:r>
      <w:r w:rsidR="00C51203">
        <w:t>s which include firstly</w:t>
      </w:r>
      <w:r w:rsidRPr="008E258B">
        <w:t xml:space="preserve"> </w:t>
      </w:r>
      <w:r w:rsidR="00C51203">
        <w:t>s</w:t>
      </w:r>
      <w:r w:rsidRPr="008E258B">
        <w:t>tealing anything in the building or part of a building</w:t>
      </w:r>
      <w:r w:rsidR="00C51203">
        <w:t>, i</w:t>
      </w:r>
      <w:r w:rsidRPr="008E258B">
        <w:t>nflicting GBH on any person inside</w:t>
      </w:r>
      <w:r w:rsidR="00C51203">
        <w:t xml:space="preserve"> or d</w:t>
      </w:r>
      <w:r w:rsidRPr="008E258B">
        <w:t>oing unlawful criminal damage to the building or anything inside</w:t>
      </w:r>
      <w:r w:rsidR="00C51203">
        <w:t xml:space="preserve">. </w:t>
      </w:r>
      <w:r w:rsidR="00B66635">
        <w:t>For burglary t</w:t>
      </w:r>
      <w:r w:rsidR="00C51203">
        <w:t xml:space="preserve">he actus reus </w:t>
      </w:r>
      <w:r w:rsidR="00B66635">
        <w:t xml:space="preserve">is that the person in question entered </w:t>
      </w:r>
      <w:r w:rsidR="004D7D78">
        <w:t xml:space="preserve">a building or part of a building as a trespasser, this can be seen through the actions of Karim when going to change his top and entering Terry’s </w:t>
      </w:r>
      <w:r w:rsidR="00A85051">
        <w:t>parents’</w:t>
      </w:r>
      <w:r w:rsidR="004D7D78">
        <w:t xml:space="preserve"> room which was completely off limits for everyone and </w:t>
      </w:r>
      <w:r>
        <w:t>i</w:t>
      </w:r>
      <w:r w:rsidR="003F12F1">
        <w:t>n the current law its stated that o</w:t>
      </w:r>
      <w:r w:rsidR="00F12452" w:rsidRPr="00F12452">
        <w:t>nly entry need be effective</w:t>
      </w:r>
      <w:r w:rsidR="003F12F1">
        <w:t xml:space="preserve"> and that its </w:t>
      </w:r>
      <w:r w:rsidR="00F12452" w:rsidRPr="00F12452">
        <w:t xml:space="preserve">irrelevant that </w:t>
      </w:r>
      <w:r w:rsidR="003F12F1">
        <w:t>in this case Karim</w:t>
      </w:r>
      <w:r w:rsidR="00F12452" w:rsidRPr="00F12452">
        <w:t xml:space="preserve"> is unable to steal</w:t>
      </w:r>
      <w:r w:rsidR="00A85051">
        <w:t xml:space="preserve"> and as mentioned earlier i</w:t>
      </w:r>
      <w:r w:rsidR="004D7D78">
        <w:t xml:space="preserve">t’s stated that Karim did enter the part of the building that was off limits </w:t>
      </w:r>
      <w:r w:rsidR="00A85051">
        <w:t xml:space="preserve">proving the actus reus. </w:t>
      </w:r>
      <w:r w:rsidR="00A85051" w:rsidRPr="00A85051">
        <w:t xml:space="preserve">The </w:t>
      </w:r>
      <w:proofErr w:type="spellStart"/>
      <w:r w:rsidR="00A85051" w:rsidRPr="00A85051">
        <w:t>mens</w:t>
      </w:r>
      <w:proofErr w:type="spellEnd"/>
      <w:r w:rsidR="00A85051" w:rsidRPr="00A85051">
        <w:t xml:space="preserve"> reus</w:t>
      </w:r>
      <w:r w:rsidR="00A85051">
        <w:t xml:space="preserve"> for burglary is</w:t>
      </w:r>
      <w:r w:rsidR="00A85051" w:rsidRPr="00A85051">
        <w:t xml:space="preserve"> knowing or being reckless that he was a trespasser</w:t>
      </w:r>
      <w:r w:rsidR="00A85051">
        <w:t xml:space="preserve"> and does so w</w:t>
      </w:r>
      <w:r w:rsidR="00A85051" w:rsidRPr="00A85051">
        <w:t>ith intent to steal, inflict GBH or cause criminal damage to the property or anything inside</w:t>
      </w:r>
      <w:r w:rsidR="00A85051">
        <w:t>,</w:t>
      </w:r>
      <w:r w:rsidR="005B4798">
        <w:t xml:space="preserve"> </w:t>
      </w:r>
      <w:r w:rsidR="00707E52">
        <w:t>for Karim firstly to be counted as a trespasser the p</w:t>
      </w:r>
      <w:r w:rsidR="00707E52" w:rsidRPr="00707E52">
        <w:t>ermission to enter was never given</w:t>
      </w:r>
      <w:r w:rsidR="00707E52">
        <w:t xml:space="preserve">, this can be applied therefore due as mentioned earlier Karim entering the room that had “NO ENTRY” on the door and the intent to steal </w:t>
      </w:r>
      <w:r w:rsidR="005B4798">
        <w:t xml:space="preserve"> can be seen when Karim</w:t>
      </w:r>
      <w:r w:rsidR="004D7D78">
        <w:t xml:space="preserve"> stole one of Terry’s </w:t>
      </w:r>
      <w:r w:rsidR="00A85051">
        <w:t>father’s</w:t>
      </w:r>
      <w:r w:rsidR="004D7D78">
        <w:t xml:space="preserve"> tops</w:t>
      </w:r>
      <w:r w:rsidR="005B4798">
        <w:t xml:space="preserve"> to replace the one that had wine spilled on it</w:t>
      </w:r>
      <w:r w:rsidR="004D7D78">
        <w:t xml:space="preserve"> and did not return</w:t>
      </w:r>
      <w:r w:rsidR="005B4798">
        <w:t xml:space="preserve"> it after the night was over or mention to Terry what he had done</w:t>
      </w:r>
      <w:r w:rsidR="004D7D78">
        <w:t xml:space="preserve"> and </w:t>
      </w:r>
      <w:r w:rsidR="005B4798">
        <w:t xml:space="preserve">also </w:t>
      </w:r>
      <w:r w:rsidR="004D7D78">
        <w:t xml:space="preserve">didn’t seem to have any intention to do so either and </w:t>
      </w:r>
      <w:r w:rsidR="00A85051">
        <w:t>therefore could</w:t>
      </w:r>
      <w:r w:rsidR="004D7D78">
        <w:t xml:space="preserve"> be charged under the </w:t>
      </w:r>
      <w:r w:rsidR="004D7D78" w:rsidRPr="004D7D78">
        <w:t>section 1 of the Theft Act 1968</w:t>
      </w:r>
      <w:r w:rsidR="00A85051">
        <w:t xml:space="preserve">. </w:t>
      </w:r>
      <w:r w:rsidR="000D5796">
        <w:t>A case example of burglary is that of R v Brown (1985), “The defendant, Brown, broke a shop window and stuck the top half of his body through the hole while rummaging about inside the shop in order to steal the contents. His lower half remained outside the shop. He was arrested and convicted of burglary under s.9 of the Theft Act 1968”, However “the defendant argued that he had not ‘entered’ the building” but, “entry had to be ‘effective’ but the word ‘substantial’ was not considered to be of additional help. Therefore, all that was required was either an ‘effective’ or a ‘substantial’ entry. Here, the entry was ‘effective’. Therefore, the offence was complete.” (</w:t>
      </w:r>
      <w:proofErr w:type="spellStart"/>
      <w:r w:rsidR="000D5796">
        <w:t>LawTeacher</w:t>
      </w:r>
      <w:proofErr w:type="spellEnd"/>
      <w:r w:rsidR="000D5796">
        <w:t>, 2013)</w:t>
      </w:r>
    </w:p>
    <w:p w14:paraId="65CD9A76" w14:textId="0EE5A278" w:rsidR="003A5BCC" w:rsidRDefault="00F12452" w:rsidP="003A5BCC">
      <w:r w:rsidRPr="00F12452">
        <w:t>After Karim changes his top, it’s said that because “Karim did not drink alcohol, he had taken some tablets that were given to him by a friend. His friend had told him that they were anti-depressants that had been prescribed for his father”</w:t>
      </w:r>
      <w:r w:rsidR="00557677">
        <w:t xml:space="preserve">, shortly after </w:t>
      </w:r>
      <w:r w:rsidR="005A0DC5">
        <w:t xml:space="preserve">it states that </w:t>
      </w:r>
      <w:r w:rsidRPr="00F12452">
        <w:t>“Simon arrived at the party with Dee, who was the ex-girlfriend of Karim.” This leads to “Karim felt very jealous”</w:t>
      </w:r>
      <w:r w:rsidR="00B61DB3">
        <w:t xml:space="preserve"> and then</w:t>
      </w:r>
      <w:r w:rsidRPr="00F12452">
        <w:t xml:space="preserve"> </w:t>
      </w:r>
      <w:r>
        <w:t>“</w:t>
      </w:r>
      <w:r w:rsidRPr="00F12452">
        <w:t>a row broke out between the two which resulted in Karim smashing a glass and threatening to slash Simon with it”</w:t>
      </w:r>
      <w:r w:rsidR="004C2586" w:rsidRPr="004C2586">
        <w:t xml:space="preserve"> </w:t>
      </w:r>
      <w:r w:rsidR="00D43E72">
        <w:t xml:space="preserve">which was followed by </w:t>
      </w:r>
      <w:r w:rsidR="004C2586" w:rsidRPr="004C2586">
        <w:t>“Karim then lunged towards Simon with the broken glass in his hand, causing a wound to Simon’s neck which later required stitches”</w:t>
      </w:r>
      <w:r w:rsidR="00F94DE4">
        <w:t xml:space="preserve"> this can be prosecuted as GBH which stands for Grievous Bodily Harm.</w:t>
      </w:r>
      <w:r w:rsidR="00013D3E">
        <w:t xml:space="preserve"> </w:t>
      </w:r>
      <w:r w:rsidR="001F6756">
        <w:t xml:space="preserve">Under </w:t>
      </w:r>
      <w:r w:rsidR="00F95749" w:rsidRPr="00F95749">
        <w:t>S20 OAPA 1861</w:t>
      </w:r>
      <w:r w:rsidR="001F6756">
        <w:t xml:space="preserve">, GBH </w:t>
      </w:r>
      <w:r w:rsidR="00964FA2">
        <w:t>is described as w</w:t>
      </w:r>
      <w:r w:rsidR="00F95749" w:rsidRPr="00F95749">
        <w:t xml:space="preserve">hosoever shall unlawfully and maliciously wound or inflict any grievous bodily harm upon any other person, either </w:t>
      </w:r>
      <w:r w:rsidR="00F95749" w:rsidRPr="00F95749">
        <w:lastRenderedPageBreak/>
        <w:t>with or without any weapon or instrument, shall be guilty of a misdemeanour</w:t>
      </w:r>
      <w:r w:rsidR="006E63A9">
        <w:t xml:space="preserve">. </w:t>
      </w:r>
      <w:r w:rsidR="00281CB3">
        <w:t>For GBH to be applied one of these elements of the offence must take place,</w:t>
      </w:r>
      <w:r w:rsidR="003A5BCC">
        <w:t xml:space="preserve"> the person in question</w:t>
      </w:r>
      <w:r w:rsidR="00FC0D14">
        <w:t xml:space="preserve">s conduct was </w:t>
      </w:r>
      <w:r w:rsidR="000E27DE">
        <w:t>unlawful if</w:t>
      </w:r>
      <w:r w:rsidR="00FC0D14">
        <w:t xml:space="preserve"> a</w:t>
      </w:r>
      <w:r w:rsidR="003A5BCC" w:rsidRPr="003A5BCC">
        <w:t xml:space="preserve">nother person suffered a wound or grievous bodily harm </w:t>
      </w:r>
      <w:r w:rsidR="00F30BC7">
        <w:t xml:space="preserve">and lastly if they </w:t>
      </w:r>
      <w:r w:rsidR="003A5BCC" w:rsidRPr="003A5BCC">
        <w:t>maliciously inflicted the wound or GBH.</w:t>
      </w:r>
      <w:r w:rsidR="00E75699">
        <w:t xml:space="preserve"> </w:t>
      </w:r>
      <w:r w:rsidR="00007306">
        <w:t xml:space="preserve">To find the actus reus for GBH </w:t>
      </w:r>
      <w:r w:rsidR="007E4D11">
        <w:t>it must be found that w</w:t>
      </w:r>
      <w:r w:rsidR="007E4D11" w:rsidRPr="007E4D11">
        <w:t xml:space="preserve">ith or without a weapon, </w:t>
      </w:r>
      <w:r w:rsidR="007E4D11">
        <w:t xml:space="preserve">Karim </w:t>
      </w:r>
      <w:r w:rsidR="007E4D11" w:rsidRPr="007E4D11">
        <w:t>unlawfully causes either a wound or GBH to another person</w:t>
      </w:r>
      <w:r w:rsidR="007E2073">
        <w:t xml:space="preserve">, this can be seen when with the broken glass Karim is stated to lung towards </w:t>
      </w:r>
      <w:r w:rsidR="00666DDD">
        <w:t>Simon</w:t>
      </w:r>
      <w:r w:rsidR="00C20AD7">
        <w:t xml:space="preserve"> </w:t>
      </w:r>
      <w:r w:rsidR="00AA0005">
        <w:t xml:space="preserve">and actually </w:t>
      </w:r>
      <w:r w:rsidR="00660695">
        <w:t>gave him a wound which is said to have later required stiches</w:t>
      </w:r>
      <w:r w:rsidR="00666DDD">
        <w:t xml:space="preserve">, this gives the actus reus </w:t>
      </w:r>
      <w:r w:rsidR="00C20AD7">
        <w:t>because there is use of a weapon and Karim has</w:t>
      </w:r>
      <w:r w:rsidR="00660695">
        <w:t xml:space="preserve"> </w:t>
      </w:r>
      <w:r w:rsidR="00CC7CD3">
        <w:t xml:space="preserve">Karim has dealt </w:t>
      </w:r>
      <w:r w:rsidR="0088306F">
        <w:t xml:space="preserve">a wound to a dangerous part of the body which could have ended a lot worse </w:t>
      </w:r>
      <w:r w:rsidR="00EF1F94">
        <w:t>than</w:t>
      </w:r>
      <w:r w:rsidR="0088306F">
        <w:t xml:space="preserve"> it and since it required stiches </w:t>
      </w:r>
      <w:r w:rsidR="00C97F5B">
        <w:t xml:space="preserve">can therefore be counted as GBH. </w:t>
      </w:r>
      <w:r w:rsidR="00AA5746">
        <w:t xml:space="preserve">When assessing the </w:t>
      </w:r>
      <w:proofErr w:type="spellStart"/>
      <w:r w:rsidR="00AA5746">
        <w:t>mens</w:t>
      </w:r>
      <w:proofErr w:type="spellEnd"/>
      <w:r w:rsidR="00AA5746">
        <w:t xml:space="preserve"> reus </w:t>
      </w:r>
      <w:r w:rsidR="007F54ED">
        <w:t xml:space="preserve">it must be found that the person in question must foresee that as a result of their </w:t>
      </w:r>
      <w:r w:rsidR="001409CE">
        <w:t>“</w:t>
      </w:r>
      <w:r w:rsidR="007F54ED">
        <w:t xml:space="preserve">actions </w:t>
      </w:r>
      <w:r w:rsidR="001409CE" w:rsidRPr="001409CE">
        <w:t>some physical harm to some person, albeit of a minor character, might result</w:t>
      </w:r>
      <w:r w:rsidR="001409CE">
        <w:t xml:space="preserve">” </w:t>
      </w:r>
      <w:r w:rsidR="007C17C0">
        <w:t xml:space="preserve">said from the House </w:t>
      </w:r>
      <w:r w:rsidR="000408FF">
        <w:t>of</w:t>
      </w:r>
      <w:r w:rsidR="007C17C0">
        <w:t xml:space="preserve"> Lords</w:t>
      </w:r>
      <w:r w:rsidR="00D22DD5">
        <w:t xml:space="preserve">. From this and looking at </w:t>
      </w:r>
      <w:r w:rsidR="000408FF">
        <w:t>Karim’s</w:t>
      </w:r>
      <w:r w:rsidR="00D22DD5">
        <w:t xml:space="preserve"> actions </w:t>
      </w:r>
      <w:r w:rsidR="000408FF">
        <w:t xml:space="preserve">it is clear that the </w:t>
      </w:r>
      <w:proofErr w:type="spellStart"/>
      <w:r w:rsidR="000408FF">
        <w:t>mens</w:t>
      </w:r>
      <w:proofErr w:type="spellEnd"/>
      <w:r w:rsidR="000408FF">
        <w:t xml:space="preserve"> reus is me due to Karim firstly threating Simon to slash Simon with the glass he smashed showing that he knows </w:t>
      </w:r>
      <w:r w:rsidR="00E26F9A">
        <w:t xml:space="preserve">he could hurt someone with the broken glass and then acts on his words by lunging at Simon </w:t>
      </w:r>
      <w:r w:rsidR="008634F6">
        <w:t xml:space="preserve">and dealing physical harm </w:t>
      </w:r>
      <w:r w:rsidR="00F56315">
        <w:t xml:space="preserve">to him. </w:t>
      </w:r>
      <w:r w:rsidR="00A170A7">
        <w:t xml:space="preserve">A case example is that of </w:t>
      </w:r>
      <w:r w:rsidR="001B4ACC" w:rsidRPr="001B4ACC">
        <w:t xml:space="preserve">R v </w:t>
      </w:r>
      <w:proofErr w:type="spellStart"/>
      <w:r w:rsidR="001B4ACC" w:rsidRPr="001B4ACC">
        <w:t>Bollom</w:t>
      </w:r>
      <w:proofErr w:type="spellEnd"/>
      <w:r w:rsidR="001B4ACC" w:rsidRPr="001B4ACC">
        <w:t xml:space="preserve"> </w:t>
      </w:r>
      <w:r w:rsidR="00A170A7">
        <w:t>(</w:t>
      </w:r>
      <w:r w:rsidR="001B4ACC" w:rsidRPr="001B4ACC">
        <w:t>2003</w:t>
      </w:r>
      <w:r w:rsidR="00A170A7">
        <w:t xml:space="preserve">), </w:t>
      </w:r>
      <w:r w:rsidR="002F0D40">
        <w:t xml:space="preserve">in this case </w:t>
      </w:r>
      <w:r w:rsidR="0099332E">
        <w:t>“</w:t>
      </w:r>
      <w:r w:rsidR="002F0D40">
        <w:t>t</w:t>
      </w:r>
      <w:r w:rsidR="009A0795" w:rsidRPr="009A0795">
        <w:t>he defendant inflicted various injuries upon his partner’s seventeen-month-old child, including bruises and cuts. Whilst the injuries per se did not merit a charge of gross bodily harm under s. 18 of the Offences Against the Person Act, at first instance the judge directed the jury to consider the young age of the victim, resulting in the defendant being found guilty under s. 20</w:t>
      </w:r>
      <w:r w:rsidR="003C34B5">
        <w:t>” it was said later on in the text that the crime was raised from “ABH to GBH”</w:t>
      </w:r>
      <w:r w:rsidR="004B42B3">
        <w:t xml:space="preserve"> but later on was changed again back to “ABH</w:t>
      </w:r>
      <w:r w:rsidR="00926C4F">
        <w:t xml:space="preserve"> under section. 47</w:t>
      </w:r>
      <w:r w:rsidR="004B42B3">
        <w:t>” due to the fact that the</w:t>
      </w:r>
      <w:r w:rsidR="00E977F7">
        <w:t xml:space="preserve"> “i</w:t>
      </w:r>
      <w:r w:rsidR="00E977F7" w:rsidRPr="00E977F7">
        <w:t>njuries sustained by the victim likely occurred over a prolonged period of time, rather than in the course of a single event, as would be necessary for a finding of GBH</w:t>
      </w:r>
      <w:r w:rsidR="00E977F7">
        <w:t>”</w:t>
      </w:r>
      <w:r w:rsidR="00E977F7" w:rsidRPr="00E977F7">
        <w:t>.</w:t>
      </w:r>
      <w:r w:rsidR="00666A32">
        <w:t xml:space="preserve"> (</w:t>
      </w:r>
      <w:proofErr w:type="spellStart"/>
      <w:r w:rsidR="004D39B0">
        <w:t>LawTeacher</w:t>
      </w:r>
      <w:proofErr w:type="spellEnd"/>
      <w:r w:rsidR="004D39B0">
        <w:t>, 2013)</w:t>
      </w:r>
    </w:p>
    <w:p w14:paraId="0C62517F" w14:textId="4CF7ADC1" w:rsidR="003E3F6B" w:rsidRDefault="00471C79" w:rsidP="000D5796">
      <w:r>
        <w:t xml:space="preserve">Karim does not have any defences available to him for the crime of burglary as the </w:t>
      </w:r>
      <w:r w:rsidR="00560A15">
        <w:t>men’s</w:t>
      </w:r>
      <w:r>
        <w:t xml:space="preserve"> reus and actus reus were proven </w:t>
      </w:r>
      <w:r w:rsidR="00053DA5">
        <w:t xml:space="preserve">as well as the fact that he had complete control over his actions at this point in time, </w:t>
      </w:r>
      <w:r w:rsidR="000649F6">
        <w:t xml:space="preserve">this Is shown through when </w:t>
      </w:r>
      <w:r w:rsidR="00053DA5">
        <w:t xml:space="preserve">it stated that </w:t>
      </w:r>
      <w:r w:rsidR="000649F6">
        <w:t xml:space="preserve">Karim wasn’t drinking and he took the </w:t>
      </w:r>
      <w:r w:rsidR="0085561E">
        <w:t>anti-depressants</w:t>
      </w:r>
      <w:r w:rsidR="00F92034">
        <w:t xml:space="preserve"> after he had </w:t>
      </w:r>
      <w:r w:rsidR="0085561E">
        <w:t xml:space="preserve">purposely </w:t>
      </w:r>
      <w:r w:rsidR="00F92034">
        <w:t xml:space="preserve">entered the </w:t>
      </w:r>
      <w:r w:rsidR="0085561E">
        <w:t>off limits room even after seeing the sign saying “NO ENTRY” and stole the top</w:t>
      </w:r>
      <w:r w:rsidR="00560A15">
        <w:t>.</w:t>
      </w:r>
      <w:r w:rsidR="00560C6B" w:rsidRPr="00560C6B">
        <w:t xml:space="preserve"> For Karim’s defences voluntary intoxication could potentially be used as a partial defence for the specific intent crime GBH in court as non-prescribed drugs are counted within voluntary intoxication, </w:t>
      </w:r>
      <w:r w:rsidR="00036DC8">
        <w:t xml:space="preserve">with the voluntary intoxication defence </w:t>
      </w:r>
      <w:r w:rsidR="00330115">
        <w:t xml:space="preserve">Karim could get his specific intent crime to be reduced to a basic intent crime instead </w:t>
      </w:r>
      <w:r w:rsidR="001C2902">
        <w:t>such as in this case assault or wounding instead of GBH</w:t>
      </w:r>
      <w:r w:rsidR="002C7130">
        <w:t>,</w:t>
      </w:r>
      <w:r w:rsidR="001C2902">
        <w:t xml:space="preserve"> </w:t>
      </w:r>
      <w:r w:rsidR="00560C6B" w:rsidRPr="00560C6B">
        <w:t>however Karim must prove that the offence would not have been committed if not for the medication.</w:t>
      </w:r>
      <w:r w:rsidR="00864527">
        <w:t xml:space="preserve"> </w:t>
      </w:r>
      <w:r w:rsidR="00E22001">
        <w:t xml:space="preserve">The two other </w:t>
      </w:r>
      <w:r w:rsidR="0088184F">
        <w:t>defences that could be argued to be used would be that of involuntary intoxication and automatism</w:t>
      </w:r>
      <w:r w:rsidR="00F81E06">
        <w:t xml:space="preserve">, firstly however neither of these </w:t>
      </w:r>
      <w:r w:rsidR="00D47EFE">
        <w:t>could</w:t>
      </w:r>
      <w:r w:rsidR="00F81E06">
        <w:t xml:space="preserve"> be applied to the burglary charge but </w:t>
      </w:r>
      <w:r w:rsidR="00393CB8">
        <w:t xml:space="preserve">the GBH is different since with involuntary intoxication </w:t>
      </w:r>
      <w:r w:rsidR="007A1846">
        <w:t xml:space="preserve">non-prescribed drugs such as the anti-depressants offered to him, however </w:t>
      </w:r>
      <w:r w:rsidR="00287773">
        <w:t xml:space="preserve">due to Karim being reckless </w:t>
      </w:r>
      <w:r w:rsidR="004529DE">
        <w:t xml:space="preserve">this cannot be used. </w:t>
      </w:r>
      <w:r w:rsidR="00D47EFE">
        <w:t xml:space="preserve">The defence of automatism could not be applied either because </w:t>
      </w:r>
      <w:r w:rsidR="000B52C1">
        <w:t xml:space="preserve">for this defence their needs to be proven that there was a complete lack of control however </w:t>
      </w:r>
      <w:r w:rsidR="0018319E">
        <w:t xml:space="preserve">it shown in the text that Kari could still think and had control over his movements </w:t>
      </w:r>
      <w:r w:rsidR="00651B71">
        <w:t>that this defence cannot be used.</w:t>
      </w:r>
    </w:p>
    <w:p w14:paraId="69634118" w14:textId="77777777" w:rsidR="003E3F6B" w:rsidRDefault="003E3F6B" w:rsidP="000D5796"/>
    <w:p w14:paraId="0E73E71E" w14:textId="5FCB3F44" w:rsidR="0048718A" w:rsidRDefault="00EF1F94" w:rsidP="000D5796">
      <w:hyperlink r:id="rId4" w:history="1">
        <w:r w:rsidR="0048718A" w:rsidRPr="00574710">
          <w:rPr>
            <w:rStyle w:val="Hyperlink"/>
          </w:rPr>
          <w:t>https://www.lawteacher.net/cases/r-v-brown-1985.php</w:t>
        </w:r>
      </w:hyperlink>
      <w:r w:rsidR="0048718A">
        <w:t xml:space="preserve"> </w:t>
      </w:r>
    </w:p>
    <w:p w14:paraId="6FF96FA3" w14:textId="0E9883B0" w:rsidR="00666A32" w:rsidRDefault="00EF1F94" w:rsidP="000D5796">
      <w:hyperlink r:id="rId5" w:history="1">
        <w:r w:rsidR="00666A32" w:rsidRPr="00DF2AA4">
          <w:rPr>
            <w:rStyle w:val="Hyperlink"/>
          </w:rPr>
          <w:t>https://www.lawteacher.net/cases/r-v-bollom.php</w:t>
        </w:r>
      </w:hyperlink>
      <w:r w:rsidR="00666A32">
        <w:t xml:space="preserve"> </w:t>
      </w:r>
    </w:p>
    <w:sectPr w:rsidR="00666A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796"/>
    <w:rsid w:val="00007306"/>
    <w:rsid w:val="00013D3E"/>
    <w:rsid w:val="00036DC8"/>
    <w:rsid w:val="000408FF"/>
    <w:rsid w:val="00053DA5"/>
    <w:rsid w:val="000649F6"/>
    <w:rsid w:val="000B52C1"/>
    <w:rsid w:val="000C3765"/>
    <w:rsid w:val="000C58F9"/>
    <w:rsid w:val="000D5796"/>
    <w:rsid w:val="000E27DE"/>
    <w:rsid w:val="001027EF"/>
    <w:rsid w:val="001409CE"/>
    <w:rsid w:val="00146EFA"/>
    <w:rsid w:val="0018319E"/>
    <w:rsid w:val="001B4ACC"/>
    <w:rsid w:val="001C2902"/>
    <w:rsid w:val="001F6756"/>
    <w:rsid w:val="00281CB3"/>
    <w:rsid w:val="00287773"/>
    <w:rsid w:val="002B4E7E"/>
    <w:rsid w:val="002B6CCA"/>
    <w:rsid w:val="002C66B3"/>
    <w:rsid w:val="002C7130"/>
    <w:rsid w:val="002F0D40"/>
    <w:rsid w:val="00330115"/>
    <w:rsid w:val="00393CB8"/>
    <w:rsid w:val="003A5BCC"/>
    <w:rsid w:val="003C34B5"/>
    <w:rsid w:val="003E3F6B"/>
    <w:rsid w:val="003F12F1"/>
    <w:rsid w:val="004529DE"/>
    <w:rsid w:val="00471C79"/>
    <w:rsid w:val="0048718A"/>
    <w:rsid w:val="004B42B3"/>
    <w:rsid w:val="004C2586"/>
    <w:rsid w:val="004D39B0"/>
    <w:rsid w:val="004D7D78"/>
    <w:rsid w:val="005331A9"/>
    <w:rsid w:val="00543035"/>
    <w:rsid w:val="00557677"/>
    <w:rsid w:val="00560A15"/>
    <w:rsid w:val="00560C6B"/>
    <w:rsid w:val="005A0DC5"/>
    <w:rsid w:val="005B4798"/>
    <w:rsid w:val="006300E0"/>
    <w:rsid w:val="00647500"/>
    <w:rsid w:val="00651B71"/>
    <w:rsid w:val="00660695"/>
    <w:rsid w:val="00666A32"/>
    <w:rsid w:val="00666DDD"/>
    <w:rsid w:val="006E63A9"/>
    <w:rsid w:val="00707E52"/>
    <w:rsid w:val="00731D37"/>
    <w:rsid w:val="007A1846"/>
    <w:rsid w:val="007C17C0"/>
    <w:rsid w:val="007E2073"/>
    <w:rsid w:val="007E4D11"/>
    <w:rsid w:val="007F54ED"/>
    <w:rsid w:val="00800607"/>
    <w:rsid w:val="0085561E"/>
    <w:rsid w:val="008634F6"/>
    <w:rsid w:val="00864527"/>
    <w:rsid w:val="0088184F"/>
    <w:rsid w:val="0088306F"/>
    <w:rsid w:val="008E258B"/>
    <w:rsid w:val="008E5641"/>
    <w:rsid w:val="00926C4F"/>
    <w:rsid w:val="00964FA2"/>
    <w:rsid w:val="0099332E"/>
    <w:rsid w:val="009A0795"/>
    <w:rsid w:val="00A170A7"/>
    <w:rsid w:val="00A85051"/>
    <w:rsid w:val="00AA0005"/>
    <w:rsid w:val="00AA5746"/>
    <w:rsid w:val="00B61DB3"/>
    <w:rsid w:val="00B66635"/>
    <w:rsid w:val="00C20AD7"/>
    <w:rsid w:val="00C51203"/>
    <w:rsid w:val="00C81922"/>
    <w:rsid w:val="00C97F5B"/>
    <w:rsid w:val="00CC7CD3"/>
    <w:rsid w:val="00D22DD5"/>
    <w:rsid w:val="00D43E72"/>
    <w:rsid w:val="00D47EFE"/>
    <w:rsid w:val="00D659D6"/>
    <w:rsid w:val="00DB1FBA"/>
    <w:rsid w:val="00E22001"/>
    <w:rsid w:val="00E26F9A"/>
    <w:rsid w:val="00E75699"/>
    <w:rsid w:val="00E8068A"/>
    <w:rsid w:val="00E977F7"/>
    <w:rsid w:val="00EA1BCE"/>
    <w:rsid w:val="00EF1F94"/>
    <w:rsid w:val="00F12452"/>
    <w:rsid w:val="00F30BC7"/>
    <w:rsid w:val="00F56315"/>
    <w:rsid w:val="00F63769"/>
    <w:rsid w:val="00F81E06"/>
    <w:rsid w:val="00F92034"/>
    <w:rsid w:val="00F94DE4"/>
    <w:rsid w:val="00F95749"/>
    <w:rsid w:val="00FC0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08F95"/>
  <w15:chartTrackingRefBased/>
  <w15:docId w15:val="{3CB6BBF6-554D-4A5C-9145-945472BB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3F6B"/>
    <w:rPr>
      <w:color w:val="0563C1" w:themeColor="hyperlink"/>
      <w:u w:val="single"/>
    </w:rPr>
  </w:style>
  <w:style w:type="character" w:styleId="UnresolvedMention">
    <w:name w:val="Unresolved Mention"/>
    <w:basedOn w:val="DefaultParagraphFont"/>
    <w:uiPriority w:val="99"/>
    <w:semiHidden/>
    <w:unhideWhenUsed/>
    <w:rsid w:val="003E3F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awteacher.net/cases/r-v-bollom.php" TargetMode="External"/><Relationship Id="rId4" Type="http://schemas.openxmlformats.org/officeDocument/2006/relationships/hyperlink" Target="https://www.lawteacher.net/cases/r-v-brown-1985.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2</Pages>
  <Words>1248</Words>
  <Characters>7118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90</cp:revision>
  <dcterms:created xsi:type="dcterms:W3CDTF">2022-07-18T09:09:00Z</dcterms:created>
  <dcterms:modified xsi:type="dcterms:W3CDTF">2022-07-22T12:28:00Z</dcterms:modified>
</cp:coreProperties>
</file>