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02AD5F" w14:textId="77777777" w:rsidR="00945EAF" w:rsidRPr="00EE5BC3" w:rsidRDefault="00945EAF" w:rsidP="00945EAF">
      <w:pPr>
        <w:jc w:val="center"/>
        <w:rPr>
          <w:b/>
          <w:sz w:val="28"/>
          <w:szCs w:val="28"/>
        </w:rPr>
      </w:pPr>
      <w:r w:rsidRPr="00EE5BC3">
        <w:rPr>
          <w:b/>
          <w:sz w:val="28"/>
          <w:szCs w:val="28"/>
        </w:rPr>
        <w:t>Task 4</w:t>
      </w:r>
    </w:p>
    <w:p w14:paraId="11C1EB28" w14:textId="77777777" w:rsidR="00945EAF" w:rsidRPr="00EE5BC3" w:rsidRDefault="00945EAF" w:rsidP="00945EAF">
      <w:pPr>
        <w:jc w:val="center"/>
        <w:rPr>
          <w:b/>
          <w:sz w:val="28"/>
          <w:szCs w:val="28"/>
        </w:rPr>
      </w:pPr>
    </w:p>
    <w:p w14:paraId="5767289C" w14:textId="77777777" w:rsidR="00945EAF" w:rsidRPr="00EE5BC3" w:rsidRDefault="00945EAF" w:rsidP="00945EAF">
      <w:pPr>
        <w:jc w:val="center"/>
        <w:rPr>
          <w:b/>
          <w:sz w:val="28"/>
          <w:szCs w:val="28"/>
        </w:rPr>
      </w:pPr>
      <w:r w:rsidRPr="00EE5BC3">
        <w:rPr>
          <w:b/>
          <w:sz w:val="28"/>
          <w:szCs w:val="28"/>
        </w:rPr>
        <w:t>Safeguarding</w:t>
      </w:r>
      <w:r>
        <w:rPr>
          <w:b/>
          <w:sz w:val="28"/>
          <w:szCs w:val="28"/>
        </w:rPr>
        <w:t xml:space="preserve"> in an area which is not your main area of work</w:t>
      </w:r>
    </w:p>
    <w:p w14:paraId="2B8DC2AA" w14:textId="77777777" w:rsidR="00945EAF" w:rsidRPr="008B28E7" w:rsidRDefault="00945EAF" w:rsidP="00945EAF">
      <w:pPr>
        <w:jc w:val="both"/>
        <w:rPr>
          <w:b/>
          <w:sz w:val="24"/>
          <w:szCs w:val="24"/>
        </w:rPr>
      </w:pPr>
    </w:p>
    <w:p w14:paraId="7871AD00" w14:textId="77777777" w:rsidR="00945EAF" w:rsidRPr="00EE5BC3" w:rsidRDefault="00945EAF" w:rsidP="00945EAF">
      <w:pPr>
        <w:ind w:left="-90"/>
        <w:jc w:val="both"/>
        <w:rPr>
          <w:b/>
          <w:i/>
          <w:sz w:val="24"/>
          <w:szCs w:val="24"/>
        </w:rPr>
      </w:pPr>
      <w:r w:rsidRPr="00EE5BC3">
        <w:rPr>
          <w:b/>
          <w:i/>
          <w:sz w:val="24"/>
          <w:szCs w:val="24"/>
        </w:rPr>
        <w:t xml:space="preserve">Guidance: </w:t>
      </w:r>
    </w:p>
    <w:p w14:paraId="3C06D083" w14:textId="77777777" w:rsidR="00945EAF" w:rsidRPr="00706BB5" w:rsidRDefault="00945EAF" w:rsidP="00945EAF">
      <w:pPr>
        <w:ind w:left="-90"/>
        <w:jc w:val="both"/>
        <w:rPr>
          <w:i/>
          <w:iCs/>
          <w:sz w:val="24"/>
          <w:szCs w:val="24"/>
        </w:rPr>
      </w:pPr>
      <w:r w:rsidRPr="00F15354">
        <w:rPr>
          <w:i/>
          <w:iCs/>
          <w:sz w:val="24"/>
          <w:szCs w:val="24"/>
        </w:rPr>
        <w:t>Social Care Wales</w:t>
      </w:r>
      <w:r w:rsidRPr="006179BB">
        <w:rPr>
          <w:i/>
          <w:iCs/>
          <w:sz w:val="24"/>
          <w:szCs w:val="24"/>
        </w:rPr>
        <w:t xml:space="preserve"> require newly qualified social workers to provide evidence of </w:t>
      </w:r>
      <w:r w:rsidRPr="00A5656A">
        <w:rPr>
          <w:i/>
          <w:iCs/>
          <w:sz w:val="24"/>
          <w:szCs w:val="24"/>
        </w:rPr>
        <w:t>their understanding of safeguarding work with adults and children</w:t>
      </w:r>
      <w:r w:rsidRPr="009C7342">
        <w:rPr>
          <w:i/>
          <w:iCs/>
          <w:sz w:val="24"/>
          <w:szCs w:val="24"/>
        </w:rPr>
        <w:t xml:space="preserve">. </w:t>
      </w:r>
      <w:r w:rsidRPr="00706BB5">
        <w:rPr>
          <w:i/>
          <w:iCs/>
          <w:sz w:val="24"/>
          <w:szCs w:val="24"/>
        </w:rPr>
        <w:t xml:space="preserve">The assignment below will enable you to demonstrate this. </w:t>
      </w:r>
      <w:r w:rsidRPr="00706BB5">
        <w:rPr>
          <w:b/>
          <w:bCs/>
          <w:i/>
          <w:iCs/>
          <w:sz w:val="24"/>
          <w:szCs w:val="24"/>
        </w:rPr>
        <w:t>N.B</w:t>
      </w:r>
      <w:r w:rsidRPr="00706BB5">
        <w:rPr>
          <w:i/>
          <w:iCs/>
          <w:sz w:val="24"/>
          <w:szCs w:val="24"/>
        </w:rPr>
        <w:t xml:space="preserve">. if your usual area of work is with </w:t>
      </w:r>
      <w:proofErr w:type="gramStart"/>
      <w:r w:rsidRPr="00706BB5">
        <w:rPr>
          <w:i/>
          <w:iCs/>
          <w:sz w:val="24"/>
          <w:szCs w:val="24"/>
        </w:rPr>
        <w:t>children</w:t>
      </w:r>
      <w:proofErr w:type="gramEnd"/>
      <w:r w:rsidRPr="00706BB5">
        <w:rPr>
          <w:i/>
          <w:iCs/>
          <w:sz w:val="24"/>
          <w:szCs w:val="24"/>
        </w:rPr>
        <w:t xml:space="preserve"> please write about adult safeguarding. If you usually work with adults, then write about child safeguarding.  Ensure you meet the learning out comes for this task (see appendix </w:t>
      </w:r>
      <w:r>
        <w:rPr>
          <w:i/>
          <w:iCs/>
          <w:sz w:val="24"/>
          <w:szCs w:val="24"/>
        </w:rPr>
        <w:t>5</w:t>
      </w:r>
      <w:r w:rsidRPr="00706BB5">
        <w:rPr>
          <w:i/>
          <w:iCs/>
          <w:sz w:val="24"/>
          <w:szCs w:val="24"/>
        </w:rPr>
        <w:t xml:space="preserve"> </w:t>
      </w:r>
      <w:r w:rsidRPr="00F15354">
        <w:rPr>
          <w:i/>
          <w:iCs/>
          <w:sz w:val="24"/>
          <w:szCs w:val="24"/>
        </w:rPr>
        <w:t>of the</w:t>
      </w:r>
      <w:r w:rsidRPr="4EC15626">
        <w:rPr>
          <w:i/>
          <w:iCs/>
          <w:sz w:val="24"/>
          <w:szCs w:val="24"/>
        </w:rPr>
        <w:t xml:space="preserve"> h</w:t>
      </w:r>
      <w:r w:rsidRPr="00F15354">
        <w:rPr>
          <w:i/>
          <w:iCs/>
          <w:sz w:val="24"/>
          <w:szCs w:val="24"/>
        </w:rPr>
        <w:t>andbook</w:t>
      </w:r>
      <w:r w:rsidRPr="006179BB">
        <w:rPr>
          <w:i/>
          <w:iCs/>
          <w:sz w:val="24"/>
          <w:szCs w:val="24"/>
        </w:rPr>
        <w:t>).</w:t>
      </w:r>
    </w:p>
    <w:p w14:paraId="6C7A00A3" w14:textId="77777777" w:rsidR="00945EAF" w:rsidRPr="008B28E7" w:rsidRDefault="00945EAF" w:rsidP="00945EAF">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945EAF" w:rsidRPr="008B28E7" w14:paraId="442F6B9D" w14:textId="77777777" w:rsidTr="0059592A">
        <w:tc>
          <w:tcPr>
            <w:tcW w:w="10188" w:type="dxa"/>
            <w:shd w:val="clear" w:color="auto" w:fill="auto"/>
          </w:tcPr>
          <w:p w14:paraId="1F775F42" w14:textId="77777777" w:rsidR="00945EAF" w:rsidRPr="00EB695F" w:rsidRDefault="00945EAF" w:rsidP="0059592A">
            <w:pPr>
              <w:jc w:val="both"/>
              <w:rPr>
                <w:b/>
                <w:sz w:val="24"/>
                <w:szCs w:val="24"/>
              </w:rPr>
            </w:pPr>
            <w:r w:rsidRPr="00EB695F">
              <w:rPr>
                <w:b/>
                <w:sz w:val="24"/>
                <w:szCs w:val="24"/>
              </w:rPr>
              <w:t>Question</w:t>
            </w:r>
            <w:r>
              <w:rPr>
                <w:b/>
                <w:sz w:val="24"/>
                <w:szCs w:val="24"/>
              </w:rPr>
              <w:t xml:space="preserve"> a:</w:t>
            </w:r>
          </w:p>
          <w:p w14:paraId="418E2C23" w14:textId="77777777" w:rsidR="00945EAF" w:rsidRDefault="00945EAF" w:rsidP="0059592A">
            <w:pPr>
              <w:jc w:val="both"/>
              <w:rPr>
                <w:sz w:val="24"/>
                <w:szCs w:val="24"/>
              </w:rPr>
            </w:pPr>
            <w:r>
              <w:rPr>
                <w:sz w:val="24"/>
                <w:szCs w:val="24"/>
              </w:rPr>
              <w:t xml:space="preserve">In an area </w:t>
            </w:r>
            <w:r w:rsidRPr="00AE1868">
              <w:rPr>
                <w:b/>
                <w:sz w:val="24"/>
                <w:szCs w:val="24"/>
              </w:rPr>
              <w:t xml:space="preserve">that is not your main focus of work </w:t>
            </w:r>
            <w:r>
              <w:rPr>
                <w:sz w:val="24"/>
                <w:szCs w:val="24"/>
              </w:rPr>
              <w:t xml:space="preserve">(see guidance above), explain </w:t>
            </w:r>
            <w:r w:rsidRPr="006108C9">
              <w:rPr>
                <w:sz w:val="24"/>
                <w:szCs w:val="24"/>
              </w:rPr>
              <w:t xml:space="preserve">the relevant </w:t>
            </w:r>
            <w:r>
              <w:rPr>
                <w:sz w:val="24"/>
                <w:szCs w:val="24"/>
              </w:rPr>
              <w:t xml:space="preserve">legislation, and the </w:t>
            </w:r>
            <w:r w:rsidRPr="006108C9">
              <w:rPr>
                <w:sz w:val="24"/>
                <w:szCs w:val="24"/>
              </w:rPr>
              <w:t>national, local and organisational policies and procedures</w:t>
            </w:r>
            <w:r>
              <w:rPr>
                <w:sz w:val="24"/>
                <w:szCs w:val="24"/>
              </w:rPr>
              <w:t xml:space="preserve"> for safeguarding. </w:t>
            </w:r>
          </w:p>
          <w:p w14:paraId="0640074C" w14:textId="77777777" w:rsidR="00945EAF" w:rsidRDefault="00945EAF" w:rsidP="0059592A">
            <w:pPr>
              <w:jc w:val="both"/>
              <w:rPr>
                <w:sz w:val="24"/>
                <w:szCs w:val="24"/>
              </w:rPr>
            </w:pPr>
          </w:p>
          <w:p w14:paraId="61649426" w14:textId="77777777" w:rsidR="00D71CF9" w:rsidRDefault="00D71CF9" w:rsidP="00D71CF9">
            <w:pPr>
              <w:jc w:val="both"/>
              <w:rPr>
                <w:sz w:val="24"/>
                <w:szCs w:val="24"/>
              </w:rPr>
            </w:pPr>
            <w:r w:rsidRPr="006108C9">
              <w:rPr>
                <w:i/>
                <w:sz w:val="24"/>
                <w:szCs w:val="24"/>
              </w:rPr>
              <w:t>500 words</w:t>
            </w:r>
            <w:r w:rsidRPr="006108C9">
              <w:rPr>
                <w:sz w:val="24"/>
                <w:szCs w:val="24"/>
              </w:rPr>
              <w:t xml:space="preserve"> (+/- 10%: include your actual word count at the end of each section)</w:t>
            </w:r>
            <w:r>
              <w:rPr>
                <w:sz w:val="24"/>
                <w:szCs w:val="24"/>
              </w:rPr>
              <w:t>.</w:t>
            </w:r>
          </w:p>
          <w:p w14:paraId="6A944FB7" w14:textId="77777777" w:rsidR="00D71CF9" w:rsidRDefault="00D71CF9" w:rsidP="0059592A">
            <w:pPr>
              <w:jc w:val="both"/>
              <w:rPr>
                <w:sz w:val="24"/>
                <w:szCs w:val="24"/>
              </w:rPr>
            </w:pPr>
          </w:p>
          <w:p w14:paraId="56C31E7C" w14:textId="77777777" w:rsidR="00D71CF9" w:rsidRDefault="00D71CF9" w:rsidP="0059592A">
            <w:pPr>
              <w:jc w:val="both"/>
              <w:rPr>
                <w:sz w:val="24"/>
                <w:szCs w:val="24"/>
              </w:rPr>
            </w:pPr>
          </w:p>
          <w:p w14:paraId="16755051" w14:textId="10A6F53E" w:rsidR="00945EAF" w:rsidRPr="004124CA" w:rsidRDefault="00FB73CC" w:rsidP="0059592A">
            <w:pPr>
              <w:jc w:val="both"/>
              <w:rPr>
                <w:color w:val="000000" w:themeColor="text1"/>
                <w:sz w:val="24"/>
              </w:rPr>
            </w:pPr>
            <w:r w:rsidRPr="004124CA">
              <w:rPr>
                <w:color w:val="000000" w:themeColor="text1"/>
                <w:sz w:val="24"/>
                <w:szCs w:val="24"/>
              </w:rPr>
              <w:t>S</w:t>
            </w:r>
            <w:r w:rsidR="008F321E" w:rsidRPr="004124CA">
              <w:rPr>
                <w:color w:val="000000" w:themeColor="text1"/>
                <w:sz w:val="24"/>
                <w:szCs w:val="24"/>
              </w:rPr>
              <w:t xml:space="preserve">afeguarding adults is </w:t>
            </w:r>
            <w:r w:rsidR="00603A82" w:rsidRPr="004124CA">
              <w:rPr>
                <w:color w:val="000000" w:themeColor="text1"/>
                <w:sz w:val="24"/>
                <w:szCs w:val="24"/>
              </w:rPr>
              <w:t xml:space="preserve">based within the </w:t>
            </w:r>
            <w:r w:rsidR="00603A82" w:rsidRPr="004124CA">
              <w:rPr>
                <w:color w:val="000000" w:themeColor="text1"/>
                <w:sz w:val="24"/>
              </w:rPr>
              <w:t>Social Services and Wellbeing (Wales) Act (2014), part 7. An adult at risk is outlined as someone who is experiencing</w:t>
            </w:r>
            <w:r w:rsidR="00750E30" w:rsidRPr="004124CA">
              <w:rPr>
                <w:color w:val="000000" w:themeColor="text1"/>
                <w:sz w:val="24"/>
              </w:rPr>
              <w:t>/</w:t>
            </w:r>
            <w:r w:rsidR="00603A82" w:rsidRPr="004124CA">
              <w:rPr>
                <w:color w:val="000000" w:themeColor="text1"/>
                <w:sz w:val="24"/>
              </w:rPr>
              <w:t xml:space="preserve">at risk of abuse or neglect; has a need for care and support (whether or not the authority is meeting any of those needs); and as a result of those needs is unable to protect </w:t>
            </w:r>
            <w:r w:rsidR="008F321E" w:rsidRPr="004124CA">
              <w:rPr>
                <w:color w:val="000000" w:themeColor="text1"/>
                <w:sz w:val="24"/>
              </w:rPr>
              <w:t xml:space="preserve">themselves against the abuse, neglect or </w:t>
            </w:r>
            <w:r w:rsidR="00603A82" w:rsidRPr="004124CA">
              <w:rPr>
                <w:color w:val="000000" w:themeColor="text1"/>
                <w:sz w:val="24"/>
              </w:rPr>
              <w:t xml:space="preserve">risk. </w:t>
            </w:r>
            <w:r w:rsidR="00750E30" w:rsidRPr="004124CA">
              <w:rPr>
                <w:color w:val="000000" w:themeColor="text1"/>
                <w:sz w:val="24"/>
              </w:rPr>
              <w:t>T</w:t>
            </w:r>
            <w:r w:rsidR="00603A82" w:rsidRPr="004124CA">
              <w:rPr>
                <w:color w:val="000000" w:themeColor="text1"/>
                <w:sz w:val="24"/>
              </w:rPr>
              <w:t xml:space="preserve">he Working Together to Safeguard People Welsh Government Guidance (2015) outline the duty to report adults at risk to a local authority. </w:t>
            </w:r>
            <w:r w:rsidR="00DA3662" w:rsidRPr="004124CA">
              <w:rPr>
                <w:color w:val="000000" w:themeColor="text1"/>
                <w:sz w:val="24"/>
              </w:rPr>
              <w:t>Once reported the local authority have a responsibility under Section 126 of the Act to make enquiries to assess if action should be taken to investigate the concerns rai</w:t>
            </w:r>
            <w:r w:rsidR="008F321E" w:rsidRPr="004124CA">
              <w:rPr>
                <w:color w:val="000000" w:themeColor="text1"/>
                <w:sz w:val="24"/>
              </w:rPr>
              <w:t>sed,</w:t>
            </w:r>
            <w:r w:rsidR="00C5264D" w:rsidRPr="004124CA">
              <w:rPr>
                <w:color w:val="000000" w:themeColor="text1"/>
                <w:sz w:val="24"/>
              </w:rPr>
              <w:t xml:space="preserve"> </w:t>
            </w:r>
            <w:r w:rsidR="00DA3662" w:rsidRPr="004124CA">
              <w:rPr>
                <w:color w:val="000000" w:themeColor="text1"/>
                <w:sz w:val="24"/>
              </w:rPr>
              <w:t xml:space="preserve">echoed within the Welsh Government Guidance (2018). </w:t>
            </w:r>
          </w:p>
          <w:p w14:paraId="2D970207" w14:textId="77777777" w:rsidR="00DA3662" w:rsidRPr="004124CA" w:rsidRDefault="00DA3662" w:rsidP="0059592A">
            <w:pPr>
              <w:jc w:val="both"/>
              <w:rPr>
                <w:color w:val="000000" w:themeColor="text1"/>
                <w:sz w:val="24"/>
              </w:rPr>
            </w:pPr>
          </w:p>
          <w:p w14:paraId="15358EC7" w14:textId="5AAC43DA" w:rsidR="00DA3662" w:rsidRPr="004124CA" w:rsidRDefault="008F321E" w:rsidP="0059592A">
            <w:pPr>
              <w:jc w:val="both"/>
              <w:rPr>
                <w:color w:val="000000" w:themeColor="text1"/>
                <w:sz w:val="24"/>
              </w:rPr>
            </w:pPr>
            <w:r w:rsidRPr="004124CA">
              <w:rPr>
                <w:color w:val="000000" w:themeColor="text1"/>
                <w:sz w:val="24"/>
              </w:rPr>
              <w:t>This duty is reverberated within</w:t>
            </w:r>
            <w:r w:rsidR="00DA3662" w:rsidRPr="004124CA">
              <w:rPr>
                <w:color w:val="000000" w:themeColor="text1"/>
                <w:sz w:val="24"/>
              </w:rPr>
              <w:t xml:space="preserve"> The Wales Safeguarding Procedures (2019) as it provides guidance </w:t>
            </w:r>
            <w:r w:rsidR="00750E30" w:rsidRPr="004124CA">
              <w:rPr>
                <w:color w:val="000000" w:themeColor="text1"/>
                <w:sz w:val="24"/>
              </w:rPr>
              <w:t xml:space="preserve">to </w:t>
            </w:r>
            <w:r w:rsidR="00DA3662" w:rsidRPr="004124CA">
              <w:rPr>
                <w:color w:val="000000" w:themeColor="text1"/>
                <w:sz w:val="24"/>
              </w:rPr>
              <w:t xml:space="preserve">practitioners in applying legislation into practice when in contact with adults at risk of abuse or neglect. By ensuring that </w:t>
            </w:r>
            <w:proofErr w:type="gramStart"/>
            <w:r w:rsidR="00DA3662" w:rsidRPr="004124CA">
              <w:rPr>
                <w:color w:val="000000" w:themeColor="text1"/>
                <w:sz w:val="24"/>
              </w:rPr>
              <w:t>practitioner’s</w:t>
            </w:r>
            <w:proofErr w:type="gramEnd"/>
            <w:r w:rsidR="00DA3662" w:rsidRPr="004124CA">
              <w:rPr>
                <w:color w:val="000000" w:themeColor="text1"/>
                <w:sz w:val="24"/>
              </w:rPr>
              <w:t xml:space="preserve"> understand their role and responsibilities, are working in accordance to the legislation requirements and recognises the significance of engaging with adults at risk, their family and carers throughout the process of safeguarding. </w:t>
            </w:r>
          </w:p>
          <w:p w14:paraId="42B31FAA" w14:textId="77777777" w:rsidR="004F7629" w:rsidRPr="004124CA" w:rsidRDefault="004F7629" w:rsidP="0059592A">
            <w:pPr>
              <w:jc w:val="both"/>
              <w:rPr>
                <w:color w:val="000000" w:themeColor="text1"/>
                <w:sz w:val="24"/>
              </w:rPr>
            </w:pPr>
          </w:p>
          <w:p w14:paraId="6CD29F83" w14:textId="77777777" w:rsidR="004F7629" w:rsidRPr="004124CA" w:rsidRDefault="004F7629" w:rsidP="0059592A">
            <w:pPr>
              <w:jc w:val="both"/>
              <w:rPr>
                <w:color w:val="000000" w:themeColor="text1"/>
                <w:sz w:val="24"/>
              </w:rPr>
            </w:pPr>
            <w:r w:rsidRPr="004124CA">
              <w:rPr>
                <w:color w:val="000000" w:themeColor="text1"/>
                <w:sz w:val="24"/>
              </w:rPr>
              <w:t xml:space="preserve">The Social Services and Wellbeing (Wales) Act (2014) also implemented the Regional Safeguarding Boards. </w:t>
            </w:r>
            <w:r w:rsidR="00CA7CAF" w:rsidRPr="004124CA">
              <w:rPr>
                <w:color w:val="000000" w:themeColor="text1"/>
                <w:sz w:val="24"/>
              </w:rPr>
              <w:t>Their</w:t>
            </w:r>
            <w:r w:rsidRPr="004124CA">
              <w:rPr>
                <w:color w:val="000000" w:themeColor="text1"/>
                <w:sz w:val="24"/>
              </w:rPr>
              <w:t xml:space="preserve"> purpose is to improve social work practice</w:t>
            </w:r>
            <w:r w:rsidR="008F321E" w:rsidRPr="004124CA">
              <w:rPr>
                <w:color w:val="000000" w:themeColor="text1"/>
                <w:sz w:val="24"/>
              </w:rPr>
              <w:t xml:space="preserve">, ensure consistency and collaboration between agencies and partners regionally. </w:t>
            </w:r>
          </w:p>
          <w:p w14:paraId="673E4DDD" w14:textId="77777777" w:rsidR="00DA3662" w:rsidRPr="004124CA" w:rsidRDefault="00DA3662" w:rsidP="0059592A">
            <w:pPr>
              <w:jc w:val="both"/>
              <w:rPr>
                <w:color w:val="000000" w:themeColor="text1"/>
                <w:sz w:val="24"/>
              </w:rPr>
            </w:pPr>
          </w:p>
          <w:p w14:paraId="5C3DF911" w14:textId="380DE0D8" w:rsidR="00945EAF" w:rsidRPr="004124CA" w:rsidRDefault="00BC6882" w:rsidP="0059592A">
            <w:pPr>
              <w:jc w:val="both"/>
              <w:rPr>
                <w:color w:val="000000" w:themeColor="text1"/>
                <w:sz w:val="24"/>
                <w:szCs w:val="24"/>
              </w:rPr>
            </w:pPr>
            <w:r w:rsidRPr="004124CA">
              <w:rPr>
                <w:color w:val="000000" w:themeColor="text1"/>
                <w:sz w:val="24"/>
              </w:rPr>
              <w:t xml:space="preserve">In addition to </w:t>
            </w:r>
            <w:r w:rsidR="007312FD" w:rsidRPr="004124CA">
              <w:rPr>
                <w:color w:val="000000" w:themeColor="text1"/>
                <w:sz w:val="24"/>
              </w:rPr>
              <w:t xml:space="preserve">Welsh legislation/policy </w:t>
            </w:r>
            <w:r w:rsidRPr="004124CA">
              <w:rPr>
                <w:color w:val="000000" w:themeColor="text1"/>
                <w:sz w:val="24"/>
              </w:rPr>
              <w:t>wider legislation</w:t>
            </w:r>
            <w:r w:rsidR="007312FD" w:rsidRPr="004124CA">
              <w:rPr>
                <w:color w:val="000000" w:themeColor="text1"/>
                <w:sz w:val="24"/>
              </w:rPr>
              <w:t>/</w:t>
            </w:r>
            <w:r w:rsidRPr="004124CA">
              <w:rPr>
                <w:color w:val="000000" w:themeColor="text1"/>
                <w:sz w:val="24"/>
              </w:rPr>
              <w:t xml:space="preserve">policy can also have a ripple effect on safeguarding adults. The Human Rights Act (1998) explicitly states that individuals have a right to not be subjected to inhuman or degrading treatment and have a right to enjoy a private life, family and a home life without justified interference from public authorities. This justified interference </w:t>
            </w:r>
            <w:r w:rsidR="007312FD" w:rsidRPr="004124CA">
              <w:rPr>
                <w:color w:val="000000" w:themeColor="text1"/>
                <w:sz w:val="24"/>
              </w:rPr>
              <w:t xml:space="preserve">brings about </w:t>
            </w:r>
            <w:r w:rsidRPr="004124CA">
              <w:rPr>
                <w:color w:val="000000" w:themeColor="text1"/>
                <w:sz w:val="24"/>
              </w:rPr>
              <w:t xml:space="preserve">a further legislation, The Mental Capacity Act (2005). This is due to individuals having a choice to engage in support within adult social work, providing they have capacity. </w:t>
            </w:r>
            <w:r w:rsidR="00D764D4" w:rsidRPr="004124CA">
              <w:rPr>
                <w:color w:val="000000" w:themeColor="text1"/>
                <w:sz w:val="24"/>
              </w:rPr>
              <w:t xml:space="preserve">The ACT outlines five principles that underpin decision-making, the presumption of capacity, </w:t>
            </w:r>
            <w:r w:rsidR="00D764D4" w:rsidRPr="004124CA">
              <w:rPr>
                <w:color w:val="000000" w:themeColor="text1"/>
                <w:sz w:val="24"/>
              </w:rPr>
              <w:lastRenderedPageBreak/>
              <w:t>supporting individuals to make their own decisions, unwise or eccentric decisions, best interests and the least restrictive interventions</w:t>
            </w:r>
            <w:r w:rsidR="004F7629" w:rsidRPr="004124CA">
              <w:rPr>
                <w:color w:val="000000" w:themeColor="text1"/>
                <w:sz w:val="24"/>
              </w:rPr>
              <w:t>. If an individual is considered</w:t>
            </w:r>
            <w:r w:rsidR="00D764D4" w:rsidRPr="004124CA">
              <w:rPr>
                <w:color w:val="000000" w:themeColor="text1"/>
                <w:sz w:val="24"/>
              </w:rPr>
              <w:t xml:space="preserve"> to be lacking capacity</w:t>
            </w:r>
            <w:r w:rsidR="004F7629" w:rsidRPr="004124CA">
              <w:rPr>
                <w:color w:val="000000" w:themeColor="text1"/>
                <w:sz w:val="24"/>
              </w:rPr>
              <w:t>,</w:t>
            </w:r>
            <w:r w:rsidR="00D764D4" w:rsidRPr="004124CA">
              <w:rPr>
                <w:color w:val="000000" w:themeColor="text1"/>
                <w:sz w:val="24"/>
              </w:rPr>
              <w:t xml:space="preserve"> a </w:t>
            </w:r>
            <w:r w:rsidR="009E5315" w:rsidRPr="004124CA">
              <w:rPr>
                <w:color w:val="000000" w:themeColor="text1"/>
                <w:sz w:val="24"/>
              </w:rPr>
              <w:t>b</w:t>
            </w:r>
            <w:r w:rsidR="00D764D4" w:rsidRPr="004124CA">
              <w:rPr>
                <w:color w:val="000000" w:themeColor="text1"/>
                <w:sz w:val="24"/>
              </w:rPr>
              <w:t>est interest’s assessment and a Deprivation of Liberty Safeguards</w:t>
            </w:r>
            <w:r w:rsidR="00C76384" w:rsidRPr="004124CA">
              <w:rPr>
                <w:color w:val="000000" w:themeColor="text1"/>
                <w:sz w:val="24"/>
              </w:rPr>
              <w:t xml:space="preserve"> (Dols)</w:t>
            </w:r>
            <w:r w:rsidR="00D764D4" w:rsidRPr="004124CA">
              <w:rPr>
                <w:color w:val="000000" w:themeColor="text1"/>
                <w:sz w:val="24"/>
              </w:rPr>
              <w:t xml:space="preserve"> can be applied to guarantee that individual is still protected and safeguarded notwithstanding their lack of capacity.</w:t>
            </w:r>
            <w:r w:rsidR="00C76384" w:rsidRPr="004124CA">
              <w:rPr>
                <w:color w:val="000000" w:themeColor="text1"/>
                <w:sz w:val="24"/>
              </w:rPr>
              <w:t xml:space="preserve"> Following on from the Mental Capacity Act (2205) Dols will be replaced with the Liberty Protection Safeguards (LPS) which will include individuals from the age of 16 and will transfer responsibility not only from the local authority but to any commissioning body.</w:t>
            </w:r>
            <w:r w:rsidR="007312FD" w:rsidRPr="004124CA">
              <w:rPr>
                <w:color w:val="000000" w:themeColor="text1"/>
                <w:sz w:val="24"/>
              </w:rPr>
              <w:t xml:space="preserve"> </w:t>
            </w:r>
            <w:r w:rsidR="00CA7CAF" w:rsidRPr="004124CA">
              <w:rPr>
                <w:color w:val="000000" w:themeColor="text1"/>
                <w:sz w:val="24"/>
              </w:rPr>
              <w:t>The Welsh Government are out to consultation currently to implement</w:t>
            </w:r>
            <w:r w:rsidR="00C76384" w:rsidRPr="004124CA">
              <w:rPr>
                <w:color w:val="000000" w:themeColor="text1"/>
                <w:sz w:val="24"/>
              </w:rPr>
              <w:t xml:space="preserve"> LPS</w:t>
            </w:r>
            <w:r w:rsidR="00CA7CAF" w:rsidRPr="004124CA">
              <w:rPr>
                <w:color w:val="000000" w:themeColor="text1"/>
                <w:sz w:val="24"/>
              </w:rPr>
              <w:t xml:space="preserve"> </w:t>
            </w:r>
            <w:r w:rsidR="007312FD" w:rsidRPr="004124CA">
              <w:rPr>
                <w:color w:val="000000" w:themeColor="text1"/>
                <w:sz w:val="24"/>
              </w:rPr>
              <w:t xml:space="preserve">imminently </w:t>
            </w:r>
            <w:r w:rsidR="00C76384" w:rsidRPr="004124CA">
              <w:rPr>
                <w:color w:val="000000" w:themeColor="text1"/>
                <w:sz w:val="24"/>
              </w:rPr>
              <w:t>(</w:t>
            </w:r>
            <w:r w:rsidR="00C76384" w:rsidRPr="004124CA">
              <w:rPr>
                <w:color w:val="000000" w:themeColor="text1"/>
                <w:sz w:val="24"/>
                <w:szCs w:val="24"/>
                <w:lang w:val="en-US"/>
              </w:rPr>
              <w:t>Department of Health &amp; Social care (2021).</w:t>
            </w:r>
          </w:p>
          <w:p w14:paraId="5088DC96" w14:textId="77777777" w:rsidR="00945EAF" w:rsidRPr="004124CA" w:rsidRDefault="00945EAF" w:rsidP="0059592A">
            <w:pPr>
              <w:jc w:val="both"/>
              <w:rPr>
                <w:color w:val="000000" w:themeColor="text1"/>
                <w:sz w:val="24"/>
                <w:szCs w:val="24"/>
              </w:rPr>
            </w:pPr>
          </w:p>
          <w:p w14:paraId="2D835769" w14:textId="77777777" w:rsidR="00945EAF" w:rsidRPr="004124CA" w:rsidRDefault="00CA7CAF" w:rsidP="0059592A">
            <w:pPr>
              <w:jc w:val="both"/>
              <w:rPr>
                <w:color w:val="000000" w:themeColor="text1"/>
                <w:sz w:val="24"/>
                <w:szCs w:val="24"/>
              </w:rPr>
            </w:pPr>
            <w:r w:rsidRPr="004124CA">
              <w:rPr>
                <w:color w:val="000000" w:themeColor="text1"/>
                <w:sz w:val="24"/>
                <w:szCs w:val="24"/>
              </w:rPr>
              <w:t xml:space="preserve">As with those mentioned above, specific legislation and polices for issues have also been published in order to safeguard adults. These include The European convention of Human Rights, The United Nations Principles of Older Persons and the Domestic Abuse (Violence against Women, Domestic Abuse and Sexual Violence (Wales)) Act of 2015, to name a few. </w:t>
            </w:r>
          </w:p>
          <w:p w14:paraId="22BD26B8" w14:textId="77777777" w:rsidR="00CA7CAF" w:rsidRPr="004124CA" w:rsidRDefault="00CA7CAF" w:rsidP="0059592A">
            <w:pPr>
              <w:jc w:val="both"/>
              <w:rPr>
                <w:color w:val="000000" w:themeColor="text1"/>
                <w:sz w:val="24"/>
                <w:szCs w:val="24"/>
              </w:rPr>
            </w:pPr>
          </w:p>
          <w:p w14:paraId="4D8336F0" w14:textId="52CB63A4" w:rsidR="00CA7CAF" w:rsidRPr="004124CA" w:rsidRDefault="00CA7CAF" w:rsidP="0059592A">
            <w:pPr>
              <w:jc w:val="both"/>
              <w:rPr>
                <w:color w:val="000000" w:themeColor="text1"/>
                <w:sz w:val="24"/>
                <w:szCs w:val="24"/>
              </w:rPr>
            </w:pPr>
            <w:r w:rsidRPr="004124CA">
              <w:rPr>
                <w:color w:val="000000" w:themeColor="text1"/>
                <w:sz w:val="24"/>
                <w:szCs w:val="24"/>
              </w:rPr>
              <w:t>As with any focus of social work practice, the Data Protection Act (</w:t>
            </w:r>
            <w:r w:rsidR="00542133" w:rsidRPr="004124CA">
              <w:rPr>
                <w:color w:val="000000" w:themeColor="text1"/>
                <w:sz w:val="24"/>
                <w:szCs w:val="24"/>
              </w:rPr>
              <w:t>2018</w:t>
            </w:r>
            <w:r w:rsidRPr="004124CA">
              <w:rPr>
                <w:color w:val="000000" w:themeColor="text1"/>
                <w:sz w:val="24"/>
                <w:szCs w:val="24"/>
              </w:rPr>
              <w:t>)</w:t>
            </w:r>
            <w:r w:rsidR="001D6FE4" w:rsidRPr="004124CA">
              <w:rPr>
                <w:color w:val="000000" w:themeColor="text1"/>
                <w:sz w:val="24"/>
                <w:szCs w:val="24"/>
              </w:rPr>
              <w:t xml:space="preserve"> is also relevant within safeguarding adults. It states that it is imperative that practitioners share information in line with this Act, only sharing without the consent in the event of prevention of abuse or serious harm to others. </w:t>
            </w:r>
          </w:p>
          <w:p w14:paraId="3DDF63B6" w14:textId="77777777" w:rsidR="00D71CF9" w:rsidRPr="004124CA" w:rsidRDefault="00D71CF9" w:rsidP="0059592A">
            <w:pPr>
              <w:jc w:val="both"/>
              <w:rPr>
                <w:color w:val="000000" w:themeColor="text1"/>
                <w:sz w:val="24"/>
                <w:szCs w:val="24"/>
              </w:rPr>
            </w:pPr>
          </w:p>
          <w:p w14:paraId="3E0124BE" w14:textId="77777777" w:rsidR="00D71CF9" w:rsidRPr="004124CA" w:rsidRDefault="00D71CF9" w:rsidP="0059592A">
            <w:pPr>
              <w:jc w:val="both"/>
              <w:rPr>
                <w:color w:val="000000" w:themeColor="text1"/>
                <w:sz w:val="24"/>
                <w:szCs w:val="24"/>
              </w:rPr>
            </w:pPr>
          </w:p>
          <w:p w14:paraId="4CEB6EE1" w14:textId="77777777" w:rsidR="00D71CF9" w:rsidRPr="004124CA" w:rsidRDefault="00D71CF9" w:rsidP="0059592A">
            <w:pPr>
              <w:jc w:val="both"/>
              <w:rPr>
                <w:color w:val="000000" w:themeColor="text1"/>
                <w:sz w:val="24"/>
                <w:szCs w:val="24"/>
              </w:rPr>
            </w:pPr>
          </w:p>
          <w:p w14:paraId="7F09901E" w14:textId="045E0149" w:rsidR="00945EAF" w:rsidRPr="006108C9" w:rsidRDefault="00D71CF9" w:rsidP="0059592A">
            <w:pPr>
              <w:jc w:val="both"/>
              <w:rPr>
                <w:sz w:val="24"/>
                <w:szCs w:val="24"/>
              </w:rPr>
            </w:pPr>
            <w:r w:rsidRPr="004124CA">
              <w:rPr>
                <w:color w:val="000000" w:themeColor="text1"/>
                <w:sz w:val="24"/>
                <w:szCs w:val="24"/>
              </w:rPr>
              <w:t xml:space="preserve">Word count: </w:t>
            </w:r>
            <w:r w:rsidR="007312FD" w:rsidRPr="004124CA">
              <w:rPr>
                <w:color w:val="000000" w:themeColor="text1"/>
                <w:sz w:val="24"/>
                <w:szCs w:val="24"/>
              </w:rPr>
              <w:t xml:space="preserve">548. </w:t>
            </w:r>
          </w:p>
          <w:p w14:paraId="2CEABBB2" w14:textId="77777777" w:rsidR="00945EAF" w:rsidRPr="008B28E7" w:rsidRDefault="00945EAF" w:rsidP="00D71CF9">
            <w:pPr>
              <w:jc w:val="both"/>
              <w:rPr>
                <w:b/>
                <w:sz w:val="24"/>
                <w:szCs w:val="24"/>
              </w:rPr>
            </w:pPr>
          </w:p>
        </w:tc>
      </w:tr>
    </w:tbl>
    <w:p w14:paraId="6A40389B" w14:textId="77777777" w:rsidR="00945EAF" w:rsidRPr="008B28E7" w:rsidRDefault="00945EAF" w:rsidP="00945EAF">
      <w:pPr>
        <w:jc w:val="both"/>
        <w:rPr>
          <w:sz w:val="24"/>
          <w:szCs w:val="24"/>
        </w:rPr>
      </w:pPr>
    </w:p>
    <w:p w14:paraId="3CC87298" w14:textId="77777777" w:rsidR="00150D5C" w:rsidRDefault="00150D5C" w:rsidP="00603A82">
      <w:pPr>
        <w:rPr>
          <w:sz w:val="24"/>
        </w:rPr>
      </w:pPr>
    </w:p>
    <w:p w14:paraId="70E0F45A" w14:textId="77777777" w:rsidR="00945EAF" w:rsidRPr="008B28E7" w:rsidRDefault="00945EAF" w:rsidP="00945EAF">
      <w:pPr>
        <w:jc w:val="both"/>
        <w:rPr>
          <w:sz w:val="24"/>
          <w:szCs w:val="24"/>
        </w:rPr>
      </w:pPr>
    </w:p>
    <w:p w14:paraId="010B1750" w14:textId="77777777" w:rsidR="00945EAF" w:rsidRDefault="00945EAF" w:rsidP="00945EAF">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945EAF" w:rsidRPr="008B28E7" w14:paraId="1939798F" w14:textId="77777777" w:rsidTr="0059592A">
        <w:tc>
          <w:tcPr>
            <w:tcW w:w="10278" w:type="dxa"/>
            <w:shd w:val="clear" w:color="auto" w:fill="auto"/>
          </w:tcPr>
          <w:p w14:paraId="2189F9DB" w14:textId="77777777" w:rsidR="00945EAF" w:rsidRPr="00EB695F" w:rsidRDefault="00945EAF" w:rsidP="0059592A">
            <w:pPr>
              <w:jc w:val="both"/>
              <w:rPr>
                <w:b/>
                <w:sz w:val="24"/>
                <w:szCs w:val="24"/>
              </w:rPr>
            </w:pPr>
            <w:r w:rsidRPr="00EB695F">
              <w:rPr>
                <w:b/>
                <w:sz w:val="24"/>
                <w:szCs w:val="24"/>
              </w:rPr>
              <w:t>Question</w:t>
            </w:r>
            <w:r>
              <w:rPr>
                <w:b/>
                <w:sz w:val="24"/>
                <w:szCs w:val="24"/>
              </w:rPr>
              <w:t xml:space="preserve"> b</w:t>
            </w:r>
            <w:r w:rsidRPr="00EB695F">
              <w:rPr>
                <w:b/>
                <w:sz w:val="24"/>
                <w:szCs w:val="24"/>
              </w:rPr>
              <w:t>:</w:t>
            </w:r>
          </w:p>
          <w:p w14:paraId="45431D54" w14:textId="77777777" w:rsidR="00945EAF" w:rsidRDefault="00945EAF" w:rsidP="0059592A">
            <w:pPr>
              <w:jc w:val="both"/>
              <w:rPr>
                <w:sz w:val="24"/>
                <w:szCs w:val="24"/>
              </w:rPr>
            </w:pPr>
            <w:r w:rsidRPr="006108C9">
              <w:rPr>
                <w:sz w:val="24"/>
                <w:szCs w:val="24"/>
              </w:rPr>
              <w:t>Reflect on the difference between safeguarding in adul</w:t>
            </w:r>
            <w:r w:rsidRPr="00EC3A85">
              <w:rPr>
                <w:sz w:val="24"/>
                <w:szCs w:val="24"/>
              </w:rPr>
              <w:t>ts’</w:t>
            </w:r>
            <w:r w:rsidRPr="006108C9">
              <w:rPr>
                <w:sz w:val="24"/>
                <w:szCs w:val="24"/>
              </w:rPr>
              <w:t xml:space="preserve"> and children</w:t>
            </w:r>
            <w:r>
              <w:rPr>
                <w:sz w:val="24"/>
                <w:szCs w:val="24"/>
              </w:rPr>
              <w:t>’s</w:t>
            </w:r>
            <w:r w:rsidRPr="006108C9">
              <w:rPr>
                <w:sz w:val="24"/>
                <w:szCs w:val="24"/>
              </w:rPr>
              <w:t xml:space="preserve"> work</w:t>
            </w:r>
          </w:p>
          <w:p w14:paraId="3AC8EB88" w14:textId="77777777" w:rsidR="00945EAF" w:rsidRDefault="00945EAF" w:rsidP="0059592A">
            <w:pPr>
              <w:jc w:val="both"/>
              <w:rPr>
                <w:sz w:val="24"/>
                <w:szCs w:val="24"/>
              </w:rPr>
            </w:pPr>
          </w:p>
          <w:p w14:paraId="490091A1" w14:textId="77777777" w:rsidR="00D756CA" w:rsidRDefault="00D756CA" w:rsidP="0059592A">
            <w:pPr>
              <w:jc w:val="both"/>
              <w:rPr>
                <w:sz w:val="24"/>
                <w:szCs w:val="24"/>
              </w:rPr>
            </w:pPr>
          </w:p>
          <w:p w14:paraId="35DFA36F" w14:textId="77777777" w:rsidR="00945EAF" w:rsidRDefault="00945EAF" w:rsidP="0059592A">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Pr>
                <w:i/>
                <w:sz w:val="24"/>
                <w:szCs w:val="24"/>
              </w:rPr>
              <w:t>.</w:t>
            </w:r>
          </w:p>
          <w:p w14:paraId="5F8D99E9" w14:textId="77777777" w:rsidR="00D756CA" w:rsidRDefault="00D756CA" w:rsidP="0059592A">
            <w:pPr>
              <w:jc w:val="both"/>
              <w:rPr>
                <w:i/>
                <w:sz w:val="24"/>
                <w:szCs w:val="24"/>
              </w:rPr>
            </w:pPr>
          </w:p>
          <w:p w14:paraId="56566F83" w14:textId="77777777" w:rsidR="00D756CA" w:rsidRDefault="00D756CA" w:rsidP="0059592A">
            <w:pPr>
              <w:jc w:val="both"/>
              <w:rPr>
                <w:i/>
                <w:sz w:val="24"/>
                <w:szCs w:val="24"/>
              </w:rPr>
            </w:pPr>
          </w:p>
          <w:p w14:paraId="4D00D5B2" w14:textId="77777777" w:rsidR="005B3EDC" w:rsidRDefault="005B3EDC" w:rsidP="0059592A">
            <w:pPr>
              <w:jc w:val="both"/>
              <w:rPr>
                <w:sz w:val="24"/>
                <w:szCs w:val="24"/>
              </w:rPr>
            </w:pPr>
          </w:p>
          <w:p w14:paraId="3412F717" w14:textId="7CC35745" w:rsidR="005B3EDC" w:rsidRDefault="005B3EDC" w:rsidP="0059592A">
            <w:pPr>
              <w:jc w:val="both"/>
              <w:rPr>
                <w:sz w:val="24"/>
                <w:szCs w:val="24"/>
              </w:rPr>
            </w:pPr>
            <w:r>
              <w:rPr>
                <w:sz w:val="24"/>
                <w:szCs w:val="24"/>
              </w:rPr>
              <w:t>Through reflection on the legislations and policies that engulf adult safeguarding</w:t>
            </w:r>
            <w:r w:rsidR="009A5601">
              <w:rPr>
                <w:sz w:val="24"/>
                <w:szCs w:val="24"/>
              </w:rPr>
              <w:t>,</w:t>
            </w:r>
            <w:r>
              <w:rPr>
                <w:sz w:val="24"/>
                <w:szCs w:val="24"/>
              </w:rPr>
              <w:t xml:space="preserve"> an essential </w:t>
            </w:r>
            <w:r w:rsidR="00DE54BD">
              <w:rPr>
                <w:sz w:val="24"/>
                <w:szCs w:val="24"/>
              </w:rPr>
              <w:t>difference</w:t>
            </w:r>
            <w:r>
              <w:rPr>
                <w:sz w:val="24"/>
                <w:szCs w:val="24"/>
              </w:rPr>
              <w:t xml:space="preserve"> between</w:t>
            </w:r>
            <w:r w:rsidR="008A6CE4">
              <w:rPr>
                <w:sz w:val="24"/>
                <w:szCs w:val="24"/>
              </w:rPr>
              <w:t xml:space="preserve"> safeguarding in adults and children </w:t>
            </w:r>
            <w:r>
              <w:rPr>
                <w:sz w:val="24"/>
                <w:szCs w:val="24"/>
              </w:rPr>
              <w:t>is the issue of capacity, and the protection of an adult’s capacity.</w:t>
            </w:r>
            <w:r w:rsidR="008A6CE4">
              <w:rPr>
                <w:sz w:val="24"/>
                <w:szCs w:val="24"/>
              </w:rPr>
              <w:t xml:space="preserve"> </w:t>
            </w:r>
            <w:r w:rsidR="00321A89">
              <w:rPr>
                <w:sz w:val="24"/>
                <w:szCs w:val="24"/>
              </w:rPr>
              <w:t xml:space="preserve">Within the arena of adults, </w:t>
            </w:r>
            <w:proofErr w:type="gramStart"/>
            <w:r w:rsidR="00321A89">
              <w:rPr>
                <w:sz w:val="24"/>
                <w:szCs w:val="24"/>
              </w:rPr>
              <w:t>practitioner’s</w:t>
            </w:r>
            <w:proofErr w:type="gramEnd"/>
            <w:r w:rsidR="00321A89">
              <w:rPr>
                <w:sz w:val="24"/>
                <w:szCs w:val="24"/>
              </w:rPr>
              <w:t xml:space="preserve"> must work within the </w:t>
            </w:r>
            <w:r w:rsidR="00321A89" w:rsidRPr="00DF0E9A">
              <w:rPr>
                <w:color w:val="000000" w:themeColor="text1"/>
                <w:sz w:val="24"/>
                <w:szCs w:val="24"/>
              </w:rPr>
              <w:t xml:space="preserve">Mental Capacity Act (2005) which </w:t>
            </w:r>
            <w:r w:rsidR="00321A89">
              <w:rPr>
                <w:sz w:val="24"/>
                <w:szCs w:val="24"/>
              </w:rPr>
              <w:t xml:space="preserve">dictates that an adult has the right to make choices and decisions, even when other’s may deem them unwise, when they are considered to have capacity. </w:t>
            </w:r>
            <w:r>
              <w:rPr>
                <w:sz w:val="24"/>
                <w:szCs w:val="24"/>
              </w:rPr>
              <w:t xml:space="preserve">A common example of where this occurs is when an adult chooses to remain in an abusive relationship. It is </w:t>
            </w:r>
            <w:r w:rsidR="009A5601">
              <w:rPr>
                <w:sz w:val="24"/>
                <w:szCs w:val="24"/>
              </w:rPr>
              <w:t xml:space="preserve">states </w:t>
            </w:r>
            <w:r>
              <w:rPr>
                <w:sz w:val="24"/>
                <w:szCs w:val="24"/>
              </w:rPr>
              <w:t xml:space="preserve">within the Human Rights Act (1998) that an individual has the right to live their life free from coercion, intimidation and any form of abuse or harm. If an </w:t>
            </w:r>
            <w:r w:rsidR="00826E2F">
              <w:rPr>
                <w:sz w:val="24"/>
                <w:szCs w:val="24"/>
              </w:rPr>
              <w:t>adult chose</w:t>
            </w:r>
            <w:r>
              <w:rPr>
                <w:sz w:val="24"/>
                <w:szCs w:val="24"/>
              </w:rPr>
              <w:t xml:space="preserve"> to remain in this relationship and have capacity, it may be considered an unwise decision.</w:t>
            </w:r>
          </w:p>
          <w:p w14:paraId="569DF6A2" w14:textId="77777777" w:rsidR="0057201A" w:rsidRDefault="0057201A" w:rsidP="0059592A">
            <w:pPr>
              <w:jc w:val="both"/>
              <w:rPr>
                <w:sz w:val="24"/>
                <w:szCs w:val="24"/>
              </w:rPr>
            </w:pPr>
          </w:p>
          <w:p w14:paraId="050B976C" w14:textId="77777777" w:rsidR="005B3EDC" w:rsidRDefault="0057201A" w:rsidP="0059592A">
            <w:pPr>
              <w:jc w:val="both"/>
              <w:rPr>
                <w:sz w:val="24"/>
                <w:szCs w:val="24"/>
              </w:rPr>
            </w:pPr>
            <w:r>
              <w:rPr>
                <w:sz w:val="24"/>
                <w:szCs w:val="24"/>
              </w:rPr>
              <w:lastRenderedPageBreak/>
              <w:t>Within The Mental Capacity Act and the Social Services and Wellbein</w:t>
            </w:r>
            <w:r w:rsidR="0018194C">
              <w:rPr>
                <w:sz w:val="24"/>
                <w:szCs w:val="24"/>
              </w:rPr>
              <w:t>g</w:t>
            </w:r>
            <w:r>
              <w:rPr>
                <w:sz w:val="24"/>
                <w:szCs w:val="24"/>
              </w:rPr>
              <w:t xml:space="preserve"> (Wales) Act (2014) it states that it is to be presumed that adults have mental capacity </w:t>
            </w:r>
            <w:r w:rsidR="0018194C">
              <w:rPr>
                <w:sz w:val="24"/>
                <w:szCs w:val="24"/>
              </w:rPr>
              <w:t xml:space="preserve">unless information or evidence implies that they are lacking capacity. Thus, if an adult has </w:t>
            </w:r>
            <w:proofErr w:type="gramStart"/>
            <w:r w:rsidR="0018194C">
              <w:rPr>
                <w:sz w:val="24"/>
                <w:szCs w:val="24"/>
              </w:rPr>
              <w:t>capacity</w:t>
            </w:r>
            <w:proofErr w:type="gramEnd"/>
            <w:r w:rsidR="0018194C">
              <w:rPr>
                <w:sz w:val="24"/>
                <w:szCs w:val="24"/>
              </w:rPr>
              <w:t xml:space="preserve"> they are able to choose to consent to an assessment and/or support from services. Notwithstanding any </w:t>
            </w:r>
            <w:r w:rsidR="00166BDD">
              <w:rPr>
                <w:sz w:val="24"/>
                <w:szCs w:val="24"/>
              </w:rPr>
              <w:t>risks,</w:t>
            </w:r>
            <w:r w:rsidR="0018194C">
              <w:rPr>
                <w:sz w:val="24"/>
                <w:szCs w:val="24"/>
              </w:rPr>
              <w:t xml:space="preserve"> refusing an assessment or support may cause.</w:t>
            </w:r>
            <w:r w:rsidR="00166BDD">
              <w:rPr>
                <w:sz w:val="24"/>
                <w:szCs w:val="24"/>
              </w:rPr>
              <w:t xml:space="preserve"> </w:t>
            </w:r>
          </w:p>
          <w:p w14:paraId="28BCB34C" w14:textId="77777777" w:rsidR="005B3EDC" w:rsidRDefault="005B3EDC" w:rsidP="0059592A">
            <w:pPr>
              <w:jc w:val="both"/>
              <w:rPr>
                <w:sz w:val="24"/>
                <w:szCs w:val="24"/>
              </w:rPr>
            </w:pPr>
          </w:p>
          <w:p w14:paraId="6A3732C3" w14:textId="64DA7CE7" w:rsidR="001E0028" w:rsidRDefault="0018194C" w:rsidP="0059592A">
            <w:pPr>
              <w:jc w:val="both"/>
              <w:rPr>
                <w:sz w:val="24"/>
                <w:szCs w:val="24"/>
              </w:rPr>
            </w:pPr>
            <w:r>
              <w:rPr>
                <w:sz w:val="24"/>
                <w:szCs w:val="24"/>
              </w:rPr>
              <w:t>Conversely, within children’s social work an assessment and/or support can be implemented without the child and/or their parent’s consent.</w:t>
            </w:r>
            <w:r w:rsidR="001E0028">
              <w:rPr>
                <w:sz w:val="24"/>
                <w:szCs w:val="24"/>
              </w:rPr>
              <w:t xml:space="preserve"> Under the United Nations Convention on the Rights of the Child (1989) a child has the right to life, survival, development and the right to be protected from violence, abuse or neglect. Therefore, a child cannot consent to being abused or neglected (</w:t>
            </w:r>
            <w:r w:rsidR="00F64C76">
              <w:rPr>
                <w:sz w:val="24"/>
                <w:szCs w:val="24"/>
              </w:rPr>
              <w:t>NSPCC, 2021</w:t>
            </w:r>
            <w:r w:rsidR="001E0028">
              <w:rPr>
                <w:sz w:val="24"/>
                <w:szCs w:val="24"/>
              </w:rPr>
              <w:t xml:space="preserve">). If a child was to enter an abusive relationship or witness domestic abuse they cannot consent to the abuse or neglect they will experience. The Social Services and Wellbeing (Wales) Act (2014) places a duty on the local authority to safeguard a child at risk of significant harm. </w:t>
            </w:r>
          </w:p>
          <w:p w14:paraId="62A35FF8" w14:textId="77777777" w:rsidR="001E0028" w:rsidRDefault="001E0028" w:rsidP="0059592A">
            <w:pPr>
              <w:jc w:val="both"/>
              <w:rPr>
                <w:sz w:val="24"/>
                <w:szCs w:val="24"/>
              </w:rPr>
            </w:pPr>
          </w:p>
          <w:p w14:paraId="43AF198D" w14:textId="6242A3A0" w:rsidR="0057201A" w:rsidRDefault="0018194C" w:rsidP="0059592A">
            <w:pPr>
              <w:jc w:val="both"/>
              <w:rPr>
                <w:sz w:val="24"/>
                <w:szCs w:val="24"/>
              </w:rPr>
            </w:pPr>
            <w:r>
              <w:rPr>
                <w:sz w:val="24"/>
                <w:szCs w:val="24"/>
              </w:rPr>
              <w:t>There are powers available within children social work such as</w:t>
            </w:r>
            <w:r w:rsidR="00166BDD">
              <w:rPr>
                <w:sz w:val="24"/>
                <w:szCs w:val="24"/>
              </w:rPr>
              <w:t xml:space="preserve"> commencing</w:t>
            </w:r>
            <w:r>
              <w:rPr>
                <w:sz w:val="24"/>
                <w:szCs w:val="24"/>
              </w:rPr>
              <w:t xml:space="preserve"> a Section 47 c</w:t>
            </w:r>
            <w:r w:rsidR="00166BDD">
              <w:rPr>
                <w:sz w:val="24"/>
                <w:szCs w:val="24"/>
              </w:rPr>
              <w:t>hild protection enquiry</w:t>
            </w:r>
            <w:r>
              <w:rPr>
                <w:sz w:val="24"/>
                <w:szCs w:val="24"/>
              </w:rPr>
              <w:t xml:space="preserve"> to explore any concerns, identify any risks and conclude what actions are needed to ensure the child is kept safe. This can range from initiating child protection </w:t>
            </w:r>
            <w:r w:rsidR="00166BDD">
              <w:rPr>
                <w:sz w:val="24"/>
                <w:szCs w:val="24"/>
              </w:rPr>
              <w:t>procedures</w:t>
            </w:r>
            <w:r>
              <w:rPr>
                <w:sz w:val="24"/>
                <w:szCs w:val="24"/>
              </w:rPr>
              <w:t>, a Police Protection Order under Section 46 of the Children Act (1989) or an Emergency Protection Order if immediate risks were identified.</w:t>
            </w:r>
            <w:r w:rsidR="00DE54BD">
              <w:rPr>
                <w:sz w:val="24"/>
                <w:szCs w:val="24"/>
              </w:rPr>
              <w:t xml:space="preserve"> </w:t>
            </w:r>
            <w:r w:rsidR="001E0028">
              <w:rPr>
                <w:sz w:val="24"/>
                <w:szCs w:val="24"/>
              </w:rPr>
              <w:t>Adult social work can make attempts through the court but has limited/if any powers to overturn an adult’s decision when they are deemed to have capacity.</w:t>
            </w:r>
            <w:r w:rsidR="009A5601">
              <w:rPr>
                <w:sz w:val="24"/>
                <w:szCs w:val="24"/>
              </w:rPr>
              <w:t xml:space="preserve"> Despite</w:t>
            </w:r>
            <w:r>
              <w:rPr>
                <w:sz w:val="24"/>
                <w:szCs w:val="24"/>
              </w:rPr>
              <w:t xml:space="preserve"> </w:t>
            </w:r>
            <w:r w:rsidR="009A5601">
              <w:rPr>
                <w:sz w:val="24"/>
                <w:szCs w:val="24"/>
              </w:rPr>
              <w:t>intervention</w:t>
            </w:r>
            <w:r w:rsidR="009A5601" w:rsidRPr="00DF0E9A">
              <w:rPr>
                <w:color w:val="000000" w:themeColor="text1"/>
                <w:sz w:val="24"/>
                <w:szCs w:val="24"/>
              </w:rPr>
              <w:t xml:space="preserve">s </w:t>
            </w:r>
            <w:r w:rsidRPr="00DF0E9A">
              <w:rPr>
                <w:color w:val="000000" w:themeColor="text1"/>
                <w:sz w:val="24"/>
                <w:szCs w:val="24"/>
              </w:rPr>
              <w:t xml:space="preserve">occurring without consent it is still crucial that the child’s wishes and feelings considered as per the United Nations Convention on the Rights of the Child (1989). </w:t>
            </w:r>
          </w:p>
          <w:p w14:paraId="2F740307" w14:textId="77777777" w:rsidR="001E0028" w:rsidRDefault="001E0028" w:rsidP="0059592A">
            <w:pPr>
              <w:jc w:val="both"/>
              <w:rPr>
                <w:sz w:val="24"/>
                <w:szCs w:val="24"/>
              </w:rPr>
            </w:pPr>
          </w:p>
          <w:p w14:paraId="10A4DDFE" w14:textId="77777777" w:rsidR="002B277E" w:rsidRDefault="002B277E" w:rsidP="0059592A">
            <w:pPr>
              <w:jc w:val="both"/>
              <w:rPr>
                <w:sz w:val="24"/>
                <w:szCs w:val="24"/>
              </w:rPr>
            </w:pPr>
          </w:p>
          <w:p w14:paraId="1FE50077" w14:textId="7BA8376F" w:rsidR="002B277E" w:rsidRPr="003E19BE" w:rsidRDefault="002B277E" w:rsidP="0059592A">
            <w:pPr>
              <w:jc w:val="both"/>
              <w:rPr>
                <w:sz w:val="24"/>
                <w:szCs w:val="24"/>
              </w:rPr>
            </w:pPr>
            <w:r>
              <w:rPr>
                <w:sz w:val="24"/>
                <w:szCs w:val="24"/>
              </w:rPr>
              <w:t xml:space="preserve">Word count: </w:t>
            </w:r>
            <w:r w:rsidR="00AA76D5">
              <w:rPr>
                <w:sz w:val="24"/>
                <w:szCs w:val="24"/>
              </w:rPr>
              <w:t>440</w:t>
            </w:r>
          </w:p>
          <w:p w14:paraId="2F4F88A2" w14:textId="77777777" w:rsidR="00945EAF" w:rsidRPr="006108C9" w:rsidRDefault="00945EAF" w:rsidP="0059592A">
            <w:pPr>
              <w:jc w:val="both"/>
              <w:rPr>
                <w:sz w:val="24"/>
                <w:szCs w:val="24"/>
              </w:rPr>
            </w:pPr>
          </w:p>
        </w:tc>
      </w:tr>
      <w:tr w:rsidR="001E0028" w:rsidRPr="008B28E7" w14:paraId="0B6AFEF0" w14:textId="77777777" w:rsidTr="0059592A">
        <w:tc>
          <w:tcPr>
            <w:tcW w:w="10278" w:type="dxa"/>
            <w:shd w:val="clear" w:color="auto" w:fill="auto"/>
          </w:tcPr>
          <w:p w14:paraId="4CF91A19" w14:textId="77777777" w:rsidR="001E0028" w:rsidRPr="00EB695F" w:rsidRDefault="001E0028" w:rsidP="0059592A">
            <w:pPr>
              <w:jc w:val="both"/>
              <w:rPr>
                <w:b/>
                <w:sz w:val="24"/>
                <w:szCs w:val="24"/>
              </w:rPr>
            </w:pPr>
          </w:p>
        </w:tc>
      </w:tr>
    </w:tbl>
    <w:p w14:paraId="22C2E61A" w14:textId="77777777" w:rsidR="00DA4336" w:rsidRDefault="004124CA"/>
    <w:p w14:paraId="2A022DAB" w14:textId="77777777" w:rsidR="00D756CA" w:rsidRDefault="00D756CA" w:rsidP="00D756CA"/>
    <w:sectPr w:rsidR="00D756C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B0D1252"/>
    <w:multiLevelType w:val="multilevel"/>
    <w:tmpl w:val="04267B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5868749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45EAF"/>
    <w:rsid w:val="00150D5C"/>
    <w:rsid w:val="00166BDD"/>
    <w:rsid w:val="0018194C"/>
    <w:rsid w:val="001D6FE4"/>
    <w:rsid w:val="001E0028"/>
    <w:rsid w:val="002B277E"/>
    <w:rsid w:val="00321A89"/>
    <w:rsid w:val="003E19BE"/>
    <w:rsid w:val="004124CA"/>
    <w:rsid w:val="004F7629"/>
    <w:rsid w:val="00500FB7"/>
    <w:rsid w:val="00542133"/>
    <w:rsid w:val="0057201A"/>
    <w:rsid w:val="005B3EDC"/>
    <w:rsid w:val="00603A82"/>
    <w:rsid w:val="007312FD"/>
    <w:rsid w:val="00750E30"/>
    <w:rsid w:val="00826E2F"/>
    <w:rsid w:val="008A6CE4"/>
    <w:rsid w:val="008F321E"/>
    <w:rsid w:val="00945EAF"/>
    <w:rsid w:val="00987F74"/>
    <w:rsid w:val="009A5601"/>
    <w:rsid w:val="009E5315"/>
    <w:rsid w:val="00AA76D5"/>
    <w:rsid w:val="00BB1593"/>
    <w:rsid w:val="00BC6882"/>
    <w:rsid w:val="00C41DEE"/>
    <w:rsid w:val="00C5264D"/>
    <w:rsid w:val="00C76384"/>
    <w:rsid w:val="00CA7CAF"/>
    <w:rsid w:val="00D71CF9"/>
    <w:rsid w:val="00D756CA"/>
    <w:rsid w:val="00D764D4"/>
    <w:rsid w:val="00DA3662"/>
    <w:rsid w:val="00DE54BD"/>
    <w:rsid w:val="00DF0E9A"/>
    <w:rsid w:val="00F52A53"/>
    <w:rsid w:val="00F64C76"/>
    <w:rsid w:val="00FB73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2ACA12"/>
  <w15:chartTrackingRefBased/>
  <w15:docId w15:val="{C2B9A548-CD3E-4AFB-8CEC-87C451C7DA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45EAF"/>
    <w:pPr>
      <w:overflowPunct w:val="0"/>
      <w:autoSpaceDE w:val="0"/>
      <w:autoSpaceDN w:val="0"/>
      <w:adjustRightInd w:val="0"/>
      <w:spacing w:after="0" w:line="240" w:lineRule="auto"/>
      <w:textAlignment w:val="baseline"/>
    </w:pPr>
    <w:rPr>
      <w:rFonts w:ascii="Arial" w:eastAsia="Times New Roman" w:hAnsi="Arial" w:cs="Arial"/>
      <w:color w:val="000000"/>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991282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162</TotalTime>
  <Pages>3</Pages>
  <Words>1094</Words>
  <Characters>6241</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Walmsley</dc:creator>
  <cp:keywords/>
  <dc:description/>
  <cp:lastModifiedBy>Sophie Walmsley</cp:lastModifiedBy>
  <cp:revision>26</cp:revision>
  <dcterms:created xsi:type="dcterms:W3CDTF">2022-08-15T10:01:00Z</dcterms:created>
  <dcterms:modified xsi:type="dcterms:W3CDTF">2023-02-22T12:27:00Z</dcterms:modified>
</cp:coreProperties>
</file>