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85463929"/>
        <w:docPartObj>
          <w:docPartGallery w:val="Cover Pages"/>
          <w:docPartUnique/>
        </w:docPartObj>
      </w:sdtPr>
      <w:sdtEndPr>
        <w:rPr>
          <w:color w:val="000000" w:themeColor="text1"/>
          <w:sz w:val="24"/>
          <w:szCs w:val="24"/>
        </w:rPr>
      </w:sdtEndPr>
      <w:sdtContent>
        <w:p w14:paraId="74BEE068" w14:textId="6BDC54AA" w:rsidR="0075193C" w:rsidRPr="0014141C" w:rsidRDefault="001B3C0C" w:rsidP="0014141C">
          <w:pPr>
            <w:rPr>
              <w:b/>
              <w:color w:val="000000" w:themeColor="text1"/>
              <w:sz w:val="24"/>
              <w:szCs w:val="24"/>
            </w:rPr>
          </w:pPr>
          <w:r>
            <w:rPr>
              <w:noProof/>
              <w:lang w:eastAsia="en-GB"/>
            </w:rPr>
            <w:drawing>
              <wp:anchor distT="0" distB="0" distL="114300" distR="114300" simplePos="0" relativeHeight="251540480" behindDoc="0" locked="0" layoutInCell="1" allowOverlap="1" wp14:anchorId="07313329" wp14:editId="5B382196">
                <wp:simplePos x="0" y="0"/>
                <wp:positionH relativeFrom="margin">
                  <wp:align>center</wp:align>
                </wp:positionH>
                <wp:positionV relativeFrom="paragraph">
                  <wp:posOffset>2179650</wp:posOffset>
                </wp:positionV>
                <wp:extent cx="2070100" cy="788035"/>
                <wp:effectExtent l="0" t="0" r="6350" b="0"/>
                <wp:wrapTopAndBottom/>
                <wp:docPr id="9" name="Picture 9" descr="Bilderesulta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deresulta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70100" cy="788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07E4">
            <w:rPr>
              <w:noProof/>
              <w:lang w:eastAsia="en-GB"/>
            </w:rPr>
            <mc:AlternateContent>
              <mc:Choice Requires="wps">
                <w:drawing>
                  <wp:anchor distT="0" distB="0" distL="182880" distR="182880" simplePos="0" relativeHeight="251538432" behindDoc="0" locked="0" layoutInCell="1" allowOverlap="1" wp14:anchorId="21AC294E" wp14:editId="280B8D67">
                    <wp:simplePos x="0" y="0"/>
                    <wp:positionH relativeFrom="margin">
                      <wp:align>center</wp:align>
                    </wp:positionH>
                    <wp:positionV relativeFrom="page">
                      <wp:posOffset>4183751</wp:posOffset>
                    </wp:positionV>
                    <wp:extent cx="4686300" cy="6720840"/>
                    <wp:effectExtent l="0" t="0" r="5715"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4FBD0" w14:textId="2D8B07DE" w:rsidR="00B725B9" w:rsidRPr="005208D2" w:rsidRDefault="00B725B9" w:rsidP="009F456F">
                                <w:pPr>
                                  <w:pStyle w:val="NoSpacing"/>
                                  <w:spacing w:before="40" w:after="560" w:line="216" w:lineRule="auto"/>
                                  <w:jc w:val="center"/>
                                  <w:rPr>
                                    <w:rFonts w:ascii="Times New Roman" w:hAnsi="Times New Roman" w:cs="Times New Roman"/>
                                    <w:color w:val="000000" w:themeColor="text1"/>
                                    <w:sz w:val="72"/>
                                    <w:szCs w:val="72"/>
                                  </w:rPr>
                                </w:pPr>
                                <w:sdt>
                                  <w:sdtPr>
                                    <w:rPr>
                                      <w:rFonts w:ascii="Times New Roman" w:hAnsi="Times New Roman" w:cs="Times New Roman"/>
                                      <w:color w:val="000000" w:themeColor="text1"/>
                                      <w:sz w:val="72"/>
                                      <w:szCs w:val="72"/>
                                    </w:rPr>
                                    <w:alias w:val="Title"/>
                                    <w:tag w:val=""/>
                                    <w:id w:val="958611532"/>
                                    <w:dataBinding w:prefixMappings="xmlns:ns0='http://purl.org/dc/elements/1.1/' xmlns:ns1='http://schemas.openxmlformats.org/package/2006/metadata/core-properties' " w:xpath="/ns1:coreProperties[1]/ns0:title[1]" w:storeItemID="{6C3C8BC8-F283-45AE-878A-BAB7291924A1}"/>
                                    <w:text/>
                                  </w:sdtPr>
                                  <w:sdtContent>
                                    <w:r>
                                      <w:rPr>
                                        <w:rFonts w:ascii="Times New Roman" w:hAnsi="Times New Roman" w:cs="Times New Roman"/>
                                        <w:color w:val="000000" w:themeColor="text1"/>
                                        <w:sz w:val="72"/>
                                        <w:szCs w:val="72"/>
                                        <w:lang w:val="en-GB"/>
                                      </w:rPr>
                                      <w:t>Environmental Law in a post-Brexit legislative climate</w:t>
                                    </w:r>
                                  </w:sdtContent>
                                </w:sdt>
                              </w:p>
                              <w:sdt>
                                <w:sdtPr>
                                  <w:rPr>
                                    <w:rFonts w:ascii="Adobe Hebrew" w:eastAsia="Adobe Kaiti Std R" w:hAnsi="Adobe Hebrew" w:cs="Adobe Hebrew"/>
                                    <w:b/>
                                    <w:caps/>
                                    <w:color w:val="000000" w:themeColor="text1"/>
                                    <w:sz w:val="28"/>
                                    <w:szCs w:val="28"/>
                                  </w:rPr>
                                  <w:alias w:val="Subtitle"/>
                                  <w:tag w:val=""/>
                                  <w:id w:val="-402375396"/>
                                  <w:dataBinding w:prefixMappings="xmlns:ns0='http://purl.org/dc/elements/1.1/' xmlns:ns1='http://schemas.openxmlformats.org/package/2006/metadata/core-properties' " w:xpath="/ns1:coreProperties[1]/ns0:subject[1]" w:storeItemID="{6C3C8BC8-F283-45AE-878A-BAB7291924A1}"/>
                                  <w:text/>
                                </w:sdtPr>
                                <w:sdtContent>
                                  <w:p w14:paraId="458D3D9E" w14:textId="4C34518E" w:rsidR="00B725B9" w:rsidRPr="0020700A" w:rsidRDefault="00B725B9" w:rsidP="009F456F">
                                    <w:pPr>
                                      <w:pStyle w:val="NoSpacing"/>
                                      <w:spacing w:before="40" w:after="40"/>
                                      <w:jc w:val="center"/>
                                      <w:rPr>
                                        <w:rFonts w:ascii="Adobe Hebrew" w:eastAsia="Adobe Kaiti Std R" w:hAnsi="Adobe Hebrew" w:cs="Adobe Hebrew"/>
                                        <w:b/>
                                        <w:caps/>
                                        <w:color w:val="000000" w:themeColor="text1"/>
                                        <w:sz w:val="28"/>
                                        <w:szCs w:val="28"/>
                                      </w:rPr>
                                    </w:pPr>
                                    <w:r w:rsidRPr="0020700A">
                                      <w:rPr>
                                        <w:rFonts w:ascii="Adobe Hebrew" w:eastAsia="Adobe Kaiti Std R" w:hAnsi="Adobe Hebrew" w:cs="Adobe Hebrew"/>
                                        <w:b/>
                                        <w:caps/>
                                        <w:color w:val="000000" w:themeColor="text1"/>
                                        <w:sz w:val="28"/>
                                        <w:szCs w:val="28"/>
                                      </w:rPr>
                                      <w:t>A</w:t>
                                    </w:r>
                                    <w:r>
                                      <w:rPr>
                                        <w:rFonts w:ascii="Adobe Hebrew" w:eastAsia="Adobe Kaiti Std R" w:hAnsi="Adobe Hebrew" w:cs="Adobe Hebrew"/>
                                        <w:b/>
                                        <w:caps/>
                                        <w:color w:val="000000" w:themeColor="text1"/>
                                        <w:sz w:val="28"/>
                                        <w:szCs w:val="28"/>
                                      </w:rPr>
                                      <w:t xml:space="preserve"> </w:t>
                                    </w:r>
                                    <w:r w:rsidRPr="0020700A">
                                      <w:rPr>
                                        <w:rFonts w:ascii="Adobe Hebrew" w:eastAsia="Adobe Kaiti Std R" w:hAnsi="Adobe Hebrew" w:cs="Adobe Hebrew"/>
                                        <w:b/>
                                        <w:caps/>
                                        <w:color w:val="000000" w:themeColor="text1"/>
                                        <w:sz w:val="28"/>
                                        <w:szCs w:val="28"/>
                                      </w:rPr>
                                      <w:t>paradigm</w:t>
                                    </w:r>
                                    <w:r>
                                      <w:rPr>
                                        <w:rFonts w:ascii="Adobe Hebrew" w:eastAsia="Adobe Kaiti Std R" w:hAnsi="Adobe Hebrew" w:cs="Adobe Hebrew"/>
                                        <w:b/>
                                        <w:caps/>
                                        <w:color w:val="000000" w:themeColor="text1"/>
                                        <w:sz w:val="28"/>
                                        <w:szCs w:val="28"/>
                                      </w:rPr>
                                      <w:t xml:space="preserve"> shift for </w:t>
                                    </w:r>
                                    <w:r w:rsidRPr="0020700A">
                                      <w:rPr>
                                        <w:rFonts w:ascii="Adobe Hebrew" w:eastAsia="Adobe Kaiti Std R" w:hAnsi="Adobe Hebrew" w:cs="Adobe Hebrew"/>
                                        <w:b/>
                                        <w:caps/>
                                        <w:color w:val="000000" w:themeColor="text1"/>
                                        <w:sz w:val="28"/>
                                        <w:szCs w:val="28"/>
                                      </w:rPr>
                                      <w:t>renewables?</w:t>
                                    </w:r>
                                  </w:p>
                                </w:sdtContent>
                              </w:sdt>
                              <w:sdt>
                                <w:sdtPr>
                                  <w:rPr>
                                    <w:rFonts w:ascii="Adobe Hebrew" w:hAnsi="Adobe Hebrew" w:cs="Adobe Hebrew"/>
                                    <w:b/>
                                  </w:rPr>
                                  <w:alias w:val="Author"/>
                                  <w:tag w:val=""/>
                                  <w:id w:val="-1087146803"/>
                                  <w:dataBinding w:prefixMappings="xmlns:ns0='http://purl.org/dc/elements/1.1/' xmlns:ns1='http://schemas.openxmlformats.org/package/2006/metadata/core-properties' " w:xpath="/ns1:coreProperties[1]/ns0:creator[1]" w:storeItemID="{6C3C8BC8-F283-45AE-878A-BAB7291924A1}"/>
                                  <w:text/>
                                </w:sdtPr>
                                <w:sdtContent>
                                  <w:p w14:paraId="5681B52F" w14:textId="1977C1C8" w:rsidR="00B725B9" w:rsidRDefault="006A2F47" w:rsidP="00775050">
                                    <w:pPr>
                                      <w:jc w:val="center"/>
                                      <w:rPr>
                                        <w:rFonts w:ascii="Adobe Hebrew" w:hAnsi="Adobe Hebrew" w:cs="Adobe Hebrew"/>
                                        <w:b/>
                                      </w:rPr>
                                    </w:pPr>
                                    <w:r>
                                      <w:rPr>
                                        <w:rFonts w:ascii="Adobe Hebrew" w:hAnsi="Adobe Hebrew" w:cs="Adobe Hebrew"/>
                                        <w:b/>
                                      </w:rPr>
                                      <w:t>Lars Ivar Nitter Havro</w:t>
                                    </w:r>
                                  </w:p>
                                </w:sdtContent>
                              </w:sdt>
                              <w:p w14:paraId="7A9095DB" w14:textId="0AEE5CE8" w:rsidR="006A2F47" w:rsidRPr="00B16C84" w:rsidRDefault="006A2F47" w:rsidP="00775050">
                                <w:pPr>
                                  <w:jc w:val="center"/>
                                  <w:rPr>
                                    <w:rFonts w:ascii="Adobe Hebrew" w:eastAsia="Adobe Song Std L" w:hAnsi="Adobe Hebrew" w:cs="Adobe Hebrew"/>
                                  </w:rPr>
                                </w:pPr>
                                <w:r>
                                  <w:rPr>
                                    <w:rFonts w:ascii="Adobe Hebrew" w:hAnsi="Adobe Hebrew" w:cs="Adobe Hebrew"/>
                                    <w:b/>
                                  </w:rPr>
                                  <w:t>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1AC294E" id="_x0000_t202" coordsize="21600,21600" o:spt="202" path="m,l,21600r21600,l21600,xe">
                    <v:stroke joinstyle="miter"/>
                    <v:path gradientshapeok="t" o:connecttype="rect"/>
                  </v:shapetype>
                  <v:shape id="Text Box 131" o:spid="_x0000_s1026" type="#_x0000_t202" style="position:absolute;left:0;text-align:left;margin-left:0;margin-top:329.45pt;width:369pt;height:529.2pt;z-index:251538432;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" filled="f" stroked="f" strokeweight=".5pt">
                    <v:textbox style="mso-fit-shape-to-text:t" inset="0,0,0,0">
                      <w:txbxContent>
                        <w:p w14:paraId="4394FBD0" w14:textId="2D8B07DE" w:rsidR="00B725B9" w:rsidRPr="005208D2" w:rsidRDefault="00B725B9" w:rsidP="009F456F">
                          <w:pPr>
                            <w:pStyle w:val="NoSpacing"/>
                            <w:spacing w:before="40" w:after="560" w:line="216" w:lineRule="auto"/>
                            <w:jc w:val="center"/>
                            <w:rPr>
                              <w:rFonts w:ascii="Times New Roman" w:hAnsi="Times New Roman" w:cs="Times New Roman"/>
                              <w:color w:val="000000" w:themeColor="text1"/>
                              <w:sz w:val="72"/>
                              <w:szCs w:val="72"/>
                            </w:rPr>
                          </w:pPr>
                          <w:sdt>
                            <w:sdtPr>
                              <w:rPr>
                                <w:rFonts w:ascii="Times New Roman" w:hAnsi="Times New Roman" w:cs="Times New Roman"/>
                                <w:color w:val="000000" w:themeColor="text1"/>
                                <w:sz w:val="72"/>
                                <w:szCs w:val="72"/>
                              </w:rPr>
                              <w:alias w:val="Title"/>
                              <w:tag w:val=""/>
                              <w:id w:val="958611532"/>
                              <w:dataBinding w:prefixMappings="xmlns:ns0='http://purl.org/dc/elements/1.1/' xmlns:ns1='http://schemas.openxmlformats.org/package/2006/metadata/core-properties' " w:xpath="/ns1:coreProperties[1]/ns0:title[1]" w:storeItemID="{6C3C8BC8-F283-45AE-878A-BAB7291924A1}"/>
                              <w:text/>
                            </w:sdtPr>
                            <w:sdtContent>
                              <w:r>
                                <w:rPr>
                                  <w:rFonts w:ascii="Times New Roman" w:hAnsi="Times New Roman" w:cs="Times New Roman"/>
                                  <w:color w:val="000000" w:themeColor="text1"/>
                                  <w:sz w:val="72"/>
                                  <w:szCs w:val="72"/>
                                  <w:lang w:val="en-GB"/>
                                </w:rPr>
                                <w:t>Environmental Law in a post-Brexit legislative climate</w:t>
                              </w:r>
                            </w:sdtContent>
                          </w:sdt>
                        </w:p>
                        <w:sdt>
                          <w:sdtPr>
                            <w:rPr>
                              <w:rFonts w:ascii="Adobe Hebrew" w:eastAsia="Adobe Kaiti Std R" w:hAnsi="Adobe Hebrew" w:cs="Adobe Hebrew"/>
                              <w:b/>
                              <w:caps/>
                              <w:color w:val="000000" w:themeColor="text1"/>
                              <w:sz w:val="28"/>
                              <w:szCs w:val="28"/>
                            </w:rPr>
                            <w:alias w:val="Subtitle"/>
                            <w:tag w:val=""/>
                            <w:id w:val="-402375396"/>
                            <w:dataBinding w:prefixMappings="xmlns:ns0='http://purl.org/dc/elements/1.1/' xmlns:ns1='http://schemas.openxmlformats.org/package/2006/metadata/core-properties' " w:xpath="/ns1:coreProperties[1]/ns0:subject[1]" w:storeItemID="{6C3C8BC8-F283-45AE-878A-BAB7291924A1}"/>
                            <w:text/>
                          </w:sdtPr>
                          <w:sdtContent>
                            <w:p w14:paraId="458D3D9E" w14:textId="4C34518E" w:rsidR="00B725B9" w:rsidRPr="0020700A" w:rsidRDefault="00B725B9" w:rsidP="009F456F">
                              <w:pPr>
                                <w:pStyle w:val="NoSpacing"/>
                                <w:spacing w:before="40" w:after="40"/>
                                <w:jc w:val="center"/>
                                <w:rPr>
                                  <w:rFonts w:ascii="Adobe Hebrew" w:eastAsia="Adobe Kaiti Std R" w:hAnsi="Adobe Hebrew" w:cs="Adobe Hebrew"/>
                                  <w:b/>
                                  <w:caps/>
                                  <w:color w:val="000000" w:themeColor="text1"/>
                                  <w:sz w:val="28"/>
                                  <w:szCs w:val="28"/>
                                </w:rPr>
                              </w:pPr>
                              <w:r w:rsidRPr="0020700A">
                                <w:rPr>
                                  <w:rFonts w:ascii="Adobe Hebrew" w:eastAsia="Adobe Kaiti Std R" w:hAnsi="Adobe Hebrew" w:cs="Adobe Hebrew"/>
                                  <w:b/>
                                  <w:caps/>
                                  <w:color w:val="000000" w:themeColor="text1"/>
                                  <w:sz w:val="28"/>
                                  <w:szCs w:val="28"/>
                                </w:rPr>
                                <w:t>A</w:t>
                              </w:r>
                              <w:r>
                                <w:rPr>
                                  <w:rFonts w:ascii="Adobe Hebrew" w:eastAsia="Adobe Kaiti Std R" w:hAnsi="Adobe Hebrew" w:cs="Adobe Hebrew"/>
                                  <w:b/>
                                  <w:caps/>
                                  <w:color w:val="000000" w:themeColor="text1"/>
                                  <w:sz w:val="28"/>
                                  <w:szCs w:val="28"/>
                                </w:rPr>
                                <w:t xml:space="preserve"> </w:t>
                              </w:r>
                              <w:r w:rsidRPr="0020700A">
                                <w:rPr>
                                  <w:rFonts w:ascii="Adobe Hebrew" w:eastAsia="Adobe Kaiti Std R" w:hAnsi="Adobe Hebrew" w:cs="Adobe Hebrew"/>
                                  <w:b/>
                                  <w:caps/>
                                  <w:color w:val="000000" w:themeColor="text1"/>
                                  <w:sz w:val="28"/>
                                  <w:szCs w:val="28"/>
                                </w:rPr>
                                <w:t>paradigm</w:t>
                              </w:r>
                              <w:r>
                                <w:rPr>
                                  <w:rFonts w:ascii="Adobe Hebrew" w:eastAsia="Adobe Kaiti Std R" w:hAnsi="Adobe Hebrew" w:cs="Adobe Hebrew"/>
                                  <w:b/>
                                  <w:caps/>
                                  <w:color w:val="000000" w:themeColor="text1"/>
                                  <w:sz w:val="28"/>
                                  <w:szCs w:val="28"/>
                                </w:rPr>
                                <w:t xml:space="preserve"> shift for </w:t>
                              </w:r>
                              <w:r w:rsidRPr="0020700A">
                                <w:rPr>
                                  <w:rFonts w:ascii="Adobe Hebrew" w:eastAsia="Adobe Kaiti Std R" w:hAnsi="Adobe Hebrew" w:cs="Adobe Hebrew"/>
                                  <w:b/>
                                  <w:caps/>
                                  <w:color w:val="000000" w:themeColor="text1"/>
                                  <w:sz w:val="28"/>
                                  <w:szCs w:val="28"/>
                                </w:rPr>
                                <w:t>renewables?</w:t>
                              </w:r>
                            </w:p>
                          </w:sdtContent>
                        </w:sdt>
                        <w:sdt>
                          <w:sdtPr>
                            <w:rPr>
                              <w:rFonts w:ascii="Adobe Hebrew" w:hAnsi="Adobe Hebrew" w:cs="Adobe Hebrew"/>
                              <w:b/>
                            </w:rPr>
                            <w:alias w:val="Author"/>
                            <w:tag w:val=""/>
                            <w:id w:val="-1087146803"/>
                            <w:dataBinding w:prefixMappings="xmlns:ns0='http://purl.org/dc/elements/1.1/' xmlns:ns1='http://schemas.openxmlformats.org/package/2006/metadata/core-properties' " w:xpath="/ns1:coreProperties[1]/ns0:creator[1]" w:storeItemID="{6C3C8BC8-F283-45AE-878A-BAB7291924A1}"/>
                            <w:text/>
                          </w:sdtPr>
                          <w:sdtContent>
                            <w:p w14:paraId="5681B52F" w14:textId="1977C1C8" w:rsidR="00B725B9" w:rsidRDefault="006A2F47" w:rsidP="00775050">
                              <w:pPr>
                                <w:jc w:val="center"/>
                                <w:rPr>
                                  <w:rFonts w:ascii="Adobe Hebrew" w:hAnsi="Adobe Hebrew" w:cs="Adobe Hebrew"/>
                                  <w:b/>
                                </w:rPr>
                              </w:pPr>
                              <w:r>
                                <w:rPr>
                                  <w:rFonts w:ascii="Adobe Hebrew" w:hAnsi="Adobe Hebrew" w:cs="Adobe Hebrew"/>
                                  <w:b/>
                                </w:rPr>
                                <w:t>Lars Ivar Nitter Havro</w:t>
                              </w:r>
                            </w:p>
                          </w:sdtContent>
                        </w:sdt>
                        <w:p w14:paraId="7A9095DB" w14:textId="0AEE5CE8" w:rsidR="006A2F47" w:rsidRPr="00B16C84" w:rsidRDefault="006A2F47" w:rsidP="00775050">
                          <w:pPr>
                            <w:jc w:val="center"/>
                            <w:rPr>
                              <w:rFonts w:ascii="Adobe Hebrew" w:eastAsia="Adobe Song Std L" w:hAnsi="Adobe Hebrew" w:cs="Adobe Hebrew"/>
                            </w:rPr>
                          </w:pPr>
                          <w:r>
                            <w:rPr>
                              <w:rFonts w:ascii="Adobe Hebrew" w:hAnsi="Adobe Hebrew" w:cs="Adobe Hebrew"/>
                              <w:b/>
                            </w:rPr>
                            <w:t>2017</w:t>
                          </w:r>
                        </w:p>
                      </w:txbxContent>
                    </v:textbox>
                    <w10:wrap type="square" anchorx="margin" anchory="page"/>
                  </v:shape>
                </w:pict>
              </mc:Fallback>
            </mc:AlternateContent>
          </w:r>
          <w:r w:rsidR="00AA1244" w:rsidRPr="0014141C">
            <w:rPr>
              <w:color w:val="000000" w:themeColor="text1"/>
              <w:sz w:val="24"/>
              <w:szCs w:val="24"/>
            </w:rPr>
            <w:br w:type="page"/>
          </w:r>
        </w:p>
        <w:p w14:paraId="56B3EDB6" w14:textId="6C3CD07A" w:rsidR="00963D30" w:rsidRPr="0083481F" w:rsidRDefault="00963D30" w:rsidP="006A2F47">
          <w:pPr>
            <w:ind w:firstLine="0"/>
            <w:rPr>
              <w:rStyle w:val="Strong"/>
            </w:rPr>
          </w:pPr>
        </w:p>
        <w:sdt>
          <w:sdtPr>
            <w:rPr>
              <w:rFonts w:asciiTheme="minorHAnsi" w:eastAsiaTheme="minorHAnsi" w:hAnsiTheme="minorHAnsi" w:cstheme="minorBidi"/>
              <w:color w:val="auto"/>
              <w:sz w:val="22"/>
              <w:szCs w:val="22"/>
              <w:lang w:val="en-GB"/>
            </w:rPr>
            <w:id w:val="-354119499"/>
            <w:docPartObj>
              <w:docPartGallery w:val="Table of Contents"/>
              <w:docPartUnique/>
            </w:docPartObj>
          </w:sdtPr>
          <w:sdtEndPr>
            <w:rPr>
              <w:b/>
              <w:bCs/>
              <w:noProof/>
              <w:sz w:val="28"/>
            </w:rPr>
          </w:sdtEndPr>
          <w:sdtContent>
            <w:p w14:paraId="59B3EB1E" w14:textId="38001000" w:rsidR="0075193C" w:rsidRPr="0075193C" w:rsidRDefault="0075193C" w:rsidP="006A2F47">
              <w:pPr>
                <w:pStyle w:val="TOCHeading"/>
                <w:ind w:firstLine="0"/>
                <w:jc w:val="center"/>
                <w:rPr>
                  <w:color w:val="000000" w:themeColor="text1"/>
                </w:rPr>
              </w:pPr>
              <w:r w:rsidRPr="0075193C">
                <w:rPr>
                  <w:color w:val="000000" w:themeColor="text1"/>
                </w:rPr>
                <w:t>Contents</w:t>
              </w:r>
            </w:p>
            <w:p w14:paraId="49E7314D" w14:textId="7E497CE5" w:rsidR="00B725B9" w:rsidRDefault="0075193C">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01110464" w:history="1">
                <w:r w:rsidR="00B725B9" w:rsidRPr="00A773A0">
                  <w:rPr>
                    <w:rStyle w:val="Hyperlink"/>
                    <w:noProof/>
                  </w:rPr>
                  <w:t>List of Figures</w:t>
                </w:r>
                <w:r w:rsidR="00B725B9">
                  <w:rPr>
                    <w:noProof/>
                    <w:webHidden/>
                  </w:rPr>
                  <w:tab/>
                </w:r>
                <w:r w:rsidR="00B725B9">
                  <w:rPr>
                    <w:noProof/>
                    <w:webHidden/>
                  </w:rPr>
                  <w:fldChar w:fldCharType="begin"/>
                </w:r>
                <w:r w:rsidR="00B725B9">
                  <w:rPr>
                    <w:noProof/>
                    <w:webHidden/>
                  </w:rPr>
                  <w:instrText xml:space="preserve"> PAGEREF _Toc501110464 \h </w:instrText>
                </w:r>
                <w:r w:rsidR="00B725B9">
                  <w:rPr>
                    <w:noProof/>
                    <w:webHidden/>
                  </w:rPr>
                </w:r>
                <w:r w:rsidR="00B725B9">
                  <w:rPr>
                    <w:noProof/>
                    <w:webHidden/>
                  </w:rPr>
                  <w:fldChar w:fldCharType="separate"/>
                </w:r>
                <w:r w:rsidR="00B725B9">
                  <w:rPr>
                    <w:noProof/>
                    <w:webHidden/>
                  </w:rPr>
                  <w:t>3</w:t>
                </w:r>
                <w:r w:rsidR="00B725B9">
                  <w:rPr>
                    <w:noProof/>
                    <w:webHidden/>
                  </w:rPr>
                  <w:fldChar w:fldCharType="end"/>
                </w:r>
              </w:hyperlink>
            </w:p>
            <w:p w14:paraId="455B4052" w14:textId="42822AE0" w:rsidR="00B725B9" w:rsidRDefault="00B725B9">
              <w:pPr>
                <w:pStyle w:val="TOC1"/>
                <w:tabs>
                  <w:tab w:val="right" w:leader="dot" w:pos="9016"/>
                </w:tabs>
                <w:rPr>
                  <w:rFonts w:eastAsiaTheme="minorEastAsia"/>
                  <w:noProof/>
                  <w:sz w:val="22"/>
                  <w:lang w:eastAsia="en-GB"/>
                </w:rPr>
              </w:pPr>
              <w:hyperlink w:anchor="_Toc501110465" w:history="1">
                <w:r w:rsidRPr="00A773A0">
                  <w:rPr>
                    <w:rStyle w:val="Hyperlink"/>
                    <w:noProof/>
                  </w:rPr>
                  <w:t>List of Abbreviations</w:t>
                </w:r>
                <w:r>
                  <w:rPr>
                    <w:noProof/>
                    <w:webHidden/>
                  </w:rPr>
                  <w:tab/>
                </w:r>
                <w:r>
                  <w:rPr>
                    <w:noProof/>
                    <w:webHidden/>
                  </w:rPr>
                  <w:fldChar w:fldCharType="begin"/>
                </w:r>
                <w:r>
                  <w:rPr>
                    <w:noProof/>
                    <w:webHidden/>
                  </w:rPr>
                  <w:instrText xml:space="preserve"> PAGEREF _Toc501110465 \h </w:instrText>
                </w:r>
                <w:r>
                  <w:rPr>
                    <w:noProof/>
                    <w:webHidden/>
                  </w:rPr>
                </w:r>
                <w:r>
                  <w:rPr>
                    <w:noProof/>
                    <w:webHidden/>
                  </w:rPr>
                  <w:fldChar w:fldCharType="separate"/>
                </w:r>
                <w:r>
                  <w:rPr>
                    <w:noProof/>
                    <w:webHidden/>
                  </w:rPr>
                  <w:t>4</w:t>
                </w:r>
                <w:r>
                  <w:rPr>
                    <w:noProof/>
                    <w:webHidden/>
                  </w:rPr>
                  <w:fldChar w:fldCharType="end"/>
                </w:r>
              </w:hyperlink>
            </w:p>
            <w:p w14:paraId="58BF7276" w14:textId="38ADBEC3" w:rsidR="00B725B9" w:rsidRDefault="00B725B9">
              <w:pPr>
                <w:pStyle w:val="TOC1"/>
                <w:tabs>
                  <w:tab w:val="left" w:pos="1100"/>
                  <w:tab w:val="right" w:leader="dot" w:pos="9016"/>
                </w:tabs>
                <w:rPr>
                  <w:rFonts w:eastAsiaTheme="minorEastAsia"/>
                  <w:noProof/>
                  <w:sz w:val="22"/>
                  <w:lang w:eastAsia="en-GB"/>
                </w:rPr>
              </w:pPr>
              <w:hyperlink w:anchor="_Toc501110466" w:history="1">
                <w:r w:rsidRPr="00A773A0">
                  <w:rPr>
                    <w:rStyle w:val="Hyperlink"/>
                    <w:noProof/>
                  </w:rPr>
                  <w:t>1.0</w:t>
                </w:r>
                <w:r>
                  <w:rPr>
                    <w:rFonts w:eastAsiaTheme="minorEastAsia"/>
                    <w:noProof/>
                    <w:sz w:val="22"/>
                    <w:lang w:eastAsia="en-GB"/>
                  </w:rPr>
                  <w:tab/>
                </w:r>
                <w:r w:rsidRPr="00A773A0">
                  <w:rPr>
                    <w:rStyle w:val="Hyperlink"/>
                    <w:noProof/>
                  </w:rPr>
                  <w:t>Introduction</w:t>
                </w:r>
                <w:r>
                  <w:rPr>
                    <w:noProof/>
                    <w:webHidden/>
                  </w:rPr>
                  <w:tab/>
                </w:r>
                <w:r>
                  <w:rPr>
                    <w:noProof/>
                    <w:webHidden/>
                  </w:rPr>
                  <w:fldChar w:fldCharType="begin"/>
                </w:r>
                <w:r>
                  <w:rPr>
                    <w:noProof/>
                    <w:webHidden/>
                  </w:rPr>
                  <w:instrText xml:space="preserve"> PAGEREF _Toc501110466 \h </w:instrText>
                </w:r>
                <w:r>
                  <w:rPr>
                    <w:noProof/>
                    <w:webHidden/>
                  </w:rPr>
                </w:r>
                <w:r>
                  <w:rPr>
                    <w:noProof/>
                    <w:webHidden/>
                  </w:rPr>
                  <w:fldChar w:fldCharType="separate"/>
                </w:r>
                <w:r>
                  <w:rPr>
                    <w:noProof/>
                    <w:webHidden/>
                  </w:rPr>
                  <w:t>1</w:t>
                </w:r>
                <w:r>
                  <w:rPr>
                    <w:noProof/>
                    <w:webHidden/>
                  </w:rPr>
                  <w:fldChar w:fldCharType="end"/>
                </w:r>
              </w:hyperlink>
            </w:p>
            <w:p w14:paraId="43970F8E" w14:textId="1FC7DC44" w:rsidR="00B725B9" w:rsidRDefault="00B725B9">
              <w:pPr>
                <w:pStyle w:val="TOC1"/>
                <w:tabs>
                  <w:tab w:val="left" w:pos="1100"/>
                  <w:tab w:val="right" w:leader="dot" w:pos="9016"/>
                </w:tabs>
                <w:rPr>
                  <w:rFonts w:eastAsiaTheme="minorEastAsia"/>
                  <w:noProof/>
                  <w:sz w:val="22"/>
                  <w:lang w:eastAsia="en-GB"/>
                </w:rPr>
              </w:pPr>
              <w:hyperlink w:anchor="_Toc501110467" w:history="1">
                <w:r w:rsidRPr="00A773A0">
                  <w:rPr>
                    <w:rStyle w:val="Hyperlink"/>
                    <w:noProof/>
                  </w:rPr>
                  <w:t>2.0</w:t>
                </w:r>
                <w:r>
                  <w:rPr>
                    <w:rFonts w:eastAsiaTheme="minorEastAsia"/>
                    <w:noProof/>
                    <w:sz w:val="22"/>
                    <w:lang w:eastAsia="en-GB"/>
                  </w:rPr>
                  <w:tab/>
                </w:r>
                <w:r w:rsidRPr="00A773A0">
                  <w:rPr>
                    <w:rStyle w:val="Hyperlink"/>
                    <w:noProof/>
                  </w:rPr>
                  <w:t>British renewables under EU regulation</w:t>
                </w:r>
                <w:r>
                  <w:rPr>
                    <w:noProof/>
                    <w:webHidden/>
                  </w:rPr>
                  <w:tab/>
                </w:r>
                <w:r>
                  <w:rPr>
                    <w:noProof/>
                    <w:webHidden/>
                  </w:rPr>
                  <w:fldChar w:fldCharType="begin"/>
                </w:r>
                <w:r>
                  <w:rPr>
                    <w:noProof/>
                    <w:webHidden/>
                  </w:rPr>
                  <w:instrText xml:space="preserve"> PAGEREF _Toc501110467 \h </w:instrText>
                </w:r>
                <w:r>
                  <w:rPr>
                    <w:noProof/>
                    <w:webHidden/>
                  </w:rPr>
                </w:r>
                <w:r>
                  <w:rPr>
                    <w:noProof/>
                    <w:webHidden/>
                  </w:rPr>
                  <w:fldChar w:fldCharType="separate"/>
                </w:r>
                <w:r>
                  <w:rPr>
                    <w:noProof/>
                    <w:webHidden/>
                  </w:rPr>
                  <w:t>3</w:t>
                </w:r>
                <w:r>
                  <w:rPr>
                    <w:noProof/>
                    <w:webHidden/>
                  </w:rPr>
                  <w:fldChar w:fldCharType="end"/>
                </w:r>
              </w:hyperlink>
            </w:p>
            <w:p w14:paraId="153C89A3" w14:textId="65B7D72F" w:rsidR="00B725B9" w:rsidRDefault="00B725B9">
              <w:pPr>
                <w:pStyle w:val="TOC2"/>
                <w:tabs>
                  <w:tab w:val="left" w:pos="1320"/>
                  <w:tab w:val="right" w:leader="dot" w:pos="9016"/>
                </w:tabs>
                <w:rPr>
                  <w:rFonts w:eastAsiaTheme="minorEastAsia"/>
                  <w:noProof/>
                  <w:sz w:val="22"/>
                  <w:lang w:eastAsia="en-GB"/>
                </w:rPr>
              </w:pPr>
              <w:hyperlink w:anchor="_Toc501110468" w:history="1">
                <w:r w:rsidRPr="00A773A0">
                  <w:rPr>
                    <w:rStyle w:val="Hyperlink"/>
                    <w:noProof/>
                  </w:rPr>
                  <w:t>2.1</w:t>
                </w:r>
                <w:r>
                  <w:rPr>
                    <w:rFonts w:eastAsiaTheme="minorEastAsia"/>
                    <w:noProof/>
                    <w:sz w:val="22"/>
                    <w:lang w:eastAsia="en-GB"/>
                  </w:rPr>
                  <w:tab/>
                </w:r>
                <w:r w:rsidRPr="00A773A0">
                  <w:rPr>
                    <w:rStyle w:val="Hyperlink"/>
                    <w:noProof/>
                  </w:rPr>
                  <w:t>The Renewable Energy directive in the UK</w:t>
                </w:r>
                <w:r>
                  <w:rPr>
                    <w:noProof/>
                    <w:webHidden/>
                  </w:rPr>
                  <w:tab/>
                </w:r>
                <w:r>
                  <w:rPr>
                    <w:noProof/>
                    <w:webHidden/>
                  </w:rPr>
                  <w:fldChar w:fldCharType="begin"/>
                </w:r>
                <w:r>
                  <w:rPr>
                    <w:noProof/>
                    <w:webHidden/>
                  </w:rPr>
                  <w:instrText xml:space="preserve"> PAGEREF _Toc501110468 \h </w:instrText>
                </w:r>
                <w:r>
                  <w:rPr>
                    <w:noProof/>
                    <w:webHidden/>
                  </w:rPr>
                </w:r>
                <w:r>
                  <w:rPr>
                    <w:noProof/>
                    <w:webHidden/>
                  </w:rPr>
                  <w:fldChar w:fldCharType="separate"/>
                </w:r>
                <w:r>
                  <w:rPr>
                    <w:noProof/>
                    <w:webHidden/>
                  </w:rPr>
                  <w:t>3</w:t>
                </w:r>
                <w:r>
                  <w:rPr>
                    <w:noProof/>
                    <w:webHidden/>
                  </w:rPr>
                  <w:fldChar w:fldCharType="end"/>
                </w:r>
              </w:hyperlink>
            </w:p>
            <w:p w14:paraId="4E78FDE4" w14:textId="2092348A" w:rsidR="00B725B9" w:rsidRDefault="00B725B9">
              <w:pPr>
                <w:pStyle w:val="TOC2"/>
                <w:tabs>
                  <w:tab w:val="right" w:leader="dot" w:pos="9016"/>
                </w:tabs>
                <w:rPr>
                  <w:rFonts w:eastAsiaTheme="minorEastAsia"/>
                  <w:noProof/>
                  <w:sz w:val="22"/>
                  <w:lang w:eastAsia="en-GB"/>
                </w:rPr>
              </w:pPr>
              <w:hyperlink w:anchor="_Toc501110469" w:history="1">
                <w:r w:rsidRPr="00A773A0">
                  <w:rPr>
                    <w:rStyle w:val="Hyperlink"/>
                    <w:noProof/>
                  </w:rPr>
                  <w:t xml:space="preserve">2.2 Renewable electricity generation in the UK </w:t>
                </w:r>
                <w:r>
                  <w:rPr>
                    <w:noProof/>
                    <w:webHidden/>
                  </w:rPr>
                  <w:tab/>
                </w:r>
                <w:r>
                  <w:rPr>
                    <w:noProof/>
                    <w:webHidden/>
                  </w:rPr>
                  <w:fldChar w:fldCharType="begin"/>
                </w:r>
                <w:r>
                  <w:rPr>
                    <w:noProof/>
                    <w:webHidden/>
                  </w:rPr>
                  <w:instrText xml:space="preserve"> PAGEREF _Toc501110469 \h </w:instrText>
                </w:r>
                <w:r>
                  <w:rPr>
                    <w:noProof/>
                    <w:webHidden/>
                  </w:rPr>
                </w:r>
                <w:r>
                  <w:rPr>
                    <w:noProof/>
                    <w:webHidden/>
                  </w:rPr>
                  <w:fldChar w:fldCharType="separate"/>
                </w:r>
                <w:r>
                  <w:rPr>
                    <w:noProof/>
                    <w:webHidden/>
                  </w:rPr>
                  <w:t>4</w:t>
                </w:r>
                <w:r>
                  <w:rPr>
                    <w:noProof/>
                    <w:webHidden/>
                  </w:rPr>
                  <w:fldChar w:fldCharType="end"/>
                </w:r>
              </w:hyperlink>
            </w:p>
            <w:p w14:paraId="12B0FF34" w14:textId="724F2580" w:rsidR="00B725B9" w:rsidRDefault="00B725B9">
              <w:pPr>
                <w:pStyle w:val="TOC2"/>
                <w:tabs>
                  <w:tab w:val="right" w:leader="dot" w:pos="9016"/>
                </w:tabs>
                <w:rPr>
                  <w:rFonts w:eastAsiaTheme="minorEastAsia"/>
                  <w:noProof/>
                  <w:sz w:val="22"/>
                  <w:lang w:eastAsia="en-GB"/>
                </w:rPr>
              </w:pPr>
              <w:hyperlink w:anchor="_Toc501110470" w:history="1">
                <w:r w:rsidRPr="00A773A0">
                  <w:rPr>
                    <w:rStyle w:val="Hyperlink"/>
                    <w:noProof/>
                  </w:rPr>
                  <w:t>2.3 Greenhouse Gas Reduction</w:t>
                </w:r>
                <w:r>
                  <w:rPr>
                    <w:noProof/>
                    <w:webHidden/>
                  </w:rPr>
                  <w:tab/>
                </w:r>
                <w:r>
                  <w:rPr>
                    <w:noProof/>
                    <w:webHidden/>
                  </w:rPr>
                  <w:fldChar w:fldCharType="begin"/>
                </w:r>
                <w:r>
                  <w:rPr>
                    <w:noProof/>
                    <w:webHidden/>
                  </w:rPr>
                  <w:instrText xml:space="preserve"> PAGEREF _Toc501110470 \h </w:instrText>
                </w:r>
                <w:r>
                  <w:rPr>
                    <w:noProof/>
                    <w:webHidden/>
                  </w:rPr>
                </w:r>
                <w:r>
                  <w:rPr>
                    <w:noProof/>
                    <w:webHidden/>
                  </w:rPr>
                  <w:fldChar w:fldCharType="separate"/>
                </w:r>
                <w:r>
                  <w:rPr>
                    <w:noProof/>
                    <w:webHidden/>
                  </w:rPr>
                  <w:t>7</w:t>
                </w:r>
                <w:r>
                  <w:rPr>
                    <w:noProof/>
                    <w:webHidden/>
                  </w:rPr>
                  <w:fldChar w:fldCharType="end"/>
                </w:r>
              </w:hyperlink>
            </w:p>
            <w:p w14:paraId="2B3B2C88" w14:textId="3187D7E0" w:rsidR="00B725B9" w:rsidRDefault="00B725B9">
              <w:pPr>
                <w:pStyle w:val="TOC1"/>
                <w:tabs>
                  <w:tab w:val="left" w:pos="1100"/>
                  <w:tab w:val="right" w:leader="dot" w:pos="9016"/>
                </w:tabs>
                <w:rPr>
                  <w:rFonts w:eastAsiaTheme="minorEastAsia"/>
                  <w:noProof/>
                  <w:sz w:val="22"/>
                  <w:lang w:eastAsia="en-GB"/>
                </w:rPr>
              </w:pPr>
              <w:hyperlink w:anchor="_Toc501110471" w:history="1">
                <w:r w:rsidRPr="00A773A0">
                  <w:rPr>
                    <w:rStyle w:val="Hyperlink"/>
                    <w:noProof/>
                  </w:rPr>
                  <w:t>3.0</w:t>
                </w:r>
                <w:r>
                  <w:rPr>
                    <w:rFonts w:eastAsiaTheme="minorEastAsia"/>
                    <w:noProof/>
                    <w:sz w:val="22"/>
                    <w:lang w:eastAsia="en-GB"/>
                  </w:rPr>
                  <w:tab/>
                </w:r>
                <w:r w:rsidRPr="00A773A0">
                  <w:rPr>
                    <w:rStyle w:val="Hyperlink"/>
                    <w:noProof/>
                  </w:rPr>
                  <w:t>British Renewable Energy Policy post-Brexit</w:t>
                </w:r>
                <w:r>
                  <w:rPr>
                    <w:noProof/>
                    <w:webHidden/>
                  </w:rPr>
                  <w:tab/>
                </w:r>
                <w:r>
                  <w:rPr>
                    <w:noProof/>
                    <w:webHidden/>
                  </w:rPr>
                  <w:fldChar w:fldCharType="begin"/>
                </w:r>
                <w:r>
                  <w:rPr>
                    <w:noProof/>
                    <w:webHidden/>
                  </w:rPr>
                  <w:instrText xml:space="preserve"> PAGEREF _Toc501110471 \h </w:instrText>
                </w:r>
                <w:r>
                  <w:rPr>
                    <w:noProof/>
                    <w:webHidden/>
                  </w:rPr>
                </w:r>
                <w:r>
                  <w:rPr>
                    <w:noProof/>
                    <w:webHidden/>
                  </w:rPr>
                  <w:fldChar w:fldCharType="separate"/>
                </w:r>
                <w:r>
                  <w:rPr>
                    <w:noProof/>
                    <w:webHidden/>
                  </w:rPr>
                  <w:t>10</w:t>
                </w:r>
                <w:r>
                  <w:rPr>
                    <w:noProof/>
                    <w:webHidden/>
                  </w:rPr>
                  <w:fldChar w:fldCharType="end"/>
                </w:r>
              </w:hyperlink>
            </w:p>
            <w:p w14:paraId="1828318E" w14:textId="7A63F1E7" w:rsidR="00B725B9" w:rsidRDefault="00B725B9">
              <w:pPr>
                <w:pStyle w:val="TOC2"/>
                <w:tabs>
                  <w:tab w:val="right" w:leader="dot" w:pos="9016"/>
                </w:tabs>
                <w:rPr>
                  <w:rFonts w:eastAsiaTheme="minorEastAsia"/>
                  <w:noProof/>
                  <w:sz w:val="22"/>
                  <w:lang w:eastAsia="en-GB"/>
                </w:rPr>
              </w:pPr>
              <w:hyperlink w:anchor="_Toc501110472" w:history="1">
                <w:r w:rsidRPr="00A773A0">
                  <w:rPr>
                    <w:rStyle w:val="Hyperlink"/>
                    <w:noProof/>
                  </w:rPr>
                  <w:t>4.1 Modalities of Brexit</w:t>
                </w:r>
                <w:r>
                  <w:rPr>
                    <w:noProof/>
                    <w:webHidden/>
                  </w:rPr>
                  <w:tab/>
                </w:r>
                <w:r>
                  <w:rPr>
                    <w:noProof/>
                    <w:webHidden/>
                  </w:rPr>
                  <w:fldChar w:fldCharType="begin"/>
                </w:r>
                <w:r>
                  <w:rPr>
                    <w:noProof/>
                    <w:webHidden/>
                  </w:rPr>
                  <w:instrText xml:space="preserve"> PAGEREF _Toc501110472 \h </w:instrText>
                </w:r>
                <w:r>
                  <w:rPr>
                    <w:noProof/>
                    <w:webHidden/>
                  </w:rPr>
                </w:r>
                <w:r>
                  <w:rPr>
                    <w:noProof/>
                    <w:webHidden/>
                  </w:rPr>
                  <w:fldChar w:fldCharType="separate"/>
                </w:r>
                <w:r>
                  <w:rPr>
                    <w:noProof/>
                    <w:webHidden/>
                  </w:rPr>
                  <w:t>10</w:t>
                </w:r>
                <w:r>
                  <w:rPr>
                    <w:noProof/>
                    <w:webHidden/>
                  </w:rPr>
                  <w:fldChar w:fldCharType="end"/>
                </w:r>
              </w:hyperlink>
            </w:p>
            <w:p w14:paraId="5901C763" w14:textId="60219403" w:rsidR="00B725B9" w:rsidRDefault="00B725B9">
              <w:pPr>
                <w:pStyle w:val="TOC3"/>
                <w:tabs>
                  <w:tab w:val="right" w:leader="dot" w:pos="9016"/>
                </w:tabs>
                <w:rPr>
                  <w:rFonts w:eastAsiaTheme="minorEastAsia"/>
                  <w:noProof/>
                  <w:sz w:val="22"/>
                  <w:lang w:eastAsia="en-GB"/>
                </w:rPr>
              </w:pPr>
              <w:hyperlink w:anchor="_Toc501110473" w:history="1">
                <w:r w:rsidRPr="00A773A0">
                  <w:rPr>
                    <w:rStyle w:val="Hyperlink"/>
                    <w:noProof/>
                  </w:rPr>
                  <w:t>4.1.1 ‘Hard’ Brexit</w:t>
                </w:r>
                <w:r>
                  <w:rPr>
                    <w:noProof/>
                    <w:webHidden/>
                  </w:rPr>
                  <w:tab/>
                </w:r>
                <w:r>
                  <w:rPr>
                    <w:noProof/>
                    <w:webHidden/>
                  </w:rPr>
                  <w:fldChar w:fldCharType="begin"/>
                </w:r>
                <w:r>
                  <w:rPr>
                    <w:noProof/>
                    <w:webHidden/>
                  </w:rPr>
                  <w:instrText xml:space="preserve"> PAGEREF _Toc501110473 \h </w:instrText>
                </w:r>
                <w:r>
                  <w:rPr>
                    <w:noProof/>
                    <w:webHidden/>
                  </w:rPr>
                </w:r>
                <w:r>
                  <w:rPr>
                    <w:noProof/>
                    <w:webHidden/>
                  </w:rPr>
                  <w:fldChar w:fldCharType="separate"/>
                </w:r>
                <w:r>
                  <w:rPr>
                    <w:noProof/>
                    <w:webHidden/>
                  </w:rPr>
                  <w:t>11</w:t>
                </w:r>
                <w:r>
                  <w:rPr>
                    <w:noProof/>
                    <w:webHidden/>
                  </w:rPr>
                  <w:fldChar w:fldCharType="end"/>
                </w:r>
              </w:hyperlink>
            </w:p>
            <w:p w14:paraId="344B00A6" w14:textId="60C2FE51" w:rsidR="00B725B9" w:rsidRDefault="00B725B9">
              <w:pPr>
                <w:pStyle w:val="TOC3"/>
                <w:tabs>
                  <w:tab w:val="right" w:leader="dot" w:pos="9016"/>
                </w:tabs>
                <w:rPr>
                  <w:rFonts w:eastAsiaTheme="minorEastAsia"/>
                  <w:noProof/>
                  <w:sz w:val="22"/>
                  <w:lang w:eastAsia="en-GB"/>
                </w:rPr>
              </w:pPr>
              <w:hyperlink w:anchor="_Toc501110474" w:history="1">
                <w:r w:rsidRPr="00A773A0">
                  <w:rPr>
                    <w:rStyle w:val="Hyperlink"/>
                    <w:noProof/>
                  </w:rPr>
                  <w:t>4.1.2 ‘Soft’ Brexit</w:t>
                </w:r>
                <w:r>
                  <w:rPr>
                    <w:noProof/>
                    <w:webHidden/>
                  </w:rPr>
                  <w:tab/>
                </w:r>
                <w:r>
                  <w:rPr>
                    <w:noProof/>
                    <w:webHidden/>
                  </w:rPr>
                  <w:fldChar w:fldCharType="begin"/>
                </w:r>
                <w:r>
                  <w:rPr>
                    <w:noProof/>
                    <w:webHidden/>
                  </w:rPr>
                  <w:instrText xml:space="preserve"> PAGEREF _Toc501110474 \h </w:instrText>
                </w:r>
                <w:r>
                  <w:rPr>
                    <w:noProof/>
                    <w:webHidden/>
                  </w:rPr>
                </w:r>
                <w:r>
                  <w:rPr>
                    <w:noProof/>
                    <w:webHidden/>
                  </w:rPr>
                  <w:fldChar w:fldCharType="separate"/>
                </w:r>
                <w:r>
                  <w:rPr>
                    <w:noProof/>
                    <w:webHidden/>
                  </w:rPr>
                  <w:t>11</w:t>
                </w:r>
                <w:r>
                  <w:rPr>
                    <w:noProof/>
                    <w:webHidden/>
                  </w:rPr>
                  <w:fldChar w:fldCharType="end"/>
                </w:r>
              </w:hyperlink>
            </w:p>
            <w:p w14:paraId="3C64B86C" w14:textId="25E7CA4F" w:rsidR="00B725B9" w:rsidRDefault="00B725B9">
              <w:pPr>
                <w:pStyle w:val="TOC3"/>
                <w:tabs>
                  <w:tab w:val="right" w:leader="dot" w:pos="9016"/>
                </w:tabs>
                <w:rPr>
                  <w:rFonts w:eastAsiaTheme="minorEastAsia"/>
                  <w:noProof/>
                  <w:sz w:val="22"/>
                  <w:lang w:eastAsia="en-GB"/>
                </w:rPr>
              </w:pPr>
              <w:hyperlink w:anchor="_Toc501110475" w:history="1">
                <w:r w:rsidRPr="00A773A0">
                  <w:rPr>
                    <w:rStyle w:val="Hyperlink"/>
                    <w:noProof/>
                  </w:rPr>
                  <w:t>4.1.3 Sectoral Carve-out and multilateral agreements</w:t>
                </w:r>
                <w:r>
                  <w:rPr>
                    <w:noProof/>
                    <w:webHidden/>
                  </w:rPr>
                  <w:tab/>
                </w:r>
                <w:r>
                  <w:rPr>
                    <w:noProof/>
                    <w:webHidden/>
                  </w:rPr>
                  <w:fldChar w:fldCharType="begin"/>
                </w:r>
                <w:r>
                  <w:rPr>
                    <w:noProof/>
                    <w:webHidden/>
                  </w:rPr>
                  <w:instrText xml:space="preserve"> PAGEREF _Toc501110475 \h </w:instrText>
                </w:r>
                <w:r>
                  <w:rPr>
                    <w:noProof/>
                    <w:webHidden/>
                  </w:rPr>
                </w:r>
                <w:r>
                  <w:rPr>
                    <w:noProof/>
                    <w:webHidden/>
                  </w:rPr>
                  <w:fldChar w:fldCharType="separate"/>
                </w:r>
                <w:r>
                  <w:rPr>
                    <w:noProof/>
                    <w:webHidden/>
                  </w:rPr>
                  <w:t>11</w:t>
                </w:r>
                <w:r>
                  <w:rPr>
                    <w:noProof/>
                    <w:webHidden/>
                  </w:rPr>
                  <w:fldChar w:fldCharType="end"/>
                </w:r>
              </w:hyperlink>
            </w:p>
            <w:p w14:paraId="7F03D216" w14:textId="5614DD48" w:rsidR="00B725B9" w:rsidRDefault="00B725B9">
              <w:pPr>
                <w:pStyle w:val="TOC2"/>
                <w:tabs>
                  <w:tab w:val="right" w:leader="dot" w:pos="9016"/>
                </w:tabs>
                <w:rPr>
                  <w:rFonts w:eastAsiaTheme="minorEastAsia"/>
                  <w:noProof/>
                  <w:sz w:val="22"/>
                  <w:lang w:eastAsia="en-GB"/>
                </w:rPr>
              </w:pPr>
              <w:hyperlink w:anchor="_Toc501110476" w:history="1">
                <w:r w:rsidRPr="00A773A0">
                  <w:rPr>
                    <w:rStyle w:val="Hyperlink"/>
                    <w:noProof/>
                  </w:rPr>
                  <w:t>4.2 Commercial and social impacts</w:t>
                </w:r>
                <w:r>
                  <w:rPr>
                    <w:noProof/>
                    <w:webHidden/>
                  </w:rPr>
                  <w:tab/>
                </w:r>
                <w:r>
                  <w:rPr>
                    <w:noProof/>
                    <w:webHidden/>
                  </w:rPr>
                  <w:fldChar w:fldCharType="begin"/>
                </w:r>
                <w:r>
                  <w:rPr>
                    <w:noProof/>
                    <w:webHidden/>
                  </w:rPr>
                  <w:instrText xml:space="preserve"> PAGEREF _Toc501110476 \h </w:instrText>
                </w:r>
                <w:r>
                  <w:rPr>
                    <w:noProof/>
                    <w:webHidden/>
                  </w:rPr>
                </w:r>
                <w:r>
                  <w:rPr>
                    <w:noProof/>
                    <w:webHidden/>
                  </w:rPr>
                  <w:fldChar w:fldCharType="separate"/>
                </w:r>
                <w:r>
                  <w:rPr>
                    <w:noProof/>
                    <w:webHidden/>
                  </w:rPr>
                  <w:t>12</w:t>
                </w:r>
                <w:r>
                  <w:rPr>
                    <w:noProof/>
                    <w:webHidden/>
                  </w:rPr>
                  <w:fldChar w:fldCharType="end"/>
                </w:r>
              </w:hyperlink>
            </w:p>
            <w:p w14:paraId="509F8170" w14:textId="0CF82B80" w:rsidR="00B725B9" w:rsidRDefault="00B725B9">
              <w:pPr>
                <w:pStyle w:val="TOC2"/>
                <w:tabs>
                  <w:tab w:val="right" w:leader="dot" w:pos="9016"/>
                </w:tabs>
                <w:rPr>
                  <w:rFonts w:eastAsiaTheme="minorEastAsia"/>
                  <w:noProof/>
                  <w:sz w:val="22"/>
                  <w:lang w:eastAsia="en-GB"/>
                </w:rPr>
              </w:pPr>
              <w:hyperlink w:anchor="_Toc501110477" w:history="1">
                <w:r w:rsidRPr="00A773A0">
                  <w:rPr>
                    <w:rStyle w:val="Hyperlink"/>
                    <w:noProof/>
                  </w:rPr>
                  <w:t>4.3 Environmental aspects</w:t>
                </w:r>
                <w:r>
                  <w:rPr>
                    <w:noProof/>
                    <w:webHidden/>
                  </w:rPr>
                  <w:tab/>
                </w:r>
                <w:r>
                  <w:rPr>
                    <w:noProof/>
                    <w:webHidden/>
                  </w:rPr>
                  <w:fldChar w:fldCharType="begin"/>
                </w:r>
                <w:r>
                  <w:rPr>
                    <w:noProof/>
                    <w:webHidden/>
                  </w:rPr>
                  <w:instrText xml:space="preserve"> PAGEREF _Toc501110477 \h </w:instrText>
                </w:r>
                <w:r>
                  <w:rPr>
                    <w:noProof/>
                    <w:webHidden/>
                  </w:rPr>
                </w:r>
                <w:r>
                  <w:rPr>
                    <w:noProof/>
                    <w:webHidden/>
                  </w:rPr>
                  <w:fldChar w:fldCharType="separate"/>
                </w:r>
                <w:r>
                  <w:rPr>
                    <w:noProof/>
                    <w:webHidden/>
                  </w:rPr>
                  <w:t>13</w:t>
                </w:r>
                <w:r>
                  <w:rPr>
                    <w:noProof/>
                    <w:webHidden/>
                  </w:rPr>
                  <w:fldChar w:fldCharType="end"/>
                </w:r>
              </w:hyperlink>
            </w:p>
            <w:p w14:paraId="123591D0" w14:textId="4629A5F7" w:rsidR="00B725B9" w:rsidRDefault="00B725B9">
              <w:pPr>
                <w:pStyle w:val="TOC2"/>
                <w:tabs>
                  <w:tab w:val="right" w:leader="dot" w:pos="9016"/>
                </w:tabs>
                <w:rPr>
                  <w:rFonts w:eastAsiaTheme="minorEastAsia"/>
                  <w:noProof/>
                  <w:sz w:val="22"/>
                  <w:lang w:eastAsia="en-GB"/>
                </w:rPr>
              </w:pPr>
              <w:hyperlink w:anchor="_Toc501110478" w:history="1">
                <w:r w:rsidRPr="00A773A0">
                  <w:rPr>
                    <w:rStyle w:val="Hyperlink"/>
                    <w:noProof/>
                  </w:rPr>
                  <w:t>4.5 Legislative and financial influence</w:t>
                </w:r>
                <w:r>
                  <w:rPr>
                    <w:noProof/>
                    <w:webHidden/>
                  </w:rPr>
                  <w:tab/>
                </w:r>
                <w:r>
                  <w:rPr>
                    <w:noProof/>
                    <w:webHidden/>
                  </w:rPr>
                  <w:fldChar w:fldCharType="begin"/>
                </w:r>
                <w:r>
                  <w:rPr>
                    <w:noProof/>
                    <w:webHidden/>
                  </w:rPr>
                  <w:instrText xml:space="preserve"> PAGEREF _Toc501110478 \h </w:instrText>
                </w:r>
                <w:r>
                  <w:rPr>
                    <w:noProof/>
                    <w:webHidden/>
                  </w:rPr>
                </w:r>
                <w:r>
                  <w:rPr>
                    <w:noProof/>
                    <w:webHidden/>
                  </w:rPr>
                  <w:fldChar w:fldCharType="separate"/>
                </w:r>
                <w:r>
                  <w:rPr>
                    <w:noProof/>
                    <w:webHidden/>
                  </w:rPr>
                  <w:t>14</w:t>
                </w:r>
                <w:r>
                  <w:rPr>
                    <w:noProof/>
                    <w:webHidden/>
                  </w:rPr>
                  <w:fldChar w:fldCharType="end"/>
                </w:r>
              </w:hyperlink>
            </w:p>
            <w:p w14:paraId="2C279029" w14:textId="652B9080" w:rsidR="00B725B9" w:rsidRDefault="00B725B9">
              <w:pPr>
                <w:pStyle w:val="TOC2"/>
                <w:tabs>
                  <w:tab w:val="right" w:leader="dot" w:pos="9016"/>
                </w:tabs>
                <w:rPr>
                  <w:rFonts w:eastAsiaTheme="minorEastAsia"/>
                  <w:noProof/>
                  <w:sz w:val="22"/>
                  <w:lang w:eastAsia="en-GB"/>
                </w:rPr>
              </w:pPr>
              <w:hyperlink w:anchor="_Toc501110479" w:history="1">
                <w:r w:rsidRPr="00A773A0">
                  <w:rPr>
                    <w:rStyle w:val="Hyperlink"/>
                    <w:noProof/>
                  </w:rPr>
                  <w:t>4.6 A coming reform of the Renewable Energy Directive</w:t>
                </w:r>
                <w:r>
                  <w:rPr>
                    <w:noProof/>
                    <w:webHidden/>
                  </w:rPr>
                  <w:tab/>
                </w:r>
                <w:r>
                  <w:rPr>
                    <w:noProof/>
                    <w:webHidden/>
                  </w:rPr>
                  <w:fldChar w:fldCharType="begin"/>
                </w:r>
                <w:r>
                  <w:rPr>
                    <w:noProof/>
                    <w:webHidden/>
                  </w:rPr>
                  <w:instrText xml:space="preserve"> PAGEREF _Toc501110479 \h </w:instrText>
                </w:r>
                <w:r>
                  <w:rPr>
                    <w:noProof/>
                    <w:webHidden/>
                  </w:rPr>
                </w:r>
                <w:r>
                  <w:rPr>
                    <w:noProof/>
                    <w:webHidden/>
                  </w:rPr>
                  <w:fldChar w:fldCharType="separate"/>
                </w:r>
                <w:r>
                  <w:rPr>
                    <w:noProof/>
                    <w:webHidden/>
                  </w:rPr>
                  <w:t>18</w:t>
                </w:r>
                <w:r>
                  <w:rPr>
                    <w:noProof/>
                    <w:webHidden/>
                  </w:rPr>
                  <w:fldChar w:fldCharType="end"/>
                </w:r>
              </w:hyperlink>
            </w:p>
            <w:p w14:paraId="04D24632" w14:textId="64755E98" w:rsidR="00B725B9" w:rsidRDefault="00B725B9">
              <w:pPr>
                <w:pStyle w:val="TOC1"/>
                <w:tabs>
                  <w:tab w:val="right" w:leader="dot" w:pos="9016"/>
                </w:tabs>
                <w:rPr>
                  <w:rFonts w:eastAsiaTheme="minorEastAsia"/>
                  <w:noProof/>
                  <w:sz w:val="22"/>
                  <w:lang w:eastAsia="en-GB"/>
                </w:rPr>
              </w:pPr>
              <w:hyperlink w:anchor="_Toc501110480" w:history="1">
                <w:r w:rsidRPr="00A773A0">
                  <w:rPr>
                    <w:rStyle w:val="Hyperlink"/>
                    <w:noProof/>
                  </w:rPr>
                  <w:t>5.0 Conclusion</w:t>
                </w:r>
                <w:r>
                  <w:rPr>
                    <w:noProof/>
                    <w:webHidden/>
                  </w:rPr>
                  <w:tab/>
                </w:r>
                <w:r>
                  <w:rPr>
                    <w:noProof/>
                    <w:webHidden/>
                  </w:rPr>
                  <w:fldChar w:fldCharType="begin"/>
                </w:r>
                <w:r>
                  <w:rPr>
                    <w:noProof/>
                    <w:webHidden/>
                  </w:rPr>
                  <w:instrText xml:space="preserve"> PAGEREF _Toc501110480 \h </w:instrText>
                </w:r>
                <w:r>
                  <w:rPr>
                    <w:noProof/>
                    <w:webHidden/>
                  </w:rPr>
                </w:r>
                <w:r>
                  <w:rPr>
                    <w:noProof/>
                    <w:webHidden/>
                  </w:rPr>
                  <w:fldChar w:fldCharType="separate"/>
                </w:r>
                <w:r>
                  <w:rPr>
                    <w:noProof/>
                    <w:webHidden/>
                  </w:rPr>
                  <w:t>19</w:t>
                </w:r>
                <w:r>
                  <w:rPr>
                    <w:noProof/>
                    <w:webHidden/>
                  </w:rPr>
                  <w:fldChar w:fldCharType="end"/>
                </w:r>
              </w:hyperlink>
            </w:p>
            <w:p w14:paraId="11DBA2B7" w14:textId="60D683FC" w:rsidR="00B725B9" w:rsidRDefault="00B725B9">
              <w:pPr>
                <w:pStyle w:val="TOC1"/>
                <w:tabs>
                  <w:tab w:val="left" w:pos="1100"/>
                  <w:tab w:val="right" w:leader="dot" w:pos="9016"/>
                </w:tabs>
                <w:rPr>
                  <w:rFonts w:eastAsiaTheme="minorEastAsia"/>
                  <w:noProof/>
                  <w:sz w:val="22"/>
                  <w:lang w:eastAsia="en-GB"/>
                </w:rPr>
              </w:pPr>
              <w:hyperlink w:anchor="_Toc501110481" w:history="1">
                <w:r w:rsidRPr="00A773A0">
                  <w:rPr>
                    <w:rStyle w:val="Hyperlink"/>
                    <w:noProof/>
                  </w:rPr>
                  <w:t>6.0</w:t>
                </w:r>
                <w:r>
                  <w:rPr>
                    <w:rFonts w:eastAsiaTheme="minorEastAsia"/>
                    <w:noProof/>
                    <w:sz w:val="22"/>
                    <w:lang w:eastAsia="en-GB"/>
                  </w:rPr>
                  <w:tab/>
                </w:r>
                <w:r w:rsidRPr="00A773A0">
                  <w:rPr>
                    <w:rStyle w:val="Hyperlink"/>
                    <w:noProof/>
                  </w:rPr>
                  <w:t>References</w:t>
                </w:r>
                <w:r>
                  <w:rPr>
                    <w:noProof/>
                    <w:webHidden/>
                  </w:rPr>
                  <w:tab/>
                </w:r>
                <w:r>
                  <w:rPr>
                    <w:noProof/>
                    <w:webHidden/>
                  </w:rPr>
                  <w:fldChar w:fldCharType="begin"/>
                </w:r>
                <w:r>
                  <w:rPr>
                    <w:noProof/>
                    <w:webHidden/>
                  </w:rPr>
                  <w:instrText xml:space="preserve"> PAGEREF _Toc501110481 \h </w:instrText>
                </w:r>
                <w:r>
                  <w:rPr>
                    <w:noProof/>
                    <w:webHidden/>
                  </w:rPr>
                </w:r>
                <w:r>
                  <w:rPr>
                    <w:noProof/>
                    <w:webHidden/>
                  </w:rPr>
                  <w:fldChar w:fldCharType="separate"/>
                </w:r>
                <w:r>
                  <w:rPr>
                    <w:noProof/>
                    <w:webHidden/>
                  </w:rPr>
                  <w:t>20</w:t>
                </w:r>
                <w:r>
                  <w:rPr>
                    <w:noProof/>
                    <w:webHidden/>
                  </w:rPr>
                  <w:fldChar w:fldCharType="end"/>
                </w:r>
              </w:hyperlink>
            </w:p>
            <w:p w14:paraId="4AA6FB06" w14:textId="0D71D359" w:rsidR="00D553FA" w:rsidRDefault="0075193C" w:rsidP="005C1775">
              <w:pPr>
                <w:ind w:firstLine="0"/>
                <w:rPr>
                  <w:b/>
                  <w:bCs/>
                  <w:noProof/>
                </w:rPr>
              </w:pPr>
              <w:r>
                <w:rPr>
                  <w:b/>
                  <w:bCs/>
                  <w:noProof/>
                </w:rPr>
                <w:fldChar w:fldCharType="end"/>
              </w:r>
            </w:p>
            <w:p w14:paraId="41AD3FAB" w14:textId="184D7E40" w:rsidR="005B4FC9" w:rsidRDefault="0075193C" w:rsidP="006A2F47">
              <w:pPr>
                <w:pStyle w:val="Heading1"/>
                <w:jc w:val="center"/>
                <w:rPr>
                  <w:noProof/>
                </w:rPr>
              </w:pPr>
              <w:bookmarkStart w:id="0" w:name="_Toc501110464"/>
              <w:r w:rsidRPr="0075193C">
                <w:rPr>
                  <w:noProof/>
                </w:rPr>
                <w:lastRenderedPageBreak/>
                <w:t>List of Figures</w:t>
              </w:r>
              <w:bookmarkEnd w:id="0"/>
            </w:p>
            <w:p w14:paraId="2697F18A" w14:textId="4EE1ECE9" w:rsidR="005B4FC9" w:rsidRDefault="0075193C" w:rsidP="00B725B9">
              <w:pPr>
                <w:pStyle w:val="TableofFigures"/>
                <w:tabs>
                  <w:tab w:val="right" w:leader="dot" w:pos="9016"/>
                </w:tabs>
                <w:ind w:firstLine="0"/>
                <w:rPr>
                  <w:rFonts w:eastAsiaTheme="minorEastAsia"/>
                  <w:noProof/>
                  <w:sz w:val="22"/>
                  <w:lang w:eastAsia="en-GB"/>
                </w:rPr>
              </w:pPr>
              <w:r>
                <w:rPr>
                  <w:bCs/>
                  <w:noProof/>
                  <w:sz w:val="32"/>
                  <w:szCs w:val="32"/>
                </w:rPr>
                <w:fldChar w:fldCharType="begin"/>
              </w:r>
              <w:r w:rsidRPr="0075193C">
                <w:rPr>
                  <w:bCs/>
                  <w:noProof/>
                  <w:sz w:val="32"/>
                  <w:szCs w:val="32"/>
                </w:rPr>
                <w:instrText xml:space="preserve"> TOC \h \z \c "Figure" </w:instrText>
              </w:r>
              <w:r>
                <w:rPr>
                  <w:bCs/>
                  <w:noProof/>
                  <w:sz w:val="32"/>
                  <w:szCs w:val="32"/>
                </w:rPr>
                <w:fldChar w:fldCharType="separate"/>
              </w:r>
              <w:hyperlink r:id="rId9" w:anchor="_Toc500949321" w:history="1">
                <w:r w:rsidR="005B4FC9" w:rsidRPr="0063355E">
                  <w:rPr>
                    <w:rStyle w:val="Hyperlink"/>
                    <w:noProof/>
                  </w:rPr>
                  <w:t>Figure 1: source: (RED, 2016)</w:t>
                </w:r>
                <w:r w:rsidR="005B4FC9">
                  <w:rPr>
                    <w:noProof/>
                    <w:webHidden/>
                  </w:rPr>
                  <w:tab/>
                </w:r>
                <w:r w:rsidR="005B4FC9">
                  <w:rPr>
                    <w:noProof/>
                    <w:webHidden/>
                  </w:rPr>
                  <w:fldChar w:fldCharType="begin"/>
                </w:r>
                <w:r w:rsidR="005B4FC9">
                  <w:rPr>
                    <w:noProof/>
                    <w:webHidden/>
                  </w:rPr>
                  <w:instrText xml:space="preserve"> PAGEREF _Toc500949321 \h </w:instrText>
                </w:r>
                <w:r w:rsidR="005B4FC9">
                  <w:rPr>
                    <w:noProof/>
                    <w:webHidden/>
                  </w:rPr>
                </w:r>
                <w:r w:rsidR="005B4FC9">
                  <w:rPr>
                    <w:noProof/>
                    <w:webHidden/>
                  </w:rPr>
                  <w:fldChar w:fldCharType="separate"/>
                </w:r>
                <w:r w:rsidR="005B4FC9">
                  <w:rPr>
                    <w:noProof/>
                    <w:webHidden/>
                  </w:rPr>
                  <w:t>3</w:t>
                </w:r>
                <w:r w:rsidR="005B4FC9">
                  <w:rPr>
                    <w:noProof/>
                    <w:webHidden/>
                  </w:rPr>
                  <w:fldChar w:fldCharType="end"/>
                </w:r>
              </w:hyperlink>
            </w:p>
            <w:p w14:paraId="2E1A113A" w14:textId="268407BB" w:rsidR="005B4FC9" w:rsidRDefault="00D21B37" w:rsidP="00B725B9">
              <w:pPr>
                <w:pStyle w:val="TableofFigures"/>
                <w:tabs>
                  <w:tab w:val="right" w:leader="dot" w:pos="9016"/>
                </w:tabs>
                <w:ind w:firstLine="0"/>
                <w:rPr>
                  <w:rFonts w:eastAsiaTheme="minorEastAsia"/>
                  <w:noProof/>
                  <w:sz w:val="22"/>
                  <w:lang w:eastAsia="en-GB"/>
                </w:rPr>
              </w:pPr>
              <w:hyperlink w:anchor="_Toc500949322" w:history="1">
                <w:r w:rsidR="005B4FC9" w:rsidRPr="0063355E">
                  <w:rPr>
                    <w:rStyle w:val="Hyperlink"/>
                    <w:noProof/>
                  </w:rPr>
                  <w:t>Figure 2: (House of Lords, 2017)</w:t>
                </w:r>
                <w:r w:rsidR="005B4FC9">
                  <w:rPr>
                    <w:noProof/>
                    <w:webHidden/>
                  </w:rPr>
                  <w:tab/>
                </w:r>
                <w:r w:rsidR="005B4FC9">
                  <w:rPr>
                    <w:noProof/>
                    <w:webHidden/>
                  </w:rPr>
                  <w:fldChar w:fldCharType="begin"/>
                </w:r>
                <w:r w:rsidR="005B4FC9">
                  <w:rPr>
                    <w:noProof/>
                    <w:webHidden/>
                  </w:rPr>
                  <w:instrText xml:space="preserve"> PAGEREF _Toc500949322 \h </w:instrText>
                </w:r>
                <w:r w:rsidR="005B4FC9">
                  <w:rPr>
                    <w:noProof/>
                    <w:webHidden/>
                  </w:rPr>
                </w:r>
                <w:r w:rsidR="005B4FC9">
                  <w:rPr>
                    <w:noProof/>
                    <w:webHidden/>
                  </w:rPr>
                  <w:fldChar w:fldCharType="separate"/>
                </w:r>
                <w:r w:rsidR="005B4FC9">
                  <w:rPr>
                    <w:noProof/>
                    <w:webHidden/>
                  </w:rPr>
                  <w:t>4</w:t>
                </w:r>
                <w:r w:rsidR="005B4FC9">
                  <w:rPr>
                    <w:noProof/>
                    <w:webHidden/>
                  </w:rPr>
                  <w:fldChar w:fldCharType="end"/>
                </w:r>
              </w:hyperlink>
            </w:p>
            <w:p w14:paraId="3913AC99" w14:textId="7B48F345" w:rsidR="005B4FC9" w:rsidRDefault="00D21B37" w:rsidP="00B725B9">
              <w:pPr>
                <w:pStyle w:val="TableofFigures"/>
                <w:tabs>
                  <w:tab w:val="right" w:leader="dot" w:pos="9016"/>
                </w:tabs>
                <w:ind w:firstLine="0"/>
                <w:rPr>
                  <w:rFonts w:eastAsiaTheme="minorEastAsia"/>
                  <w:noProof/>
                  <w:sz w:val="22"/>
                  <w:lang w:eastAsia="en-GB"/>
                </w:rPr>
              </w:pPr>
              <w:hyperlink w:anchor="_Toc500949323" w:history="1">
                <w:r w:rsidR="005B4FC9" w:rsidRPr="0063355E">
                  <w:rPr>
                    <w:rStyle w:val="Hyperlink"/>
                    <w:noProof/>
                  </w:rPr>
                  <w:t>Figure 3: source:(REA, 2017)</w:t>
                </w:r>
                <w:r w:rsidR="005B4FC9">
                  <w:rPr>
                    <w:noProof/>
                    <w:webHidden/>
                  </w:rPr>
                  <w:tab/>
                </w:r>
                <w:r w:rsidR="005B4FC9">
                  <w:rPr>
                    <w:noProof/>
                    <w:webHidden/>
                  </w:rPr>
                  <w:fldChar w:fldCharType="begin"/>
                </w:r>
                <w:r w:rsidR="005B4FC9">
                  <w:rPr>
                    <w:noProof/>
                    <w:webHidden/>
                  </w:rPr>
                  <w:instrText xml:space="preserve"> PAGEREF _Toc500949323 \h </w:instrText>
                </w:r>
                <w:r w:rsidR="005B4FC9">
                  <w:rPr>
                    <w:noProof/>
                    <w:webHidden/>
                  </w:rPr>
                </w:r>
                <w:r w:rsidR="005B4FC9">
                  <w:rPr>
                    <w:noProof/>
                    <w:webHidden/>
                  </w:rPr>
                  <w:fldChar w:fldCharType="separate"/>
                </w:r>
                <w:r w:rsidR="005B4FC9">
                  <w:rPr>
                    <w:noProof/>
                    <w:webHidden/>
                  </w:rPr>
                  <w:t>5</w:t>
                </w:r>
                <w:r w:rsidR="005B4FC9">
                  <w:rPr>
                    <w:noProof/>
                    <w:webHidden/>
                  </w:rPr>
                  <w:fldChar w:fldCharType="end"/>
                </w:r>
              </w:hyperlink>
            </w:p>
            <w:p w14:paraId="42D12AD8" w14:textId="5C03840A" w:rsidR="005B4FC9" w:rsidRDefault="00D21B37" w:rsidP="00B725B9">
              <w:pPr>
                <w:pStyle w:val="TableofFigures"/>
                <w:tabs>
                  <w:tab w:val="right" w:leader="dot" w:pos="9016"/>
                </w:tabs>
                <w:ind w:firstLine="0"/>
                <w:rPr>
                  <w:rFonts w:eastAsiaTheme="minorEastAsia"/>
                  <w:noProof/>
                  <w:sz w:val="22"/>
                  <w:lang w:eastAsia="en-GB"/>
                </w:rPr>
              </w:pPr>
              <w:hyperlink w:anchor="_Toc500949324" w:history="1">
                <w:r w:rsidR="005B4FC9" w:rsidRPr="0063355E">
                  <w:rPr>
                    <w:rStyle w:val="Hyperlink"/>
                    <w:noProof/>
                  </w:rPr>
                  <w:t>Figure 4:Savings of greenhouse gas emissions by expanding renewables in the EU since 2005 (UWE Nestle, 2017)</w:t>
                </w:r>
                <w:r w:rsidR="005B4FC9">
                  <w:rPr>
                    <w:noProof/>
                    <w:webHidden/>
                  </w:rPr>
                  <w:tab/>
                </w:r>
                <w:r w:rsidR="005B4FC9">
                  <w:rPr>
                    <w:noProof/>
                    <w:webHidden/>
                  </w:rPr>
                  <w:fldChar w:fldCharType="begin"/>
                </w:r>
                <w:r w:rsidR="005B4FC9">
                  <w:rPr>
                    <w:noProof/>
                    <w:webHidden/>
                  </w:rPr>
                  <w:instrText xml:space="preserve"> PAGEREF _Toc500949324 \h </w:instrText>
                </w:r>
                <w:r w:rsidR="005B4FC9">
                  <w:rPr>
                    <w:noProof/>
                    <w:webHidden/>
                  </w:rPr>
                </w:r>
                <w:r w:rsidR="005B4FC9">
                  <w:rPr>
                    <w:noProof/>
                    <w:webHidden/>
                  </w:rPr>
                  <w:fldChar w:fldCharType="separate"/>
                </w:r>
                <w:r w:rsidR="005B4FC9">
                  <w:rPr>
                    <w:noProof/>
                    <w:webHidden/>
                  </w:rPr>
                  <w:t>7</w:t>
                </w:r>
                <w:r w:rsidR="005B4FC9">
                  <w:rPr>
                    <w:noProof/>
                    <w:webHidden/>
                  </w:rPr>
                  <w:fldChar w:fldCharType="end"/>
                </w:r>
              </w:hyperlink>
            </w:p>
            <w:p w14:paraId="6D658253" w14:textId="2E72AB43" w:rsidR="005B4FC9" w:rsidRDefault="00D21B37" w:rsidP="00B725B9">
              <w:pPr>
                <w:pStyle w:val="TableofFigures"/>
                <w:tabs>
                  <w:tab w:val="right" w:leader="dot" w:pos="9016"/>
                </w:tabs>
                <w:ind w:firstLine="0"/>
                <w:rPr>
                  <w:rFonts w:eastAsiaTheme="minorEastAsia"/>
                  <w:noProof/>
                  <w:sz w:val="22"/>
                  <w:lang w:eastAsia="en-GB"/>
                </w:rPr>
              </w:pPr>
              <w:hyperlink w:anchor="_Toc500949325" w:history="1">
                <w:r w:rsidR="005B4FC9" w:rsidRPr="0063355E">
                  <w:rPr>
                    <w:rStyle w:val="Hyperlink"/>
                    <w:noProof/>
                  </w:rPr>
                  <w:t>Figure 5: source: (REA, 2017)</w:t>
                </w:r>
                <w:r w:rsidR="005B4FC9">
                  <w:rPr>
                    <w:noProof/>
                    <w:webHidden/>
                  </w:rPr>
                  <w:tab/>
                </w:r>
                <w:r w:rsidR="005B4FC9">
                  <w:rPr>
                    <w:noProof/>
                    <w:webHidden/>
                  </w:rPr>
                  <w:fldChar w:fldCharType="begin"/>
                </w:r>
                <w:r w:rsidR="005B4FC9">
                  <w:rPr>
                    <w:noProof/>
                    <w:webHidden/>
                  </w:rPr>
                  <w:instrText xml:space="preserve"> PAGEREF _Toc500949325 \h </w:instrText>
                </w:r>
                <w:r w:rsidR="005B4FC9">
                  <w:rPr>
                    <w:noProof/>
                    <w:webHidden/>
                  </w:rPr>
                </w:r>
                <w:r w:rsidR="005B4FC9">
                  <w:rPr>
                    <w:noProof/>
                    <w:webHidden/>
                  </w:rPr>
                  <w:fldChar w:fldCharType="separate"/>
                </w:r>
                <w:r w:rsidR="005B4FC9">
                  <w:rPr>
                    <w:noProof/>
                    <w:webHidden/>
                  </w:rPr>
                  <w:t>8</w:t>
                </w:r>
                <w:r w:rsidR="005B4FC9">
                  <w:rPr>
                    <w:noProof/>
                    <w:webHidden/>
                  </w:rPr>
                  <w:fldChar w:fldCharType="end"/>
                </w:r>
              </w:hyperlink>
            </w:p>
            <w:p w14:paraId="6A458C88" w14:textId="4B8FF528" w:rsidR="005B4FC9" w:rsidRDefault="00D21B37" w:rsidP="00B725B9">
              <w:pPr>
                <w:pStyle w:val="TableofFigures"/>
                <w:tabs>
                  <w:tab w:val="right" w:leader="dot" w:pos="9016"/>
                </w:tabs>
                <w:ind w:firstLine="0"/>
                <w:rPr>
                  <w:rFonts w:eastAsiaTheme="minorEastAsia"/>
                  <w:noProof/>
                  <w:sz w:val="22"/>
                  <w:lang w:eastAsia="en-GB"/>
                </w:rPr>
              </w:pPr>
              <w:hyperlink w:anchor="_Toc500949326" w:history="1">
                <w:r w:rsidR="005B4FC9" w:rsidRPr="0063355E">
                  <w:rPr>
                    <w:rStyle w:val="Hyperlink"/>
                    <w:noProof/>
                  </w:rPr>
                  <w:t>Figure 6: source: (REA, 2017)</w:t>
                </w:r>
                <w:r w:rsidR="005B4FC9">
                  <w:rPr>
                    <w:noProof/>
                    <w:webHidden/>
                  </w:rPr>
                  <w:tab/>
                </w:r>
                <w:r w:rsidR="005B4FC9">
                  <w:rPr>
                    <w:noProof/>
                    <w:webHidden/>
                  </w:rPr>
                  <w:fldChar w:fldCharType="begin"/>
                </w:r>
                <w:r w:rsidR="005B4FC9">
                  <w:rPr>
                    <w:noProof/>
                    <w:webHidden/>
                  </w:rPr>
                  <w:instrText xml:space="preserve"> PAGEREF _Toc500949326 \h </w:instrText>
                </w:r>
                <w:r w:rsidR="005B4FC9">
                  <w:rPr>
                    <w:noProof/>
                    <w:webHidden/>
                  </w:rPr>
                </w:r>
                <w:r w:rsidR="005B4FC9">
                  <w:rPr>
                    <w:noProof/>
                    <w:webHidden/>
                  </w:rPr>
                  <w:fldChar w:fldCharType="separate"/>
                </w:r>
                <w:r w:rsidR="005B4FC9">
                  <w:rPr>
                    <w:noProof/>
                    <w:webHidden/>
                  </w:rPr>
                  <w:t>8</w:t>
                </w:r>
                <w:r w:rsidR="005B4FC9">
                  <w:rPr>
                    <w:noProof/>
                    <w:webHidden/>
                  </w:rPr>
                  <w:fldChar w:fldCharType="end"/>
                </w:r>
              </w:hyperlink>
            </w:p>
            <w:p w14:paraId="092D2A48" w14:textId="0FD53F91" w:rsidR="005B4FC9" w:rsidRDefault="00D21B37" w:rsidP="00B725B9">
              <w:pPr>
                <w:pStyle w:val="TableofFigures"/>
                <w:tabs>
                  <w:tab w:val="right" w:leader="dot" w:pos="9016"/>
                </w:tabs>
                <w:ind w:firstLine="0"/>
                <w:rPr>
                  <w:rFonts w:eastAsiaTheme="minorEastAsia"/>
                  <w:noProof/>
                  <w:sz w:val="22"/>
                  <w:lang w:eastAsia="en-GB"/>
                </w:rPr>
              </w:pPr>
              <w:hyperlink w:anchor="_Toc500949327" w:history="1">
                <w:r w:rsidR="005B4FC9" w:rsidRPr="0063355E">
                  <w:rPr>
                    <w:rStyle w:val="Hyperlink"/>
                    <w:noProof/>
                  </w:rPr>
                  <w:t>Figure 7: UK GHG emissions against legislated budgets and 2050 (Fischer and Geden, no date)</w:t>
                </w:r>
                <w:r w:rsidR="005B4FC9">
                  <w:rPr>
                    <w:noProof/>
                    <w:webHidden/>
                  </w:rPr>
                  <w:tab/>
                </w:r>
                <w:r w:rsidR="005B4FC9">
                  <w:rPr>
                    <w:noProof/>
                    <w:webHidden/>
                  </w:rPr>
                  <w:fldChar w:fldCharType="begin"/>
                </w:r>
                <w:r w:rsidR="005B4FC9">
                  <w:rPr>
                    <w:noProof/>
                    <w:webHidden/>
                  </w:rPr>
                  <w:instrText xml:space="preserve"> PAGEREF _Toc500949327 \h </w:instrText>
                </w:r>
                <w:r w:rsidR="005B4FC9">
                  <w:rPr>
                    <w:noProof/>
                    <w:webHidden/>
                  </w:rPr>
                </w:r>
                <w:r w:rsidR="005B4FC9">
                  <w:rPr>
                    <w:noProof/>
                    <w:webHidden/>
                  </w:rPr>
                  <w:fldChar w:fldCharType="separate"/>
                </w:r>
                <w:r w:rsidR="005B4FC9">
                  <w:rPr>
                    <w:noProof/>
                    <w:webHidden/>
                  </w:rPr>
                  <w:t>9</w:t>
                </w:r>
                <w:r w:rsidR="005B4FC9">
                  <w:rPr>
                    <w:noProof/>
                    <w:webHidden/>
                  </w:rPr>
                  <w:fldChar w:fldCharType="end"/>
                </w:r>
              </w:hyperlink>
            </w:p>
            <w:p w14:paraId="24BBBCB6" w14:textId="4DB85369" w:rsidR="005B4FC9" w:rsidRDefault="00D21B37" w:rsidP="00B725B9">
              <w:pPr>
                <w:pStyle w:val="TableofFigures"/>
                <w:tabs>
                  <w:tab w:val="right" w:leader="dot" w:pos="9016"/>
                </w:tabs>
                <w:ind w:firstLine="0"/>
                <w:rPr>
                  <w:rFonts w:eastAsiaTheme="minorEastAsia"/>
                  <w:noProof/>
                  <w:sz w:val="22"/>
                  <w:lang w:eastAsia="en-GB"/>
                </w:rPr>
              </w:pPr>
              <w:hyperlink w:anchor="_Toc500949328" w:history="1">
                <w:r w:rsidR="005B4FC9" w:rsidRPr="0063355E">
                  <w:rPr>
                    <w:rStyle w:val="Hyperlink"/>
                    <w:noProof/>
                  </w:rPr>
                  <w:t>Figure 8: UK past and projected future emissions compared to the Climate Change Act carbon budgets (Hepburn and Teytelboym, 2017)</w:t>
                </w:r>
                <w:r w:rsidR="005B4FC9">
                  <w:rPr>
                    <w:noProof/>
                    <w:webHidden/>
                  </w:rPr>
                  <w:tab/>
                </w:r>
                <w:r w:rsidR="005B4FC9">
                  <w:rPr>
                    <w:noProof/>
                    <w:webHidden/>
                  </w:rPr>
                  <w:fldChar w:fldCharType="begin"/>
                </w:r>
                <w:r w:rsidR="005B4FC9">
                  <w:rPr>
                    <w:noProof/>
                    <w:webHidden/>
                  </w:rPr>
                  <w:instrText xml:space="preserve"> PAGEREF _Toc500949328 \h </w:instrText>
                </w:r>
                <w:r w:rsidR="005B4FC9">
                  <w:rPr>
                    <w:noProof/>
                    <w:webHidden/>
                  </w:rPr>
                </w:r>
                <w:r w:rsidR="005B4FC9">
                  <w:rPr>
                    <w:noProof/>
                    <w:webHidden/>
                  </w:rPr>
                  <w:fldChar w:fldCharType="separate"/>
                </w:r>
                <w:r w:rsidR="005B4FC9">
                  <w:rPr>
                    <w:noProof/>
                    <w:webHidden/>
                  </w:rPr>
                  <w:t>10</w:t>
                </w:r>
                <w:r w:rsidR="005B4FC9">
                  <w:rPr>
                    <w:noProof/>
                    <w:webHidden/>
                  </w:rPr>
                  <w:fldChar w:fldCharType="end"/>
                </w:r>
              </w:hyperlink>
            </w:p>
            <w:p w14:paraId="51436091" w14:textId="19445E26" w:rsidR="005B4FC9" w:rsidRDefault="00D21B37" w:rsidP="00B725B9">
              <w:pPr>
                <w:pStyle w:val="TableofFigures"/>
                <w:tabs>
                  <w:tab w:val="right" w:leader="dot" w:pos="9016"/>
                </w:tabs>
                <w:ind w:firstLine="0"/>
                <w:rPr>
                  <w:rFonts w:eastAsiaTheme="minorEastAsia"/>
                  <w:noProof/>
                  <w:sz w:val="22"/>
                  <w:lang w:eastAsia="en-GB"/>
                </w:rPr>
              </w:pPr>
              <w:hyperlink w:anchor="_Toc500949329" w:history="1">
                <w:r w:rsidR="005B4FC9" w:rsidRPr="0063355E">
                  <w:rPr>
                    <w:rStyle w:val="Hyperlink"/>
                    <w:noProof/>
                  </w:rPr>
                  <w:t>Figure 9: Share of renewables in gross final energy consumption, 2014-2020 (REA, 2017)</w:t>
                </w:r>
                <w:r w:rsidR="005B4FC9">
                  <w:rPr>
                    <w:noProof/>
                    <w:webHidden/>
                  </w:rPr>
                  <w:tab/>
                </w:r>
                <w:r w:rsidR="005B4FC9">
                  <w:rPr>
                    <w:noProof/>
                    <w:webHidden/>
                  </w:rPr>
                  <w:fldChar w:fldCharType="begin"/>
                </w:r>
                <w:r w:rsidR="005B4FC9">
                  <w:rPr>
                    <w:noProof/>
                    <w:webHidden/>
                  </w:rPr>
                  <w:instrText xml:space="preserve"> PAGEREF _Toc500949329 \h </w:instrText>
                </w:r>
                <w:r w:rsidR="005B4FC9">
                  <w:rPr>
                    <w:noProof/>
                    <w:webHidden/>
                  </w:rPr>
                </w:r>
                <w:r w:rsidR="005B4FC9">
                  <w:rPr>
                    <w:noProof/>
                    <w:webHidden/>
                  </w:rPr>
                  <w:fldChar w:fldCharType="separate"/>
                </w:r>
                <w:r w:rsidR="005B4FC9">
                  <w:rPr>
                    <w:noProof/>
                    <w:webHidden/>
                  </w:rPr>
                  <w:t>11</w:t>
                </w:r>
                <w:r w:rsidR="005B4FC9">
                  <w:rPr>
                    <w:noProof/>
                    <w:webHidden/>
                  </w:rPr>
                  <w:fldChar w:fldCharType="end"/>
                </w:r>
              </w:hyperlink>
            </w:p>
            <w:p w14:paraId="20DC7B56" w14:textId="35D4FC6F" w:rsidR="005B4FC9" w:rsidRDefault="00D21B37" w:rsidP="00B725B9">
              <w:pPr>
                <w:pStyle w:val="TableofFigures"/>
                <w:tabs>
                  <w:tab w:val="right" w:leader="dot" w:pos="9016"/>
                </w:tabs>
                <w:ind w:firstLine="0"/>
                <w:rPr>
                  <w:rFonts w:eastAsiaTheme="minorEastAsia"/>
                  <w:noProof/>
                  <w:sz w:val="22"/>
                  <w:lang w:eastAsia="en-GB"/>
                </w:rPr>
              </w:pPr>
              <w:hyperlink w:anchor="_Toc500949330" w:history="1">
                <w:r w:rsidR="005B4FC9" w:rsidRPr="0063355E">
                  <w:rPr>
                    <w:rStyle w:val="Hyperlink"/>
                    <w:noProof/>
                  </w:rPr>
                  <w:t>Figure 10: Implication of various scnarios related to the EU referendum (Baldock et.al, 2016)</w:t>
                </w:r>
                <w:r w:rsidR="005B4FC9">
                  <w:rPr>
                    <w:noProof/>
                    <w:webHidden/>
                  </w:rPr>
                  <w:tab/>
                </w:r>
                <w:r w:rsidR="005B4FC9">
                  <w:rPr>
                    <w:noProof/>
                    <w:webHidden/>
                  </w:rPr>
                  <w:fldChar w:fldCharType="begin"/>
                </w:r>
                <w:r w:rsidR="005B4FC9">
                  <w:rPr>
                    <w:noProof/>
                    <w:webHidden/>
                  </w:rPr>
                  <w:instrText xml:space="preserve"> PAGEREF _Toc500949330 \h </w:instrText>
                </w:r>
                <w:r w:rsidR="005B4FC9">
                  <w:rPr>
                    <w:noProof/>
                    <w:webHidden/>
                  </w:rPr>
                </w:r>
                <w:r w:rsidR="005B4FC9">
                  <w:rPr>
                    <w:noProof/>
                    <w:webHidden/>
                  </w:rPr>
                  <w:fldChar w:fldCharType="separate"/>
                </w:r>
                <w:r w:rsidR="005B4FC9">
                  <w:rPr>
                    <w:noProof/>
                    <w:webHidden/>
                  </w:rPr>
                  <w:t>12</w:t>
                </w:r>
                <w:r w:rsidR="005B4FC9">
                  <w:rPr>
                    <w:noProof/>
                    <w:webHidden/>
                  </w:rPr>
                  <w:fldChar w:fldCharType="end"/>
                </w:r>
              </w:hyperlink>
            </w:p>
            <w:p w14:paraId="457451DB" w14:textId="4DFB750D" w:rsidR="005B4FC9" w:rsidRDefault="00D21B37" w:rsidP="00B725B9">
              <w:pPr>
                <w:pStyle w:val="TableofFigures"/>
                <w:tabs>
                  <w:tab w:val="right" w:leader="dot" w:pos="9016"/>
                </w:tabs>
                <w:ind w:firstLine="0"/>
                <w:rPr>
                  <w:rFonts w:eastAsiaTheme="minorEastAsia"/>
                  <w:noProof/>
                  <w:sz w:val="22"/>
                  <w:lang w:eastAsia="en-GB"/>
                </w:rPr>
              </w:pPr>
              <w:hyperlink w:anchor="_Toc500949331" w:history="1">
                <w:r w:rsidR="005B4FC9" w:rsidRPr="0063355E">
                  <w:rPr>
                    <w:rStyle w:val="Hyperlink"/>
                    <w:noProof/>
                  </w:rPr>
                  <w:t>Figure 11: Timeline of the UK Brexit referendum (Cowell, 2017)</w:t>
                </w:r>
                <w:r w:rsidR="005B4FC9">
                  <w:rPr>
                    <w:noProof/>
                    <w:webHidden/>
                  </w:rPr>
                  <w:tab/>
                </w:r>
                <w:r w:rsidR="005B4FC9">
                  <w:rPr>
                    <w:noProof/>
                    <w:webHidden/>
                  </w:rPr>
                  <w:fldChar w:fldCharType="begin"/>
                </w:r>
                <w:r w:rsidR="005B4FC9">
                  <w:rPr>
                    <w:noProof/>
                    <w:webHidden/>
                  </w:rPr>
                  <w:instrText xml:space="preserve"> PAGEREF _Toc500949331 \h </w:instrText>
                </w:r>
                <w:r w:rsidR="005B4FC9">
                  <w:rPr>
                    <w:noProof/>
                    <w:webHidden/>
                  </w:rPr>
                </w:r>
                <w:r w:rsidR="005B4FC9">
                  <w:rPr>
                    <w:noProof/>
                    <w:webHidden/>
                  </w:rPr>
                  <w:fldChar w:fldCharType="separate"/>
                </w:r>
                <w:r w:rsidR="005B4FC9">
                  <w:rPr>
                    <w:noProof/>
                    <w:webHidden/>
                  </w:rPr>
                  <w:t>13</w:t>
                </w:r>
                <w:r w:rsidR="005B4FC9">
                  <w:rPr>
                    <w:noProof/>
                    <w:webHidden/>
                  </w:rPr>
                  <w:fldChar w:fldCharType="end"/>
                </w:r>
              </w:hyperlink>
            </w:p>
            <w:p w14:paraId="1A752091" w14:textId="626CF27A" w:rsidR="005B4FC9" w:rsidRDefault="00D21B37" w:rsidP="00B725B9">
              <w:pPr>
                <w:pStyle w:val="TableofFigures"/>
                <w:tabs>
                  <w:tab w:val="right" w:leader="dot" w:pos="9016"/>
                </w:tabs>
                <w:ind w:firstLine="0"/>
                <w:rPr>
                  <w:rFonts w:eastAsiaTheme="minorEastAsia"/>
                  <w:noProof/>
                  <w:sz w:val="22"/>
                  <w:lang w:eastAsia="en-GB"/>
                </w:rPr>
              </w:pPr>
              <w:hyperlink w:anchor="_Toc500949332" w:history="1">
                <w:r w:rsidR="005B4FC9" w:rsidRPr="0063355E">
                  <w:rPr>
                    <w:rStyle w:val="Hyperlink"/>
                    <w:noProof/>
                  </w:rPr>
                  <w:t>Figure 12: Fischer and Geden, 2016</w:t>
                </w:r>
                <w:r w:rsidR="005B4FC9">
                  <w:rPr>
                    <w:noProof/>
                    <w:webHidden/>
                  </w:rPr>
                  <w:tab/>
                </w:r>
                <w:r w:rsidR="005B4FC9">
                  <w:rPr>
                    <w:noProof/>
                    <w:webHidden/>
                  </w:rPr>
                  <w:fldChar w:fldCharType="begin"/>
                </w:r>
                <w:r w:rsidR="005B4FC9">
                  <w:rPr>
                    <w:noProof/>
                    <w:webHidden/>
                  </w:rPr>
                  <w:instrText xml:space="preserve"> PAGEREF _Toc500949332 \h </w:instrText>
                </w:r>
                <w:r w:rsidR="005B4FC9">
                  <w:rPr>
                    <w:noProof/>
                    <w:webHidden/>
                  </w:rPr>
                </w:r>
                <w:r w:rsidR="005B4FC9">
                  <w:rPr>
                    <w:noProof/>
                    <w:webHidden/>
                  </w:rPr>
                  <w:fldChar w:fldCharType="separate"/>
                </w:r>
                <w:r w:rsidR="005B4FC9">
                  <w:rPr>
                    <w:noProof/>
                    <w:webHidden/>
                  </w:rPr>
                  <w:t>13</w:t>
                </w:r>
                <w:r w:rsidR="005B4FC9">
                  <w:rPr>
                    <w:noProof/>
                    <w:webHidden/>
                  </w:rPr>
                  <w:fldChar w:fldCharType="end"/>
                </w:r>
              </w:hyperlink>
            </w:p>
            <w:p w14:paraId="1A6F24A2" w14:textId="2B3766FC" w:rsidR="005B4FC9" w:rsidRDefault="00D21B37" w:rsidP="00B725B9">
              <w:pPr>
                <w:pStyle w:val="TableofFigures"/>
                <w:tabs>
                  <w:tab w:val="right" w:leader="dot" w:pos="9016"/>
                </w:tabs>
                <w:ind w:firstLine="0"/>
                <w:rPr>
                  <w:rFonts w:eastAsiaTheme="minorEastAsia"/>
                  <w:noProof/>
                  <w:sz w:val="22"/>
                  <w:lang w:eastAsia="en-GB"/>
                </w:rPr>
              </w:pPr>
              <w:hyperlink r:id="rId10" w:anchor="_Toc500949333" w:history="1">
                <w:r w:rsidR="005B4FC9" w:rsidRPr="0063355E">
                  <w:rPr>
                    <w:rStyle w:val="Hyperlink"/>
                    <w:noProof/>
                  </w:rPr>
                  <w:t>Figure 13: Brexit Models (Lockwood et.al, 2017)</w:t>
                </w:r>
                <w:r w:rsidR="005B4FC9">
                  <w:rPr>
                    <w:noProof/>
                    <w:webHidden/>
                  </w:rPr>
                  <w:tab/>
                </w:r>
                <w:r w:rsidR="005B4FC9">
                  <w:rPr>
                    <w:noProof/>
                    <w:webHidden/>
                  </w:rPr>
                  <w:fldChar w:fldCharType="begin"/>
                </w:r>
                <w:r w:rsidR="005B4FC9">
                  <w:rPr>
                    <w:noProof/>
                    <w:webHidden/>
                  </w:rPr>
                  <w:instrText xml:space="preserve"> PAGEREF _Toc500949333 \h </w:instrText>
                </w:r>
                <w:r w:rsidR="005B4FC9">
                  <w:rPr>
                    <w:noProof/>
                    <w:webHidden/>
                  </w:rPr>
                </w:r>
                <w:r w:rsidR="005B4FC9">
                  <w:rPr>
                    <w:noProof/>
                    <w:webHidden/>
                  </w:rPr>
                  <w:fldChar w:fldCharType="separate"/>
                </w:r>
                <w:r w:rsidR="005B4FC9">
                  <w:rPr>
                    <w:noProof/>
                    <w:webHidden/>
                  </w:rPr>
                  <w:t>14</w:t>
                </w:r>
                <w:r w:rsidR="005B4FC9">
                  <w:rPr>
                    <w:noProof/>
                    <w:webHidden/>
                  </w:rPr>
                  <w:fldChar w:fldCharType="end"/>
                </w:r>
              </w:hyperlink>
            </w:p>
            <w:p w14:paraId="34DD190B" w14:textId="1E4DED64" w:rsidR="005B4FC9" w:rsidRDefault="00D21B37" w:rsidP="00B725B9">
              <w:pPr>
                <w:pStyle w:val="TableofFigures"/>
                <w:tabs>
                  <w:tab w:val="right" w:leader="dot" w:pos="9016"/>
                </w:tabs>
                <w:ind w:firstLine="0"/>
                <w:rPr>
                  <w:rFonts w:eastAsiaTheme="minorEastAsia"/>
                  <w:noProof/>
                  <w:sz w:val="22"/>
                  <w:lang w:eastAsia="en-GB"/>
                </w:rPr>
              </w:pPr>
              <w:hyperlink w:anchor="_Toc500949334" w:history="1">
                <w:r w:rsidR="005B4FC9" w:rsidRPr="0063355E">
                  <w:rPr>
                    <w:rStyle w:val="Hyperlink"/>
                    <w:noProof/>
                  </w:rPr>
                  <w:t>Figure 14:Implications of various scenarios related to the EU referendum (IEEP, 2016)</w:t>
                </w:r>
                <w:r w:rsidR="005B4FC9">
                  <w:rPr>
                    <w:noProof/>
                    <w:webHidden/>
                  </w:rPr>
                  <w:tab/>
                </w:r>
                <w:r w:rsidR="005B4FC9">
                  <w:rPr>
                    <w:noProof/>
                    <w:webHidden/>
                  </w:rPr>
                  <w:fldChar w:fldCharType="begin"/>
                </w:r>
                <w:r w:rsidR="005B4FC9">
                  <w:rPr>
                    <w:noProof/>
                    <w:webHidden/>
                  </w:rPr>
                  <w:instrText xml:space="preserve"> PAGEREF _Toc500949334 \h </w:instrText>
                </w:r>
                <w:r w:rsidR="005B4FC9">
                  <w:rPr>
                    <w:noProof/>
                    <w:webHidden/>
                  </w:rPr>
                </w:r>
                <w:r w:rsidR="005B4FC9">
                  <w:rPr>
                    <w:noProof/>
                    <w:webHidden/>
                  </w:rPr>
                  <w:fldChar w:fldCharType="separate"/>
                </w:r>
                <w:r w:rsidR="005B4FC9">
                  <w:rPr>
                    <w:noProof/>
                    <w:webHidden/>
                  </w:rPr>
                  <w:t>15</w:t>
                </w:r>
                <w:r w:rsidR="005B4FC9">
                  <w:rPr>
                    <w:noProof/>
                    <w:webHidden/>
                  </w:rPr>
                  <w:fldChar w:fldCharType="end"/>
                </w:r>
              </w:hyperlink>
            </w:p>
            <w:p w14:paraId="21168BB2" w14:textId="1A0352B9" w:rsidR="005B4FC9" w:rsidRDefault="00D21B37" w:rsidP="00B725B9">
              <w:pPr>
                <w:pStyle w:val="TableofFigures"/>
                <w:tabs>
                  <w:tab w:val="right" w:leader="dot" w:pos="9016"/>
                </w:tabs>
                <w:ind w:firstLine="0"/>
                <w:rPr>
                  <w:rFonts w:eastAsiaTheme="minorEastAsia"/>
                  <w:noProof/>
                  <w:sz w:val="22"/>
                  <w:lang w:eastAsia="en-GB"/>
                </w:rPr>
              </w:pPr>
              <w:hyperlink r:id="rId11" w:anchor="_Toc500949335" w:history="1">
                <w:r w:rsidR="005B4FC9" w:rsidRPr="0063355E">
                  <w:rPr>
                    <w:rStyle w:val="Hyperlink"/>
                    <w:noProof/>
                  </w:rPr>
                  <w:t>Figure 15: GB electricity interconnections with other member states (Lockwood et al., 2017)</w:t>
                </w:r>
                <w:r w:rsidR="005B4FC9">
                  <w:rPr>
                    <w:noProof/>
                    <w:webHidden/>
                  </w:rPr>
                  <w:tab/>
                </w:r>
                <w:r w:rsidR="005B4FC9">
                  <w:rPr>
                    <w:noProof/>
                    <w:webHidden/>
                  </w:rPr>
                  <w:fldChar w:fldCharType="begin"/>
                </w:r>
                <w:r w:rsidR="005B4FC9">
                  <w:rPr>
                    <w:noProof/>
                    <w:webHidden/>
                  </w:rPr>
                  <w:instrText xml:space="preserve"> PAGEREF _Toc500949335 \h </w:instrText>
                </w:r>
                <w:r w:rsidR="005B4FC9">
                  <w:rPr>
                    <w:noProof/>
                    <w:webHidden/>
                  </w:rPr>
                </w:r>
                <w:r w:rsidR="005B4FC9">
                  <w:rPr>
                    <w:noProof/>
                    <w:webHidden/>
                  </w:rPr>
                  <w:fldChar w:fldCharType="separate"/>
                </w:r>
                <w:r w:rsidR="005B4FC9">
                  <w:rPr>
                    <w:noProof/>
                    <w:webHidden/>
                  </w:rPr>
                  <w:t>16</w:t>
                </w:r>
                <w:r w:rsidR="005B4FC9">
                  <w:rPr>
                    <w:noProof/>
                    <w:webHidden/>
                  </w:rPr>
                  <w:fldChar w:fldCharType="end"/>
                </w:r>
              </w:hyperlink>
            </w:p>
            <w:p w14:paraId="78F9F730" w14:textId="68452479" w:rsidR="005B4FC9" w:rsidRDefault="00D21B37" w:rsidP="00B725B9">
              <w:pPr>
                <w:pStyle w:val="TableofFigures"/>
                <w:tabs>
                  <w:tab w:val="right" w:leader="dot" w:pos="9016"/>
                </w:tabs>
                <w:ind w:firstLine="0"/>
                <w:rPr>
                  <w:rFonts w:eastAsiaTheme="minorEastAsia"/>
                  <w:noProof/>
                  <w:sz w:val="22"/>
                  <w:lang w:eastAsia="en-GB"/>
                </w:rPr>
              </w:pPr>
              <w:hyperlink w:anchor="_Toc500949336" w:history="1">
                <w:r w:rsidR="005B4FC9" w:rsidRPr="0063355E">
                  <w:rPr>
                    <w:rStyle w:val="Hyperlink"/>
                    <w:noProof/>
                  </w:rPr>
                  <w:t>Figure 16: Employment and turnover summary for renewable energy sectors 2015-2016 ((Lockwood et al., 2017)</w:t>
                </w:r>
                <w:r w:rsidR="005B4FC9">
                  <w:rPr>
                    <w:noProof/>
                    <w:webHidden/>
                  </w:rPr>
                  <w:tab/>
                </w:r>
                <w:r w:rsidR="005B4FC9">
                  <w:rPr>
                    <w:noProof/>
                    <w:webHidden/>
                  </w:rPr>
                  <w:fldChar w:fldCharType="begin"/>
                </w:r>
                <w:r w:rsidR="005B4FC9">
                  <w:rPr>
                    <w:noProof/>
                    <w:webHidden/>
                  </w:rPr>
                  <w:instrText xml:space="preserve"> PAGEREF _Toc500949336 \h </w:instrText>
                </w:r>
                <w:r w:rsidR="005B4FC9">
                  <w:rPr>
                    <w:noProof/>
                    <w:webHidden/>
                  </w:rPr>
                </w:r>
                <w:r w:rsidR="005B4FC9">
                  <w:rPr>
                    <w:noProof/>
                    <w:webHidden/>
                  </w:rPr>
                  <w:fldChar w:fldCharType="separate"/>
                </w:r>
                <w:r w:rsidR="005B4FC9">
                  <w:rPr>
                    <w:noProof/>
                    <w:webHidden/>
                  </w:rPr>
                  <w:t>17</w:t>
                </w:r>
                <w:r w:rsidR="005B4FC9">
                  <w:rPr>
                    <w:noProof/>
                    <w:webHidden/>
                  </w:rPr>
                  <w:fldChar w:fldCharType="end"/>
                </w:r>
              </w:hyperlink>
            </w:p>
            <w:p w14:paraId="288CF03D" w14:textId="08A614A3" w:rsidR="005B4FC9" w:rsidRDefault="00D21B37" w:rsidP="00B725B9">
              <w:pPr>
                <w:pStyle w:val="TableofFigures"/>
                <w:tabs>
                  <w:tab w:val="right" w:leader="dot" w:pos="9016"/>
                </w:tabs>
                <w:ind w:firstLine="0"/>
                <w:rPr>
                  <w:rFonts w:eastAsiaTheme="minorEastAsia"/>
                  <w:noProof/>
                  <w:sz w:val="22"/>
                  <w:lang w:eastAsia="en-GB"/>
                </w:rPr>
              </w:pPr>
              <w:hyperlink r:id="rId12" w:anchor="_Toc500949337" w:history="1">
                <w:r w:rsidR="005B4FC9" w:rsidRPr="0063355E">
                  <w:rPr>
                    <w:rStyle w:val="Hyperlink"/>
                    <w:noProof/>
                  </w:rPr>
                  <w:t>Figure 17: source: (UWE Nestle, 2017)</w:t>
                </w:r>
                <w:r w:rsidR="005B4FC9">
                  <w:rPr>
                    <w:noProof/>
                    <w:webHidden/>
                  </w:rPr>
                  <w:tab/>
                </w:r>
                <w:r w:rsidR="005B4FC9">
                  <w:rPr>
                    <w:noProof/>
                    <w:webHidden/>
                  </w:rPr>
                  <w:fldChar w:fldCharType="begin"/>
                </w:r>
                <w:r w:rsidR="005B4FC9">
                  <w:rPr>
                    <w:noProof/>
                    <w:webHidden/>
                  </w:rPr>
                  <w:instrText xml:space="preserve"> PAGEREF _Toc500949337 \h </w:instrText>
                </w:r>
                <w:r w:rsidR="005B4FC9">
                  <w:rPr>
                    <w:noProof/>
                    <w:webHidden/>
                  </w:rPr>
                </w:r>
                <w:r w:rsidR="005B4FC9">
                  <w:rPr>
                    <w:noProof/>
                    <w:webHidden/>
                  </w:rPr>
                  <w:fldChar w:fldCharType="separate"/>
                </w:r>
                <w:r w:rsidR="005B4FC9">
                  <w:rPr>
                    <w:noProof/>
                    <w:webHidden/>
                  </w:rPr>
                  <w:t>20</w:t>
                </w:r>
                <w:r w:rsidR="005B4FC9">
                  <w:rPr>
                    <w:noProof/>
                    <w:webHidden/>
                  </w:rPr>
                  <w:fldChar w:fldCharType="end"/>
                </w:r>
              </w:hyperlink>
            </w:p>
            <w:p w14:paraId="41E91B1E" w14:textId="1A35C6AA" w:rsidR="005B4FC9" w:rsidRDefault="00D21B37" w:rsidP="00B725B9">
              <w:pPr>
                <w:pStyle w:val="TableofFigures"/>
                <w:tabs>
                  <w:tab w:val="right" w:leader="dot" w:pos="9016"/>
                </w:tabs>
                <w:ind w:firstLine="0"/>
                <w:rPr>
                  <w:rFonts w:eastAsiaTheme="minorEastAsia"/>
                  <w:noProof/>
                  <w:sz w:val="22"/>
                  <w:lang w:eastAsia="en-GB"/>
                </w:rPr>
              </w:pPr>
              <w:hyperlink r:id="rId13" w:anchor="_Toc500949338" w:history="1">
                <w:r w:rsidR="005B4FC9" w:rsidRPr="0063355E">
                  <w:rPr>
                    <w:rStyle w:val="Hyperlink"/>
                    <w:noProof/>
                  </w:rPr>
                  <w:t>Figure 18: source: (UWE Nestle, 2017)</w:t>
                </w:r>
                <w:r w:rsidR="005B4FC9">
                  <w:rPr>
                    <w:noProof/>
                    <w:webHidden/>
                  </w:rPr>
                  <w:tab/>
                </w:r>
                <w:r w:rsidR="005B4FC9">
                  <w:rPr>
                    <w:noProof/>
                    <w:webHidden/>
                  </w:rPr>
                  <w:fldChar w:fldCharType="begin"/>
                </w:r>
                <w:r w:rsidR="005B4FC9">
                  <w:rPr>
                    <w:noProof/>
                    <w:webHidden/>
                  </w:rPr>
                  <w:instrText xml:space="preserve"> PAGEREF _Toc500949338 \h </w:instrText>
                </w:r>
                <w:r w:rsidR="005B4FC9">
                  <w:rPr>
                    <w:noProof/>
                    <w:webHidden/>
                  </w:rPr>
                </w:r>
                <w:r w:rsidR="005B4FC9">
                  <w:rPr>
                    <w:noProof/>
                    <w:webHidden/>
                  </w:rPr>
                  <w:fldChar w:fldCharType="separate"/>
                </w:r>
                <w:r w:rsidR="005B4FC9">
                  <w:rPr>
                    <w:noProof/>
                    <w:webHidden/>
                  </w:rPr>
                  <w:t>20</w:t>
                </w:r>
                <w:r w:rsidR="005B4FC9">
                  <w:rPr>
                    <w:noProof/>
                    <w:webHidden/>
                  </w:rPr>
                  <w:fldChar w:fldCharType="end"/>
                </w:r>
              </w:hyperlink>
            </w:p>
            <w:p w14:paraId="03C2A734" w14:textId="1790BC63" w:rsidR="0075193C" w:rsidRDefault="0075193C" w:rsidP="005C1775">
              <w:pPr>
                <w:ind w:firstLine="0"/>
              </w:pPr>
              <w:r>
                <w:rPr>
                  <w:b/>
                  <w:bCs/>
                  <w:noProof/>
                </w:rPr>
                <w:lastRenderedPageBreak/>
                <w:fldChar w:fldCharType="end"/>
              </w:r>
            </w:p>
          </w:sdtContent>
        </w:sdt>
        <w:p w14:paraId="2086165D" w14:textId="601A5C26" w:rsidR="0075193C" w:rsidRDefault="0075193C" w:rsidP="00B16C84"/>
        <w:p w14:paraId="6E4E031B" w14:textId="68BC96D9" w:rsidR="00073E42" w:rsidRDefault="00073E42" w:rsidP="00B16C84"/>
        <w:p w14:paraId="25F3F9D2" w14:textId="77777777" w:rsidR="00073E42" w:rsidRDefault="00073E42" w:rsidP="00B16C84"/>
        <w:p w14:paraId="460618F4" w14:textId="54DBE3C7" w:rsidR="005B4FC9" w:rsidRDefault="000919D2" w:rsidP="006A2F47">
          <w:pPr>
            <w:pStyle w:val="Heading1"/>
            <w:jc w:val="center"/>
          </w:pPr>
          <w:bookmarkStart w:id="1" w:name="_Toc501110465"/>
          <w:r>
            <w:t>List of A</w:t>
          </w:r>
          <w:r w:rsidR="005B4FC9" w:rsidRPr="0014141C">
            <w:t>bbreviations</w:t>
          </w:r>
          <w:bookmarkEnd w:id="1"/>
        </w:p>
        <w:tbl>
          <w:tblPr>
            <w:tblStyle w:val="PlainTable3"/>
            <w:tblW w:w="0" w:type="auto"/>
            <w:tblLook w:val="04A0" w:firstRow="1" w:lastRow="0" w:firstColumn="1" w:lastColumn="0" w:noHBand="0" w:noVBand="1"/>
          </w:tblPr>
          <w:tblGrid>
            <w:gridCol w:w="4508"/>
            <w:gridCol w:w="4508"/>
          </w:tblGrid>
          <w:tr w:rsidR="005B4FC9" w14:paraId="76FF7460" w14:textId="77777777" w:rsidTr="005B4FC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72F8179D" w14:textId="77777777" w:rsidR="005B4FC9" w:rsidRPr="000919D2" w:rsidRDefault="005B4FC9" w:rsidP="005B4FC9">
                <w:pPr>
                  <w:rPr>
                    <w:rFonts w:asciiTheme="majorHAnsi" w:hAnsiTheme="majorHAnsi"/>
                    <w:b w:val="0"/>
                    <w:color w:val="0D0D0D" w:themeColor="text1" w:themeTint="F2"/>
                  </w:rPr>
                </w:pPr>
                <w:r w:rsidRPr="000919D2">
                  <w:rPr>
                    <w:rFonts w:asciiTheme="majorHAnsi" w:hAnsiTheme="majorHAnsi"/>
                    <w:b w:val="0"/>
                    <w:color w:val="0D0D0D" w:themeColor="text1" w:themeTint="F2"/>
                  </w:rPr>
                  <w:t>Acronym</w:t>
                </w:r>
              </w:p>
            </w:tc>
            <w:tc>
              <w:tcPr>
                <w:tcW w:w="4508" w:type="dxa"/>
              </w:tcPr>
              <w:p w14:paraId="32AECD1C" w14:textId="77777777" w:rsidR="005B4FC9" w:rsidRPr="000919D2" w:rsidRDefault="005B4FC9" w:rsidP="005B4FC9">
                <w:pPr>
                  <w:cnfStyle w:val="100000000000" w:firstRow="1" w:lastRow="0" w:firstColumn="0" w:lastColumn="0" w:oddVBand="0" w:evenVBand="0" w:oddHBand="0" w:evenHBand="0" w:firstRowFirstColumn="0" w:firstRowLastColumn="0" w:lastRowFirstColumn="0" w:lastRowLastColumn="0"/>
                  <w:rPr>
                    <w:rFonts w:asciiTheme="majorHAnsi" w:hAnsiTheme="majorHAnsi"/>
                    <w:b w:val="0"/>
                    <w:color w:val="0D0D0D" w:themeColor="text1" w:themeTint="F2"/>
                  </w:rPr>
                </w:pPr>
                <w:r w:rsidRPr="000919D2">
                  <w:rPr>
                    <w:rFonts w:asciiTheme="majorHAnsi" w:hAnsiTheme="majorHAnsi"/>
                    <w:b w:val="0"/>
                    <w:color w:val="0D0D0D" w:themeColor="text1" w:themeTint="F2"/>
                  </w:rPr>
                  <w:t>Definition</w:t>
                </w:r>
              </w:p>
            </w:tc>
          </w:tr>
          <w:tr w:rsidR="005B4FC9" w14:paraId="32609FA5"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207279" w14:textId="77777777" w:rsidR="005B4FC9" w:rsidRPr="004E6B52" w:rsidRDefault="005B4FC9" w:rsidP="005B4FC9">
                <w:pPr>
                  <w:rPr>
                    <w:b w:val="0"/>
                  </w:rPr>
                </w:pPr>
                <w:r w:rsidRPr="004E6B52">
                  <w:rPr>
                    <w:b w:val="0"/>
                  </w:rPr>
                  <w:t>RED</w:t>
                </w:r>
              </w:p>
            </w:tc>
            <w:tc>
              <w:tcPr>
                <w:tcW w:w="4508" w:type="dxa"/>
              </w:tcPr>
              <w:p w14:paraId="14D45F81" w14:textId="77777777" w:rsidR="005B4FC9" w:rsidRDefault="005B4FC9" w:rsidP="005B4FC9">
                <w:pPr>
                  <w:cnfStyle w:val="000000100000" w:firstRow="0" w:lastRow="0" w:firstColumn="0" w:lastColumn="0" w:oddVBand="0" w:evenVBand="0" w:oddHBand="1" w:evenHBand="0" w:firstRowFirstColumn="0" w:firstRowLastColumn="0" w:lastRowFirstColumn="0" w:lastRowLastColumn="0"/>
                </w:pPr>
                <w:r>
                  <w:t>Renewable Energy Directive</w:t>
                </w:r>
              </w:p>
            </w:tc>
          </w:tr>
          <w:tr w:rsidR="005B4FC9" w14:paraId="2969D340"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3FD9573B" w14:textId="77777777" w:rsidR="005B4FC9" w:rsidRPr="004E6B52" w:rsidRDefault="005B4FC9" w:rsidP="005B4FC9">
                <w:pPr>
                  <w:rPr>
                    <w:b w:val="0"/>
                  </w:rPr>
                </w:pPr>
                <w:r w:rsidRPr="004E6B52">
                  <w:rPr>
                    <w:b w:val="0"/>
                  </w:rPr>
                  <w:t>FIT</w:t>
                </w:r>
              </w:p>
            </w:tc>
            <w:tc>
              <w:tcPr>
                <w:tcW w:w="4508" w:type="dxa"/>
              </w:tcPr>
              <w:p w14:paraId="0FF4478E" w14:textId="77777777" w:rsidR="005B4FC9" w:rsidRDefault="005B4FC9" w:rsidP="005B4FC9">
                <w:pPr>
                  <w:cnfStyle w:val="000000000000" w:firstRow="0" w:lastRow="0" w:firstColumn="0" w:lastColumn="0" w:oddVBand="0" w:evenVBand="0" w:oddHBand="0" w:evenHBand="0" w:firstRowFirstColumn="0" w:firstRowLastColumn="0" w:lastRowFirstColumn="0" w:lastRowLastColumn="0"/>
                </w:pPr>
                <w:r>
                  <w:t>Feed-in Tariff</w:t>
                </w:r>
              </w:p>
            </w:tc>
          </w:tr>
          <w:tr w:rsidR="005B4FC9" w14:paraId="0BA1BD9A"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DA0EB9" w14:textId="77777777" w:rsidR="005B4FC9" w:rsidRPr="004E6B52" w:rsidRDefault="005B4FC9" w:rsidP="005B4FC9">
                <w:pPr>
                  <w:rPr>
                    <w:b w:val="0"/>
                  </w:rPr>
                </w:pPr>
                <w:r w:rsidRPr="004E6B52">
                  <w:rPr>
                    <w:b w:val="0"/>
                  </w:rPr>
                  <w:t>LCOE</w:t>
                </w:r>
              </w:p>
            </w:tc>
            <w:tc>
              <w:tcPr>
                <w:tcW w:w="4508" w:type="dxa"/>
              </w:tcPr>
              <w:p w14:paraId="5773AC31" w14:textId="77777777" w:rsidR="005B4FC9" w:rsidRDefault="005B4FC9" w:rsidP="005B4FC9">
                <w:pPr>
                  <w:cnfStyle w:val="000000100000" w:firstRow="0" w:lastRow="0" w:firstColumn="0" w:lastColumn="0" w:oddVBand="0" w:evenVBand="0" w:oddHBand="1" w:evenHBand="0" w:firstRowFirstColumn="0" w:firstRowLastColumn="0" w:lastRowFirstColumn="0" w:lastRowLastColumn="0"/>
                </w:pPr>
                <w:r>
                  <w:t>Levelised Cost of Energy</w:t>
                </w:r>
              </w:p>
            </w:tc>
          </w:tr>
          <w:tr w:rsidR="005B4FC9" w14:paraId="6CA87AFD"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56F382B4" w14:textId="77777777" w:rsidR="005B4FC9" w:rsidRPr="004E6B52" w:rsidRDefault="005B4FC9" w:rsidP="005B4FC9">
                <w:pPr>
                  <w:rPr>
                    <w:b w:val="0"/>
                  </w:rPr>
                </w:pPr>
                <w:r w:rsidRPr="004E6B52">
                  <w:rPr>
                    <w:b w:val="0"/>
                  </w:rPr>
                  <w:t>LCOS</w:t>
                </w:r>
              </w:p>
            </w:tc>
            <w:tc>
              <w:tcPr>
                <w:tcW w:w="4508" w:type="dxa"/>
              </w:tcPr>
              <w:p w14:paraId="56EA115A" w14:textId="77777777" w:rsidR="005B4FC9" w:rsidRDefault="005B4FC9" w:rsidP="005B4FC9">
                <w:pPr>
                  <w:cnfStyle w:val="000000000000" w:firstRow="0" w:lastRow="0" w:firstColumn="0" w:lastColumn="0" w:oddVBand="0" w:evenVBand="0" w:oddHBand="0" w:evenHBand="0" w:firstRowFirstColumn="0" w:firstRowLastColumn="0" w:lastRowFirstColumn="0" w:lastRowLastColumn="0"/>
                </w:pPr>
                <w:r>
                  <w:t>Levelised Cost of Storage</w:t>
                </w:r>
              </w:p>
            </w:tc>
          </w:tr>
          <w:tr w:rsidR="005B4FC9" w14:paraId="7A2A1E28"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833F30" w14:textId="77777777" w:rsidR="005B4FC9" w:rsidRPr="004E6B52" w:rsidRDefault="005B4FC9" w:rsidP="005B4FC9">
                <w:pPr>
                  <w:rPr>
                    <w:b w:val="0"/>
                  </w:rPr>
                </w:pPr>
                <w:r w:rsidRPr="004E6B52">
                  <w:rPr>
                    <w:b w:val="0"/>
                  </w:rPr>
                  <w:t>ES</w:t>
                </w:r>
              </w:p>
            </w:tc>
            <w:tc>
              <w:tcPr>
                <w:tcW w:w="4508" w:type="dxa"/>
              </w:tcPr>
              <w:p w14:paraId="441BD0E8" w14:textId="77777777" w:rsidR="005B4FC9" w:rsidRDefault="005B4FC9" w:rsidP="005B4FC9">
                <w:pPr>
                  <w:cnfStyle w:val="000000100000" w:firstRow="0" w:lastRow="0" w:firstColumn="0" w:lastColumn="0" w:oddVBand="0" w:evenVBand="0" w:oddHBand="1" w:evenHBand="0" w:firstRowFirstColumn="0" w:firstRowLastColumn="0" w:lastRowFirstColumn="0" w:lastRowLastColumn="0"/>
                </w:pPr>
                <w:r>
                  <w:t>Energy Security</w:t>
                </w:r>
              </w:p>
            </w:tc>
          </w:tr>
          <w:tr w:rsidR="005B4FC9" w14:paraId="66197EE3"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3CD3E87B" w14:textId="77777777" w:rsidR="005B4FC9" w:rsidRPr="004E6B52" w:rsidRDefault="005B4FC9" w:rsidP="005B4FC9">
                <w:pPr>
                  <w:rPr>
                    <w:b w:val="0"/>
                  </w:rPr>
                </w:pPr>
                <w:r w:rsidRPr="004E6B52">
                  <w:rPr>
                    <w:b w:val="0"/>
                  </w:rPr>
                  <w:t>RE</w:t>
                </w:r>
              </w:p>
            </w:tc>
            <w:tc>
              <w:tcPr>
                <w:tcW w:w="4508" w:type="dxa"/>
              </w:tcPr>
              <w:p w14:paraId="288A8B94" w14:textId="77777777" w:rsidR="005B4FC9" w:rsidRDefault="005B4FC9" w:rsidP="005B4FC9">
                <w:pPr>
                  <w:cnfStyle w:val="000000000000" w:firstRow="0" w:lastRow="0" w:firstColumn="0" w:lastColumn="0" w:oddVBand="0" w:evenVBand="0" w:oddHBand="0" w:evenHBand="0" w:firstRowFirstColumn="0" w:firstRowLastColumn="0" w:lastRowFirstColumn="0" w:lastRowLastColumn="0"/>
                </w:pPr>
                <w:r>
                  <w:t>Renewable Energy</w:t>
                </w:r>
              </w:p>
            </w:tc>
          </w:tr>
          <w:tr w:rsidR="005B4FC9" w14:paraId="27E2AFE5"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25A74C" w14:textId="77777777" w:rsidR="005B4FC9" w:rsidRPr="004E6B52" w:rsidRDefault="005B4FC9" w:rsidP="005B4FC9">
                <w:pPr>
                  <w:rPr>
                    <w:b w:val="0"/>
                  </w:rPr>
                </w:pPr>
                <w:r w:rsidRPr="004E6B52">
                  <w:rPr>
                    <w:b w:val="0"/>
                  </w:rPr>
                  <w:t>GHG</w:t>
                </w:r>
              </w:p>
            </w:tc>
            <w:tc>
              <w:tcPr>
                <w:tcW w:w="4508" w:type="dxa"/>
              </w:tcPr>
              <w:p w14:paraId="6E9010D5" w14:textId="77777777" w:rsidR="005B4FC9" w:rsidRDefault="005B4FC9" w:rsidP="005B4FC9">
                <w:pPr>
                  <w:cnfStyle w:val="000000100000" w:firstRow="0" w:lastRow="0" w:firstColumn="0" w:lastColumn="0" w:oddVBand="0" w:evenVBand="0" w:oddHBand="1" w:evenHBand="0" w:firstRowFirstColumn="0" w:firstRowLastColumn="0" w:lastRowFirstColumn="0" w:lastRowLastColumn="0"/>
                </w:pPr>
                <w:r>
                  <w:t>Green House Gas</w:t>
                </w:r>
              </w:p>
            </w:tc>
          </w:tr>
          <w:tr w:rsidR="005B4FC9" w14:paraId="43BBD7C5"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3E82A90D" w14:textId="77777777" w:rsidR="005B4FC9" w:rsidRPr="004E6B52" w:rsidRDefault="005B4FC9" w:rsidP="005B4FC9">
                <w:pPr>
                  <w:rPr>
                    <w:b w:val="0"/>
                  </w:rPr>
                </w:pPr>
                <w:r w:rsidRPr="004E6B52">
                  <w:rPr>
                    <w:b w:val="0"/>
                  </w:rPr>
                  <w:t>EU</w:t>
                </w:r>
              </w:p>
            </w:tc>
            <w:tc>
              <w:tcPr>
                <w:tcW w:w="4508" w:type="dxa"/>
              </w:tcPr>
              <w:p w14:paraId="359C2ECA" w14:textId="4F67DEA6" w:rsidR="00B725B9" w:rsidRDefault="005B4FC9" w:rsidP="00B725B9">
                <w:pPr>
                  <w:cnfStyle w:val="000000000000" w:firstRow="0" w:lastRow="0" w:firstColumn="0" w:lastColumn="0" w:oddVBand="0" w:evenVBand="0" w:oddHBand="0" w:evenHBand="0" w:firstRowFirstColumn="0" w:firstRowLastColumn="0" w:lastRowFirstColumn="0" w:lastRowLastColumn="0"/>
                </w:pPr>
                <w:r>
                  <w:t>European Union</w:t>
                </w:r>
              </w:p>
            </w:tc>
          </w:tr>
          <w:tr w:rsidR="005B4FC9" w14:paraId="418A949C"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5178FC" w14:textId="77777777" w:rsidR="005B4FC9" w:rsidRPr="004E6B52" w:rsidRDefault="005B4FC9" w:rsidP="005B4FC9">
                <w:pPr>
                  <w:rPr>
                    <w:b w:val="0"/>
                  </w:rPr>
                </w:pPr>
                <w:r w:rsidRPr="004E6B52">
                  <w:rPr>
                    <w:b w:val="0"/>
                  </w:rPr>
                  <w:t>CC</w:t>
                </w:r>
              </w:p>
            </w:tc>
            <w:tc>
              <w:tcPr>
                <w:tcW w:w="4508" w:type="dxa"/>
              </w:tcPr>
              <w:p w14:paraId="089B1BEA" w14:textId="77777777" w:rsidR="005B4FC9" w:rsidRDefault="005B4FC9" w:rsidP="005B4FC9">
                <w:pPr>
                  <w:cnfStyle w:val="000000100000" w:firstRow="0" w:lastRow="0" w:firstColumn="0" w:lastColumn="0" w:oddVBand="0" w:evenVBand="0" w:oddHBand="1" w:evenHBand="0" w:firstRowFirstColumn="0" w:firstRowLastColumn="0" w:lastRowFirstColumn="0" w:lastRowLastColumn="0"/>
                </w:pPr>
                <w:r>
                  <w:t>Climate Change</w:t>
                </w:r>
              </w:p>
            </w:tc>
          </w:tr>
          <w:tr w:rsidR="005B4FC9" w14:paraId="71C7B010"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7C73EBC7" w14:textId="77777777" w:rsidR="005B4FC9" w:rsidRPr="004E6B52" w:rsidRDefault="005B4FC9" w:rsidP="005B4FC9">
                <w:pPr>
                  <w:rPr>
                    <w:b w:val="0"/>
                  </w:rPr>
                </w:pPr>
                <w:r w:rsidRPr="004E6B52">
                  <w:rPr>
                    <w:b w:val="0"/>
                  </w:rPr>
                  <w:t>NAP</w:t>
                </w:r>
              </w:p>
            </w:tc>
            <w:tc>
              <w:tcPr>
                <w:tcW w:w="4508" w:type="dxa"/>
              </w:tcPr>
              <w:p w14:paraId="06291999" w14:textId="77777777" w:rsidR="005B4FC9" w:rsidRDefault="005B4FC9" w:rsidP="005B4FC9">
                <w:pPr>
                  <w:cnfStyle w:val="000000000000" w:firstRow="0" w:lastRow="0" w:firstColumn="0" w:lastColumn="0" w:oddVBand="0" w:evenVBand="0" w:oddHBand="0" w:evenHBand="0" w:firstRowFirstColumn="0" w:firstRowLastColumn="0" w:lastRowFirstColumn="0" w:lastRowLastColumn="0"/>
                </w:pPr>
                <w:r>
                  <w:t>National Action Plan</w:t>
                </w:r>
              </w:p>
            </w:tc>
          </w:tr>
          <w:tr w:rsidR="005B4FC9" w14:paraId="4FD9316A"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BA3978" w14:textId="77777777" w:rsidR="005B4FC9" w:rsidRPr="004E6B52" w:rsidRDefault="005B4FC9" w:rsidP="005B4FC9">
                <w:pPr>
                  <w:rPr>
                    <w:b w:val="0"/>
                  </w:rPr>
                </w:pPr>
                <w:r w:rsidRPr="004E6B52">
                  <w:rPr>
                    <w:b w:val="0"/>
                  </w:rPr>
                  <w:t>TEU</w:t>
                </w:r>
              </w:p>
            </w:tc>
            <w:tc>
              <w:tcPr>
                <w:tcW w:w="4508" w:type="dxa"/>
              </w:tcPr>
              <w:p w14:paraId="473B7A8C" w14:textId="77777777" w:rsidR="005B4FC9" w:rsidRDefault="005B4FC9" w:rsidP="005B4FC9">
                <w:pPr>
                  <w:cnfStyle w:val="000000100000" w:firstRow="0" w:lastRow="0" w:firstColumn="0" w:lastColumn="0" w:oddVBand="0" w:evenVBand="0" w:oddHBand="1" w:evenHBand="0" w:firstRowFirstColumn="0" w:firstRowLastColumn="0" w:lastRowFirstColumn="0" w:lastRowLastColumn="0"/>
                </w:pPr>
                <w:r>
                  <w:t>Treaty on European Union</w:t>
                </w:r>
              </w:p>
            </w:tc>
          </w:tr>
          <w:tr w:rsidR="005B4FC9" w14:paraId="2CD0A218"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5A498034" w14:textId="77777777" w:rsidR="005B4FC9" w:rsidRPr="004E6B52" w:rsidRDefault="005B4FC9" w:rsidP="005B4FC9">
                <w:pPr>
                  <w:rPr>
                    <w:b w:val="0"/>
                  </w:rPr>
                </w:pPr>
                <w:r w:rsidRPr="004E6B52">
                  <w:rPr>
                    <w:b w:val="0"/>
                  </w:rPr>
                  <w:t>ETS</w:t>
                </w:r>
              </w:p>
            </w:tc>
            <w:tc>
              <w:tcPr>
                <w:tcW w:w="4508" w:type="dxa"/>
              </w:tcPr>
              <w:p w14:paraId="50C83CC8" w14:textId="77777777" w:rsidR="005B4FC9" w:rsidRDefault="005B4FC9" w:rsidP="005B4FC9">
                <w:pPr>
                  <w:cnfStyle w:val="000000000000" w:firstRow="0" w:lastRow="0" w:firstColumn="0" w:lastColumn="0" w:oddVBand="0" w:evenVBand="0" w:oddHBand="0" w:evenHBand="0" w:firstRowFirstColumn="0" w:firstRowLastColumn="0" w:lastRowFirstColumn="0" w:lastRowLastColumn="0"/>
                </w:pPr>
                <w:r>
                  <w:t>Emission Trading System</w:t>
                </w:r>
              </w:p>
            </w:tc>
          </w:tr>
          <w:tr w:rsidR="00C658DC" w14:paraId="522B621E"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330663" w14:textId="3074F4E6" w:rsidR="00C658DC" w:rsidRPr="004E6B52" w:rsidRDefault="00C658DC" w:rsidP="005B4FC9">
                <w:pPr>
                  <w:rPr>
                    <w:b w:val="0"/>
                  </w:rPr>
                </w:pPr>
                <w:r>
                  <w:rPr>
                    <w:b w:val="0"/>
                  </w:rPr>
                  <w:t>GFEC</w:t>
                </w:r>
              </w:p>
            </w:tc>
            <w:tc>
              <w:tcPr>
                <w:tcW w:w="4508" w:type="dxa"/>
              </w:tcPr>
              <w:p w14:paraId="1888C647" w14:textId="2FAD7606" w:rsidR="00C658DC" w:rsidRDefault="00C658DC" w:rsidP="005B4FC9">
                <w:pPr>
                  <w:cnfStyle w:val="000000100000" w:firstRow="0" w:lastRow="0" w:firstColumn="0" w:lastColumn="0" w:oddVBand="0" w:evenVBand="0" w:oddHBand="1" w:evenHBand="0" w:firstRowFirstColumn="0" w:firstRowLastColumn="0" w:lastRowFirstColumn="0" w:lastRowLastColumn="0"/>
                </w:pPr>
                <w:r>
                  <w:t>Gross Final Energy Consumption</w:t>
                </w:r>
              </w:p>
            </w:tc>
          </w:tr>
          <w:tr w:rsidR="00B725B9" w14:paraId="64D4F203" w14:textId="77777777" w:rsidTr="005B4FC9">
            <w:tc>
              <w:tcPr>
                <w:cnfStyle w:val="001000000000" w:firstRow="0" w:lastRow="0" w:firstColumn="1" w:lastColumn="0" w:oddVBand="0" w:evenVBand="0" w:oddHBand="0" w:evenHBand="0" w:firstRowFirstColumn="0" w:firstRowLastColumn="0" w:lastRowFirstColumn="0" w:lastRowLastColumn="0"/>
                <w:tcW w:w="4508" w:type="dxa"/>
              </w:tcPr>
              <w:p w14:paraId="3C233AB5" w14:textId="104B180B" w:rsidR="00B725B9" w:rsidRDefault="00B725B9" w:rsidP="005B4FC9">
                <w:pPr>
                  <w:rPr>
                    <w:b w:val="0"/>
                  </w:rPr>
                </w:pPr>
                <w:r>
                  <w:rPr>
                    <w:b w:val="0"/>
                  </w:rPr>
                  <w:t>EFTA</w:t>
                </w:r>
              </w:p>
            </w:tc>
            <w:tc>
              <w:tcPr>
                <w:tcW w:w="4508" w:type="dxa"/>
              </w:tcPr>
              <w:p w14:paraId="2E8FFC75" w14:textId="0A322A2E" w:rsidR="00B725B9" w:rsidRDefault="00B725B9" w:rsidP="005B4FC9">
                <w:pPr>
                  <w:cnfStyle w:val="000000000000" w:firstRow="0" w:lastRow="0" w:firstColumn="0" w:lastColumn="0" w:oddVBand="0" w:evenVBand="0" w:oddHBand="0" w:evenHBand="0" w:firstRowFirstColumn="0" w:firstRowLastColumn="0" w:lastRowFirstColumn="0" w:lastRowLastColumn="0"/>
                </w:pPr>
                <w:r>
                  <w:t>European Free Trade Association</w:t>
                </w:r>
              </w:p>
            </w:tc>
          </w:tr>
          <w:tr w:rsidR="00B725B9" w14:paraId="2F298FA2" w14:textId="77777777" w:rsidTr="005B4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C2BAE6" w14:textId="2C66651B" w:rsidR="00B725B9" w:rsidRDefault="00B725B9" w:rsidP="005B4FC9">
                <w:pPr>
                  <w:rPr>
                    <w:b w:val="0"/>
                  </w:rPr>
                </w:pPr>
                <w:r>
                  <w:rPr>
                    <w:b w:val="0"/>
                  </w:rPr>
                  <w:t>EEA</w:t>
                </w:r>
              </w:p>
            </w:tc>
            <w:tc>
              <w:tcPr>
                <w:tcW w:w="4508" w:type="dxa"/>
              </w:tcPr>
              <w:p w14:paraId="4588E0EC" w14:textId="61F2B296" w:rsidR="00B725B9" w:rsidRDefault="00B725B9" w:rsidP="005B4FC9">
                <w:pPr>
                  <w:cnfStyle w:val="000000100000" w:firstRow="0" w:lastRow="0" w:firstColumn="0" w:lastColumn="0" w:oddVBand="0" w:evenVBand="0" w:oddHBand="1" w:evenHBand="0" w:firstRowFirstColumn="0" w:firstRowLastColumn="0" w:lastRowFirstColumn="0" w:lastRowLastColumn="0"/>
                </w:pPr>
                <w:r>
                  <w:t>European Economic Area</w:t>
                </w:r>
              </w:p>
            </w:tc>
          </w:tr>
        </w:tbl>
        <w:p w14:paraId="0E4463CC" w14:textId="77777777" w:rsidR="0075193C" w:rsidRDefault="0075193C" w:rsidP="00B16C84"/>
        <w:p w14:paraId="49BA471C" w14:textId="77777777" w:rsidR="0075193C" w:rsidRDefault="0075193C" w:rsidP="00B16C84"/>
        <w:p w14:paraId="64ACBD56" w14:textId="77777777" w:rsidR="0075193C" w:rsidRDefault="0075193C" w:rsidP="00B16C84"/>
        <w:p w14:paraId="7D8BED0A" w14:textId="77777777" w:rsidR="0075193C" w:rsidRDefault="0075193C" w:rsidP="00B16C84"/>
        <w:p w14:paraId="3A583EF8" w14:textId="77777777" w:rsidR="00741684" w:rsidRDefault="00741684" w:rsidP="00B16C84">
          <w:pPr>
            <w:sectPr w:rsidR="00741684" w:rsidSect="004A6BEF">
              <w:headerReference w:type="default" r:id="rId14"/>
              <w:footerReference w:type="default" r:id="rId15"/>
              <w:footerReference w:type="first" r:id="rId16"/>
              <w:pgSz w:w="11906" w:h="16838"/>
              <w:pgMar w:top="1440" w:right="1440" w:bottom="1440" w:left="1440" w:header="708" w:footer="708" w:gutter="0"/>
              <w:cols w:space="708"/>
              <w:titlePg/>
              <w:docGrid w:linePitch="360"/>
            </w:sectPr>
          </w:pPr>
        </w:p>
        <w:p w14:paraId="119314A1" w14:textId="0804C3F3" w:rsidR="00AA1244" w:rsidRPr="00AA1244" w:rsidRDefault="00D21B37" w:rsidP="00B16C84"/>
      </w:sdtContent>
    </w:sdt>
    <w:p w14:paraId="535AAFB1" w14:textId="2FF588B6" w:rsidR="00AF25E1" w:rsidRDefault="00587182" w:rsidP="00B16C84">
      <w:pPr>
        <w:pStyle w:val="Heading1"/>
        <w:numPr>
          <w:ilvl w:val="0"/>
          <w:numId w:val="1"/>
        </w:numPr>
      </w:pPr>
      <w:bookmarkStart w:id="2" w:name="_Toc501110466"/>
      <w:r>
        <w:t>Introduction</w:t>
      </w:r>
      <w:bookmarkEnd w:id="2"/>
    </w:p>
    <w:p w14:paraId="432CE6B7" w14:textId="08778908" w:rsidR="00F47CA3" w:rsidRDefault="00587182" w:rsidP="00BA6586">
      <w:r>
        <w:t>On the 23</w:t>
      </w:r>
      <w:r w:rsidRPr="00587182">
        <w:rPr>
          <w:vertAlign w:val="superscript"/>
        </w:rPr>
        <w:t>rd</w:t>
      </w:r>
      <w:r>
        <w:t xml:space="preserve"> </w:t>
      </w:r>
      <w:r w:rsidR="00165823">
        <w:t>of June 2016,</w:t>
      </w:r>
      <w:r w:rsidR="006107C9">
        <w:t xml:space="preserve"> contradic</w:t>
      </w:r>
      <w:r w:rsidR="006A2F47">
        <w:t>tory to perceived</w:t>
      </w:r>
      <w:r w:rsidR="00441381">
        <w:t xml:space="preserve"> public opinion</w:t>
      </w:r>
      <w:r w:rsidR="004B6894">
        <w:t>,</w:t>
      </w:r>
      <w:r w:rsidR="00165823">
        <w:t xml:space="preserve"> Great </w:t>
      </w:r>
      <w:r w:rsidR="006A2F47">
        <w:t>Britain</w:t>
      </w:r>
      <w:r w:rsidR="004B6894">
        <w:t xml:space="preserve"> </w:t>
      </w:r>
      <w:r w:rsidR="00C42FB6">
        <w:t>voted</w:t>
      </w:r>
      <w:r>
        <w:t xml:space="preserve"> </w:t>
      </w:r>
      <w:r w:rsidR="00C42FB6">
        <w:t>in</w:t>
      </w:r>
      <w:r w:rsidR="000A4428">
        <w:t xml:space="preserve"> favour of</w:t>
      </w:r>
      <w:r w:rsidR="006A2F47">
        <w:t xml:space="preserve"> ending its membership in</w:t>
      </w:r>
      <w:r w:rsidR="00441381">
        <w:t xml:space="preserve"> the</w:t>
      </w:r>
      <w:r w:rsidR="004B6894">
        <w:t xml:space="preserve"> European Union (EU). This r</w:t>
      </w:r>
      <w:r w:rsidR="00C465E5">
        <w:t>esult</w:t>
      </w:r>
      <w:r w:rsidR="004B6894">
        <w:t xml:space="preserve">ed </w:t>
      </w:r>
      <w:r w:rsidR="00C465E5">
        <w:t xml:space="preserve">in the subsequent </w:t>
      </w:r>
      <w:r w:rsidR="00B01286">
        <w:t>triggering</w:t>
      </w:r>
      <w:r w:rsidR="00165823">
        <w:t xml:space="preserve"> of the European </w:t>
      </w:r>
      <w:r w:rsidR="00B01286">
        <w:t xml:space="preserve">article 50 </w:t>
      </w:r>
      <w:r w:rsidR="006A2F47">
        <w:t>(</w:t>
      </w:r>
      <w:r w:rsidR="006A2F47">
        <w:t>introduced in 2009 previous to which there were no official means by which to leave</w:t>
      </w:r>
      <w:r w:rsidR="006A2F47">
        <w:t xml:space="preserve">) </w:t>
      </w:r>
      <w:r w:rsidR="00B01286">
        <w:t xml:space="preserve">on the </w:t>
      </w:r>
      <w:r w:rsidR="00C42FB6">
        <w:t>29</w:t>
      </w:r>
      <w:r w:rsidR="00C42FB6" w:rsidRPr="00C42FB6">
        <w:rPr>
          <w:vertAlign w:val="superscript"/>
        </w:rPr>
        <w:t>th</w:t>
      </w:r>
      <w:r w:rsidR="00C42FB6">
        <w:t xml:space="preserve"> of March 2017</w:t>
      </w:r>
      <w:r w:rsidR="00F47CA3">
        <w:t xml:space="preserve"> (Figure 1)</w:t>
      </w:r>
      <w:r w:rsidR="006A2F47">
        <w:t xml:space="preserve"> </w:t>
      </w:r>
      <w:r w:rsidR="006A2F47">
        <w:fldChar w:fldCharType="begin" w:fldLock="1"/>
      </w:r>
      <w:r w:rsidR="004237C2">
        <w:instrText>ADDIN CSL_CITATION { "citationItems" : [ { "id" : "ITEM-1", "itemData" : { "abstract" : "Membership office 4 Vine Place Brighton BN1 3HE tel 01273 720305 fax 0845 299 1092 One of the larger all-party groups in Parliament, the All-Party Parliamentary Environment Group was set up in 1993 to strengthen the influence of Parliamentarians on public policy and public debate on the environment. The Group also aims to assist Parliamentarians by improving their access to specialist information through regular group meetings and contact with senior environmental managers and directors from industry and NGOs, written briefings and special reports such as this one. The Group has some 110 Members of Parliament and the House of Lords, and some 120 associate member companies and organisations. It holds regular meetings and receptions at the House of Commons, with talks by leading British and International politicians and captains of industry on key environmental issues. A newsletter and briefing sheet is produced after each meeting. Over the years the Group has played host to quite a number of different British and European Ministers, Commissioners and officials and many others from government, business and the campaign groups both in the UK and abroad. The Group meets 5 or 6 times a year at the Houses of Parliament and membership is by invitation. If you would be interested in joining the Group as an associate member, please contact the membership office shown opposite with details of your company or organisation. __________________________________________________________________________________ London Office 11 Belgrave Road 3rd Floor London, SW1V 1RB Tel: +44 (0) 20 7799 2244 Fax: +44 (0) 20 7799 2600 Brussels Office Quai au Foin, 55 Hooikaai 55 B-1000 Brussels Tel: +32 (0) 2738 7482 Fax: +32 (0) 2732 4004 The Institute for European Environmental Policy (IEEP) is an independent not-for-profit institute. IEEP undertakes work for external sponsors in a range of policy areas. We also have our own research programmes. For further information about IEEP, see our website at www.ieep.eu.", "author" : [ { "dropping-particle" : "", "family" : "Baldock", "given" : "D", "non-dropping-particle" : "", "parse-names" : false, "suffix" : "" }, { "dropping-particle" : "", "family" : "Farmer", "given" : "A", "non-dropping-particle" : "", "parse-names" : false, "suffix" : "" }, { "dropping-particle" : "", "family" : "Nesbit", "given" : "M", "non-dropping-particle" : "", "parse-names" : false, "suffix" : "" } ], "id" : "ITEM-1", "issued" : { "date-parts" : [ [ "2016" ] ] }, "number-of-pages" : "9-10", "title" : "Brexit \u2013 the Implications for UK Environmental Policy and Regulation", "type" : "report" }, "uris" : [ "http://www.mendeley.com/documents/?uuid=1a7dd113-1e44-3839-a8de-9520de2a2f94" ] } ], "mendeley" : { "formattedCitation" : "(Baldock, Farmer and Nesbit, 2016)", "plainTextFormattedCitation" : "(Baldock, Farmer and Nesbit, 2016)", "previouslyFormattedCitation" : "(Baldock, Farmer and Nesbit, 2016)" }, "properties" : { "noteIndex" : 5 }, "schema" : "https://github.com/citation-style-language/schema/raw/master/csl-citation.json" }</w:instrText>
      </w:r>
      <w:r w:rsidR="006A2F47">
        <w:fldChar w:fldCharType="separate"/>
      </w:r>
      <w:r w:rsidR="006A2F47" w:rsidRPr="006A2F47">
        <w:rPr>
          <w:noProof/>
        </w:rPr>
        <w:t>(Baldock, Farmer and Nesbit, 2016)</w:t>
      </w:r>
      <w:r w:rsidR="006A2F47">
        <w:fldChar w:fldCharType="end"/>
      </w:r>
      <w:r w:rsidR="006A2F47">
        <w:t>.From thereon forth</w:t>
      </w:r>
      <w:r w:rsidR="00441381">
        <w:t>, i</w:t>
      </w:r>
      <w:r w:rsidR="00656675">
        <w:t>n agreement with the</w:t>
      </w:r>
      <w:r w:rsidR="00441381">
        <w:t xml:space="preserve"> remaining</w:t>
      </w:r>
      <w:r w:rsidR="00656675">
        <w:t xml:space="preserve"> 27 member states</w:t>
      </w:r>
      <w:r w:rsidR="00441381">
        <w:t>, it was estimated</w:t>
      </w:r>
      <w:r w:rsidR="00656675">
        <w:t xml:space="preserve"> that negotiations </w:t>
      </w:r>
      <w:r w:rsidR="00C465E5">
        <w:t xml:space="preserve">for </w:t>
      </w:r>
      <w:r w:rsidR="006107C9">
        <w:t>would take place over a</w:t>
      </w:r>
      <w:r w:rsidR="00DC331C">
        <w:t xml:space="preserve"> </w:t>
      </w:r>
      <w:r w:rsidR="00C465E5">
        <w:t>two-year</w:t>
      </w:r>
      <w:r w:rsidR="006107C9">
        <w:t xml:space="preserve"> period</w:t>
      </w:r>
      <w:r w:rsidR="00DC331C">
        <w:t xml:space="preserve"> </w:t>
      </w:r>
      <w:r w:rsidR="006107C9">
        <w:t>w</w:t>
      </w:r>
      <w:r w:rsidR="00656675">
        <w:t xml:space="preserve">ith Britain </w:t>
      </w:r>
      <w:r w:rsidR="00C42FB6">
        <w:t xml:space="preserve">leaving </w:t>
      </w:r>
      <w:r w:rsidR="00656675">
        <w:t>the</w:t>
      </w:r>
      <w:r w:rsidR="00874CCF">
        <w:t xml:space="preserve"> European </w:t>
      </w:r>
      <w:r>
        <w:t>Union (EU)</w:t>
      </w:r>
      <w:r w:rsidR="00656675">
        <w:t xml:space="preserve"> no later than</w:t>
      </w:r>
      <w:r w:rsidR="00441381">
        <w:t xml:space="preserve"> 29</w:t>
      </w:r>
      <w:r w:rsidR="00441381" w:rsidRPr="00441381">
        <w:rPr>
          <w:vertAlign w:val="superscript"/>
        </w:rPr>
        <w:t>th</w:t>
      </w:r>
      <w:r w:rsidR="00441381">
        <w:t xml:space="preserve"> of March</w:t>
      </w:r>
      <w:r w:rsidR="00C42FB6">
        <w:t xml:space="preserve"> 2019</w:t>
      </w:r>
      <w:r w:rsidR="00F47CA3">
        <w:t xml:space="preserve"> </w:t>
      </w:r>
      <w:r w:rsidR="00F47CA3">
        <w:fldChar w:fldCharType="begin" w:fldLock="1"/>
      </w:r>
      <w:r w:rsidR="00895381">
        <w:instrText>ADDIN CSL_CITATION { "citationItems" : [ { "id" : "ITEM-1", "itemData" : { "author" : [ { "dropping-particle" : "", "family" : "Isachsen", "given" : "Arne Jon", "non-dropping-particle" : "", "parse-names" : false, "suffix" : "" } ], "id" : "ITEM-1", "issued" : { "date-parts" : [ [ "2017" ] ] }, "publisher-place" : "Bergen", "title" : "Om Brexit", "type" : "report" }, "uris" : [ "http://www.mendeley.com/documents/?uuid=b2513c4b-bd5c-3e03-b86f-f6c51d71f71c" ] } ], "mendeley" : { "formattedCitation" : "(Isachsen, 2017)", "plainTextFormattedCitation" : "(Isachsen, 2017)", "previouslyFormattedCitation" : "(Isachsen, 2017)" }, "properties" : { "noteIndex" : 5 }, "schema" : "https://github.com/citation-style-language/schema/raw/master/csl-citation.json" }</w:instrText>
      </w:r>
      <w:r w:rsidR="00F47CA3">
        <w:fldChar w:fldCharType="separate"/>
      </w:r>
      <w:r w:rsidR="00F47CA3" w:rsidRPr="00F47CA3">
        <w:rPr>
          <w:noProof/>
        </w:rPr>
        <w:t>(Isachsen, 2017)</w:t>
      </w:r>
      <w:r w:rsidR="00F47CA3">
        <w:fldChar w:fldCharType="end"/>
      </w:r>
      <w:r w:rsidR="00F47CA3">
        <w:t>.</w:t>
      </w:r>
    </w:p>
    <w:p w14:paraId="0AE068DB" w14:textId="2CA01694" w:rsidR="00E761DC" w:rsidRDefault="00E761DC" w:rsidP="00F47CA3">
      <w:pPr>
        <w:ind w:firstLine="0"/>
      </w:pPr>
      <w:r>
        <w:rPr>
          <w:noProof/>
          <w:lang w:eastAsia="en-GB"/>
        </w:rPr>
        <w:drawing>
          <wp:inline distT="0" distB="0" distL="0" distR="0" wp14:anchorId="44046615" wp14:editId="4E899AD8">
            <wp:extent cx="5731510" cy="4184912"/>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184912"/>
                    </a:xfrm>
                    <a:prstGeom prst="rect">
                      <a:avLst/>
                    </a:prstGeom>
                    <a:noFill/>
                    <a:ln>
                      <a:noFill/>
                    </a:ln>
                  </pic:spPr>
                </pic:pic>
              </a:graphicData>
            </a:graphic>
          </wp:inline>
        </w:drawing>
      </w:r>
    </w:p>
    <w:p w14:paraId="35D1B4A1" w14:textId="30037C41" w:rsidR="00E761DC" w:rsidRDefault="00E761DC" w:rsidP="004A43B6">
      <w:pPr>
        <w:pStyle w:val="Caption"/>
        <w:jc w:val="center"/>
      </w:pPr>
      <w:r>
        <w:t xml:space="preserve">Figure </w:t>
      </w:r>
      <w:fldSimple w:instr=" SEQ Figure \* ARABIC ">
        <w:r w:rsidR="00C658DC">
          <w:rPr>
            <w:noProof/>
          </w:rPr>
          <w:t>1</w:t>
        </w:r>
      </w:fldSimple>
      <w:r>
        <w:t xml:space="preserve">: Timeline of the EU referendum </w:t>
      </w:r>
      <w:r>
        <w:fldChar w:fldCharType="begin" w:fldLock="1"/>
      </w:r>
      <w:r w:rsidR="00276767">
        <w:instrText>ADDIN CSL_CITATION { "citationItems" : [ { "id" : "ITEM-1", "itemData" : { "DOI" : "10.3828/tpr.2017.12", "abstract" : "The referendum of 23 June 2016, in which the UK voted to leave the European Union, has potentially far-reaching implications for planning, especially its interface with environmental policy. While the five months since the referendum show stability in the world of planning practice, moves to renegotiate the UK's relationship with Europe raise a number of important questions: will we see an erosion of the firm environmental standards and targets characteristic of EU environmental policy? Will business interests and infrastructure proponents be successful in arguing that Brexit requires yet further growth-supporting measures? How will the evident salience of immigration, sovereignty and identity concerns shape planning and environmental policy? Will the devolved governments thwart or redirect the 'leave' process? Alongside responses to specific institutional changes, planning and environmental bodies will need to respond to a political context in which elites are mistrusted, the benefits of globalisation and supra-national governance are questioned, and 'putting Britain first' is a discourse with increased traction.", "author" : [ { "dropping-particle" : "", "family" : "Richard Cowell", "given" : "", "non-dropping-particle" : "", "parse-names" : false, "suffix" : "" } ], "container-title" : "Town Planning Review", "id" : "ITEM-1", "issue" : "2", "issued" : { "date-parts" : [ [ "2017" ] ] }, "title" : "Policy and Practice The EU referendum, planning and the environment: Where are we now?", "type" : "article-journal", "volume" : "88" }, "uris" : [ "http://www.mendeley.com/documents/?uuid=9445d9db-6c1f-33cd-958c-9b7457c70ee9" ] } ], "mendeley" : { "formattedCitation" : "(Richard Cowell, 2017)", "plainTextFormattedCitation" : "(Richard Cowell, 2017)", "previouslyFormattedCitation" : "(Richard Cowell, 2017)" }, "properties" : { "noteIndex" : 5 }, "schema" : "https://github.com/citation-style-language/schema/raw/master/csl-citation.json" }</w:instrText>
      </w:r>
      <w:r>
        <w:fldChar w:fldCharType="separate"/>
      </w:r>
      <w:r w:rsidRPr="00E761DC">
        <w:rPr>
          <w:i w:val="0"/>
          <w:noProof/>
        </w:rPr>
        <w:t>(Richard Cowell, 2017)</w:t>
      </w:r>
      <w:r>
        <w:fldChar w:fldCharType="end"/>
      </w:r>
    </w:p>
    <w:p w14:paraId="6D3868C5" w14:textId="6FC24510" w:rsidR="00441381" w:rsidRDefault="00441381" w:rsidP="0040743F"/>
    <w:p w14:paraId="365EB0FF" w14:textId="21B5DDBB" w:rsidR="0040743F" w:rsidRDefault="006107C9" w:rsidP="0040743F">
      <w:r>
        <w:lastRenderedPageBreak/>
        <w:t>A</w:t>
      </w:r>
      <w:r w:rsidR="008C49B8">
        <w:t xml:space="preserve">t </w:t>
      </w:r>
      <w:r w:rsidR="0097591E">
        <w:t xml:space="preserve">time </w:t>
      </w:r>
      <w:r w:rsidR="003112D1">
        <w:t xml:space="preserve">of </w:t>
      </w:r>
      <w:r w:rsidR="0097591E">
        <w:t>writing</w:t>
      </w:r>
      <w:r w:rsidR="00BB701D">
        <w:t xml:space="preserve">, </w:t>
      </w:r>
      <w:r w:rsidR="00E761DC">
        <w:t>the parties</w:t>
      </w:r>
      <w:r w:rsidR="003112D1">
        <w:t xml:space="preserve"> are engaging in negotiations </w:t>
      </w:r>
      <w:r w:rsidR="00441381">
        <w:t>attempting to ascertain</w:t>
      </w:r>
      <w:r w:rsidR="006A2F47">
        <w:t xml:space="preserve"> terms of emancipation</w:t>
      </w:r>
      <w:r w:rsidR="008C49B8">
        <w:t xml:space="preserve"> </w:t>
      </w:r>
      <w:r>
        <w:t xml:space="preserve">and </w:t>
      </w:r>
      <w:r w:rsidR="003112D1">
        <w:t xml:space="preserve">identifying options for </w:t>
      </w:r>
      <w:r w:rsidR="00441381">
        <w:t xml:space="preserve">a </w:t>
      </w:r>
      <w:r w:rsidR="003112D1">
        <w:t>future relationship</w:t>
      </w:r>
      <w:r w:rsidR="00441381">
        <w:t xml:space="preserve">. </w:t>
      </w:r>
      <w:r w:rsidR="008C49B8">
        <w:t>P</w:t>
      </w:r>
      <w:r w:rsidR="008657D8">
        <w:t xml:space="preserve">hase 2 of negotiations initiated </w:t>
      </w:r>
      <w:r w:rsidR="00E66684">
        <w:t>on 15</w:t>
      </w:r>
      <w:r w:rsidR="008C49B8" w:rsidRPr="008657D8">
        <w:rPr>
          <w:vertAlign w:val="superscript"/>
        </w:rPr>
        <w:t>th</w:t>
      </w:r>
      <w:r w:rsidR="008C49B8">
        <w:t xml:space="preserve"> of December 2017, </w:t>
      </w:r>
      <w:r w:rsidR="00E761DC">
        <w:t>after PM Theresa May</w:t>
      </w:r>
      <w:r w:rsidR="008657D8">
        <w:t xml:space="preserve"> reache</w:t>
      </w:r>
      <w:r w:rsidR="006A2F47">
        <w:t>d an appeasement in</w:t>
      </w:r>
      <w:r w:rsidR="00E66684">
        <w:t xml:space="preserve"> Phase 1</w:t>
      </w:r>
      <w:r w:rsidR="008657D8">
        <w:t xml:space="preserve"> with the EU, settling for </w:t>
      </w:r>
      <w:r w:rsidR="008C49B8">
        <w:t xml:space="preserve">a </w:t>
      </w:r>
      <w:r w:rsidR="00E761DC">
        <w:t xml:space="preserve">sizeable </w:t>
      </w:r>
      <w:r w:rsidR="008C49B8">
        <w:t>departure fee</w:t>
      </w:r>
      <w:r w:rsidR="00E761DC">
        <w:t>,</w:t>
      </w:r>
      <w:r w:rsidR="008C49B8">
        <w:t xml:space="preserve"> a soft border policy, and adherence to EU Laws throughout the two-year transitional phase</w:t>
      </w:r>
      <w:r>
        <w:t xml:space="preserve"> (European Commission, 2017)</w:t>
      </w:r>
      <w:r w:rsidR="003112D1">
        <w:t xml:space="preserve">. </w:t>
      </w:r>
      <w:r w:rsidR="00E761DC">
        <w:t xml:space="preserve">However, there is </w:t>
      </w:r>
      <w:r w:rsidR="003112D1">
        <w:t xml:space="preserve">still uncertainty as to how the parties will address the plethoric range of environmental </w:t>
      </w:r>
      <w:r w:rsidR="00D0031C">
        <w:t>laws</w:t>
      </w:r>
      <w:r w:rsidR="003112D1">
        <w:t xml:space="preserve"> pertaining</w:t>
      </w:r>
      <w:r w:rsidR="00987EC8">
        <w:t xml:space="preserve"> to the statutes</w:t>
      </w:r>
      <w:r w:rsidR="008C49B8">
        <w:t xml:space="preserve"> of </w:t>
      </w:r>
      <w:r w:rsidR="00E761DC">
        <w:t>the UK, and how different modes</w:t>
      </w:r>
      <w:r w:rsidR="00987EC8">
        <w:t xml:space="preserve"> of Brexit</w:t>
      </w:r>
      <w:r w:rsidR="00121674">
        <w:t xml:space="preserve"> </w:t>
      </w:r>
      <w:r w:rsidR="008C49B8">
        <w:t>will</w:t>
      </w:r>
      <w:r w:rsidR="00E66684">
        <w:t>, including an around-face</w:t>
      </w:r>
      <w:r w:rsidR="008C49B8">
        <w:t xml:space="preserve">, </w:t>
      </w:r>
      <w:r w:rsidR="00121674">
        <w:t>in varying degrees</w:t>
      </w:r>
      <w:r>
        <w:t>, affect the still largely neglected subject</w:t>
      </w:r>
      <w:r w:rsidR="008C49B8">
        <w:t>.</w:t>
      </w:r>
    </w:p>
    <w:p w14:paraId="1EBE1541" w14:textId="4FD0B7CE" w:rsidR="00A64E47" w:rsidRDefault="0040743F" w:rsidP="00B16C84">
      <w:pPr>
        <w:rPr>
          <w:noProof/>
          <w:lang w:eastAsia="en-GB"/>
        </w:rPr>
      </w:pPr>
      <w:r>
        <w:t>RED</w:t>
      </w:r>
      <w:r w:rsidR="0020700A">
        <w:t xml:space="preserve">, formally </w:t>
      </w:r>
      <w:r w:rsidR="00B156DC">
        <w:t>Directive 2009/28/EC,</w:t>
      </w:r>
      <w:r w:rsidR="0020700A">
        <w:t xml:space="preserve"> </w:t>
      </w:r>
      <w:r w:rsidR="00A64E47">
        <w:t xml:space="preserve">is a </w:t>
      </w:r>
      <w:r w:rsidR="00C658DC">
        <w:t xml:space="preserve">EU </w:t>
      </w:r>
      <w:r w:rsidR="00A64E47">
        <w:t xml:space="preserve">directive (figure 2) which </w:t>
      </w:r>
      <w:r w:rsidR="002529AB">
        <w:t xml:space="preserve">according to its article 1, mandates the 28 member countries to </w:t>
      </w:r>
      <w:r w:rsidR="00D1363C">
        <w:t xml:space="preserve">“establish a common framework for energy from renewable sources” (Parliament and </w:t>
      </w:r>
      <w:r w:rsidR="00A35149">
        <w:t>Counci</w:t>
      </w:r>
      <w:r w:rsidR="00D1363C">
        <w:t>l of the EU, 2009)</w:t>
      </w:r>
      <w:r w:rsidR="0084263B">
        <w:t xml:space="preserve">. RED </w:t>
      </w:r>
      <w:r w:rsidR="00D1363C">
        <w:t>stipulates</w:t>
      </w:r>
      <w:r w:rsidR="002529AB">
        <w:t xml:space="preserve"> that</w:t>
      </w:r>
      <w:r w:rsidR="00120F43">
        <w:t xml:space="preserve"> member countries </w:t>
      </w:r>
      <w:r w:rsidR="002529AB">
        <w:t xml:space="preserve">are </w:t>
      </w:r>
      <w:r w:rsidR="00120F43">
        <w:t>to</w:t>
      </w:r>
      <w:r w:rsidR="000306E4">
        <w:t>,</w:t>
      </w:r>
      <w:r w:rsidR="00C4099F">
        <w:t xml:space="preserve"> inter alia</w:t>
      </w:r>
      <w:r w:rsidR="000306E4">
        <w:t>,</w:t>
      </w:r>
      <w:r w:rsidR="00C4099F">
        <w:t xml:space="preserve"> </w:t>
      </w:r>
      <w:r w:rsidR="00D1363C">
        <w:t xml:space="preserve">adhere to mandatory </w:t>
      </w:r>
      <w:r w:rsidR="002529AB">
        <w:t xml:space="preserve">national </w:t>
      </w:r>
      <w:r w:rsidR="0084263B">
        <w:t>overall targets and measures for the use of energy from renewables; adopt a National Renewable Action Plan</w:t>
      </w:r>
      <w:r w:rsidR="00CD20DC">
        <w:t xml:space="preserve"> (NAP)</w:t>
      </w:r>
      <w:r w:rsidR="0084263B">
        <w:t xml:space="preserve"> setting forth requirements for </w:t>
      </w:r>
      <w:r w:rsidR="00C4099F">
        <w:t>the nations targets for utilised</w:t>
      </w:r>
      <w:r w:rsidR="0084263B">
        <w:t xml:space="preserve"> renewable energy</w:t>
      </w:r>
      <w:r w:rsidR="000306E4">
        <w:t xml:space="preserve"> (RE)</w:t>
      </w:r>
      <w:r w:rsidR="0084263B">
        <w:t xml:space="preserve"> by department (e.g. transport, heating)</w:t>
      </w:r>
      <w:r w:rsidR="00C4099F">
        <w:t xml:space="preserve"> by 2020;</w:t>
      </w:r>
      <w:r w:rsidR="001734FA">
        <w:t xml:space="preserve"> report calculation</w:t>
      </w:r>
      <w:r w:rsidR="000306E4">
        <w:t xml:space="preserve">s of </w:t>
      </w:r>
      <w:r w:rsidR="001734FA">
        <w:t>energy from renewables</w:t>
      </w:r>
      <w:r w:rsidR="000306E4">
        <w:t xml:space="preserve"> sources</w:t>
      </w:r>
      <w:r w:rsidR="00C4099F">
        <w:t>, as well as</w:t>
      </w:r>
      <w:r w:rsidR="000306E4">
        <w:t xml:space="preserve"> to partake in</w:t>
      </w:r>
      <w:r w:rsidR="00C4099F">
        <w:t xml:space="preserve"> </w:t>
      </w:r>
      <w:r w:rsidR="00632D26">
        <w:t>statistical</w:t>
      </w:r>
      <w:r w:rsidR="003550A8">
        <w:t xml:space="preserve"> </w:t>
      </w:r>
      <w:r w:rsidR="00632D26">
        <w:t>trans</w:t>
      </w:r>
      <w:r w:rsidR="003550A8">
        <w:t>fer</w:t>
      </w:r>
      <w:r w:rsidR="00C4099F">
        <w:t>s</w:t>
      </w:r>
      <w:r w:rsidR="003550A8">
        <w:t xml:space="preserve"> of energy from renewabl</w:t>
      </w:r>
      <w:r w:rsidR="0082213D">
        <w:t>e sources between member states</w:t>
      </w:r>
      <w:r w:rsidR="00A35149">
        <w:t xml:space="preserve"> (Parliament and Council of the EU, 2009</w:t>
      </w:r>
      <w:r>
        <w:t>; European Commission, 2017</w:t>
      </w:r>
      <w:r w:rsidR="00A35149">
        <w:t>).</w:t>
      </w:r>
      <w:r w:rsidR="00A64E47" w:rsidRPr="00A64E47">
        <w:rPr>
          <w:noProof/>
          <w:lang w:eastAsia="en-GB"/>
        </w:rPr>
        <w:t xml:space="preserve"> </w:t>
      </w:r>
    </w:p>
    <w:p w14:paraId="4D3A9612" w14:textId="4F58DA5E" w:rsidR="003550A8" w:rsidRDefault="00A64E47" w:rsidP="00A64E47">
      <w:pPr>
        <w:jc w:val="center"/>
        <w:rPr>
          <w:noProof/>
          <w:lang w:eastAsia="en-GB"/>
        </w:rPr>
      </w:pPr>
      <w:r>
        <w:rPr>
          <w:noProof/>
          <w:lang w:eastAsia="en-GB"/>
        </w:rPr>
        <w:lastRenderedPageBreak/>
        <w:drawing>
          <wp:anchor distT="0" distB="0" distL="114300" distR="114300" simplePos="0" relativeHeight="251729920" behindDoc="0" locked="0" layoutInCell="1" allowOverlap="1" wp14:anchorId="6F4C3B3B" wp14:editId="73C7465A">
            <wp:simplePos x="0" y="0"/>
            <wp:positionH relativeFrom="margin">
              <wp:align>left</wp:align>
            </wp:positionH>
            <wp:positionV relativeFrom="paragraph">
              <wp:posOffset>190006</wp:posOffset>
            </wp:positionV>
            <wp:extent cx="5722620" cy="3918857"/>
            <wp:effectExtent l="0" t="0" r="0" b="571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3918857"/>
                    </a:xfrm>
                    <a:prstGeom prst="rect">
                      <a:avLst/>
                    </a:prstGeom>
                    <a:noFill/>
                    <a:ln>
                      <a:noFill/>
                    </a:ln>
                  </pic:spPr>
                </pic:pic>
              </a:graphicData>
            </a:graphic>
          </wp:anchor>
        </w:drawing>
      </w:r>
    </w:p>
    <w:p w14:paraId="39AEF94D" w14:textId="62A1AC18" w:rsidR="00A64E47" w:rsidRDefault="00A64E47" w:rsidP="00A64E47">
      <w:pPr>
        <w:pStyle w:val="Caption"/>
        <w:jc w:val="center"/>
      </w:pPr>
      <w:bookmarkStart w:id="3" w:name="_Toc500949322"/>
      <w:r>
        <w:t xml:space="preserve">Figure </w:t>
      </w:r>
      <w:fldSimple w:instr=" SEQ Figure \* ARABIC ">
        <w:r w:rsidR="00C658DC">
          <w:rPr>
            <w:noProof/>
          </w:rPr>
          <w:t>2</w:t>
        </w:r>
      </w:fldSimple>
      <w:r>
        <w:t>:</w:t>
      </w:r>
      <w:r w:rsidR="00B725B9">
        <w:t xml:space="preserve"> Principal EU Legislative Instruments </w:t>
      </w:r>
      <w:r>
        <w:t xml:space="preserve"> (House of Lords, 2017)</w:t>
      </w:r>
      <w:bookmarkEnd w:id="3"/>
    </w:p>
    <w:p w14:paraId="2D9EED02" w14:textId="49363473" w:rsidR="00A64E47" w:rsidRDefault="000C7B25" w:rsidP="006E0BCB">
      <w:r>
        <w:t>This report aims to establish a status quo of negotiations, probable emerging narratives, and how, with respects to the Renewable Energy Directive of 2009 (RED), the UKs position on renewables could be affected</w:t>
      </w:r>
      <w:r w:rsidR="00895381">
        <w:t>.</w:t>
      </w:r>
    </w:p>
    <w:p w14:paraId="0697F0BF" w14:textId="1EE23153" w:rsidR="00BA6586" w:rsidRDefault="003B7C72" w:rsidP="00BA6586">
      <w:pPr>
        <w:pStyle w:val="Heading1"/>
        <w:numPr>
          <w:ilvl w:val="0"/>
          <w:numId w:val="1"/>
        </w:numPr>
      </w:pPr>
      <w:bookmarkStart w:id="4" w:name="_Toc501110467"/>
      <w:r>
        <w:lastRenderedPageBreak/>
        <w:t>British renewables</w:t>
      </w:r>
      <w:r w:rsidR="004F7EF6">
        <w:t xml:space="preserve"> </w:t>
      </w:r>
      <w:r>
        <w:t>under</w:t>
      </w:r>
      <w:r w:rsidR="00CC2250">
        <w:t xml:space="preserve"> EU</w:t>
      </w:r>
      <w:r>
        <w:t xml:space="preserve"> </w:t>
      </w:r>
      <w:r w:rsidR="006E0BCB">
        <w:t>regulation</w:t>
      </w:r>
      <w:bookmarkEnd w:id="4"/>
    </w:p>
    <w:p w14:paraId="4D54CA1B" w14:textId="39CFE856" w:rsidR="00BA6586" w:rsidRPr="00BA6586" w:rsidRDefault="00276767" w:rsidP="00BA6586">
      <w:pPr>
        <w:pStyle w:val="Heading2"/>
        <w:numPr>
          <w:ilvl w:val="1"/>
          <w:numId w:val="1"/>
        </w:numPr>
      </w:pPr>
      <w:bookmarkStart w:id="5" w:name="_Toc501110468"/>
      <w:r>
        <w:t>The Renewable Energy directive in the UK</w:t>
      </w:r>
      <w:bookmarkEnd w:id="5"/>
    </w:p>
    <w:p w14:paraId="2519CAF4" w14:textId="3EC69826" w:rsidR="006107C9" w:rsidRPr="00C2424D" w:rsidRDefault="00A64E47" w:rsidP="00C2424D">
      <w:pPr>
        <w:rPr>
          <w:rFonts w:ascii="Calisto MT" w:hAnsi="Calisto MT"/>
          <w:i/>
          <w:color w:val="808080" w:themeColor="background1" w:themeShade="80"/>
        </w:rPr>
      </w:pPr>
      <w:r>
        <w:t xml:space="preserve">  </w:t>
      </w:r>
      <w:r w:rsidR="006107C9" w:rsidRPr="00C2424D">
        <w:rPr>
          <w:rFonts w:ascii="Calisto MT" w:hAnsi="Calisto MT"/>
          <w:i/>
          <w:color w:val="808080" w:themeColor="background1" w:themeShade="80"/>
        </w:rPr>
        <w:t>“Renewable Energy is at the core of the</w:t>
      </w:r>
      <w:r w:rsidR="00B2168D" w:rsidRPr="00C2424D">
        <w:rPr>
          <w:rFonts w:ascii="Calisto MT" w:hAnsi="Calisto MT"/>
          <w:i/>
          <w:color w:val="808080" w:themeColor="background1" w:themeShade="80"/>
        </w:rPr>
        <w:t xml:space="preserve"> Energy Union's priorities. The </w:t>
      </w:r>
      <w:r w:rsidR="00CC2250" w:rsidRPr="00C2424D">
        <w:rPr>
          <w:rFonts w:ascii="Calisto MT" w:hAnsi="Calisto MT"/>
          <w:i/>
          <w:color w:val="808080" w:themeColor="background1" w:themeShade="80"/>
        </w:rPr>
        <w:t>Renewable Energy Directive</w:t>
      </w:r>
      <w:r w:rsidR="006107C9" w:rsidRPr="00C2424D">
        <w:rPr>
          <w:rFonts w:ascii="Calisto MT" w:hAnsi="Calisto MT"/>
          <w:i/>
          <w:color w:val="808080" w:themeColor="background1" w:themeShade="80"/>
        </w:rPr>
        <w:t xml:space="preserve"> has been and will continue being a central element of the Energy Union policy and a key driver for providing clean energy for all Europeans, in view of making the EU world number one in renewables while contributing to the five dimensions of the Energy Union” (European Commission, 2017)</w:t>
      </w:r>
    </w:p>
    <w:p w14:paraId="101F918B" w14:textId="46C6703D" w:rsidR="00276767" w:rsidRDefault="006107C9" w:rsidP="00895381">
      <w:r>
        <w:t xml:space="preserve">In 2009 RED was transposed to British law, amending and subsequently repealing Directives 2001/77/EC and 2003/30/EC (Directive on </w:t>
      </w:r>
      <w:r w:rsidRPr="007F4308">
        <w:t>Electricity Production from Renewable Energy Sources</w:t>
      </w:r>
      <w:r>
        <w:t xml:space="preserve"> and Directive on </w:t>
      </w:r>
      <w:r w:rsidRPr="007F4308">
        <w:t>Promotion of the use of biofuels and other renewable fuels for transport</w:t>
      </w:r>
      <w:r>
        <w:t xml:space="preserve"> respectively) as the presidi</w:t>
      </w:r>
      <w:r w:rsidR="00A64E47">
        <w:t xml:space="preserve">ng </w:t>
      </w:r>
      <w:r w:rsidR="000306E4">
        <w:t xml:space="preserve">RE </w:t>
      </w:r>
      <w:r w:rsidR="00895381">
        <w:t>statute</w:t>
      </w:r>
      <w:r w:rsidR="00551270">
        <w:t xml:space="preserve"> </w:t>
      </w:r>
      <w:r w:rsidR="00895381">
        <w:fldChar w:fldCharType="begin" w:fldLock="1"/>
      </w:r>
      <w:r w:rsidR="00551270">
        <w:instrText>ADDIN CSL_CITATION { "citationItems" : [ { "id" : "ITEM-1", "itemData" : { "DOI" : "10.1016/j.apenergy.2014.01.091", "abstract" : "There is a high uncertainty in the range of possible GHG implications of removing straw. GHG emission savings for bioethanol from wheat straw are 21\u201358% compared to gasoline. GHG implications of straw removal can reduce the GHG savings. The GHG benefits of straw removal for bioethanol production exceed benefits from incorporation. Further research is required to understand SOC losses due to straw removal. a b s t r a c t The Renewable Energy Directive (RED) specifies that biomass feedstocks must be sustainable and are not directly implicated with conversion of areas of high carbon stock and biodiversity. There are concerns that first generation biofuels from food-based crops will lead to negative indirect impacts on food prices and place pressure on agricultural land. The RED incentivises the use of non-food and land biomass resources by awarding them with financial credits and assigning them a zero greenhouse gas (GHG) 'cost'. This paper questions whether there are any GHG implications with straw removal from soil that should be accounted for in the life cycle assessment (LCA) of straw-based bioethanol. Emission savings of 21\u201358% are calculated for straw\u2013bioethanol compared to conventional fossil fuels. The direct GHG implications of straw removal from soil are highly dependent on assumptions on the changes in soil organic carbon (SOC) experienced during straw removal, as well as replacing nutrients removed in straw. The results show that these impacts have the potential to reduce the GHG emission savings to \u00c0133%. If straw was alternatively incorporated into the soil, this could sequester between 0.58 and 2.24 tonnes CO 2 eq./ha, whereas substitution of fossil fuels would avoid 0.46 and 1.16 tonnes CO 2 eq./ha, although the full accountable benefit of straw removal is questionable as it is easily reversible. Understanding the full implications of straw removal on GHG emissions relies on further research on residue removal limita-tions, the impact that losses of SOC has on soil quality, as well as determining whether straw will be acquired from increased removal from soil or displacement from existing markets.", "author" : [ { "dropping-particle" : "", "family" : "Whittaker", "given" : "Carly", "non-dropping-particle" : "", "parse-names" : false, "suffix" : "" }, { "dropping-particle" : "", "family" : "Borrion", "given" : "Aiduan Li", "non-dropping-particle" : "", "parse-names" : false, "suffix" : "" }, { "dropping-particle" : "", "family" : "Newnes", "given" : "Linda", "non-dropping-particle" : "", "parse-names" : false, "suffix" : "" }, { "dropping-particle" : "", "family" : "Mcmanus", "given" : "Marcelle", "non-dropping-particle" : "", "parse-names" : false, "suffix" : "" } ], "container-title" : "Applied Energy", "id" : "ITEM-1", "issued" : { "date-parts" : [ [ "2014" ] ] }, "page" : "207-215", "title" : "The renewable energy directive and cereal residues", "type" : "article-journal", "volume" : "122" }, "uris" : [ "http://www.mendeley.com/documents/?uuid=21a9cab9-816e-3faa-99a0-fea2db1ecdd1" ] } ], "mendeley" : { "formattedCitation" : "(Whittaker &lt;i&gt;et al.&lt;/i&gt;, 2014)", "plainTextFormattedCitation" : "(Whittaker et al., 2014)", "previouslyFormattedCitation" : "(Whittaker &lt;i&gt;et al.&lt;/i&gt;, 2014)" }, "properties" : { "noteIndex" : 8 }, "schema" : "https://github.com/citation-style-language/schema/raw/master/csl-citation.json" }</w:instrText>
      </w:r>
      <w:r w:rsidR="00895381">
        <w:fldChar w:fldCharType="separate"/>
      </w:r>
      <w:r w:rsidR="00895381" w:rsidRPr="00895381">
        <w:rPr>
          <w:noProof/>
        </w:rPr>
        <w:t xml:space="preserve">(Whittaker </w:t>
      </w:r>
      <w:r w:rsidR="00895381" w:rsidRPr="00895381">
        <w:rPr>
          <w:i/>
          <w:noProof/>
        </w:rPr>
        <w:t>et al.</w:t>
      </w:r>
      <w:r w:rsidR="00895381" w:rsidRPr="00895381">
        <w:rPr>
          <w:noProof/>
        </w:rPr>
        <w:t>, 2014)</w:t>
      </w:r>
      <w:r w:rsidR="00895381">
        <w:fldChar w:fldCharType="end"/>
      </w:r>
      <w:r>
        <w:t>. The directive has promoted the UKs utilisation of renewables (figure</w:t>
      </w:r>
      <w:r w:rsidR="00551270">
        <w:t xml:space="preserve"> 3</w:t>
      </w:r>
      <w:r>
        <w:t>)</w:t>
      </w:r>
      <w:r w:rsidR="0093551B">
        <w:t xml:space="preserve"> mandating 15% of total energy d</w:t>
      </w:r>
      <w:r w:rsidR="00A42979">
        <w:t>emand and 10% of transport to come</w:t>
      </w:r>
      <w:r w:rsidR="0093551B">
        <w:t xml:space="preserve"> from renewable sources </w:t>
      </w:r>
      <w:r w:rsidR="0093551B">
        <w:fldChar w:fldCharType="begin" w:fldLock="1"/>
      </w:r>
      <w:r w:rsidR="00475B71">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"id" : "ITEM-2", "itemData" : { "DOI" : "10.1016/J.REF.2016.08.012", "ISSN" : "1755-0084", "abstract" : "The unexpected Leave vote in the UK's EU membership referendum left global markets reeling, but is the UK renewables industry safe? Rachel Parkes reports.", "author" : [ { "dropping-particle" : "", "family" : "Parkes", "given" : "Rachel", "non-dropping-particle" : "", "parse-names" : false, "suffix" : "" } ], "container-title" : "Renewable Energy Focus", "id" : "ITEM-2", "issue" : "5", "issued" : { "date-parts" : [ [ "2016", "9", "1" ] ] }, "page" : "188-190", "publisher" : "Elsevier", "title" : "Brexit: A storm in a teacup?", "type" : "article-journal", "volume" : "17" }, "uris" : [ "http://www.mendeley.com/documents/?uuid=8f5c822f-b59e-3407-aa27-493e4ca5824f" ] } ], "mendeley" : { "formattedCitation" : "(Lockwood &lt;i&gt;et al.&lt;/i&gt;, 2017; Parkes, 2016)", "plainTextFormattedCitation" : "(Lockwood et al., 2017; Parkes, 2016)", "previouslyFormattedCitation" : "(Lockwood &lt;i&gt;et al.&lt;/i&gt;, 2017; Parkes, 2016)" }, "properties" : { "noteIndex" : 7 }, "schema" : "https://github.com/citation-style-language/schema/raw/master/csl-citation.json" }</w:instrText>
      </w:r>
      <w:r w:rsidR="0093551B">
        <w:fldChar w:fldCharType="separate"/>
      </w:r>
      <w:r w:rsidR="0093551B" w:rsidRPr="0093551B">
        <w:rPr>
          <w:noProof/>
        </w:rPr>
        <w:t xml:space="preserve">(Lockwood </w:t>
      </w:r>
      <w:r w:rsidR="0093551B" w:rsidRPr="0093551B">
        <w:rPr>
          <w:i/>
          <w:noProof/>
        </w:rPr>
        <w:t>et al.</w:t>
      </w:r>
      <w:r w:rsidR="0093551B" w:rsidRPr="0093551B">
        <w:rPr>
          <w:noProof/>
        </w:rPr>
        <w:t>, 2017; Parkes, 2016)</w:t>
      </w:r>
      <w:r w:rsidR="0093551B">
        <w:fldChar w:fldCharType="end"/>
      </w:r>
      <w:r w:rsidR="00551270">
        <w:t xml:space="preserve">. This has </w:t>
      </w:r>
      <w:r w:rsidR="0093551B">
        <w:t>a</w:t>
      </w:r>
      <w:r>
        <w:t>ugmented industrial, governmental and social propagation of renew</w:t>
      </w:r>
      <w:r w:rsidR="0093551B">
        <w:t xml:space="preserve">ables </w:t>
      </w:r>
      <w:r w:rsidR="00A42979">
        <w:t>aiding UK in working</w:t>
      </w:r>
      <w:r w:rsidR="00551270">
        <w:t xml:space="preserve"> towards</w:t>
      </w:r>
      <w:r w:rsidR="0083154E">
        <w:t xml:space="preserve"> its 2020 target</w:t>
      </w:r>
      <w:r w:rsidR="00C658DC">
        <w:t xml:space="preserve"> (figure 3)</w:t>
      </w:r>
      <w:r>
        <w:t xml:space="preserve">. </w:t>
      </w:r>
    </w:p>
    <w:p w14:paraId="1CD4C3C4" w14:textId="3FF2D0E2" w:rsidR="00475B71" w:rsidRDefault="00276767" w:rsidP="00E602F1">
      <w:pPr>
        <w:pStyle w:val="Heading2"/>
        <w:jc w:val="left"/>
      </w:pPr>
      <w:bookmarkStart w:id="6" w:name="_Toc501110469"/>
      <w:r>
        <w:lastRenderedPageBreak/>
        <w:t>2.2 Renewable electricity generation in the UK</w:t>
      </w:r>
      <w:r w:rsidR="0083154E">
        <w:br/>
      </w:r>
      <w:r w:rsidR="00475B71">
        <w:rPr>
          <w:noProof/>
          <w:lang w:eastAsia="en-GB"/>
        </w:rPr>
        <w:drawing>
          <wp:inline distT="0" distB="0" distL="0" distR="0" wp14:anchorId="79DD2599" wp14:editId="3FB212F7">
            <wp:extent cx="5699125" cy="37636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99125" cy="3763645"/>
                    </a:xfrm>
                    <a:prstGeom prst="rect">
                      <a:avLst/>
                    </a:prstGeom>
                    <a:noFill/>
                    <a:ln>
                      <a:noFill/>
                    </a:ln>
                  </pic:spPr>
                </pic:pic>
              </a:graphicData>
            </a:graphic>
          </wp:inline>
        </w:drawing>
      </w:r>
      <w:bookmarkEnd w:id="6"/>
    </w:p>
    <w:p w14:paraId="4A623C58" w14:textId="7404B6D7" w:rsidR="002E47CF" w:rsidRPr="002E47CF" w:rsidRDefault="00475B71" w:rsidP="00551270">
      <w:pPr>
        <w:pStyle w:val="Caption"/>
        <w:jc w:val="center"/>
      </w:pPr>
      <w:bookmarkStart w:id="7" w:name="_Toc500949323"/>
      <w:r>
        <w:t xml:space="preserve">Figure </w:t>
      </w:r>
      <w:fldSimple w:instr=" SEQ Figure \* ARABIC ">
        <w:r w:rsidR="00C658DC">
          <w:rPr>
            <w:noProof/>
          </w:rPr>
          <w:t>3</w:t>
        </w:r>
      </w:fldSimple>
      <w:r>
        <w:t>: source:</w:t>
      </w:r>
      <w:r>
        <w:fldChar w:fldCharType="begin" w:fldLock="1"/>
      </w:r>
      <w:r>
        <w:instrText>ADDIN CSL_CITATION { "citationItems" : [ { "id" : "ITEM-1", "itemData" : { "author" : [ { "dropping-particle" : "", "family" : "REA", "given" : "", "non-dropping-particle" : "", "parse-names" : false, "suffix" : "" } ], "id" : "ITEM-1", "issue" : "2", "issued" : { "date-parts" : [ [ "2017" ] ] }, "number-of-pages" : "0-1", "title" : "Renewable Energy View 2017", "type" : "report", "volume" : "2" }, "uris" : [ "http://www.mendeley.com/documents/?uuid=0ad03c1d-b6cb-3ba8-bbb9-eda72093080b" ] } ], "mendeley" : { "formattedCitation" : "(REA, 2017)", "plainTextFormattedCitation" : "(REA, 2017)", "previouslyFormattedCitation" : "(REA, 2017)" }, "properties" : { "noteIndex" : 7 }, "schema" : "https://github.com/citation-style-language/schema/raw/master/csl-citation.json" }</w:instrText>
      </w:r>
      <w:r>
        <w:fldChar w:fldCharType="separate"/>
      </w:r>
      <w:r w:rsidRPr="00475B71">
        <w:rPr>
          <w:i w:val="0"/>
          <w:noProof/>
        </w:rPr>
        <w:t>(REA, 2017)</w:t>
      </w:r>
      <w:bookmarkEnd w:id="7"/>
      <w:r>
        <w:fldChar w:fldCharType="end"/>
      </w:r>
    </w:p>
    <w:p w14:paraId="183A0B5E" w14:textId="3AA4A624" w:rsidR="009E7A2F" w:rsidRDefault="00CD20DC" w:rsidP="009E7A2F">
      <w:pPr>
        <w:rPr>
          <w:rStyle w:val="Strong"/>
          <w:b w:val="0"/>
          <w:bCs w:val="0"/>
        </w:rPr>
      </w:pPr>
      <w:r>
        <w:t>Figure</w:t>
      </w:r>
      <w:r w:rsidR="00C2424D">
        <w:t xml:space="preserve"> 4</w:t>
      </w:r>
      <w:r>
        <w:t xml:space="preserve"> illustrates British progress towards its National Action Plan (NAP) adopted su</w:t>
      </w:r>
      <w:r w:rsidR="00BA6586">
        <w:t xml:space="preserve">bsequently to RED transposition; as the figure suggests, </w:t>
      </w:r>
      <w:r>
        <w:t>post 2009 inclination appears to h</w:t>
      </w:r>
      <w:r w:rsidR="00BA6586">
        <w:t>ave a steeper gradient</w:t>
      </w:r>
      <w:r w:rsidR="00A6258B">
        <w:t>, suggesting credits are due to REDs NAP incentive</w:t>
      </w:r>
      <w:r w:rsidR="00BA6586">
        <w:t>,</w:t>
      </w:r>
      <w:r w:rsidR="00A6258B">
        <w:t xml:space="preserve"> which if not adhered to </w:t>
      </w:r>
      <w:r w:rsidR="00A42979">
        <w:t>prompts</w:t>
      </w:r>
      <w:r w:rsidR="00BA6586">
        <w:t xml:space="preserve"> financial </w:t>
      </w:r>
      <w:r w:rsidR="00C658DC">
        <w:t>payments to made</w:t>
      </w:r>
      <w:r w:rsidR="009E7A2F">
        <w:t xml:space="preserve"> to the EU </w:t>
      </w:r>
      <w:r w:rsidR="009E7A2F">
        <w:fldChar w:fldCharType="begin" w:fldLock="1"/>
      </w:r>
      <w:r w:rsidR="00537744">
        <w:instrText>ADDIN CSL_CITATION { "citationItems" : [ { "id" : "ITEM-1", "itemData" : { "author" : [ { "dropping-particle" : "", "family" : "Brussels", "given" : "", "non-dropping-particle" : "", "parse-names" : false, "suffix" : "" } ], "container-title" : "COM", "id" : "ITEM-1", "issue" : "57", "issued" : { "date-parts" : [ [ "2017" ] ] }, "title" : "REPORT FROM THE COMMISSION TO THE EUROPEAN PARLIAMENT, THE COUNCIL, THE EUROPEAN ECONOMIC AND SOCIAL COMMITTEE AND THE COMMITTEE OF THE REGIONS Renewable Energy Progress Report", "type" : "article-journal", "volume" : "1" }, "uris" : [ "http://www.mendeley.com/documents/?uuid=ddead501-dd37-3270-86bc-17ba114095d1" ] }, { "id" : "ITEM-2", "itemData" : { "author" : [ { "dropping-particle" : "", "family" : "Wright", "given" : "Mp", "non-dropping-particle" : "", "parse-names" : false, "suffix" : "" }, { "dropping-particle" : "", "family" : "Labour", "given" : "", "non-dropping-particle" : "", "parse-names" : false, "suffix" : "" }, { "dropping-particle" : "", "family" : "Hartlepool", "given" : ")", "non-dropping-particle" : "", "parse-names" : false, "suffix" : "" }, { "dropping-particle" : "", "family" : "Chair", "given" : "Richard", "non-dropping-particle" : "", "parse-names" : false, "suffix" : "" }, { "dropping-particle" : "", "family" : "Fuller", "given" : "Mp", "non-dropping-particle" : "", "parse-names" : false, "suffix" : "" }, { "dropping-particle" : "", "family" : "Conservative", "given" : "", "non-dropping-particle" : "", "parse-names" : false, "suffix" : "" }, { "dropping-particle" : "", "family" : "Bedford", "given" : "Peter", "non-dropping-particle" : "", "parse-names" : false, "suffix" : "" }, { "dropping-particle" : "", "family" : "Kyle", "given" : "", "non-dropping-particle" : "", "parse-names" : false, "suffix" : "" } ], "id" : "ITEM-2", "issued" : { "date-parts" : [ [ "2017" ] ] }, "title" : "Leaving the EU: negotiation priorities for energy and climate change policy Fourth Report of Session 2016\u201317", "type" : "article-journal" }, "uris" : [ "http://www.mendeley.com/documents/?uuid=8cc8bf84-014a-3f1e-9e00-0932d7a32260" ] } ], "mendeley" : { "formattedCitation" : "(Brussels, 2017; Wright &lt;i&gt;et al.&lt;/i&gt;, 2017)", "plainTextFormattedCitation" : "(Brussels, 2017; Wright et al., 2017)", "previouslyFormattedCitation" : "(Brussels, 2017; Wright &lt;i&gt;et al.&lt;/i&gt;, 2017)" }, "properties" : { "noteIndex" : 8 }, "schema" : "https://github.com/citation-style-language/schema/raw/master/csl-citation.json" }</w:instrText>
      </w:r>
      <w:r w:rsidR="009E7A2F">
        <w:fldChar w:fldCharType="separate"/>
      </w:r>
      <w:r w:rsidR="009E7A2F" w:rsidRPr="009E7A2F">
        <w:rPr>
          <w:noProof/>
        </w:rPr>
        <w:t xml:space="preserve">(Brussels, 2017; Wright </w:t>
      </w:r>
      <w:r w:rsidR="009E7A2F" w:rsidRPr="009E7A2F">
        <w:rPr>
          <w:i/>
          <w:noProof/>
        </w:rPr>
        <w:t>et al.</w:t>
      </w:r>
      <w:r w:rsidR="009E7A2F" w:rsidRPr="009E7A2F">
        <w:rPr>
          <w:noProof/>
        </w:rPr>
        <w:t>, 2017)</w:t>
      </w:r>
      <w:r w:rsidR="009E7A2F">
        <w:fldChar w:fldCharType="end"/>
      </w:r>
      <w:r w:rsidR="009E7A2F">
        <w:t>.</w:t>
      </w:r>
    </w:p>
    <w:p w14:paraId="03AA2A55" w14:textId="0C3DDAA0" w:rsidR="00A42979" w:rsidRDefault="00C658DC" w:rsidP="00A42979">
      <w:pPr>
        <w:ind w:firstLine="0"/>
      </w:pPr>
      <w:r>
        <w:rPr>
          <w:noProof/>
          <w:lang w:eastAsia="en-GB"/>
        </w:rPr>
        <mc:AlternateContent>
          <mc:Choice Requires="wps">
            <w:drawing>
              <wp:anchor distT="0" distB="0" distL="114300" distR="114300" simplePos="0" relativeHeight="251650048" behindDoc="0" locked="0" layoutInCell="1" allowOverlap="1" wp14:anchorId="12A6918A" wp14:editId="24207981">
                <wp:simplePos x="0" y="0"/>
                <wp:positionH relativeFrom="page">
                  <wp:align>left</wp:align>
                </wp:positionH>
                <wp:positionV relativeFrom="paragraph">
                  <wp:posOffset>3467735</wp:posOffset>
                </wp:positionV>
                <wp:extent cx="4907915" cy="318770"/>
                <wp:effectExtent l="0" t="0" r="6985" b="5080"/>
                <wp:wrapSquare wrapText="bothSides"/>
                <wp:docPr id="7" name="Text Box 7"/>
                <wp:cNvGraphicFramePr/>
                <a:graphic xmlns:a="http://schemas.openxmlformats.org/drawingml/2006/main">
                  <a:graphicData uri="http://schemas.microsoft.com/office/word/2010/wordprocessingShape">
                    <wps:wsp>
                      <wps:cNvSpPr txBox="1"/>
                      <wps:spPr>
                        <a:xfrm>
                          <a:off x="0" y="0"/>
                          <a:ext cx="4907915" cy="318770"/>
                        </a:xfrm>
                        <a:prstGeom prst="rect">
                          <a:avLst/>
                        </a:prstGeom>
                        <a:solidFill>
                          <a:prstClr val="white"/>
                        </a:solidFill>
                        <a:ln>
                          <a:noFill/>
                        </a:ln>
                      </wps:spPr>
                      <wps:txbx>
                        <w:txbxContent>
                          <w:p w14:paraId="6A4EE4FB" w14:textId="379486D3" w:rsidR="00B725B9" w:rsidRDefault="00B725B9" w:rsidP="004A43B6">
                            <w:pPr>
                              <w:pStyle w:val="Caption"/>
                              <w:jc w:val="center"/>
                            </w:pPr>
                            <w:r>
                              <w:t xml:space="preserve">Figure </w:t>
                            </w:r>
                            <w:fldSimple w:instr=" SEQ Figure \* ARABIC ">
                              <w:r>
                                <w:rPr>
                                  <w:noProof/>
                                </w:rPr>
                                <w:t>4</w:t>
                              </w:r>
                            </w:fldSimple>
                            <w:r>
                              <w:t xml:space="preserve">: </w:t>
                            </w:r>
                            <w:bookmarkStart w:id="8" w:name="_Toc500949329"/>
                            <w:r>
                              <w:t xml:space="preserve">Share of renewables in gross final energy consumption, 2014-2020 </w:t>
                            </w:r>
                            <w:r>
                              <w:fldChar w:fldCharType="begin" w:fldLock="1"/>
                            </w:r>
                            <w:r>
                              <w:instrText>ADDIN CSL_CITATION { "citationItems" : [ { "id" : "ITEM-1", "itemData" : { "author" : [ { "dropping-particle" : "", "family" : "REA", "given" : "", "non-dropping-particle" : "", "parse-names" : false, "suffix" : "" } ], "id" : "ITEM-1", "issue" : "2", "issued" : { "date-parts" : [ [ "2017" ] ] }, "number-of-pages" : "0-1", "title" : "Renewable Energy View 2017", "type" : "report", "volume" : "2" }, "uris" : [ "http://www.mendeley.com/documents/?uuid=0ad03c1d-b6cb-3ba8-bbb9-eda72093080b" ] } ], "mendeley" : { "formattedCitation" : "(REA, 2017)", "plainTextFormattedCitation" : "(REA, 2017)", "previouslyFormattedCitation" : "(REA, 2017)" }, "properties" : { "noteIndex" : 14 }, "schema" : "https://github.com/citation-style-language/schema/raw/master/csl-citation.json" }</w:instrText>
                            </w:r>
                            <w:r>
                              <w:fldChar w:fldCharType="separate"/>
                            </w:r>
                            <w:r w:rsidRPr="00A87553">
                              <w:rPr>
                                <w:i w:val="0"/>
                                <w:noProof/>
                              </w:rPr>
                              <w:t>(REA, 2017)</w:t>
                            </w:r>
                            <w:bookmarkEnd w:id="8"/>
                            <w:r>
                              <w:fldChar w:fldCharType="end"/>
                            </w:r>
                          </w:p>
                          <w:p w14:paraId="4CB72E23" w14:textId="258E95B6" w:rsidR="00B725B9" w:rsidRPr="001E7064" w:rsidRDefault="00B725B9" w:rsidP="00CD20DC">
                            <w:pPr>
                              <w:pStyle w:val="Caption"/>
                              <w:rPr>
                                <w:b/>
                                <w:bCs/>
                                <w:sz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6918A" id="Text Box 7" o:spid="_x0000_s1027" type="#_x0000_t202" style="position:absolute;left:0;text-align:left;margin-left:0;margin-top:273.05pt;width:386.45pt;height:25.1pt;z-index:2516500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" stroked="f">
                <v:textbox inset="0,0,0,0">
                  <w:txbxContent>
                    <w:p w14:paraId="6A4EE4FB" w14:textId="379486D3" w:rsidR="00B725B9" w:rsidRDefault="00B725B9" w:rsidP="004A43B6">
                      <w:pPr>
                        <w:pStyle w:val="Caption"/>
                        <w:jc w:val="center"/>
                      </w:pPr>
                      <w:r>
                        <w:t xml:space="preserve">Figure </w:t>
                      </w:r>
                      <w:fldSimple w:instr=" SEQ Figure \* ARABIC ">
                        <w:r>
                          <w:rPr>
                            <w:noProof/>
                          </w:rPr>
                          <w:t>4</w:t>
                        </w:r>
                      </w:fldSimple>
                      <w:r>
                        <w:t xml:space="preserve">: </w:t>
                      </w:r>
                      <w:bookmarkStart w:id="9" w:name="_Toc500949329"/>
                      <w:r>
                        <w:t xml:space="preserve">Share of renewables in gross final energy consumption, 2014-2020 </w:t>
                      </w:r>
                      <w:r>
                        <w:fldChar w:fldCharType="begin" w:fldLock="1"/>
                      </w:r>
                      <w:r>
                        <w:instrText>ADDIN CSL_CITATION { "citationItems" : [ { "id" : "ITEM-1", "itemData" : { "author" : [ { "dropping-particle" : "", "family" : "REA", "given" : "", "non-dropping-particle" : "", "parse-names" : false, "suffix" : "" } ], "id" : "ITEM-1", "issue" : "2", "issued" : { "date-parts" : [ [ "2017" ] ] }, "number-of-pages" : "0-1", "title" : "Renewable Energy View 2017", "type" : "report", "volume" : "2" }, "uris" : [ "http://www.mendeley.com/documents/?uuid=0ad03c1d-b6cb-3ba8-bbb9-eda72093080b" ] } ], "mendeley" : { "formattedCitation" : "(REA, 2017)", "plainTextFormattedCitation" : "(REA, 2017)", "previouslyFormattedCitation" : "(REA, 2017)" }, "properties" : { "noteIndex" : 14 }, "schema" : "https://github.com/citation-style-language/schema/raw/master/csl-citation.json" }</w:instrText>
                      </w:r>
                      <w:r>
                        <w:fldChar w:fldCharType="separate"/>
                      </w:r>
                      <w:r w:rsidRPr="00A87553">
                        <w:rPr>
                          <w:i w:val="0"/>
                          <w:noProof/>
                        </w:rPr>
                        <w:t>(REA, 2017)</w:t>
                      </w:r>
                      <w:bookmarkEnd w:id="9"/>
                      <w:r>
                        <w:fldChar w:fldCharType="end"/>
                      </w:r>
                    </w:p>
                    <w:p w14:paraId="4CB72E23" w14:textId="258E95B6" w:rsidR="00B725B9" w:rsidRPr="001E7064" w:rsidRDefault="00B725B9" w:rsidP="00CD20DC">
                      <w:pPr>
                        <w:pStyle w:val="Caption"/>
                        <w:rPr>
                          <w:b/>
                          <w:bCs/>
                          <w:sz w:val="28"/>
                        </w:rPr>
                      </w:pPr>
                    </w:p>
                  </w:txbxContent>
                </v:textbox>
                <w10:wrap type="square" anchorx="page"/>
              </v:shape>
            </w:pict>
          </mc:Fallback>
        </mc:AlternateContent>
      </w:r>
      <w:r>
        <w:rPr>
          <w:noProof/>
        </w:rPr>
        <mc:AlternateContent>
          <mc:Choice Requires="wps">
            <w:drawing>
              <wp:anchor distT="0" distB="0" distL="114300" distR="114300" simplePos="0" relativeHeight="251763712" behindDoc="0" locked="0" layoutInCell="1" allowOverlap="1" wp14:anchorId="73EE2E8D" wp14:editId="7641D532">
                <wp:simplePos x="0" y="0"/>
                <wp:positionH relativeFrom="column">
                  <wp:posOffset>-492125</wp:posOffset>
                </wp:positionH>
                <wp:positionV relativeFrom="paragraph">
                  <wp:posOffset>7993380</wp:posOffset>
                </wp:positionV>
                <wp:extent cx="44577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wps:spPr>
                      <wps:txbx>
                        <w:txbxContent>
                          <w:p w14:paraId="3A0E9CAB" w14:textId="006810BC" w:rsidR="00B725B9" w:rsidRPr="00E8634C" w:rsidRDefault="00B725B9" w:rsidP="00C658DC">
                            <w:pPr>
                              <w:pStyle w:val="Caption"/>
                              <w:rPr>
                                <w:sz w:val="28"/>
                              </w:rPr>
                            </w:pPr>
                            <w:r>
                              <w:t xml:space="preserve">Figure </w:t>
                            </w:r>
                            <w:fldSimple w:instr=" SEQ Figure \* ARABIC ">
                              <w:r>
                                <w:rPr>
                                  <w:noProof/>
                                </w:rPr>
                                <w:t>5</w:t>
                              </w:r>
                            </w:fldSimple>
                            <w:r w:rsidRPr="00C658DC">
                              <w:t xml:space="preserve"> </w:t>
                            </w:r>
                            <w:r>
                              <w:t>Savings of greenhouse gas emissions by expanding renewables in the EU since 2005</w:t>
                            </w:r>
                            <w:r>
                              <w:rPr>
                                <w:noProof/>
                              </w:rPr>
                              <w:t xml:space="preserve"> (UWE Nestle,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EE2E8D" id="Text Box 12" o:spid="_x0000_s1028" type="#_x0000_t202" style="position:absolute;left:0;text-align:left;margin-left:-38.75pt;margin-top:629.4pt;width:351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" stroked="f">
                <v:textbox style="mso-fit-shape-to-text:t" inset="0,0,0,0">
                  <w:txbxContent>
                    <w:p w14:paraId="3A0E9CAB" w14:textId="006810BC" w:rsidR="00B725B9" w:rsidRPr="00E8634C" w:rsidRDefault="00B725B9" w:rsidP="00C658DC">
                      <w:pPr>
                        <w:pStyle w:val="Caption"/>
                        <w:rPr>
                          <w:sz w:val="28"/>
                        </w:rPr>
                      </w:pPr>
                      <w:r>
                        <w:t xml:space="preserve">Figure </w:t>
                      </w:r>
                      <w:fldSimple w:instr=" SEQ Figure \* ARABIC ">
                        <w:r>
                          <w:rPr>
                            <w:noProof/>
                          </w:rPr>
                          <w:t>5</w:t>
                        </w:r>
                      </w:fldSimple>
                      <w:r w:rsidRPr="00C658DC">
                        <w:t xml:space="preserve"> </w:t>
                      </w:r>
                      <w:r>
                        <w:t>Savings of greenhouse gas emissions by expanding renewables in the EU since 2005</w:t>
                      </w:r>
                      <w:r>
                        <w:rPr>
                          <w:noProof/>
                        </w:rPr>
                        <w:t xml:space="preserve"> (UWE Nestle, 2017)</w:t>
                      </w:r>
                    </w:p>
                  </w:txbxContent>
                </v:textbox>
                <w10:wrap type="square"/>
              </v:shape>
            </w:pict>
          </mc:Fallback>
        </mc:AlternateContent>
      </w:r>
      <w:r>
        <w:rPr>
          <w:noProof/>
          <w:lang w:eastAsia="en-GB"/>
        </w:rPr>
        <w:drawing>
          <wp:anchor distT="0" distB="0" distL="114300" distR="114300" simplePos="0" relativeHeight="251707392" behindDoc="0" locked="0" layoutInCell="1" allowOverlap="1" wp14:anchorId="5D4585BB" wp14:editId="55F79C73">
            <wp:simplePos x="0" y="0"/>
            <wp:positionH relativeFrom="margin">
              <wp:posOffset>-492125</wp:posOffset>
            </wp:positionH>
            <wp:positionV relativeFrom="paragraph">
              <wp:posOffset>4114800</wp:posOffset>
            </wp:positionV>
            <wp:extent cx="4457700" cy="382143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57700" cy="38214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38784" behindDoc="0" locked="0" layoutInCell="1" allowOverlap="1" wp14:anchorId="5D6748F6" wp14:editId="77B6B697">
            <wp:simplePos x="0" y="0"/>
            <wp:positionH relativeFrom="margin">
              <wp:posOffset>-725170</wp:posOffset>
            </wp:positionH>
            <wp:positionV relativeFrom="paragraph">
              <wp:posOffset>0</wp:posOffset>
            </wp:positionV>
            <wp:extent cx="4744085" cy="3441700"/>
            <wp:effectExtent l="0" t="0" r="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44085" cy="3441700"/>
                    </a:xfrm>
                    <a:prstGeom prst="rect">
                      <a:avLst/>
                    </a:prstGeom>
                    <a:noFill/>
                    <a:ln>
                      <a:noFill/>
                    </a:ln>
                  </pic:spPr>
                </pic:pic>
              </a:graphicData>
            </a:graphic>
            <wp14:sizeRelH relativeFrom="margin">
              <wp14:pctWidth>0</wp14:pctWidth>
            </wp14:sizeRelH>
          </wp:anchor>
        </w:drawing>
      </w:r>
      <w:r>
        <w:t>Figure 4 depicts share of renewables in gross final energy consumption (GFEC)</w:t>
      </w:r>
      <w:r w:rsidR="00A42979">
        <w:t xml:space="preserve"> </w:t>
      </w:r>
      <w:r>
        <w:t>between 2014 and prognostications for 2020 for the eu-28.</w:t>
      </w:r>
      <w:r w:rsidR="00A42979">
        <w:t xml:space="preserve"> A</w:t>
      </w:r>
      <w:r>
        <w:t xml:space="preserve">pparent from the figure, </w:t>
      </w:r>
      <w:r w:rsidR="00A42979">
        <w:t xml:space="preserve">is that </w:t>
      </w:r>
      <w:r>
        <w:t>the UK have not atta</w:t>
      </w:r>
      <w:r w:rsidR="00A42979">
        <w:t xml:space="preserve">ined sufficient RE percentage of the GFEC. </w:t>
      </w:r>
      <w:r w:rsidR="00551270">
        <w:t xml:space="preserve">Figure 2 depicts a histogram of </w:t>
      </w:r>
      <w:r w:rsidR="00A42979">
        <w:t>renewables in the UK;</w:t>
      </w:r>
      <w:r w:rsidR="009375B4">
        <w:t xml:space="preserve"> recognisable is the commonality between the growth inclinations of </w:t>
      </w:r>
      <w:r w:rsidR="00A42979">
        <w:t xml:space="preserve">figure 2 and 3, indicating RED to have </w:t>
      </w:r>
      <w:r w:rsidR="009375B4">
        <w:t>augmentat</w:t>
      </w:r>
      <w:r w:rsidR="003B7C72">
        <w:t>iv</w:t>
      </w:r>
      <w:r w:rsidR="00A42979">
        <w:t xml:space="preserve">e effects </w:t>
      </w:r>
      <w:r w:rsidR="00A42979">
        <w:rPr>
          <w:noProof/>
          <w:lang w:eastAsia="en-GB"/>
        </w:rPr>
        <w:drawing>
          <wp:anchor distT="0" distB="0" distL="114300" distR="114300" simplePos="0" relativeHeight="251752448" behindDoc="0" locked="0" layoutInCell="1" allowOverlap="1" wp14:anchorId="3D876C04" wp14:editId="4BE39CC7">
            <wp:simplePos x="0" y="0"/>
            <wp:positionH relativeFrom="margin">
              <wp:posOffset>-205929</wp:posOffset>
            </wp:positionH>
            <wp:positionV relativeFrom="paragraph">
              <wp:posOffset>262667</wp:posOffset>
            </wp:positionV>
            <wp:extent cx="6279515" cy="3767455"/>
            <wp:effectExtent l="0" t="0" r="6985" b="4445"/>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79515" cy="3767455"/>
                    </a:xfrm>
                    <a:prstGeom prst="rect">
                      <a:avLst/>
                    </a:prstGeom>
                    <a:noFill/>
                    <a:ln>
                      <a:noFill/>
                    </a:ln>
                  </pic:spPr>
                </pic:pic>
              </a:graphicData>
            </a:graphic>
          </wp:anchor>
        </w:drawing>
      </w:r>
      <w:r w:rsidR="00A42979">
        <w:t>on the UKs utilisation</w:t>
      </w:r>
      <w:r w:rsidR="003B7C72">
        <w:t xml:space="preserve"> of renewables.</w:t>
      </w:r>
    </w:p>
    <w:p w14:paraId="02D6A54D" w14:textId="1F765D30" w:rsidR="00A42979" w:rsidRDefault="00475B71" w:rsidP="00A42979">
      <w:pPr>
        <w:pStyle w:val="Caption"/>
        <w:keepNext/>
        <w:ind w:firstLine="0"/>
        <w:jc w:val="left"/>
      </w:pPr>
      <w:bookmarkStart w:id="10" w:name="_Toc500949325"/>
      <w:r>
        <w:t xml:space="preserve">Figure </w:t>
      </w:r>
      <w:fldSimple w:instr=" SEQ Figure \* ARABIC ">
        <w:r w:rsidR="00C658DC">
          <w:rPr>
            <w:noProof/>
          </w:rPr>
          <w:t>7</w:t>
        </w:r>
      </w:fldSimple>
      <w:r>
        <w:t xml:space="preserve">: source: </w:t>
      </w:r>
      <w:r>
        <w:fldChar w:fldCharType="begin" w:fldLock="1"/>
      </w:r>
      <w:r w:rsidR="002D7760">
        <w:instrText>ADDIN CSL_CITATION { "citationItems" : [ { "id" : "ITEM-1", "itemData" : { "author" : [ { "dropping-particle" : "", "family" : "REA", "given" : "", "non-dropping-particle" : "", "parse-names" : false, "suffix" : "" } ], "id" : "ITEM-1", "issue" : "2", "issued" : { "date-parts" : [ [ "2017" ] ] }, "number-of-pages" : "0-1", "title" : "Renewable Energy View 2017", "type" : "report", "volume" : "2" }, "uris" : [ "http://www.mendeley.com/documents/?uuid=0ad03c1d-b6cb-3ba8-bbb9-eda72093080b" ] } ], "mendeley" : { "formattedCitation" : "(REA, 2017)", "plainTextFormattedCitation" : "(REA, 2017)", "previouslyFormattedCitation" : "(REA, 2017)" }, "properties" : { "noteIndex" : 10 }, "schema" : "https://github.com/citation-style-language/schema/raw/master/csl-citation.json" }</w:instrText>
      </w:r>
      <w:r>
        <w:fldChar w:fldCharType="separate"/>
      </w:r>
      <w:r w:rsidRPr="00475B71">
        <w:rPr>
          <w:i w:val="0"/>
          <w:noProof/>
        </w:rPr>
        <w:t>(REA, 2017)</w:t>
      </w:r>
      <w:r>
        <w:fldChar w:fldCharType="end"/>
      </w:r>
      <w:bookmarkEnd w:id="10"/>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r w:rsidR="00A42979">
        <w:br/>
      </w:r>
      <w:bookmarkStart w:id="11" w:name="_Toc501110470"/>
    </w:p>
    <w:p w14:paraId="065C1F36" w14:textId="73CFB81A" w:rsidR="00276767" w:rsidRDefault="00D14C69" w:rsidP="00E602F1">
      <w:pPr>
        <w:pStyle w:val="Heading2"/>
        <w:ind w:firstLine="0"/>
      </w:pPr>
      <w:r>
        <w:t>2.3 Greenhouse Gas R</w:t>
      </w:r>
      <w:r w:rsidR="00276767">
        <w:t>eduction</w:t>
      </w:r>
      <w:bookmarkEnd w:id="11"/>
    </w:p>
    <w:p w14:paraId="1AAFCC9A" w14:textId="3781EF4C" w:rsidR="00E84C46" w:rsidRDefault="00A42979" w:rsidP="00276767">
      <w:pPr>
        <w:keepNext/>
      </w:pPr>
      <w:r>
        <w:t>Figure 4,</w:t>
      </w:r>
      <w:r w:rsidR="005C1775">
        <w:t xml:space="preserve"> sharing</w:t>
      </w:r>
      <w:r w:rsidR="008A4BC7">
        <w:t xml:space="preserve"> similar</w:t>
      </w:r>
      <w:r w:rsidR="005C1775">
        <w:t>ity with the formerly</w:t>
      </w:r>
      <w:r w:rsidR="00C2424D">
        <w:t xml:space="preserve"> depicted</w:t>
      </w:r>
      <w:r w:rsidR="00E84C46">
        <w:t xml:space="preserve"> diagrams</w:t>
      </w:r>
      <w:r w:rsidR="00C2424D">
        <w:t xml:space="preserve"> in terms of post 2009 inclination gradient, </w:t>
      </w:r>
      <w:r w:rsidR="00E84C46">
        <w:t>congruently reflects the impacts of inter alia</w:t>
      </w:r>
      <w:r>
        <w:t>,</w:t>
      </w:r>
      <w:r w:rsidR="00E84C46">
        <w:t xml:space="preserve"> REDs impact upon the historical reduction of GHG emissions, particularly pertaini</w:t>
      </w:r>
      <w:r>
        <w:t>ng</w:t>
      </w:r>
      <w:r w:rsidR="00E84C46">
        <w:t xml:space="preserve"> CO</w:t>
      </w:r>
      <w:r w:rsidR="00E84C46" w:rsidRPr="00E84C46">
        <w:rPr>
          <w:vertAlign w:val="subscript"/>
        </w:rPr>
        <w:t>2</w:t>
      </w:r>
      <w:r w:rsidR="00E84C46">
        <w:t>.</w:t>
      </w:r>
    </w:p>
    <w:p w14:paraId="23D8FFD9" w14:textId="08C0E9D4" w:rsidR="00A87553" w:rsidRPr="00276767" w:rsidRDefault="008C2DE4" w:rsidP="00276767">
      <w:pPr>
        <w:keepNext/>
        <w:rPr>
          <w:rFonts w:asciiTheme="majorHAnsi" w:eastAsiaTheme="majorEastAsia" w:hAnsiTheme="majorHAnsi" w:cstheme="majorBidi"/>
          <w:color w:val="000000" w:themeColor="text1"/>
          <w:sz w:val="26"/>
          <w:szCs w:val="26"/>
        </w:rPr>
      </w:pPr>
      <w:r>
        <w:rPr>
          <w:noProof/>
          <w:lang w:eastAsia="en-GB"/>
        </w:rPr>
        <w:drawing>
          <wp:anchor distT="0" distB="0" distL="114300" distR="114300" simplePos="0" relativeHeight="251770880" behindDoc="0" locked="0" layoutInCell="1" allowOverlap="1" wp14:anchorId="13AB2BB6" wp14:editId="3B6D690C">
            <wp:simplePos x="0" y="0"/>
            <wp:positionH relativeFrom="margin">
              <wp:align>center</wp:align>
            </wp:positionH>
            <wp:positionV relativeFrom="paragraph">
              <wp:posOffset>408305</wp:posOffset>
            </wp:positionV>
            <wp:extent cx="5727700" cy="4218305"/>
            <wp:effectExtent l="0" t="0" r="635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4218305"/>
                    </a:xfrm>
                    <a:prstGeom prst="rect">
                      <a:avLst/>
                    </a:prstGeom>
                    <a:noFill/>
                    <a:ln>
                      <a:noFill/>
                    </a:ln>
                  </pic:spPr>
                </pic:pic>
              </a:graphicData>
            </a:graphic>
          </wp:anchor>
        </w:drawing>
      </w:r>
    </w:p>
    <w:p w14:paraId="7F9E86C2" w14:textId="7E39483B" w:rsidR="00A87553" w:rsidRDefault="00A87553" w:rsidP="008C2DE4">
      <w:pPr>
        <w:pStyle w:val="Caption"/>
        <w:jc w:val="center"/>
      </w:pPr>
      <w:bookmarkStart w:id="12" w:name="_Toc500949327"/>
      <w:r>
        <w:t xml:space="preserve">Figure </w:t>
      </w:r>
      <w:fldSimple w:instr=" SEQ Figure \* ARABIC ">
        <w:r w:rsidR="00C658DC">
          <w:rPr>
            <w:noProof/>
          </w:rPr>
          <w:t>8</w:t>
        </w:r>
      </w:fldSimple>
      <w:r>
        <w:t xml:space="preserve">: UK GHG emissions against legislated budgets and 2050 </w:t>
      </w:r>
      <w:r>
        <w:fldChar w:fldCharType="begin" w:fldLock="1"/>
      </w:r>
      <w:r w:rsidR="00073E42">
        <w:instrText>ADDIN CSL_CITATION { "citationItems" : [ { "id" : "ITEM-1", "itemData" : { "author" : [ { "dropping-particle" : "", "family" : "Fischer", "given" : "Severin", "non-dropping-particle" : "", "parse-names" : false, "suffix" : "" }, { "dropping-particle" : "", "family" : "Geden", "given" : "Oliver", "non-dropping-particle" : "", "parse-names" : false, "suffix" : "" } ], "id" : "ITEM-1", "issued" : { "date-parts" : [ [ "2017" ] ] }, "title" : "Brexit: Impacts on Europe's Energy and Climate Policy", "type" : "article-journal" }, "uris" : [ "http://www.mendeley.com/documents/?uuid=dea48e09-108e-3b18-a097-8575f56f4886" ] } ], "mendeley" : { "formattedCitation" : "(Fischer and Geden, 2017)", "plainTextFormattedCitation" : "(Fischer and Geden, 2017)", "previouslyFormattedCitation" : "(Fischer and Geden, 2017)" }, "properties" : { "noteIndex" : 13 }, "schema" : "https://github.com/citation-style-language/schema/raw/master/csl-citation.json" }</w:instrText>
      </w:r>
      <w:r>
        <w:fldChar w:fldCharType="separate"/>
      </w:r>
      <w:bookmarkEnd w:id="12"/>
      <w:r w:rsidR="004A43B6" w:rsidRPr="004A43B6">
        <w:rPr>
          <w:i w:val="0"/>
          <w:noProof/>
        </w:rPr>
        <w:t>(Fischer and Geden, 2017)</w:t>
      </w:r>
      <w:r>
        <w:fldChar w:fldCharType="end"/>
      </w:r>
    </w:p>
    <w:p w14:paraId="4F0F3CA9" w14:textId="77777777" w:rsidR="00276767" w:rsidRDefault="00276767" w:rsidP="00276767">
      <w:pPr>
        <w:pStyle w:val="Caption"/>
        <w:keepNext/>
      </w:pPr>
      <w:r>
        <w:rPr>
          <w:noProof/>
          <w:lang w:eastAsia="en-GB"/>
        </w:rPr>
        <w:lastRenderedPageBreak/>
        <w:drawing>
          <wp:anchor distT="0" distB="0" distL="114300" distR="114300" simplePos="0" relativeHeight="251778048" behindDoc="0" locked="0" layoutInCell="1" allowOverlap="1" wp14:anchorId="0EDF3F41" wp14:editId="582FAC53">
            <wp:simplePos x="0" y="0"/>
            <wp:positionH relativeFrom="margin">
              <wp:align>left</wp:align>
            </wp:positionH>
            <wp:positionV relativeFrom="paragraph">
              <wp:posOffset>323850</wp:posOffset>
            </wp:positionV>
            <wp:extent cx="5624830" cy="3710940"/>
            <wp:effectExtent l="0" t="0" r="0" b="381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24830" cy="3710940"/>
                    </a:xfrm>
                    <a:prstGeom prst="rect">
                      <a:avLst/>
                    </a:prstGeom>
                    <a:noFill/>
                    <a:ln>
                      <a:noFill/>
                    </a:ln>
                  </pic:spPr>
                </pic:pic>
              </a:graphicData>
            </a:graphic>
          </wp:anchor>
        </w:drawing>
      </w:r>
    </w:p>
    <w:p w14:paraId="1696FF28" w14:textId="04331F88" w:rsidR="00276767" w:rsidRDefault="00276767" w:rsidP="008C2DE4">
      <w:pPr>
        <w:pStyle w:val="Caption"/>
        <w:jc w:val="center"/>
      </w:pPr>
      <w:bookmarkStart w:id="13" w:name="_Toc500949326"/>
      <w:r>
        <w:t xml:space="preserve">Figure </w:t>
      </w:r>
      <w:fldSimple w:instr=" SEQ Figure \* ARABIC ">
        <w:r w:rsidR="00C658DC">
          <w:rPr>
            <w:noProof/>
          </w:rPr>
          <w:t>9</w:t>
        </w:r>
      </w:fldSimple>
      <w:r>
        <w:t xml:space="preserve">: source: </w:t>
      </w:r>
      <w:r>
        <w:fldChar w:fldCharType="begin" w:fldLock="1"/>
      </w:r>
      <w:r>
        <w:instrText>ADDIN CSL_CITATION { "citationItems" : [ { "id" : "ITEM-1", "itemData" : { "author" : [ { "dropping-particle" : "", "family" : "REA", "given" : "", "non-dropping-particle" : "", "parse-names" : false, "suffix" : "" } ], "id" : "ITEM-1", "issue" : "2", "issued" : { "date-parts" : [ [ "2017" ] ] }, "number-of-pages" : "0-1", "title" : "Renewable Energy View 2017", "type" : "report", "volume" : "2" }, "uris" : [ "http://www.mendeley.com/documents/?uuid=0ad03c1d-b6cb-3ba8-bbb9-eda72093080b" ] } ], "mendeley" : { "formattedCitation" : "(REA, 2017)", "plainTextFormattedCitation" : "(REA, 2017)", "previouslyFormattedCitation" : "(REA, 2017)" }, "properties" : { "noteIndex" : 10 }, "schema" : "https://github.com/citation-style-language/schema/raw/master/csl-citation.json" }</w:instrText>
      </w:r>
      <w:r>
        <w:fldChar w:fldCharType="separate"/>
      </w:r>
      <w:r w:rsidRPr="002D7760">
        <w:rPr>
          <w:i w:val="0"/>
          <w:noProof/>
        </w:rPr>
        <w:t>(REA, 2017)</w:t>
      </w:r>
      <w:bookmarkEnd w:id="13"/>
      <w:r>
        <w:fldChar w:fldCharType="end"/>
      </w:r>
    </w:p>
    <w:p w14:paraId="322FA09F" w14:textId="6302AB84" w:rsidR="00276767" w:rsidRDefault="004237C2" w:rsidP="00A42979">
      <w:r>
        <w:t>“</w:t>
      </w:r>
      <w:r w:rsidRPr="004237C2">
        <w:t xml:space="preserve"> </w:t>
      </w:r>
      <w:r>
        <w:t>10 % minimum target to be achieved by all Member States for the share of biofuels in transport petrol and diesel consumption by 2020</w:t>
      </w:r>
      <w:r>
        <w:t xml:space="preserve">“ </w:t>
      </w:r>
      <w:r>
        <w:fldChar w:fldCharType="begin" w:fldLock="1"/>
      </w:r>
      <w:r>
        <w:instrText>ADDIN CSL_CITATION { "citationItems" : [ { "id" : "ITEM-1", "itemData" : { "author" : [ { "dropping-particle" : "", "family" : "European Union", "given" : "", "non-dropping-particle" : "", "parse-names" : false, "suffix" : "" } ], "id" : "ITEM-1", "issued" : { "date-parts" : [ [ "2009" ] ] }, "title" : "DIRECTIVE 2009/28/EC OF THE EUROPEAN PARLIAMENT AND OF THE COUNCIL", "type" : "report" }, "uris" : [ "http://www.mendeley.com/documents/?uuid=4bafa713-3133-3d3e-864c-b313f85124fb" ] } ], "mendeley" : { "formattedCitation" : "(European Union, 2009)", "plainTextFormattedCitation" : "(European Union, 2009)" }, "properties" : { "noteIndex" : 12 }, "schema" : "https://github.com/citation-style-language/schema/raw/master/csl-citation.json" }</w:instrText>
      </w:r>
      <w:r>
        <w:fldChar w:fldCharType="separate"/>
      </w:r>
      <w:r w:rsidRPr="004237C2">
        <w:rPr>
          <w:noProof/>
        </w:rPr>
        <w:t>(European Union, 2009)</w:t>
      </w:r>
      <w:r>
        <w:fldChar w:fldCharType="end"/>
      </w:r>
      <w:r>
        <w:t xml:space="preserve">; </w:t>
      </w:r>
      <w:r w:rsidR="00276767">
        <w:t xml:space="preserve">“The RED incentivises the use of non-food and land biomass resources by awarding them with financial credits and assigning them a zero greenhouse gas (GHG) ‘cost’” </w:t>
      </w:r>
      <w:r w:rsidR="00276767">
        <w:fldChar w:fldCharType="begin" w:fldLock="1"/>
      </w:r>
      <w:r w:rsidR="006B3FE2">
        <w:instrText>ADDIN CSL_CITATION { "citationItems" : [ { "id" : "ITEM-1", "itemData" : { "DOI" : "10.1016/j.apenergy.2014.01.091", "abstract" : "There is a high uncertainty in the range of possible GHG implications of removing straw. GHG emission savings for bioethanol from wheat straw are 21\u201358% compared to gasoline. GHG implications of straw removal can reduce the GHG savings. The GHG benefits of straw removal for bioethanol production exceed benefits from incorporation. Further research is required to understand SOC losses due to straw removal. a b s t r a c t The Renewable Energy Directive (RED) specifies that biomass feedstocks must be sustainable and are not directly implicated with conversion of areas of high carbon stock and biodiversity. There are concerns that first generation biofuels from food-based crops will lead to negative indirect impacts on food prices and place pressure on agricultural land. The RED incentivises the use of non-food and land biomass resources by awarding them with financial credits and assigning them a zero greenhouse gas (GHG) 'cost'. This paper questions whether there are any GHG implications with straw removal from soil that should be accounted for in the life cycle assessment (LCA) of straw-based bioethanol. Emission savings of 21\u201358% are calculated for straw\u2013bioethanol compared to conventional fossil fuels. The direct GHG implications of straw removal from soil are highly dependent on assumptions on the changes in soil organic carbon (SOC) experienced during straw removal, as well as replacing nutrients removed in straw. The results show that these impacts have the potential to reduce the GHG emission savings to \u00c0133%. If straw was alternatively incorporated into the soil, this could sequester between 0.58 and 2.24 tonnes CO 2 eq./ha, whereas substitution of fossil fuels would avoid 0.46 and 1.16 tonnes CO 2 eq./ha, although the full accountable benefit of straw removal is questionable as it is easily reversible. Understanding the full implications of straw removal on GHG emissions relies on further research on residue removal limita-tions, the impact that losses of SOC has on soil quality, as well as determining whether straw will be acquired from increased removal from soil or displacement from existing markets.", "author" : [ { "dropping-particle" : "", "family" : "Whittaker", "given" : "Carly", "non-dropping-particle" : "", "parse-names" : false, "suffix" : "" }, { "dropping-particle" : "", "family" : "Borrion", "given" : "Aiduan Li", "non-dropping-particle" : "", "parse-names" : false, "suffix" : "" }, { "dropping-particle" : "", "family" : "Newnes", "given" : "Linda", "non-dropping-particle" : "", "parse-names" : false, "suffix" : "" }, { "dropping-particle" : "", "family" : "Mcmanus", "given" : "Marcelle", "non-dropping-particle" : "", "parse-names" : false, "suffix" : "" } ], "container-title" : "Applied Energy", "id" : "ITEM-1", "issued" : { "date-parts" : [ [ "2014" ] ] }, "page" : "207-215", "title" : "The renewable energy directive and cereal residues", "type" : "article-journal", "volume" : "122" }, "uris" : [ "http://www.mendeley.com/documents/?uuid=21a9cab9-816e-3faa-99a0-fea2db1ecdd1" ] } ], "mendeley" : { "formattedCitation" : "(Whittaker &lt;i&gt;et al.&lt;/i&gt;, 2014)", "plainTextFormattedCitation" : "(Whittaker et al., 2014)", "previouslyFormattedCitation" : "(Whittaker &lt;i&gt;et al.&lt;/i&gt;, 2014)" }, "properties" : { "noteIndex" : 14 }, "schema" : "https://github.com/citation-style-language/schema/raw/master/csl-citation.json" }</w:instrText>
      </w:r>
      <w:r w:rsidR="00276767">
        <w:fldChar w:fldCharType="separate"/>
      </w:r>
      <w:r w:rsidR="00276767" w:rsidRPr="00276767">
        <w:rPr>
          <w:noProof/>
        </w:rPr>
        <w:t>(Whittake</w:t>
      </w:r>
      <w:r w:rsidR="00276767" w:rsidRPr="00276767">
        <w:rPr>
          <w:i/>
          <w:noProof/>
        </w:rPr>
        <w:t>r et al</w:t>
      </w:r>
      <w:r w:rsidR="00276767">
        <w:rPr>
          <w:noProof/>
        </w:rPr>
        <w:t>.</w:t>
      </w:r>
      <w:r w:rsidR="00276767" w:rsidRPr="00276767">
        <w:rPr>
          <w:noProof/>
        </w:rPr>
        <w:t>, 2014)</w:t>
      </w:r>
      <w:r w:rsidR="00276767">
        <w:fldChar w:fldCharType="end"/>
      </w:r>
      <w:r w:rsidR="00276767">
        <w:t>; th</w:t>
      </w:r>
      <w:r>
        <w:t>is is</w:t>
      </w:r>
      <w:r w:rsidR="00E84C46">
        <w:t xml:space="preserve"> reflected in figure 8 by biomasses’ disproportionately superior growth </w:t>
      </w:r>
      <w:r>
        <w:t xml:space="preserve">pattern </w:t>
      </w:r>
      <w:r w:rsidR="00E84C46">
        <w:t xml:space="preserve">compared to the adjacent categories. </w:t>
      </w:r>
      <w:r w:rsidR="006E0BCB">
        <w:t xml:space="preserve">Not innately </w:t>
      </w:r>
      <w:r w:rsidR="00E84C46">
        <w:t xml:space="preserve">renewable, biomass is hypothesised to be of a GHG neutral nature albeit this statement too, is debateable </w:t>
      </w:r>
      <w:r w:rsidR="00E84C46">
        <w:fldChar w:fldCharType="begin" w:fldLock="1"/>
      </w:r>
      <w:r w:rsidR="004E57E8">
        <w:instrText>ADDIN CSL_CITATION { "citationItems" : [ { "id" : "ITEM-1", "itemData" : { "DOI" : "10.1016/j.rser.2014.07.087", "ISBN" : "1364-0321", "ISSN" : "13640321", "abstract" : "Electricity and heat generation are key contributors to global emissions of greenhouse gases (GHG). In this paper, specific attention is paid to renewable energy technologies (RETs) for electricity and heat generation and reviews current understanding and estimates of life cycle GHG emissions from a range of renewable electricity and heat generation technologies. Comprehensive literature reviews for each RET were carried out. The 79 studies reviewed involved the life cycle assessment (LCA) of renewable electricity and heat generation based on onshore and offshore winds, hydropower, marine technologies (wave power and tidal energy), geothermal, photovoltaic (PV), solar thermal, biomass, waste, and heat pumps. The study demonstrates the variability of existing LCA studies (results) in tracking GHG emissions for electricity and heat generation from RETs. This review has shown that the lowest GHG emissions were associated with offshore wind technologies (mean life cycle GHG emissions could be 5.3-13 g CO2 eq/kWh). Results compared with GHG estimates by fossil fuel heat and electricity indicated that life cycle GHG emissions are comparatively higher in conventional sources as compared to renewable sources with the exception of nuclear-based power electricity generation. In this present study, considering renewable energy sources, waste treatment and dedicated biomass technologies (DBTs) were found to potentially have high GHG emissions based on the feedstock, selected boundary and the inputs required for their production. The study identifies additional impacts associated with renewable electricity and heat technologies, points out the effectiveness of life cycle analysis (LCA) as a tool for assessing environmental impacts of renewable energy sources and concludes with opportunities for improvement in the future. \u00a9 2014 Elsevier Ltd.", "author" : [ { "dropping-particle" : "", "family" : "Amponsah", "given" : "Nana Yaw", "non-dropping-particle" : "", "parse-names" : false, "suffix" : "" }, { "dropping-particle" : "", "family" : "Troldborg", "given" : "Mads", "non-dropping-particle" : "", "parse-names" : false, "suffix" : "" }, { "dropping-particle" : "", "family" : "Kington", "given" : "Bethany", "non-dropping-particle" : "", "parse-names" : false, "suffix" : "" }, { "dropping-particle" : "", "family" : "Aalders", "given" : "Inge", "non-dropping-particle" : "", "parse-names" : false, "suffix" : "" }, { "dropping-particle" : "", "family" : "Hough", "given" : "Rupert Lloyd", "non-dropping-particle" : "", "parse-names" : false, "suffix" : "" } ], "container-title" : "Renewable and Sustainable Energy Reviews", "id" : "ITEM-1", "issued" : { "date-parts" : [ [ "2014" ] ] }, "title" : "Greenhouse gas emissions from renewable energy sources: A review of lifecycle considerations", "type" : "article" }, "uris" : [ "http://www.mendeley.com/documents/?uuid=7e05c2a1-93ae-31c9-94c4-cb2eafc9a1f3" ] } ], "mendeley" : { "formattedCitation" : "(Amponsah &lt;i&gt;et al.&lt;/i&gt;, 2014)", "plainTextFormattedCitation" : "(Amponsah et al., 2014)", "previouslyFormattedCitation" : "(Amponsah &lt;i&gt;et al.&lt;/i&gt;, 2014)" }, "properties" : { "noteIndex" : 13 }, "schema" : "https://github.com/citation-style-language/schema/raw/master/csl-citation.json" }</w:instrText>
      </w:r>
      <w:r w:rsidR="00E84C46">
        <w:fldChar w:fldCharType="separate"/>
      </w:r>
      <w:r w:rsidR="00E84C46" w:rsidRPr="00E84C46">
        <w:rPr>
          <w:noProof/>
        </w:rPr>
        <w:t xml:space="preserve">(Amponsah </w:t>
      </w:r>
      <w:r w:rsidR="00E84C46" w:rsidRPr="00E84C46">
        <w:rPr>
          <w:i/>
          <w:noProof/>
        </w:rPr>
        <w:t>et al.</w:t>
      </w:r>
      <w:r w:rsidR="00E84C46" w:rsidRPr="00E84C46">
        <w:rPr>
          <w:noProof/>
        </w:rPr>
        <w:t>, 2014)</w:t>
      </w:r>
      <w:r w:rsidR="00E84C46">
        <w:fldChar w:fldCharType="end"/>
      </w:r>
      <w:r w:rsidR="00E84C46">
        <w:t>,</w:t>
      </w:r>
      <w:r w:rsidR="006E0BCB">
        <w:t xml:space="preserve"> and further elaborated </w:t>
      </w:r>
      <w:r w:rsidR="004E57E8">
        <w:t>in C</w:t>
      </w:r>
      <w:r w:rsidR="00E84C46">
        <w:t xml:space="preserve">hapter 4.3. </w:t>
      </w:r>
    </w:p>
    <w:p w14:paraId="3BE2A2E1" w14:textId="77777777" w:rsidR="00EE4852" w:rsidRDefault="00EE4852" w:rsidP="00EE4852">
      <w:pPr>
        <w:keepNext/>
      </w:pPr>
      <w:r>
        <w:rPr>
          <w:noProof/>
          <w:lang w:eastAsia="en-GB"/>
        </w:rPr>
        <w:lastRenderedPageBreak/>
        <w:drawing>
          <wp:anchor distT="0" distB="0" distL="114300" distR="114300" simplePos="0" relativeHeight="251696128" behindDoc="0" locked="0" layoutInCell="1" allowOverlap="1" wp14:anchorId="26DA482A" wp14:editId="7EF39378">
            <wp:simplePos x="0" y="0"/>
            <wp:positionH relativeFrom="margin">
              <wp:posOffset>0</wp:posOffset>
            </wp:positionH>
            <wp:positionV relativeFrom="paragraph">
              <wp:posOffset>255181</wp:posOffset>
            </wp:positionV>
            <wp:extent cx="5760720" cy="484632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60720" cy="4846320"/>
                    </a:xfrm>
                    <a:prstGeom prst="rect">
                      <a:avLst/>
                    </a:prstGeom>
                    <a:noFill/>
                    <a:ln>
                      <a:noFill/>
                    </a:ln>
                  </pic:spPr>
                </pic:pic>
              </a:graphicData>
            </a:graphic>
          </wp:anchor>
        </w:drawing>
      </w:r>
    </w:p>
    <w:p w14:paraId="00C754AF" w14:textId="73EA2AC6" w:rsidR="00B01286" w:rsidRDefault="00EE4852" w:rsidP="008C2DE4">
      <w:pPr>
        <w:pStyle w:val="Caption"/>
        <w:jc w:val="center"/>
      </w:pPr>
      <w:bookmarkStart w:id="14" w:name="_Toc500949328"/>
      <w:r>
        <w:t xml:space="preserve">Figure </w:t>
      </w:r>
      <w:fldSimple w:instr=" SEQ Figure \* ARABIC ">
        <w:r w:rsidR="00C658DC">
          <w:rPr>
            <w:noProof/>
          </w:rPr>
          <w:t>10</w:t>
        </w:r>
      </w:fldSimple>
      <w:r>
        <w:t>: UK past and projected future emissions compared to the Cl</w:t>
      </w:r>
      <w:r w:rsidR="00390EC3">
        <w:t>imate Change Act carbon budgets</w:t>
      </w:r>
      <w:r w:rsidR="005654C0">
        <w:t xml:space="preserve"> </w:t>
      </w:r>
      <w:r w:rsidR="005654C0">
        <w:fldChar w:fldCharType="begin" w:fldLock="1"/>
      </w:r>
      <w:r w:rsidR="006B4DB1">
        <w:instrText>ADDIN CSL_CITATION { "citationItems" : [ { "id" : "ITEM-1", "itemData" : { "DOI" : "10.1093/oxrep/grx004", "abstract" : "Brexit creates challenges and opportunities for UK and EU climate policy. Without replace-ment policies for existing EU policies, the UK may not meet its domestic carbon budgets. Membership of the EU ETS, application of energy efficiency directives and renewables targets, and the maintenance of innovation funding are the key issues at stake for the UK. Brexit may also impact the ambition and shape of EU climate policy and the direction of future climate agreements.", "author" : [ { "dropping-particle" : "", "family" : "Hepburn", "given" : "Cameron", "non-dropping-particle" : "", "parse-names" : false, "suffix" : "" }, { "dropping-particle" : "", "family" : "Teytelboym", "given" : "Alexander", "non-dropping-particle" : "", "parse-names" : false, "suffix" : "" } ], "container-title" : "Oxford Review of Economic Policy", "id" : "ITEM-1", "issue" : "1", "issued" : { "date-parts" : [ [ "2017" ] ] }, "page" : "S144\u2013S154 Climate", "title" : "Climate change policy after Brexit", "type" : "article-journal", "volume" : "33" }, "uris" : [ "http://www.mendeley.com/documents/?uuid=831b54eb-6289-3bbb-95ff-da30e6e930bd" ] } ], "mendeley" : { "formattedCitation" : "(Hepburn and Teytelboym, 2017)", "plainTextFormattedCitation" : "(Hepburn and Teytelboym, 2017)", "previouslyFormattedCitation" : "(Hepburn and Teytelboym, 2017)" }, "properties" : { "noteIndex" : 14 }, "schema" : "https://github.com/citation-style-language/schema/raw/master/csl-citation.json" }</w:instrText>
      </w:r>
      <w:r w:rsidR="005654C0">
        <w:fldChar w:fldCharType="separate"/>
      </w:r>
      <w:r w:rsidR="005654C0" w:rsidRPr="005654C0">
        <w:rPr>
          <w:i w:val="0"/>
          <w:noProof/>
        </w:rPr>
        <w:t>(Hepburn and Teytelboym, 2017)</w:t>
      </w:r>
      <w:bookmarkEnd w:id="14"/>
      <w:r w:rsidR="005654C0">
        <w:fldChar w:fldCharType="end"/>
      </w:r>
    </w:p>
    <w:p w14:paraId="4C729210" w14:textId="79C1D207" w:rsidR="004E57E8" w:rsidRPr="004E57E8" w:rsidRDefault="004E57E8" w:rsidP="004E57E8">
      <w:r>
        <w:t>Figure 10 depicts prognostications for annual e</w:t>
      </w:r>
      <w:r w:rsidR="004237C2">
        <w:t xml:space="preserve">missions towards 2050, this is exempting </w:t>
      </w:r>
      <w:r>
        <w:t>RED and suggests that the UK, if parted f</w:t>
      </w:r>
      <w:r w:rsidR="004237C2">
        <w:t>rom the directive</w:t>
      </w:r>
      <w:r>
        <w:t xml:space="preserve">, will still maintain focus on renewables and alternate means of GHG mitigation </w:t>
      </w:r>
      <w:r>
        <w:fldChar w:fldCharType="begin" w:fldLock="1"/>
      </w:r>
      <w:r w:rsidR="00FE43EB">
        <w:instrText>ADDIN CSL_CITATION { "citationItems" : [ { "id" : "ITEM-1", "itemData" : { "DOI" : "10.1093/oxrep/grx004", "abstract" : "Brexit creates challenges and opportunities for UK and EU climate policy. Without replace-ment policies for existing EU policies, the UK may not meet its domestic carbon budgets. Membership of the EU ETS, application of energy efficiency directives and renewables targets, and the maintenance of innovation funding are the key issues at stake for the UK. Brexit may also impact the ambition and shape of EU climate policy and the direction of future climate agreements.", "author" : [ { "dropping-particle" : "", "family" : "Hepburn", "given" : "Cameron", "non-dropping-particle" : "", "parse-names" : false, "suffix" : "" }, { "dropping-particle" : "", "family" : "Teytelboym", "given" : "Alexander", "non-dropping-particle" : "", "parse-names" : false, "suffix" : "" } ], "container-title" : "Oxford Review of Economic Policy", "id" : "ITEM-1", "issue" : "1", "issued" : { "date-parts" : [ [ "2017" ] ] }, "page" : "S144\u2013S154 Climate", "title" : "Climate change policy after Brexit", "type" : "article-journal", "volume" : "33" }, "uris" : [ "http://www.mendeley.com/documents/?uuid=831b54eb-6289-3bbb-95ff-da30e6e930bd" ] } ], "mendeley" : { "formattedCitation" : "(Hepburn and Teytelboym, 2017)", "plainTextFormattedCitation" : "(Hepburn and Teytelboym, 2017)", "previouslyFormattedCitation" : "(Hepburn and Teytelboym, 2017)" }, "properties" : { "noteIndex" : 14 }, "schema" : "https://github.com/citation-style-language/schema/raw/master/csl-citation.json" }</w:instrText>
      </w:r>
      <w:r>
        <w:fldChar w:fldCharType="separate"/>
      </w:r>
      <w:r w:rsidRPr="004E57E8">
        <w:rPr>
          <w:noProof/>
        </w:rPr>
        <w:t>(Hepburn and Teytelboym, 2017)</w:t>
      </w:r>
      <w:r>
        <w:fldChar w:fldCharType="end"/>
      </w:r>
      <w:r>
        <w:t xml:space="preserve">. </w:t>
      </w:r>
    </w:p>
    <w:p w14:paraId="782415FF" w14:textId="6FCAF91D" w:rsidR="00D72A41" w:rsidRDefault="006263C2" w:rsidP="00B16C84">
      <w:pPr>
        <w:pStyle w:val="Heading1"/>
        <w:numPr>
          <w:ilvl w:val="0"/>
          <w:numId w:val="1"/>
        </w:numPr>
      </w:pPr>
      <w:bookmarkStart w:id="15" w:name="_Toc501110471"/>
      <w:r>
        <w:lastRenderedPageBreak/>
        <w:t xml:space="preserve">British Renewable </w:t>
      </w:r>
      <w:r w:rsidR="00CC2250">
        <w:t>Energy</w:t>
      </w:r>
      <w:r>
        <w:t xml:space="preserve"> </w:t>
      </w:r>
      <w:r w:rsidR="00902E32">
        <w:t>Policy</w:t>
      </w:r>
      <w:r>
        <w:t xml:space="preserve"> post-Brexit</w:t>
      </w:r>
      <w:bookmarkEnd w:id="15"/>
      <w:r>
        <w:t xml:space="preserve"> </w:t>
      </w:r>
    </w:p>
    <w:p w14:paraId="33034A4C" w14:textId="4BA4A652" w:rsidR="00073E42" w:rsidRDefault="00E32AD5" w:rsidP="00073E42">
      <w:pPr>
        <w:pStyle w:val="Heading2"/>
        <w:ind w:left="720" w:hanging="210"/>
        <w:jc w:val="left"/>
      </w:pPr>
      <w:bookmarkStart w:id="16" w:name="_Toc501110472"/>
      <w:r>
        <w:rPr>
          <w:noProof/>
          <w:lang w:eastAsia="en-GB"/>
        </w:rPr>
        <w:drawing>
          <wp:anchor distT="0" distB="0" distL="114300" distR="114300" simplePos="0" relativeHeight="251547648" behindDoc="0" locked="0" layoutInCell="1" allowOverlap="1" wp14:anchorId="5BFB70D7" wp14:editId="086DDF75">
            <wp:simplePos x="0" y="0"/>
            <wp:positionH relativeFrom="margin">
              <wp:align>center</wp:align>
            </wp:positionH>
            <wp:positionV relativeFrom="paragraph">
              <wp:posOffset>309048</wp:posOffset>
            </wp:positionV>
            <wp:extent cx="5330825" cy="5227320"/>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30825" cy="5227320"/>
                    </a:xfrm>
                    <a:prstGeom prst="rect">
                      <a:avLst/>
                    </a:prstGeom>
                    <a:noFill/>
                    <a:ln>
                      <a:noFill/>
                    </a:ln>
                  </pic:spPr>
                </pic:pic>
              </a:graphicData>
            </a:graphic>
          </wp:anchor>
        </w:drawing>
      </w:r>
      <w:r w:rsidR="00D21B37">
        <w:rPr>
          <w:noProof/>
          <w:lang w:eastAsia="en-GB"/>
        </w:rPr>
        <w:drawing>
          <wp:anchor distT="0" distB="0" distL="114300" distR="114300" simplePos="0" relativeHeight="251737088" behindDoc="1" locked="0" layoutInCell="1" allowOverlap="1" wp14:anchorId="42B165E2" wp14:editId="42B2AF9D">
            <wp:simplePos x="0" y="0"/>
            <wp:positionH relativeFrom="margin">
              <wp:posOffset>43246</wp:posOffset>
            </wp:positionH>
            <wp:positionV relativeFrom="page">
              <wp:posOffset>7283384</wp:posOffset>
            </wp:positionV>
            <wp:extent cx="5723890" cy="1496060"/>
            <wp:effectExtent l="0" t="0" r="0"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7">
                      <a:extLst>
                        <a:ext uri="{28A0092B-C50C-407E-A947-70E740481C1C}">
                          <a14:useLocalDpi xmlns:a14="http://schemas.microsoft.com/office/drawing/2010/main" val="0"/>
                        </a:ext>
                      </a:extLst>
                    </a:blip>
                    <a:srcRect l="598" t="9465" r="29978" b="11098"/>
                    <a:stretch/>
                  </pic:blipFill>
                  <pic:spPr bwMode="auto">
                    <a:xfrm>
                      <a:off x="0" y="0"/>
                      <a:ext cx="5723890" cy="1496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73E42">
        <w:rPr>
          <w:noProof/>
          <w:lang w:eastAsia="en-GB"/>
        </w:rPr>
        <mc:AlternateContent>
          <mc:Choice Requires="wps">
            <w:drawing>
              <wp:anchor distT="0" distB="0" distL="114300" distR="114300" simplePos="0" relativeHeight="251627520" behindDoc="0" locked="0" layoutInCell="1" allowOverlap="1" wp14:anchorId="00D9CCB2" wp14:editId="3B051B5B">
                <wp:simplePos x="0" y="0"/>
                <wp:positionH relativeFrom="margin">
                  <wp:align>center</wp:align>
                </wp:positionH>
                <wp:positionV relativeFrom="paragraph">
                  <wp:posOffset>7712326</wp:posOffset>
                </wp:positionV>
                <wp:extent cx="6829425" cy="635"/>
                <wp:effectExtent l="0" t="0" r="9525" b="635"/>
                <wp:wrapSquare wrapText="bothSides"/>
                <wp:docPr id="4" name="Text Box 4"/>
                <wp:cNvGraphicFramePr/>
                <a:graphic xmlns:a="http://schemas.openxmlformats.org/drawingml/2006/main">
                  <a:graphicData uri="http://schemas.microsoft.com/office/word/2010/wordprocessingShape">
                    <wps:wsp>
                      <wps:cNvSpPr txBox="1"/>
                      <wps:spPr>
                        <a:xfrm>
                          <a:off x="0" y="0"/>
                          <a:ext cx="6829425" cy="635"/>
                        </a:xfrm>
                        <a:prstGeom prst="rect">
                          <a:avLst/>
                        </a:prstGeom>
                        <a:solidFill>
                          <a:prstClr val="white"/>
                        </a:solidFill>
                        <a:ln>
                          <a:noFill/>
                        </a:ln>
                      </wps:spPr>
                      <wps:txbx>
                        <w:txbxContent>
                          <w:p w14:paraId="1F882050" w14:textId="4DA81274" w:rsidR="00B725B9" w:rsidRDefault="00B725B9" w:rsidP="001B3C0C">
                            <w:pPr>
                              <w:pStyle w:val="Caption"/>
                              <w:jc w:val="center"/>
                            </w:pPr>
                            <w:r>
                              <w:t xml:space="preserve">Figure </w:t>
                            </w:r>
                            <w:bookmarkStart w:id="17" w:name="_Toc500949334"/>
                            <w:r>
                              <w:t xml:space="preserve">14: Implications of various scenarios related to the EU referendum </w:t>
                            </w:r>
                            <w:bookmarkEnd w:id="17"/>
                            <w:r>
                              <w:t xml:space="preserve"> </w:t>
                            </w:r>
                            <w:r>
                              <w:fldChar w:fldCharType="begin" w:fldLock="1"/>
                            </w:r>
                            <w:r>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"mendeley" : { "formattedCitation" : "(Lockwood &lt;i&gt;et al.&lt;/i&gt;, 2017)", "plainTextFormattedCitation" : "(Lockwood et al., 2017)", "previouslyFormattedCitation" : "(Lockwood &lt;i&gt;et al.&lt;/i&gt;, 2017)" }, "properties" : { "noteIndex" : 17 }, "schema" : "https://github.com/citation-style-language/schema/raw/master/csl-citation.json" }</w:instrText>
                            </w:r>
                            <w:r>
                              <w:fldChar w:fldCharType="separate"/>
                            </w:r>
                            <w:r w:rsidRPr="00537744">
                              <w:rPr>
                                <w:noProof/>
                              </w:rPr>
                              <w:t xml:space="preserve">(Lockwood </w:t>
                            </w:r>
                            <w:r w:rsidRPr="00537744">
                              <w:rPr>
                                <w:i w:val="0"/>
                                <w:noProof/>
                              </w:rPr>
                              <w:t>et al.</w:t>
                            </w:r>
                            <w:r w:rsidRPr="00537744">
                              <w:rPr>
                                <w:noProof/>
                              </w:rPr>
                              <w:t>, 2017)</w:t>
                            </w:r>
                            <w:r>
                              <w:fldChar w:fldCharType="end"/>
                            </w:r>
                          </w:p>
                          <w:p w14:paraId="2A896CFE" w14:textId="382FABA1" w:rsidR="00B725B9" w:rsidRPr="00B37E25" w:rsidRDefault="00B725B9" w:rsidP="00E761DC">
                            <w:pPr>
                              <w:pStyle w:val="Caption"/>
                              <w:rPr>
                                <w:color w:val="000000" w:themeColor="text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9CCB2" id="Text Box 4" o:spid="_x0000_s1029" type="#_x0000_t202" style="position:absolute;left:0;text-align:left;margin-left:0;margin-top:607.25pt;width:537.75pt;height:.05pt;z-index:2516275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uUjLwIAAGQEAAAOAAAAZHJzL2Uyb0RvYy54bWysVMFu2zAMvQ/YPwi6L06yNOi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" stroked="f">
                <v:textbox style="mso-fit-shape-to-text:t" inset="0,0,0,0">
                  <w:txbxContent>
                    <w:p w14:paraId="1F882050" w14:textId="4DA81274" w:rsidR="00B725B9" w:rsidRDefault="00B725B9" w:rsidP="001B3C0C">
                      <w:pPr>
                        <w:pStyle w:val="Caption"/>
                        <w:jc w:val="center"/>
                      </w:pPr>
                      <w:r>
                        <w:t xml:space="preserve">Figure </w:t>
                      </w:r>
                      <w:bookmarkStart w:id="18" w:name="_Toc500949334"/>
                      <w:r>
                        <w:t xml:space="preserve">14: Implications of various scenarios related to the EU referendum </w:t>
                      </w:r>
                      <w:bookmarkEnd w:id="18"/>
                      <w:r>
                        <w:t xml:space="preserve"> </w:t>
                      </w:r>
                      <w:r>
                        <w:fldChar w:fldCharType="begin" w:fldLock="1"/>
                      </w:r>
                      <w:r>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"mendeley" : { "formattedCitation" : "(Lockwood &lt;i&gt;et al.&lt;/i&gt;, 2017)", "plainTextFormattedCitation" : "(Lockwood et al., 2017)", "previouslyFormattedCitation" : "(Lockwood &lt;i&gt;et al.&lt;/i&gt;, 2017)" }, "properties" : { "noteIndex" : 17 }, "schema" : "https://github.com/citation-style-language/schema/raw/master/csl-citation.json" }</w:instrText>
                      </w:r>
                      <w:r>
                        <w:fldChar w:fldCharType="separate"/>
                      </w:r>
                      <w:r w:rsidRPr="00537744">
                        <w:rPr>
                          <w:noProof/>
                        </w:rPr>
                        <w:t xml:space="preserve">(Lockwood </w:t>
                      </w:r>
                      <w:r w:rsidRPr="00537744">
                        <w:rPr>
                          <w:i w:val="0"/>
                          <w:noProof/>
                        </w:rPr>
                        <w:t>et al.</w:t>
                      </w:r>
                      <w:r w:rsidRPr="00537744">
                        <w:rPr>
                          <w:noProof/>
                        </w:rPr>
                        <w:t>, 2017)</w:t>
                      </w:r>
                      <w:r>
                        <w:fldChar w:fldCharType="end"/>
                      </w:r>
                    </w:p>
                    <w:p w14:paraId="2A896CFE" w14:textId="382FABA1" w:rsidR="00B725B9" w:rsidRPr="00B37E25" w:rsidRDefault="00B725B9" w:rsidP="00E761DC">
                      <w:pPr>
                        <w:pStyle w:val="Caption"/>
                        <w:rPr>
                          <w:color w:val="000000" w:themeColor="text1"/>
                        </w:rPr>
                      </w:pPr>
                    </w:p>
                  </w:txbxContent>
                </v:textbox>
                <w10:wrap type="square" anchorx="margin"/>
              </v:shape>
            </w:pict>
          </mc:Fallback>
        </mc:AlternateContent>
      </w:r>
      <w:r w:rsidR="00E761DC">
        <w:rPr>
          <w:noProof/>
          <w:lang w:eastAsia="en-GB"/>
        </w:rPr>
        <mc:AlternateContent>
          <mc:Choice Requires="wps">
            <w:drawing>
              <wp:anchor distT="0" distB="0" distL="114300" distR="114300" simplePos="0" relativeHeight="251620352" behindDoc="0" locked="0" layoutInCell="1" allowOverlap="1" wp14:anchorId="6DA1D4D4" wp14:editId="4EAB8B7B">
                <wp:simplePos x="0" y="0"/>
                <wp:positionH relativeFrom="margin">
                  <wp:align>left</wp:align>
                </wp:positionH>
                <wp:positionV relativeFrom="paragraph">
                  <wp:posOffset>5664097</wp:posOffset>
                </wp:positionV>
                <wp:extent cx="5330825" cy="635"/>
                <wp:effectExtent l="0" t="0" r="3175" b="6350"/>
                <wp:wrapSquare wrapText="bothSides"/>
                <wp:docPr id="3" name="Text Box 3"/>
                <wp:cNvGraphicFramePr/>
                <a:graphic xmlns:a="http://schemas.openxmlformats.org/drawingml/2006/main">
                  <a:graphicData uri="http://schemas.microsoft.com/office/word/2010/wordprocessingShape">
                    <wps:wsp>
                      <wps:cNvSpPr txBox="1"/>
                      <wps:spPr>
                        <a:xfrm>
                          <a:off x="0" y="0"/>
                          <a:ext cx="5330825" cy="635"/>
                        </a:xfrm>
                        <a:prstGeom prst="rect">
                          <a:avLst/>
                        </a:prstGeom>
                        <a:solidFill>
                          <a:prstClr val="white"/>
                        </a:solidFill>
                        <a:ln>
                          <a:noFill/>
                        </a:ln>
                      </wps:spPr>
                      <wps:txbx>
                        <w:txbxContent>
                          <w:p w14:paraId="007F1D40" w14:textId="7849CE75" w:rsidR="00B725B9" w:rsidRPr="00C021FE" w:rsidRDefault="00B725B9" w:rsidP="00C021FE">
                            <w:pPr>
                              <w:pStyle w:val="Caption"/>
                              <w:spacing w:line="360" w:lineRule="auto"/>
                            </w:pPr>
                            <w:r>
                              <w:t xml:space="preserve">Figure </w:t>
                            </w:r>
                            <w:bookmarkStart w:id="19" w:name="_Toc500949330"/>
                            <w:r>
                              <w:t>13:  Implication of various scenarios related to the EU referendum (Baldock et.al, 2016)</w:t>
                            </w:r>
                            <w:bookmarkEnd w:id="19"/>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1D4D4" id="Text Box 3" o:spid="_x0000_s1030" type="#_x0000_t202" style="position:absolute;left:0;text-align:left;margin-left:0;margin-top:446pt;width:419.75pt;height:.05pt;z-index:2516203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" stroked="f">
                <v:textbox style="mso-fit-shape-to-text:t" inset="0,0,0,0">
                  <w:txbxContent>
                    <w:p w14:paraId="007F1D40" w14:textId="7849CE75" w:rsidR="00B725B9" w:rsidRPr="00C021FE" w:rsidRDefault="00B725B9" w:rsidP="00C021FE">
                      <w:pPr>
                        <w:pStyle w:val="Caption"/>
                        <w:spacing w:line="360" w:lineRule="auto"/>
                      </w:pPr>
                      <w:r>
                        <w:t xml:space="preserve">Figure </w:t>
                      </w:r>
                      <w:bookmarkStart w:id="20" w:name="_Toc500949330"/>
                      <w:r>
                        <w:t>13:  Implication of various scenarios related to the EU referendum (Baldock et.al, 2016)</w:t>
                      </w:r>
                      <w:bookmarkEnd w:id="20"/>
                      <w:r>
                        <w:t xml:space="preserve"> </w:t>
                      </w:r>
                    </w:p>
                  </w:txbxContent>
                </v:textbox>
                <w10:wrap type="square" anchorx="margin"/>
              </v:shape>
            </w:pict>
          </mc:Fallback>
        </mc:AlternateContent>
      </w:r>
      <w:r w:rsidR="00A95976">
        <w:t>4.</w:t>
      </w:r>
      <w:r w:rsidR="000C07E4">
        <w:t>1 M</w:t>
      </w:r>
      <w:r w:rsidR="00243C74">
        <w:t>odalities</w:t>
      </w:r>
      <w:r w:rsidR="000C07E4">
        <w:t xml:space="preserve"> of Brexit</w:t>
      </w:r>
      <w:bookmarkEnd w:id="16"/>
      <w:r w:rsidR="00073E42">
        <w:br/>
      </w:r>
    </w:p>
    <w:p w14:paraId="6335B1A0" w14:textId="70AFDD92" w:rsidR="00001407" w:rsidRDefault="00001407" w:rsidP="00001407">
      <w:pPr>
        <w:pStyle w:val="Heading3"/>
      </w:pPr>
      <w:bookmarkStart w:id="21" w:name="_Toc501110473"/>
      <w:r>
        <w:t>4.1.1 ‘Hard’ Brexit</w:t>
      </w:r>
      <w:bookmarkEnd w:id="21"/>
    </w:p>
    <w:p w14:paraId="69A88362" w14:textId="20D336AA" w:rsidR="00317CFE" w:rsidRDefault="003B7C72" w:rsidP="00317CFE">
      <w:r>
        <w:lastRenderedPageBreak/>
        <w:t>A hard Brexit,</w:t>
      </w:r>
      <w:r w:rsidR="006E2F2C">
        <w:t xml:space="preserve"> as illustrated in figures 13 and 14, implies a total ce</w:t>
      </w:r>
      <w:r w:rsidR="00D21B37">
        <w:t>ssation from the EUs core elements</w:t>
      </w:r>
      <w:r w:rsidR="006E2F2C">
        <w:t xml:space="preserve"> e.g. the single market. As the UK meets all of the EUs </w:t>
      </w:r>
      <w:r w:rsidR="00CC154F">
        <w:t xml:space="preserve">legislative </w:t>
      </w:r>
      <w:r w:rsidR="006E2F2C">
        <w:t xml:space="preserve">requirements, economic attrition </w:t>
      </w:r>
      <w:r w:rsidR="00CC154F">
        <w:t>by the EU</w:t>
      </w:r>
      <w:r w:rsidR="006E2F2C">
        <w:t xml:space="preserve"> would be </w:t>
      </w:r>
      <w:r w:rsidR="00CC154F">
        <w:t xml:space="preserve">financially illogical. </w:t>
      </w:r>
      <w:r w:rsidR="008C0EAA">
        <w:t xml:space="preserve">This would omit the UK from the EUs full spectrum economically interventionist regulations, </w:t>
      </w:r>
      <w:r w:rsidR="00BA6586">
        <w:t>permitting Britain</w:t>
      </w:r>
      <w:r w:rsidR="008C0EAA">
        <w:t xml:space="preserve"> to allocate its GDP where it is best fit for purpose </w:t>
      </w:r>
      <w:r w:rsidR="008C0EAA">
        <w:fldChar w:fldCharType="begin" w:fldLock="1"/>
      </w:r>
      <w:r w:rsidR="00027295">
        <w:instrText>ADDIN CSL_CITATION { "citationItems" : [ { "id" : "ITEM-1", "itemData" : { "DOI" : "10.1111/ecaf.12248", "ISSN" : "02650665", "author" : [ { "dropping-particle" : "", "family" : "Minford", "given" : "Patrick", "non-dropping-particle" : "", "parse-names" : false, "suffix" : "" }, { "dropping-particle" : "", "family" : "Pryce", "given" : "Vicky", "non-dropping-particle" : "", "parse-names" : false, "suffix" : "" } ], "container-title" : "Economic Affairs", "id" : "ITEM-1", "issue" : "3", "issued" : { "date-parts" : [ [ "2017", "10", "1" ] ] }, "page" : "422-427", "title" : "The Prospects for Brexit: Two Views", "type" : "article-journal", "volume" : "37" }, "uris" : [ "http://www.mendeley.com/documents/?uuid=5d28f7a1-9e51-3e7a-8be4-79cdc905a221" ] } ], "mendeley" : { "formattedCitation" : "(Minford and Pryce, 2017)", "plainTextFormattedCitation" : "(Minford and Pryce, 2017)", "previouslyFormattedCitation" : "(Minford and Pryce, 2017)" }, "properties" : { "noteIndex" : 18 }, "schema" : "https://github.com/citation-style-language/schema/raw/master/csl-citation.json" }</w:instrText>
      </w:r>
      <w:r w:rsidR="008C0EAA">
        <w:fldChar w:fldCharType="separate"/>
      </w:r>
      <w:r w:rsidR="008C0EAA" w:rsidRPr="008C0EAA">
        <w:rPr>
          <w:noProof/>
        </w:rPr>
        <w:t>(Minford and Pryce, 2017)</w:t>
      </w:r>
      <w:r w:rsidR="008C0EAA">
        <w:fldChar w:fldCharType="end"/>
      </w:r>
      <w:r w:rsidR="008C0EAA">
        <w:t>.</w:t>
      </w:r>
      <w:r w:rsidR="00537744">
        <w:t xml:space="preserve"> </w:t>
      </w:r>
    </w:p>
    <w:p w14:paraId="1DDA4B9A" w14:textId="6F3512C2" w:rsidR="00F72063" w:rsidRDefault="00F72063" w:rsidP="00F72063">
      <w:pPr>
        <w:pStyle w:val="Heading3"/>
      </w:pPr>
      <w:bookmarkStart w:id="22" w:name="_Toc501110474"/>
      <w:r>
        <w:t>4.1.2 ‘Soft’ Brexit</w:t>
      </w:r>
      <w:bookmarkEnd w:id="22"/>
    </w:p>
    <w:p w14:paraId="27033B24" w14:textId="1C9FD8DC" w:rsidR="001B3C0C" w:rsidRDefault="00BA6586" w:rsidP="004324EB">
      <w:pPr>
        <w:rPr>
          <w:noProof/>
        </w:rPr>
      </w:pPr>
      <w:r>
        <w:t xml:space="preserve">A ‘soft’ Brexit proposes </w:t>
      </w:r>
      <w:r w:rsidR="00027295">
        <w:t>departing</w:t>
      </w:r>
      <w:r>
        <w:t xml:space="preserve"> </w:t>
      </w:r>
      <w:r w:rsidR="00027295">
        <w:t>terms to be in line with</w:t>
      </w:r>
      <w:r>
        <w:t xml:space="preserve"> narratives similar to those of the widely debated Norwegian or Swiss models</w:t>
      </w:r>
      <w:r w:rsidR="004324EB">
        <w:t xml:space="preserve"> e.g. EEA </w:t>
      </w:r>
      <w:r w:rsidR="00B725B9">
        <w:t xml:space="preserve">or EFTA </w:t>
      </w:r>
      <w:r w:rsidR="004324EB">
        <w:t>membership</w:t>
      </w:r>
      <w:r w:rsidR="004237C2">
        <w:t xml:space="preserve"> respectively</w:t>
      </w:r>
      <w:r w:rsidR="00027295">
        <w:t xml:space="preserve"> </w:t>
      </w:r>
      <w:r w:rsidR="00027295">
        <w:fldChar w:fldCharType="begin" w:fldLock="1"/>
      </w:r>
      <w:r w:rsidR="004324EB">
        <w:instrText>ADDIN CSL_CITATION { "citationItems" : [ { "id" : "ITEM-1", "itemData" : { "DOI" : "https://doi.org/10.1017/S2047102517000279", "abstract" : "Brexit is likely to have a significant impact on the environment. In the current article I argue against seeing the traffic as all one-way. While there was a temptation for the advocates of staying in the European Union (EU), in the context of referendum campaigning, to portray the United Kingdom (UK) as a laggard pressured into positive environmental performance by the EU as leader, the reality is that the UK has also strengthened the EU's environmental policy in some areas and seen its own weakened in others. Influence in both directions has also varied over time. The article goes on to consider core 'Leave' arguments around sovereignty and 'taking back control', exploring the implications of these in the specific context of environmental governance. In discussing subsidiarity, it concludes that leaving the EU will not remove the need for the pooling of some sovereignty over environmental matters at international level and, in the context of devolution, at UK level.", "author" : [ { "dropping-particle" : "", "family" : "Hilson", "given" : "Chris", "non-dropping-particle" : "", "parse-names" : false, "suffix" : "" } ], "container-title" : "Transnational Environmental Law", "id" : "ITEM-1", "issued" : { "date-parts" : [ [ "2017" ] ] }, "title" : "The Impact of Brexit on the Environment: Exploring the Dynamics of a Complex Relationship", "type" : "article-journal", "volume" : "1-25." }, "uris" : [ "http://www.mendeley.com/documents/?uuid=e4bf3d62-ac11-316f-8453-fdb95e53c9ab" ] } ], "mendeley" : { "formattedCitation" : "(Hilson, 2017)", "plainTextFormattedCitation" : "(Hilson, 2017)", "previouslyFormattedCitation" : "(Hilson, 2017)" }, "properties" : { "noteIndex" : 17 }, "schema" : "https://github.com/citation-style-language/schema/raw/master/csl-citation.json" }</w:instrText>
      </w:r>
      <w:r w:rsidR="00027295">
        <w:fldChar w:fldCharType="separate"/>
      </w:r>
      <w:r w:rsidR="00027295" w:rsidRPr="00027295">
        <w:rPr>
          <w:noProof/>
        </w:rPr>
        <w:t>(Hilson, 2017)</w:t>
      </w:r>
      <w:r w:rsidR="00027295">
        <w:fldChar w:fldCharType="end"/>
      </w:r>
      <w:r w:rsidR="00027295">
        <w:t xml:space="preserve">. </w:t>
      </w:r>
      <w:r w:rsidR="004324EB">
        <w:t>“</w:t>
      </w:r>
      <w:r w:rsidR="004324EB">
        <w:rPr>
          <w:noProof/>
        </w:rPr>
        <w:t xml:space="preserve">This </w:t>
      </w:r>
      <w:r w:rsidR="00317CFE">
        <w:t>leaves the status quo as unchanged as possible and so leaves in place all the current advantages</w:t>
      </w:r>
      <w:r w:rsidR="001B3C0C">
        <w:t xml:space="preserve"> </w:t>
      </w:r>
      <w:r w:rsidR="00317CFE">
        <w:t xml:space="preserve">enjoyed by certain </w:t>
      </w:r>
      <w:r w:rsidR="001B3C0C">
        <w:t xml:space="preserve">UK producers as a result of the </w:t>
      </w:r>
      <w:r w:rsidR="00317CFE">
        <w:t>European Union’s protectionist trade policies in</w:t>
      </w:r>
      <w:r w:rsidR="001B3C0C">
        <w:t xml:space="preserve"> </w:t>
      </w:r>
      <w:r w:rsidR="00317CFE">
        <w:t>respect of food and manufacturing</w:t>
      </w:r>
      <w:r w:rsidR="004324EB">
        <w:t xml:space="preserve">, </w:t>
      </w:r>
      <w:r w:rsidR="00317CFE">
        <w:t>and its</w:t>
      </w:r>
      <w:r w:rsidR="001B3C0C">
        <w:t xml:space="preserve"> </w:t>
      </w:r>
      <w:r w:rsidR="00317CFE">
        <w:t>insistence that all EU nationals should be free to migrate anywhere in the EU</w:t>
      </w:r>
      <w:r w:rsidR="004324EB">
        <w:t xml:space="preserve">” </w:t>
      </w:r>
      <w:r w:rsidR="004324EB">
        <w:fldChar w:fldCharType="begin" w:fldLock="1"/>
      </w:r>
      <w:r w:rsidR="004C06EA">
        <w:instrText>ADDIN CSL_CITATION { "citationItems" : [ { "id" : "ITEM-1", "itemData" : { "DOI" : "10.1111/ecaf.12248", "ISSN" : "02650665", "author" : [ { "dropping-particle" : "", "family" : "Minford", "given" : "Patrick", "non-dropping-particle" : "", "parse-names" : false, "suffix" : "" }, { "dropping-particle" : "", "family" : "Pryce", "given" : "Vicky", "non-dropping-particle" : "", "parse-names" : false, "suffix" : "" } ], "container-title" : "Economic Affairs", "id" : "ITEM-1", "issue" : "3", "issued" : { "date-parts" : [ [ "2017", "10", "1" ] ] }, "page" : "422-427", "title" : "The Prospects for Brexit: Two Views", "type" : "article-journal", "volume" : "37" }, "uris" : [ "http://www.mendeley.com/documents/?uuid=5d28f7a1-9e51-3e7a-8be4-79cdc905a221" ] } ], "mendeley" : { "formattedCitation" : "(Minford and Pryce, 2017)", "plainTextFormattedCitation" : "(Minford and Pryce, 2017)", "previouslyFormattedCitation" : "(Minford and Pryce, 2017)" }, "properties" : { "noteIndex" : 17 }, "schema" : "https://github.com/citation-style-language/schema/raw/master/csl-citation.json" }</w:instrText>
      </w:r>
      <w:r w:rsidR="004324EB">
        <w:fldChar w:fldCharType="separate"/>
      </w:r>
      <w:r w:rsidR="004324EB" w:rsidRPr="004324EB">
        <w:rPr>
          <w:noProof/>
        </w:rPr>
        <w:t>(Minford and Pryce, 2017)</w:t>
      </w:r>
      <w:r w:rsidR="004324EB">
        <w:fldChar w:fldCharType="end"/>
      </w:r>
      <w:r w:rsidR="00317CFE">
        <w:t>.</w:t>
      </w:r>
      <w:r w:rsidR="001B3C0C">
        <w:t xml:space="preserve"> </w:t>
      </w:r>
    </w:p>
    <w:p w14:paraId="1CFAAF0F" w14:textId="223A611E" w:rsidR="004324EB" w:rsidRDefault="004324EB" w:rsidP="004324EB">
      <w:pPr>
        <w:pStyle w:val="Heading3"/>
      </w:pPr>
      <w:bookmarkStart w:id="23" w:name="_Toc501110475"/>
      <w:r>
        <w:t xml:space="preserve">4.1.3 </w:t>
      </w:r>
      <w:r w:rsidR="005C1775">
        <w:t>Sectoral Carve-out</w:t>
      </w:r>
      <w:r w:rsidR="00CD655B">
        <w:t xml:space="preserve"> and multilateral agreements</w:t>
      </w:r>
      <w:bookmarkEnd w:id="23"/>
    </w:p>
    <w:p w14:paraId="0EDA9F8E" w14:textId="041CE44C" w:rsidR="004324EB" w:rsidRPr="004324EB" w:rsidRDefault="004324EB" w:rsidP="004324EB">
      <w:r>
        <w:t xml:space="preserve">Sectoral carve-out as specified in figure 14 pertains </w:t>
      </w:r>
      <w:r w:rsidR="00537744">
        <w:t xml:space="preserve">a sector-by-sector agreement as opposed to a holistic single market membership. This would imply a narrative where membership provides influence over electricity integration (including market coupling), and being a rule-taker in electricity whilst omitting the remaining parts of the single market and freedom of movement </w:t>
      </w:r>
      <w:r w:rsidR="00537744">
        <w:fldChar w:fldCharType="begin" w:fldLock="1"/>
      </w:r>
      <w:r w:rsidR="005C1775">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"mendeley" : { "formattedCitation" : "(Lockwood &lt;i&gt;et al.&lt;/i&gt;, 2017)", "plainTextFormattedCitation" : "(Lockwood et al., 2017)", "previouslyFormattedCitation" : "(Lockwood &lt;i&gt;et al.&lt;/i&gt;, 2017)" }, "properties" : { "noteIndex" : 17 }, "schema" : "https://github.com/citation-style-language/schema/raw/master/csl-citation.json" }</w:instrText>
      </w:r>
      <w:r w:rsidR="00537744">
        <w:fldChar w:fldCharType="separate"/>
      </w:r>
      <w:r w:rsidR="00537744" w:rsidRPr="00537744">
        <w:rPr>
          <w:noProof/>
        </w:rPr>
        <w:t xml:space="preserve">(Lockwood </w:t>
      </w:r>
      <w:r w:rsidR="00537744" w:rsidRPr="00537744">
        <w:rPr>
          <w:i/>
          <w:noProof/>
        </w:rPr>
        <w:t>et al.</w:t>
      </w:r>
      <w:r w:rsidR="00537744" w:rsidRPr="00537744">
        <w:rPr>
          <w:noProof/>
        </w:rPr>
        <w:t>, 2017)</w:t>
      </w:r>
      <w:r w:rsidR="00537744">
        <w:fldChar w:fldCharType="end"/>
      </w:r>
      <w:r w:rsidR="00537744">
        <w:t>. This option, with regards to renewable energy, appear</w:t>
      </w:r>
      <w:r w:rsidR="005C1775">
        <w:t>s</w:t>
      </w:r>
      <w:r w:rsidR="00537744">
        <w:t xml:space="preserve"> favourable; however, </w:t>
      </w:r>
      <w:r w:rsidR="00404359">
        <w:t xml:space="preserve">it remains unclear whether the narrative would be acceptable to the EU. </w:t>
      </w:r>
    </w:p>
    <w:p w14:paraId="300F7C1C" w14:textId="234015DC" w:rsidR="00BB17A5" w:rsidRDefault="000C07E4" w:rsidP="00BB17A5">
      <w:pPr>
        <w:pStyle w:val="Heading2"/>
      </w:pPr>
      <w:bookmarkStart w:id="24" w:name="_Toc501110476"/>
      <w:r>
        <w:lastRenderedPageBreak/>
        <w:t>4.2</w:t>
      </w:r>
      <w:r w:rsidR="006263C2">
        <w:t xml:space="preserve"> </w:t>
      </w:r>
      <w:r w:rsidR="00EE4852">
        <w:t>Commercial</w:t>
      </w:r>
      <w:r w:rsidR="006107C9">
        <w:t xml:space="preserve"> </w:t>
      </w:r>
      <w:r w:rsidR="00475B71">
        <w:t>and social impacts</w:t>
      </w:r>
      <w:bookmarkEnd w:id="24"/>
    </w:p>
    <w:p w14:paraId="6A0B38FF" w14:textId="51BF8FF5" w:rsidR="00BB17A5" w:rsidRPr="00BB17A5" w:rsidRDefault="00BB17A5" w:rsidP="00BB17A5">
      <w:r>
        <w:rPr>
          <w:noProof/>
          <w:lang w:eastAsia="en-GB"/>
        </w:rPr>
        <mc:AlternateContent>
          <mc:Choice Requires="wps">
            <w:drawing>
              <wp:anchor distT="0" distB="0" distL="114300" distR="114300" simplePos="0" relativeHeight="251561984" behindDoc="0" locked="0" layoutInCell="1" allowOverlap="1" wp14:anchorId="3D02875D" wp14:editId="50F56475">
                <wp:simplePos x="0" y="0"/>
                <wp:positionH relativeFrom="column">
                  <wp:posOffset>-401320</wp:posOffset>
                </wp:positionH>
                <wp:positionV relativeFrom="paragraph">
                  <wp:posOffset>2545715</wp:posOffset>
                </wp:positionV>
                <wp:extent cx="6534150"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6534150" cy="635"/>
                        </a:xfrm>
                        <a:prstGeom prst="rect">
                          <a:avLst/>
                        </a:prstGeom>
                        <a:solidFill>
                          <a:prstClr val="white"/>
                        </a:solidFill>
                        <a:ln>
                          <a:noFill/>
                        </a:ln>
                      </wps:spPr>
                      <wps:txbx>
                        <w:txbxContent>
                          <w:p w14:paraId="1A9B7039" w14:textId="3CABAADC" w:rsidR="00B725B9" w:rsidRPr="006F2883" w:rsidRDefault="00B725B9" w:rsidP="00BB17A5">
                            <w:pPr>
                              <w:pStyle w:val="Caption"/>
                              <w:ind w:left="720"/>
                              <w:rPr>
                                <w:noProof/>
                                <w:sz w:val="28"/>
                              </w:rPr>
                            </w:pPr>
                            <w:bookmarkStart w:id="25" w:name="_Toc500949335"/>
                            <w:r>
                              <w:t xml:space="preserve">Figure </w:t>
                            </w:r>
                            <w:fldSimple w:instr=" SEQ Figure \* ARABIC ">
                              <w:r>
                                <w:rPr>
                                  <w:noProof/>
                                </w:rPr>
                                <w:t>11</w:t>
                              </w:r>
                            </w:fldSimple>
                            <w:r>
                              <w:t xml:space="preserve">: GB electricity interconnections with other member states </w:t>
                            </w:r>
                            <w:r>
                              <w:fldChar w:fldCharType="begin" w:fldLock="1"/>
                            </w:r>
                            <w:r>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"mendeley" : { "formattedCitation" : "(Lockwood &lt;i&gt;et al.&lt;/i&gt;, 2017)", "plainTextFormattedCitation" : "(Lockwood et al., 2017)", "previouslyFormattedCitation" : "(Lockwood &lt;i&gt;et al.&lt;/i&gt;, 2017)" }, "properties" : { "noteIndex" : 16 }, "schema" : "https://github.com/citation-style-language/schema/raw/master/csl-citation.json" }</w:instrText>
                            </w:r>
                            <w:r>
                              <w:fldChar w:fldCharType="separate"/>
                            </w:r>
                            <w:r w:rsidRPr="00BB17A5">
                              <w:rPr>
                                <w:noProof/>
                              </w:rPr>
                              <w:t xml:space="preserve">(Lockwood </w:t>
                            </w:r>
                            <w:r w:rsidRPr="00BB17A5">
                              <w:rPr>
                                <w:i w:val="0"/>
                                <w:noProof/>
                              </w:rPr>
                              <w:t>et al.</w:t>
                            </w:r>
                            <w:r w:rsidRPr="00BB17A5">
                              <w:rPr>
                                <w:noProof/>
                              </w:rPr>
                              <w:t>, 2017)</w:t>
                            </w:r>
                            <w:bookmarkEnd w:id="2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02875D" id="Text Box 16" o:spid="_x0000_s1031" type="#_x0000_t202" style="position:absolute;left:0;text-align:left;margin-left:-31.6pt;margin-top:200.45pt;width:514.5pt;height:.05pt;z-index:25156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WtmLgIAAGYEAAAOAAAAZHJzL2Uyb0RvYy54bWysVMFu2zAMvQ/YPwi6L07aJhi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" stroked="f">
                <v:textbox style="mso-fit-shape-to-text:t" inset="0,0,0,0">
                  <w:txbxContent>
                    <w:p w14:paraId="1A9B7039" w14:textId="3CABAADC" w:rsidR="00B725B9" w:rsidRPr="006F2883" w:rsidRDefault="00B725B9" w:rsidP="00BB17A5">
                      <w:pPr>
                        <w:pStyle w:val="Caption"/>
                        <w:ind w:left="720"/>
                        <w:rPr>
                          <w:noProof/>
                          <w:sz w:val="28"/>
                        </w:rPr>
                      </w:pPr>
                      <w:bookmarkStart w:id="26" w:name="_Toc500949335"/>
                      <w:r>
                        <w:t xml:space="preserve">Figure </w:t>
                      </w:r>
                      <w:fldSimple w:instr=" SEQ Figure \* ARABIC ">
                        <w:r>
                          <w:rPr>
                            <w:noProof/>
                          </w:rPr>
                          <w:t>11</w:t>
                        </w:r>
                      </w:fldSimple>
                      <w:r>
                        <w:t xml:space="preserve">: GB electricity interconnections with other member states </w:t>
                      </w:r>
                      <w:r>
                        <w:fldChar w:fldCharType="begin" w:fldLock="1"/>
                      </w:r>
                      <w:r>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"mendeley" : { "formattedCitation" : "(Lockwood &lt;i&gt;et al.&lt;/i&gt;, 2017)", "plainTextFormattedCitation" : "(Lockwood et al., 2017)", "previouslyFormattedCitation" : "(Lockwood &lt;i&gt;et al.&lt;/i&gt;, 2017)" }, "properties" : { "noteIndex" : 16 }, "schema" : "https://github.com/citation-style-language/schema/raw/master/csl-citation.json" }</w:instrText>
                      </w:r>
                      <w:r>
                        <w:fldChar w:fldCharType="separate"/>
                      </w:r>
                      <w:r w:rsidRPr="00BB17A5">
                        <w:rPr>
                          <w:noProof/>
                        </w:rPr>
                        <w:t xml:space="preserve">(Lockwood </w:t>
                      </w:r>
                      <w:r w:rsidRPr="00BB17A5">
                        <w:rPr>
                          <w:i w:val="0"/>
                          <w:noProof/>
                        </w:rPr>
                        <w:t>et al.</w:t>
                      </w:r>
                      <w:r w:rsidRPr="00BB17A5">
                        <w:rPr>
                          <w:noProof/>
                        </w:rPr>
                        <w:t>, 2017)</w:t>
                      </w:r>
                      <w:bookmarkEnd w:id="26"/>
                      <w:r>
                        <w:fldChar w:fldCharType="end"/>
                      </w:r>
                    </w:p>
                  </w:txbxContent>
                </v:textbox>
                <w10:wrap type="topAndBottom"/>
              </v:shape>
            </w:pict>
          </mc:Fallback>
        </mc:AlternateContent>
      </w:r>
      <w:r>
        <w:rPr>
          <w:noProof/>
          <w:lang w:eastAsia="en-GB"/>
        </w:rPr>
        <w:drawing>
          <wp:anchor distT="0" distB="0" distL="114300" distR="114300" simplePos="0" relativeHeight="251554816" behindDoc="0" locked="0" layoutInCell="1" allowOverlap="1" wp14:anchorId="7545A7AE" wp14:editId="05908BFA">
            <wp:simplePos x="0" y="0"/>
            <wp:positionH relativeFrom="margin">
              <wp:align>center</wp:align>
            </wp:positionH>
            <wp:positionV relativeFrom="paragraph">
              <wp:posOffset>288290</wp:posOffset>
            </wp:positionV>
            <wp:extent cx="6534150" cy="2200275"/>
            <wp:effectExtent l="0" t="0" r="0" b="952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34150"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3317B1" w14:textId="6F8D3553" w:rsidR="00B2168D" w:rsidRPr="00B2168D" w:rsidRDefault="00B2168D" w:rsidP="00B2168D">
      <w:r>
        <w:t>“</w:t>
      </w:r>
      <w:r w:rsidRPr="00C63FB4">
        <w:t>The main purpose of mandatory national targets is to provide certainty for investors</w:t>
      </w:r>
      <w:r>
        <w:t>” (European Commission, 2009)</w:t>
      </w:r>
      <w:r w:rsidR="00BB74BA">
        <w:t xml:space="preserve">; </w:t>
      </w:r>
      <w:r w:rsidR="00BB17A5">
        <w:t xml:space="preserve">taking into </w:t>
      </w:r>
      <w:r w:rsidR="003907C8">
        <w:t>consideration</w:t>
      </w:r>
      <w:r w:rsidR="00BB17A5">
        <w:t xml:space="preserve"> the primary </w:t>
      </w:r>
      <w:r w:rsidR="00BB74BA">
        <w:t>legislative purpose of RED, i.e.</w:t>
      </w:r>
      <w:r w:rsidR="00BB17A5">
        <w:t xml:space="preserve"> to promote</w:t>
      </w:r>
      <w:r w:rsidR="00BB74BA">
        <w:t xml:space="preserve"> both social and commercial uptake of renewables by member states,  </w:t>
      </w:r>
    </w:p>
    <w:p w14:paraId="3F08FAE2" w14:textId="0497F436" w:rsidR="006E0BCB" w:rsidRDefault="00E32AD5" w:rsidP="006E0BCB">
      <w:r>
        <w:t xml:space="preserve">Despite </w:t>
      </w:r>
      <w:r w:rsidR="00902E32">
        <w:t xml:space="preserve">aforementioned </w:t>
      </w:r>
      <w:r w:rsidR="003907C8">
        <w:t>modalities</w:t>
      </w:r>
      <w:r w:rsidR="006107C9">
        <w:t>, the UK has a share</w:t>
      </w:r>
      <w:r w:rsidR="00C2436F">
        <w:t>d</w:t>
      </w:r>
      <w:r w:rsidR="006107C9">
        <w:t xml:space="preserve"> commitment to increase its</w:t>
      </w:r>
      <w:r w:rsidR="00E66684">
        <w:t xml:space="preserve"> share of renewables through</w:t>
      </w:r>
      <w:r w:rsidR="006107C9">
        <w:t xml:space="preserve"> </w:t>
      </w:r>
      <w:r w:rsidR="00CC1BA7">
        <w:t xml:space="preserve">e.g. </w:t>
      </w:r>
      <w:r w:rsidR="00E66684">
        <w:t xml:space="preserve">the </w:t>
      </w:r>
      <w:r w:rsidR="00CC1BA7">
        <w:t>carbon budgets</w:t>
      </w:r>
      <w:r w:rsidR="00E66684">
        <w:t>,</w:t>
      </w:r>
      <w:r w:rsidR="00CC1BA7">
        <w:t xml:space="preserve"> set out by the Paris </w:t>
      </w:r>
      <w:r w:rsidR="006107C9">
        <w:t>Ag</w:t>
      </w:r>
      <w:r>
        <w:t>reement of 2012</w:t>
      </w:r>
      <w:r w:rsidR="006E0BCB">
        <w:t xml:space="preserve">, or the Climate Change </w:t>
      </w:r>
      <w:r w:rsidR="00CD655B">
        <w:t>act of 2008;</w:t>
      </w:r>
      <w:r>
        <w:t xml:space="preserve"> i.e. independent</w:t>
      </w:r>
      <w:r w:rsidR="006107C9">
        <w:t xml:space="preserve"> of out</w:t>
      </w:r>
      <w:r>
        <w:t>come,</w:t>
      </w:r>
      <w:r w:rsidR="00CC1BA7">
        <w:t xml:space="preserve"> targets outside the NAP</w:t>
      </w:r>
      <w:r w:rsidR="006107C9">
        <w:t xml:space="preserve"> still incentivises UK to maintain support mechanisms</w:t>
      </w:r>
      <w:r w:rsidR="00073E42">
        <w:t xml:space="preserve"> for renewables intact </w:t>
      </w:r>
      <w:r w:rsidR="00073E42">
        <w:fldChar w:fldCharType="begin" w:fldLock="1"/>
      </w:r>
      <w:r w:rsidR="00F47CA3">
        <w:instrText>ADDIN CSL_CITATION { "citationItems" : [ { "id" : "ITEM-1", "itemData" : { "DOI" : "10.1093/oxrep/grx004", "abstract" : "Brexit creates challenges and opportunities for UK and EU climate policy. Without replace-ment policies for existing EU policies, the UK may not meet its domestic carbon budgets. Membership of the EU ETS, application of energy efficiency directives and renewables targets, and the maintenance of innovation funding are the key issues at stake for the UK. Brexit may also impact the ambition and shape of EU climate policy and the direction of future climate agreements.", "author" : [ { "dropping-particle" : "", "family" : "Hepburn", "given" : "Cameron", "non-dropping-particle" : "", "parse-names" : false, "suffix" : "" }, { "dropping-particle" : "", "family" : "Teytelboym", "given" : "Alexander", "non-dropping-particle" : "", "parse-names" : false, "suffix" : "" } ], "container-title" : "Oxford Review of Economic Policy", "id" : "ITEM-1", "issue" : "1", "issued" : { "date-parts" : [ [ "2017" ] ] }, "page" : "S144\u2013S154 Climate", "title" : "Climate change policy after Brexit", "type" : "article-journal", "volume" : "33" }, "uris" : [ "http://www.mendeley.com/documents/?uuid=831b54eb-6289-3bbb-95ff-da30e6e930bd" ] } ], "mendeley" : { "formattedCitation" : "(Hepburn and Teytelboym, 2017)", "plainTextFormattedCitation" : "(Hepburn and Teytelboym, 2017)", "previouslyFormattedCitation" : "(Hepburn and Teytelboym, 2017)" }, "properties" : { "noteIndex" : 18 }, "schema" : "https://github.com/citation-style-language/schema/raw/master/csl-citation.json" }</w:instrText>
      </w:r>
      <w:r w:rsidR="00073E42">
        <w:fldChar w:fldCharType="separate"/>
      </w:r>
      <w:r w:rsidR="00073E42" w:rsidRPr="00073E42">
        <w:rPr>
          <w:noProof/>
        </w:rPr>
        <w:t>(Hepburn and Teytelboym, 2017)</w:t>
      </w:r>
      <w:r w:rsidR="00073E42">
        <w:fldChar w:fldCharType="end"/>
      </w:r>
      <w:r w:rsidR="00073E42">
        <w:t xml:space="preserve">. </w:t>
      </w:r>
      <w:r w:rsidR="004237C2">
        <w:t>As depicted in figure 11</w:t>
      </w:r>
      <w:r>
        <w:t>, regardless of</w:t>
      </w:r>
      <w:r w:rsidR="00CC1BA7">
        <w:t xml:space="preserve"> negotiative</w:t>
      </w:r>
      <w:r>
        <w:t xml:space="preserve"> outcome, the UK has considered, planned, constructed and set into operation a range of electricity interconnections with member states accommodating</w:t>
      </w:r>
      <w:r w:rsidR="00E66684">
        <w:t xml:space="preserve">, in congruency with </w:t>
      </w:r>
      <w:r>
        <w:t xml:space="preserve">article 21 of RED, for trade of renewable electricity between countries in sub-sufficient supply of renewables be it intra-day or on a regular basis </w:t>
      </w:r>
      <w:r>
        <w:fldChar w:fldCharType="begin" w:fldLock="1"/>
      </w:r>
      <w:r w:rsidR="00CC1BA7">
        <w:instrText>ADDIN CSL_CITATION { "citationItems" : [ { "id" : "ITEM-1", "itemData" : { "DOI" : "10.1016/J.RSER.2017.01.069", "ISSN" : "1364-0321", "abstract" : "Renewable energies can play an important role in mitigating the emissions associated with electricity power generation and diversification of the energy supply. The challenge is that renewable resources such as wind and solar have intermittent production patterns and their incorporation into conventional electricity grids will increase the degree of uncertainty. The present research proposes a comprehensive framework in which design and operation of the electricity grid are considered simultaneously and the uncertainties in the wind and solar generation as well as demand are systematically taken into account. The case of retrofitting the current UK electricity grid to include 50% renewable power generation by 2030 was posed as the demonstrating example. The research problem was formulated as a piece-wise linear mixed integer optimization under uncertainty and solved using CPLEX v12.0 in GAMS. The results suggested that it is possible to retrofit the electricity grid using renewable generators while optimizing the overall profitability and ensuring the secure supply of electricity. It was also observed that at the price of higher computational costs, stochastic optimization generates more realistic and robust solutions for the design and operation of the smart electricity grid.", "author" : [ { "dropping-particle" : "", "family" : "Sharifzadeh", "given" : "Mahdi", "non-dropping-particle" : "", "parse-names" : false, "suffix" : "" }, { "dropping-particle" : "", "family" : "Lubiano-Walochik", "given" : "Helena", "non-dropping-particle" : "", "parse-names" : false, "suffix" : "" }, { "dropping-particle" : "", "family" : "Shah", "given" : "Nilay", "non-dropping-particle" : "", "parse-names" : false, "suffix" : "" } ], "container-title" : "Renewable and Sustainable Energy Reviews", "id" : "ITEM-1", "issued" : { "date-parts" : [ [ "2017", "5", "1" ] ] }, "page" : "385-398", "publisher" : "Pergamon", "title" : "Integrated renewable electricity generation considering uncertainties: The UK roadmap to 50% power generation from wind and solar energies", "type" : "article-journal", "volume" : "72" }, "uris" : [ "http://www.mendeley.com/documents/?uuid=ce8ba87f-311b-322f-bd31-3ea3e5ccb324" ] } ], "mendeley" : { "formattedCitation" : "(Sharifzadeh, Lubiano-Walochik and Shah, 2017)", "plainTextFormattedCitation" : "(Sharifzadeh, Lubiano-Walochik and Shah, 2017)", "previouslyFormattedCitation" : "(Sharifzadeh, Lubiano-Walochik and Shah, 2017)" }, "properties" : { "noteIndex" : 17 }, "schema" : "https://github.com/citation-style-language/schema/raw/master/csl-citation.json" }</w:instrText>
      </w:r>
      <w:r>
        <w:fldChar w:fldCharType="separate"/>
      </w:r>
      <w:r w:rsidRPr="00E32AD5">
        <w:rPr>
          <w:noProof/>
        </w:rPr>
        <w:t>(Sharifzadeh, Lubiano-Walochik and Shah, 2017)</w:t>
      </w:r>
      <w:r>
        <w:fldChar w:fldCharType="end"/>
      </w:r>
      <w:r>
        <w:t xml:space="preserve">. </w:t>
      </w:r>
      <w:r w:rsidR="00E66684">
        <w:t xml:space="preserve">For countries such as </w:t>
      </w:r>
      <w:r w:rsidR="00CC1BA7">
        <w:t>Norway</w:t>
      </w:r>
      <w:r w:rsidR="00E66684">
        <w:t>,</w:t>
      </w:r>
      <w:r w:rsidR="00CC1BA7">
        <w:t xml:space="preserve"> producing renewable energy in excess of its NAP, lobbying for trade with the UK through these interconnectors would be a certainty should the EU attempt to ostracize UK electricity demand from the internal energy markets supply</w:t>
      </w:r>
      <w:r w:rsidR="00E66684">
        <w:t xml:space="preserve"> as the links are sources of considerable economic subsidies expected to be paid back by the very means for which they were installed for</w:t>
      </w:r>
      <w:r w:rsidR="00CC1BA7">
        <w:t xml:space="preserve"> </w:t>
      </w:r>
      <w:r w:rsidR="00CC1BA7">
        <w:fldChar w:fldCharType="begin" w:fldLock="1"/>
      </w:r>
      <w:r w:rsidR="00E84C46">
        <w:instrText>ADDIN CSL_CITATION { "citationItems" : [ { "id" : "ITEM-1", "itemData" : { "abstract" : "Worldwide they have been adopted, in broad outline, by dozens of states. In 2012, 24 EU member states were still using a fixed-price feed-in system, nine used a premium feed-in system and only three used a tender system. AT A GLANCE The EU directive on renewable energy was very successful. The basis for this success was the member states' freedom to select the most appropriate instrument for funding renewables. However, the European Commission would like to compel the member states to use only tender systems and proposes further restrictive criteria for renewable energy policy. This about-face harbours substantial risks and is based on scientifically dubious arguments. &gt; The 2001 EU directive on the promotion of electricity produced from renewable energy sources in the internal electricity market (2001/77/EC) (hereafter: the \u00bbRenewable Energy Directive\u00ab) is most likely the European Union's most successful climate protection measure. By increasing the proportion of renewables in the EU from 8.7 per cent in 2005 to around 17 per cent in 2015 green-house gas emissions were reduced by a good 360 million tonnes (Figure 1). But the European economy has benefited, too. For example, renewables provide around 1.2 million future-oriented jobs within the EU. They also contribute towards ensuring security of supply, development, and growth of industry and innovation. They also support the creation and securing of competitiveness, the reduction of the EU trade deficit in the energy sector and the aim of lower energy costs.", "author" : [ { "dropping-particle" : "", "family" : "UWE Nestle", "given" : "", "non-dropping-particle" : "", "parse-names" : false, "suffix" : "" } ], "id" : "ITEM-1", "issued" : { "date-parts" : [ [ "2017" ] ] }, "title" : "Reform of the EU renewable energy directive: Putting the brakes on the European Energy Transition?", "type" : "report" }, "uris" : [ "http://www.mendeley.com/documents/?uuid=22c26e11-5696-391f-9a2b-52f39d0b5ee7" ] }, { "id" : "ITEM-2", "itemData" : { "author" : [ { "dropping-particle" : "", "family" : "Fischer", "given" : "Severin", "non-dropping-particle" : "", "parse-names" : false, "suffix" : "" }, { "dropping-particle" : "", "family" : "Geden", "given" : "Oliver", "non-dropping-particle" : "", "parse-names" : false, "suffix" : "" } ], "id" : "ITEM-2", "issued" : { "date-parts" : [ [ "2017" ] ] }, "title" : "Brexit: Impacts on Europe's Energy and Climate Policy", "type" : "article-journal" }, "uris" : [ "http://www.mendeley.com/documents/?uuid=dea48e09-108e-3b18-a097-8575f56f4886" ] } ], "mendeley" : { "formattedCitation" : "(UWE Nestle, 2017; Fischer and Geden, 2017)", "plainTextFormattedCitation" : "(UWE Nestle, 2017; Fischer and Geden, 2017)", "previouslyFormattedCitation" : "(UWE Nestle, 2017; Fischer and Geden, 2017)" }, "properties" : { "noteIndex" : 17 }, "schema" : "https://github.com/citation-style-language/schema/raw/master/csl-citation.json" }</w:instrText>
      </w:r>
      <w:r w:rsidR="00CC1BA7">
        <w:fldChar w:fldCharType="separate"/>
      </w:r>
      <w:r w:rsidR="00CC1BA7" w:rsidRPr="00CC1BA7">
        <w:rPr>
          <w:noProof/>
        </w:rPr>
        <w:t>(UWE Nestle, 2017; Fischer and Geden, 2017)</w:t>
      </w:r>
      <w:r w:rsidR="00CC1BA7">
        <w:fldChar w:fldCharType="end"/>
      </w:r>
      <w:r w:rsidR="00CC1BA7">
        <w:t xml:space="preserve">. </w:t>
      </w:r>
    </w:p>
    <w:p w14:paraId="36D1C2C7" w14:textId="4420312C" w:rsidR="006B4DB1" w:rsidRDefault="006B4DB1" w:rsidP="000D2D55">
      <w:pPr>
        <w:ind w:firstLine="0"/>
      </w:pPr>
      <w:r>
        <w:rPr>
          <w:noProof/>
          <w:lang w:eastAsia="en-GB"/>
        </w:rPr>
        <w:drawing>
          <wp:anchor distT="0" distB="0" distL="114300" distR="114300" simplePos="0" relativeHeight="251723776" behindDoc="0" locked="0" layoutInCell="1" allowOverlap="1" wp14:anchorId="67EBB775" wp14:editId="0C9F269D">
            <wp:simplePos x="0" y="0"/>
            <wp:positionH relativeFrom="margin">
              <wp:align>right</wp:align>
            </wp:positionH>
            <wp:positionV relativeFrom="paragraph">
              <wp:posOffset>261257</wp:posOffset>
            </wp:positionV>
            <wp:extent cx="5727700" cy="3209290"/>
            <wp:effectExtent l="0" t="0" r="635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209290"/>
                    </a:xfrm>
                    <a:prstGeom prst="rect">
                      <a:avLst/>
                    </a:prstGeom>
                    <a:noFill/>
                    <a:ln>
                      <a:noFill/>
                    </a:ln>
                  </pic:spPr>
                </pic:pic>
              </a:graphicData>
            </a:graphic>
          </wp:anchor>
        </w:drawing>
      </w:r>
    </w:p>
    <w:p w14:paraId="14EE5559" w14:textId="26D8DA56" w:rsidR="006107C9" w:rsidRDefault="006B4DB1" w:rsidP="005C1775">
      <w:pPr>
        <w:pStyle w:val="Caption"/>
      </w:pPr>
      <w:bookmarkStart w:id="27" w:name="_Toc500949336"/>
      <w:r>
        <w:t xml:space="preserve">Figure </w:t>
      </w:r>
      <w:fldSimple w:instr=" SEQ Figure \* ARABIC ">
        <w:r w:rsidR="00C658DC">
          <w:rPr>
            <w:noProof/>
          </w:rPr>
          <w:t>12</w:t>
        </w:r>
      </w:fldSimple>
      <w:r>
        <w:t>: Employment and turnover summary for rene</w:t>
      </w:r>
      <w:r w:rsidR="00CC1BA7">
        <w:t xml:space="preserve">wable energy sectors 2015-2016 </w:t>
      </w:r>
      <w:r>
        <w:fldChar w:fldCharType="begin" w:fldLock="1"/>
      </w:r>
      <w:r w:rsidR="00C56441">
        <w:instrText>ADDIN CSL_CITATION { "citationItems" : [ { "id" : "ITEM-1", "itemData" : { "DOI" : "10.1016/j.enpol.2017.08.021", "abstract" : "A B S T R A C T This paper examines the trade-off between the economic gains to Great Britain (GB) from being integrated into the EU electricity market on the one hand and a loss of influence over policy and rule making on the other. The aim is not to predict how this trade-off will be resolved in practice, but rather to lay out what is at stake on both sides of the equation. Since the late 2000s the electricity market in GB has become increasingly integrated with continental European markets through market coupling and increasing interconnection capacity, with further integration expected up to the mid-2020s. Estimates of the economic benefits of this integration range up to the order of several \u00a3100 m to \u00a31bn a year, representing the economic cost of a reversal of such integration. On the other hand, maintaining and expanding electricity market integration would require the acceptance of electricity policies and regulations made in European institutions in which UK actors would have little if any voice. An intermediate multilateral approach offering the possibility of retaining market integration with less cost in terms of influence is proposed.", "author" : [ { "dropping-particle" : "", "family" : "Lockwood", "given" : "Matthew", "non-dropping-particle" : "", "parse-names" : false, "suffix" : "" }, { "dropping-particle" : "", "family" : "Froggatt", "given" : "Antony", "non-dropping-particle" : "", "parse-names" : false, "suffix" : "" }, { "dropping-particle" : "", "family" : "Wright", "given" : "Georgina", "non-dropping-particle" : "", "parse-names" : false, "suffix" : "" }, { "dropping-particle" : "", "family" : "Dutton", "given" : "Joseph", "non-dropping-particle" : "", "parse-names" : false, "suffix" : "" } ], "id" : "ITEM-1", "issued" : { "date-parts" : [ [ "2017" ] ] }, "title" : "The implications of Brexit for the electricity sector in Great Britain: Trade- offs between market integration and policy influence", "type" : "article-journal" }, "uris" : [ "http://www.mendeley.com/documents/?uuid=aa2e8068-924e-3e58-8a08-a88a583a36a7" ] } ], "mendeley" : { "formattedCitation" : "(Lockwood &lt;i&gt;et al.&lt;/i&gt;, 2017)", "plainTextFormattedCitation" : "(Lockwood et al., 2017)", "previouslyFormattedCitation" : "(Lockwood &lt;i&gt;et al.&lt;/i&gt;, 2017)" }, "properties" : { "noteIndex" : 21 }, "schema" : "https://github.com/citation-style-language/schema/raw/master/csl-citation.json" }</w:instrText>
      </w:r>
      <w:r>
        <w:fldChar w:fldCharType="separate"/>
      </w:r>
      <w:r w:rsidRPr="006B4DB1">
        <w:rPr>
          <w:i w:val="0"/>
          <w:noProof/>
        </w:rPr>
        <w:t xml:space="preserve">(Lockwood </w:t>
      </w:r>
      <w:r w:rsidRPr="006B4DB1">
        <w:rPr>
          <w:noProof/>
        </w:rPr>
        <w:t>et al.</w:t>
      </w:r>
      <w:r w:rsidRPr="006B4DB1">
        <w:rPr>
          <w:i w:val="0"/>
          <w:noProof/>
        </w:rPr>
        <w:t>, 2017)</w:t>
      </w:r>
      <w:bookmarkEnd w:id="27"/>
      <w:r>
        <w:fldChar w:fldCharType="end"/>
      </w:r>
    </w:p>
    <w:p w14:paraId="683CDC0C" w14:textId="15458668" w:rsidR="006E0BCB" w:rsidRPr="006E0BCB" w:rsidRDefault="006E0BCB" w:rsidP="006E0BCB">
      <w:r>
        <w:t xml:space="preserve">Figure 12 </w:t>
      </w:r>
      <w:r w:rsidR="000D2D55">
        <w:t xml:space="preserve">depicts an overview of annual turnover, employment number and company numbers in renewable energy sub sectors. Social aspects of renewable energy are reflected as employment, totalling 125,900 per 2015-16.  The renewable energy employment marked would, as targets for emission reduction by renewables still remains post-Brexit, still be subject to growth thereby reducing REDs significance for the social aspects. </w:t>
      </w:r>
    </w:p>
    <w:p w14:paraId="08BD7142" w14:textId="61CF0533" w:rsidR="006263C2" w:rsidRDefault="000C07E4" w:rsidP="00730F31">
      <w:pPr>
        <w:pStyle w:val="Heading2"/>
      </w:pPr>
      <w:bookmarkStart w:id="28" w:name="_Toc501110477"/>
      <w:r>
        <w:t>4.3</w:t>
      </w:r>
      <w:r w:rsidR="006263C2">
        <w:t xml:space="preserve"> Environmental </w:t>
      </w:r>
      <w:r w:rsidR="006107C9">
        <w:t>aspect</w:t>
      </w:r>
      <w:r w:rsidR="006B4DB1">
        <w:t>s</w:t>
      </w:r>
      <w:bookmarkEnd w:id="28"/>
    </w:p>
    <w:p w14:paraId="00A085BF" w14:textId="17CCFF35" w:rsidR="002C2B25" w:rsidRDefault="006B3FE2" w:rsidP="00073E42">
      <w:r>
        <w:t>The environmental impact of Brexit directly correlates to</w:t>
      </w:r>
      <w:r w:rsidR="006263C2">
        <w:t xml:space="preserve"> renewable energy as it i</w:t>
      </w:r>
      <w:r w:rsidR="00073E42">
        <w:t>s innately a means by which to</w:t>
      </w:r>
      <w:r w:rsidR="006263C2">
        <w:t xml:space="preserve"> miti</w:t>
      </w:r>
      <w:r w:rsidR="008E74C8">
        <w:t>gate</w:t>
      </w:r>
      <w:r>
        <w:t xml:space="preserve"> environmental</w:t>
      </w:r>
      <w:r w:rsidR="008E74C8">
        <w:t xml:space="preserve"> pollution</w:t>
      </w:r>
      <w:r>
        <w:t xml:space="preserve"> </w:t>
      </w:r>
      <w:r>
        <w:fldChar w:fldCharType="begin" w:fldLock="1"/>
      </w:r>
      <w:r>
        <w:instrText>ADDIN CSL_CITATION { "citationItems" : [ { "id" : "ITEM-1", "itemData" : { "DOI" : "10.1080/02646811.2016.1218133", "ISSN" : "0264-6811", "author" : [ { "dropping-particle" : "", "family" : "Reid", "given" : "Colin T", "non-dropping-particle" : "", "parse-names" : false, "suffix" : "" } ], "container-title" : "Journal of Energy &amp; Natural Resources Law", "id" : "ITEM-1", "issue" : "4", "issued" : { "date-parts" : [ [ "2016", "10", "14" ] ] }, "page" : "407-415", "title" : "Brexit and the future of UK environmental law", "type" : "article-journal", "volume" : "34" }, "uris" : [ "http://www.mendeley.com/documents/?uuid=729e6912-d45f-3500-82ec-6d1d18f8ab72" ] } ], "mendeley" : { "formattedCitation" : "(Reid, 2016)", "plainTextFormattedCitation" : "(Reid, 2016)", "previouslyFormattedCitation" : "(Reid, 2016)" }, "properties" : { "noteIndex" : 20 }, "schema" : "https://github.com/citation-style-language/schema/raw/master/csl-citation.json" }</w:instrText>
      </w:r>
      <w:r>
        <w:fldChar w:fldCharType="separate"/>
      </w:r>
      <w:r w:rsidRPr="006B3FE2">
        <w:rPr>
          <w:noProof/>
        </w:rPr>
        <w:t>(Reid, 2016)</w:t>
      </w:r>
      <w:r>
        <w:fldChar w:fldCharType="end"/>
      </w:r>
      <w:r w:rsidR="008E74C8">
        <w:t>.</w:t>
      </w:r>
      <w:r w:rsidR="00B2168D">
        <w:t xml:space="preserve"> Considering a holistic perspective analysing the embodied carbon associated with </w:t>
      </w:r>
      <w:r>
        <w:t xml:space="preserve">bio fuel </w:t>
      </w:r>
      <w:r w:rsidR="00B2168D">
        <w:t>extraction, transport and premature release of emissions leading to untimely accumulation of carbon otherwise distributed over a timespan apt for natural re</w:t>
      </w:r>
      <w:r>
        <w:t>capture by the biological material harvested in connection</w:t>
      </w:r>
      <w:r w:rsidR="00B2168D">
        <w:t xml:space="preserve"> with biofuels, one might ar</w:t>
      </w:r>
      <w:r>
        <w:t>gue the absence of incentivised</w:t>
      </w:r>
      <w:r w:rsidR="00B2168D">
        <w:t xml:space="preserve"> utilisation of biofuels such as pellets or wood-burners to be of an environmentally beneficial nature</w:t>
      </w:r>
      <w:r>
        <w:t xml:space="preserve"> </w:t>
      </w:r>
      <w:r>
        <w:fldChar w:fldCharType="begin" w:fldLock="1"/>
      </w:r>
      <w:r w:rsidR="00831012">
        <w:instrText>ADDIN CSL_CITATION { "citationItems" : [ { "id" : "ITEM-1", "itemData" : { "DOI" : "10.1016/j.rser.2014.07.087", "ISBN" : "1364-0321", "ISSN" : "13640321", "abstract" : "Electricity and heat generation are key contributors to global emissions of greenhouse gases (GHG). In this paper, specific attention is paid to renewable energy technologies (RETs) for electricity and heat generation and reviews current understanding and estimates of life cycle GHG emissions from a range of renewable electricity and heat generation technologies. Comprehensive literature reviews for each RET were carried out. The 79 studies reviewed involved the life cycle assessment (LCA) of renewable electricity and heat generation based on onshore and offshore winds, hydropower, marine technologies (wave power and tidal energy), geothermal, photovoltaic (PV), solar thermal, biomass, waste, and heat pumps. The study demonstrates the variability of existing LCA studies (results) in tracking GHG emissions for electricity and heat generation from RETs. This review has shown that the lowest GHG emissions were associated with offshore wind technologies (mean life cycle GHG emissions could be 5.3-13 g CO2 eq/kWh). Results compared with GHG estimates by fossil fuel heat and electricity indicated that life cycle GHG emissions are comparatively higher in conventional sources as compared to renewable sources with the exception of nuclear-based power electricity generation. In this present study, considering renewable energy sources, waste treatment and dedicated biomass technologies (DBTs) were found to potentially have high GHG emissions based on the feedstock, selected boundary and the inputs required for their production. The study identifies additional impacts associated with renewable electricity and heat technologies, points out the effectiveness of life cycle analysis (LCA) as a tool for assessing environmental impacts of renewable energy sources and concludes with opportunities for improvement in the future. \u00a9 2014 Elsevier Ltd.", "author" : [ { "dropping-particle" : "", "family" : "Amponsah", "given" : "Nana Yaw", "non-dropping-particle" : "", "parse-names" : false, "suffix" : "" }, { "dropping-particle" : "", "family" : "Troldborg", "given" : "Mads", "non-dropping-particle" : "", "parse-names" : false, "suffix" : "" }, { "dropping-particle" : "", "family" : "Kington", "given" : "Bethany", "non-dropping-particle" : "", "parse-names" : false, "suffix" : "" }, { "dropping-particle" : "", "family" : "Aalders", "given" : "Inge", "non-dropping-particle" : "", "parse-names" : false, "suffix" : "" }, { "dropping-particle" : "", "family" : "Hough", "given" : "Rupert Lloyd", "non-dropping-particle" : "", "parse-names" : false, "suffix" : "" } ], "container-title" : "Renewable and Sustainable Energy Reviews", "id" : "ITEM-1", "issued" : { "date-parts" : [ [ "2014" ] ] }, "title" : "Greenhouse gas emissions from renewable energy sources: A review of lifecycle considerations", "type" : "article" }, "uris" : [ "http://www.mendeley.com/documents/?uuid=7e05c2a1-93ae-31c9-94c4-cb2eafc9a1f3" ] }, { "id" : "ITEM-2", "itemData" : { "DOI" : "10.1089/ind.2014.1528", "ISSN" : "1550-9087", "abstract" : "The presented reform proposal aims at creating a level playing field for biobased chemicals and materials with bioenergy and biofuels in Europe. It is fundamentally different from other reforms of the Directive being currently discussed because it opens the perspective to not only look at energy, but also at biobased materials. The proposal is based on the insights that the support system for bioenergy and biofuels created by the Renewable Energy Directive1 (RED) and the corresponding national legislations is one of the main reasons hindering the biobased material sector from developing-and therefore the whole biobased economy. It is time to understand that the RED stems from a time when biomass was available in abundance and it made sense to create the framework, but that today biomass is a highly valuable raw material that should be allocated in the most efficient way possible. At the moment, the legislation causes serious market distortions for biobased feedstocks that have been reported by a multitud of companies. Unfavorable framework conditions combined with high biomass prices and uncertain biomass supplies deter investors from putting money into biobased chemistry and materials. ''Whereas world capacity for biobased chemicals and materials is rapidly growing, Europe clearly lags behind. Lux Research, a Boston based company, expects a doubling of global biobased capacity in 2017 to 13.2 Mton. But Europe's share will drop from 37% in 2005 to 14% in 2017.''2 Furthermore, several problems with the current framework have become apparent over the last few years, as for example the fact that some Member States are not on track with meeting their quotas or that feedstock bottlenecks have appeared due to the increased and unbalanced demand for biomass. This reform proposal aims to offer solutions to all these issues, while improving the generation of value added, employment, innovation, and investment in Europe. All of these criteria can be better fulfilled by industrial material use than by energy use (of th e same amount) of biomass. The strengthening of the biobased material sector will contribute to the desired industrial renaissance recently communicated by the European Commission, while still reducing greenhouse gas emissions and contributing to a strong climate policy of the European Union (EU). Furthermore, it aims at lessening the dependence on public subsidies while still using, preserving and expanding the existing structures in place for bioe\u2026", "author" : [ { "dropping-particle" : "", "family" : "Carus", "given" : "Michael", "non-dropping-particle" : "", "parse-names" : false, "suffix" : "" }, { "dropping-particle" : "", "family" : "Dammer", "given" : "Lara", "non-dropping-particle" : "", "parse-names" : false, "suffix" : "" }, { "dropping-particle" : "", "family" : "Hermann", "given" : "Andreas", "non-dropping-particle" : "", "parse-names" : false, "suffix" : "" }, { "dropping-particle" : "", "family" : "Essel", "given" : "Roland", "non-dropping-particle" : "", "parse-names" : false, "suffix" : "" } ], "container-title" : "Industrial Biotechnology", "id" : "ITEM-2", "issue" : "4", "issued" : { "date-parts" : [ [ "2014" ] ] }, "page" : "269-274", "title" : "Proposals for a Reform of the Renewable Energy Directive to a Renewable Energy and Materials Directive", "type" : "article-journal", "volume" : "10" }, "uris" : [ "http://www.mendeley.com/documents/?uuid=325fe503-6453-4025-8475-ee8b724462ab" ] } ], "mendeley" : { "formattedCitation" : "(Amponsah &lt;i&gt;et al.&lt;/i&gt;, 2014; Carus &lt;i&gt;et al.&lt;/i&gt;, 2014)", "plainTextFormattedCitation" : "(Amponsah et al., 2014; Carus et al., 2014)", "previouslyFormattedCitation" : "(Amponsah &lt;i&gt;et al.&lt;/i&gt;, 2014; Carus &lt;i&gt;et al.&lt;/i&gt;, 2014)" }, "properties" : { "noteIndex" : 20 }, "schema" : "https://github.com/citation-style-language/schema/raw/master/csl-citation.json" }</w:instrText>
      </w:r>
      <w:r>
        <w:fldChar w:fldCharType="separate"/>
      </w:r>
      <w:r w:rsidRPr="006B3FE2">
        <w:rPr>
          <w:noProof/>
        </w:rPr>
        <w:t xml:space="preserve">(Amponsah </w:t>
      </w:r>
      <w:r w:rsidRPr="006B3FE2">
        <w:rPr>
          <w:i/>
          <w:noProof/>
        </w:rPr>
        <w:t>et al.</w:t>
      </w:r>
      <w:r w:rsidRPr="006B3FE2">
        <w:rPr>
          <w:noProof/>
        </w:rPr>
        <w:t xml:space="preserve">, 2014; Carus </w:t>
      </w:r>
      <w:r w:rsidRPr="006B3FE2">
        <w:rPr>
          <w:i/>
          <w:noProof/>
        </w:rPr>
        <w:t>et al.</w:t>
      </w:r>
      <w:r w:rsidRPr="006B3FE2">
        <w:rPr>
          <w:noProof/>
        </w:rPr>
        <w:t>, 2014)</w:t>
      </w:r>
      <w:r>
        <w:fldChar w:fldCharType="end"/>
      </w:r>
      <w:r w:rsidR="00B2168D">
        <w:t>.</w:t>
      </w:r>
      <w:r>
        <w:t xml:space="preserve"> In a post-Brexit legislative climate, the UK would be exempt from this incentive, thereby potentially stagnating the growth of bio fuel utilisation and possibly augmenting utilisation of cleaner,</w:t>
      </w:r>
      <w:r w:rsidR="00CC1BA7">
        <w:t xml:space="preserve"> </w:t>
      </w:r>
      <w:r>
        <w:t xml:space="preserve">renewable sources of energy. </w:t>
      </w:r>
      <w:r w:rsidR="002C2B25">
        <w:t xml:space="preserve">Furthermore, the EU have </w:t>
      </w:r>
      <w:r w:rsidR="00073E42">
        <w:t xml:space="preserve">yet to </w:t>
      </w:r>
      <w:r w:rsidR="002C2B25">
        <w:t>cut subsidies to its vast</w:t>
      </w:r>
      <w:r w:rsidR="00073E42">
        <w:t xml:space="preserve"> coal industry, whereas the UK </w:t>
      </w:r>
      <w:r w:rsidR="002C2B25">
        <w:t xml:space="preserve"> in </w:t>
      </w:r>
      <w:r w:rsidR="002C2B25">
        <w:lastRenderedPageBreak/>
        <w:t>2016</w:t>
      </w:r>
      <w:r w:rsidR="00073E42">
        <w:t xml:space="preserve">, conversely </w:t>
      </w:r>
      <w:r w:rsidR="002C2B25">
        <w:t xml:space="preserve">pledged to shut down operations of domestic coal power plants by 2025 </w:t>
      </w:r>
      <w:r w:rsidR="002C2B25">
        <w:fldChar w:fldCharType="begin" w:fldLock="1"/>
      </w:r>
      <w:r w:rsidR="008C0EAA">
        <w:instrText>ADDIN CSL_CITATION { "citationItems" : [ { "id" : "ITEM-1", "itemData" : { "URL" : "http://www.independent.co.uk/environment/coal-power-plants-uk-close-2025-renewable-energy-amber-rudd-nuclear-gas-policy-a7997241.html", "accessed" : { "date-parts" : [ [ "2017", "12", "14" ] ] }, "author" : [ { "dropping-particle" : "", "family" : "Cockburn", "given" : "Harry", "non-dropping-particle" : "", "parse-names" : false, "suffix" : "" } ], "container-title" : "Environment", "id" : "ITEM-1", "issued" : { "date-parts" : [ [ "2017" ] ] }, "title" : "UK vows to close all coal power plants by 2025 | The Independent", "type" : "webpage" }, "uris" : [ "http://www.mendeley.com/documents/?uuid=a641b915-e184-3395-8d11-53eea203a080" ] } ], "mendeley" : { "formattedCitation" : "(Cockburn, 2017)", "plainTextFormattedCitation" : "(Cockburn, 2017)", "previouslyFormattedCitation" : "(Cockburn, 2017)" }, "properties" : { "noteIndex" : 20 }, "schema" : "https://github.com/citation-style-language/schema/raw/master/csl-citation.json" }</w:instrText>
      </w:r>
      <w:r w:rsidR="002C2B25">
        <w:fldChar w:fldCharType="separate"/>
      </w:r>
      <w:r w:rsidR="002C2B25" w:rsidRPr="002C2B25">
        <w:rPr>
          <w:noProof/>
        </w:rPr>
        <w:t>(Cockburn, 2017)</w:t>
      </w:r>
      <w:r w:rsidR="002C2B25">
        <w:fldChar w:fldCharType="end"/>
      </w:r>
      <w:r w:rsidR="002C2B25">
        <w:t>.</w:t>
      </w:r>
      <w:r w:rsidR="00FE43EB">
        <w:t xml:space="preserve"> For these reasons, deliverance from association by emancipation from the directive and the EU could further lessen British environmental impact </w:t>
      </w:r>
      <w:r w:rsidR="00FE43EB">
        <w:fldChar w:fldCharType="begin" w:fldLock="1"/>
      </w:r>
      <w:r w:rsidR="00E573DC">
        <w:instrText>ADDIN CSL_CITATION { "citationItems" : [ { "id" : "ITEM-1", "itemData" : { "DOI" : "https://doi.org/10.1017/S2047102517000279", "abstract" : "Brexit is likely to have a significant impact on the environment. In the current article I argue against seeing the traffic as all one-way. While there was a temptation for the advocates of staying in the European Union (EU), in the context of referendum campaigning, to portray the United Kingdom (UK) as a laggard pressured into positive environmental performance by the EU as leader, the reality is that the UK has also strengthened the EU's environmental policy in some areas and seen its own weakened in others. Influence in both directions has also varied over time. The article goes on to consider core 'Leave' arguments around sovereignty and 'taking back control', exploring the implications of these in the specific context of environmental governance. In discussing subsidiarity, it concludes that leaving the EU will not remove the need for the pooling of some sovereignty over environmental matters at international level and, in the context of devolution, at UK level.", "author" : [ { "dropping-particle" : "", "family" : "Hilson", "given" : "Chris", "non-dropping-particle" : "", "parse-names" : false, "suffix" : "" } ], "container-title" : "Transnational Environmental Law", "id" : "ITEM-1", "issued" : { "date-parts" : [ [ "2017" ] ] }, "title" : "The Impact of Brexit on the Environment: Exploring the Dynamics of a Complex Relationship", "type" : "article-journal", "volume" : "1-25." }, "uris" : [ "http://www.mendeley.com/documents/?uuid=e4bf3d62-ac11-316f-8453-fdb95e53c9ab" ] } ], "mendeley" : { "formattedCitation" : "(Hilson, 2017)", "plainTextFormattedCitation" : "(Hilson, 2017)", "previouslyFormattedCitation" : "(Hilson, 2017)" }, "properties" : { "noteIndex" : 18 }, "schema" : "https://github.com/citation-style-language/schema/raw/master/csl-citation.json" }</w:instrText>
      </w:r>
      <w:r w:rsidR="00FE43EB">
        <w:fldChar w:fldCharType="separate"/>
      </w:r>
      <w:r w:rsidR="00FE43EB" w:rsidRPr="00FE43EB">
        <w:rPr>
          <w:noProof/>
        </w:rPr>
        <w:t>(Hilson, 2017)</w:t>
      </w:r>
      <w:r w:rsidR="00FE43EB">
        <w:fldChar w:fldCharType="end"/>
      </w:r>
      <w:r w:rsidR="00FE43EB">
        <w:t>.</w:t>
      </w:r>
    </w:p>
    <w:p w14:paraId="5C3D0CF2" w14:textId="0F1017DA" w:rsidR="00D41D50" w:rsidRDefault="000C07E4" w:rsidP="00730F31">
      <w:pPr>
        <w:pStyle w:val="Heading2"/>
      </w:pPr>
      <w:bookmarkStart w:id="29" w:name="_Toc501110478"/>
      <w:r>
        <w:t>4.5</w:t>
      </w:r>
      <w:r w:rsidR="00D41D50">
        <w:t xml:space="preserve"> Legislative </w:t>
      </w:r>
      <w:r w:rsidR="00C1247A">
        <w:t xml:space="preserve">and financial </w:t>
      </w:r>
      <w:r w:rsidR="006107C9">
        <w:t>influence</w:t>
      </w:r>
      <w:bookmarkEnd w:id="29"/>
    </w:p>
    <w:p w14:paraId="776FC61B" w14:textId="183DC4AF" w:rsidR="00C1247A" w:rsidRPr="00C1247A" w:rsidRDefault="00C1247A" w:rsidP="00C1247A">
      <w:r>
        <w:t>During the coming transiti</w:t>
      </w:r>
      <w:r w:rsidR="00E129A4">
        <w:t>onal phase, prognosticated to</w:t>
      </w:r>
      <w:r>
        <w:t xml:space="preserve"> predominantly </w:t>
      </w:r>
      <w:r w:rsidR="00E129A4">
        <w:t xml:space="preserve">be </w:t>
      </w:r>
      <w:r>
        <w:t xml:space="preserve">characterised by trade and migration, environmental law appears unlikely </w:t>
      </w:r>
      <w:r w:rsidR="00E129A4">
        <w:t xml:space="preserve">to be an issue of great concern for the British public </w:t>
      </w:r>
      <w:r w:rsidR="00E129A4">
        <w:fldChar w:fldCharType="begin" w:fldLock="1"/>
      </w:r>
      <w:r w:rsidR="002C2B25">
        <w:instrText>ADDIN CSL_CITATION { "citationItems" : [ { "id" : "ITEM-1", "itemData" : { "DOI" : "10.1093/oxrep/grx004", "abstract" : "Brexit creates challenges and opportunities for UK and EU climate policy. Without replace-ment policies for existing EU policies, the UK may not meet its domestic carbon budgets. Membership of the EU ETS, application of energy efficiency directives and renewables targets, and the maintenance of innovation funding are the key issues at stake for the UK. Brexit may also impact the ambition and shape of EU climate policy and the direction of future climate agreements.", "author" : [ { "dropping-particle" : "", "family" : "Hepburn", "given" : "Cameron", "non-dropping-particle" : "", "parse-names" : false, "suffix" : "" }, { "dropping-particle" : "", "family" : "Teytelboym", "given" : "Alexander", "non-dropping-particle" : "", "parse-names" : false, "suffix" : "" } ], "container-title" : "Oxford Review of Economic Policy", "id" : "ITEM-1", "issue" : "1", "issued" : { "date-parts" : [ [ "2017" ] ] }, "page" : "S144\u2013S154 Climate", "title" : "Climate change policy after Brexit", "type" : "article-journal", "volume" : "33" }, "uris" : [ "http://www.mendeley.com/documents/?uuid=831b54eb-6289-3bbb-95ff-da30e6e930bd" ] } ], "mendeley" : { "formattedCitation" : "(Hepburn and Teytelboym, 2017)", "plainTextFormattedCitation" : "(Hepburn and Teytelboym, 2017)", "previouslyFormattedCitation" : "(Hepburn and Teytelboym, 2017)" }, "properties" : { "noteIndex" : 20 }, "schema" : "https://github.com/citation-style-language/schema/raw/master/csl-citation.json" }</w:instrText>
      </w:r>
      <w:r w:rsidR="00E129A4">
        <w:fldChar w:fldCharType="separate"/>
      </w:r>
      <w:r w:rsidR="00E129A4" w:rsidRPr="00E129A4">
        <w:rPr>
          <w:noProof/>
        </w:rPr>
        <w:t>(Hepburn and Teytelboym, 2017)</w:t>
      </w:r>
      <w:r w:rsidR="00E129A4">
        <w:fldChar w:fldCharType="end"/>
      </w:r>
      <w:r w:rsidR="00E129A4">
        <w:t>. Having acted as a pioneer and continuous advocat</w:t>
      </w:r>
      <w:r w:rsidR="004237C2">
        <w:t xml:space="preserve">e for climate policy, a Brexit </w:t>
      </w:r>
      <w:r w:rsidR="00E129A4">
        <w:t xml:space="preserve">may </w:t>
      </w:r>
      <w:r w:rsidR="004A43B6">
        <w:t>however pose</w:t>
      </w:r>
      <w:r w:rsidR="00E129A4">
        <w:t xml:space="preserve"> impingent </w:t>
      </w:r>
      <w:r w:rsidR="004237C2">
        <w:t>for</w:t>
      </w:r>
      <w:r w:rsidR="004A43B6">
        <w:t xml:space="preserve"> EU Environmental policy </w:t>
      </w:r>
      <w:r w:rsidR="004A43B6">
        <w:fldChar w:fldCharType="begin" w:fldLock="1"/>
      </w:r>
      <w:r w:rsidR="00073E42">
        <w:instrText>ADDIN CSL_CITATION { "citationItems" : [ { "id" : "ITEM-1", "itemData" : { "author" : [ { "dropping-particle" : "", "family" : "Fischer", "given" : "Severin", "non-dropping-particle" : "", "parse-names" : false, "suffix" : "" }, { "dropping-particle" : "", "family" : "Geden", "given" : "Oliver", "non-dropping-particle" : "", "parse-names" : false, "suffix" : "" } ], "id" : "ITEM-1", "issued" : { "date-parts" : [ [ "2017" ] ] }, "title" : "Brexit: Impacts on Europe's Energy and Climate Policy", "type" : "article-journal" }, "uris" : [ "http://www.mendeley.com/documents/?uuid=dea48e09-108e-3b18-a097-8575f56f4886" ] } ], "mendeley" : { "formattedCitation" : "(Fischer and Geden, 2017)", "plainTextFormattedCitation" : "(Fischer and Geden, 2017)", "previouslyFormattedCitation" : "(Fischer and Geden, 2017)" }, "properties" : { "noteIndex" : 20 }, "schema" : "https://github.com/citation-style-language/schema/raw/master/csl-citation.json" }</w:instrText>
      </w:r>
      <w:r w:rsidR="004A43B6">
        <w:fldChar w:fldCharType="separate"/>
      </w:r>
      <w:r w:rsidR="004A43B6" w:rsidRPr="004A43B6">
        <w:rPr>
          <w:noProof/>
        </w:rPr>
        <w:t>(Fischer and Geden, 2017)</w:t>
      </w:r>
      <w:r w:rsidR="004A43B6">
        <w:fldChar w:fldCharType="end"/>
      </w:r>
      <w:r w:rsidR="004A43B6">
        <w:t>.</w:t>
      </w:r>
    </w:p>
    <w:p w14:paraId="77DF536D" w14:textId="42853F7F" w:rsidR="009A091B" w:rsidRPr="009A091B" w:rsidRDefault="009A091B" w:rsidP="009A091B">
      <w:r>
        <w:t xml:space="preserve">Devolution in the UK has led to problematique surrounding Brexit (Cowell, 2017). This could impinge upon future of UK renewables by e.g. a Scottish  departure from the UK, taking with it its substantial renewable resources (Such as emerging tidal and wave, or developing off-shore wind) which has contributed greatly towards the total share of UK renewables </w:t>
      </w:r>
      <w:r>
        <w:fldChar w:fldCharType="begin" w:fldLock="1"/>
      </w:r>
      <w:r>
        <w:instrText>ADDIN CSL_CITATION { "citationItems" : [ { "id" : "ITEM-1", "itemData" : { "DOI" : "10.1016/J.ENPOL.2017.06.042", "ISSN" : "0301-4215", "abstract" : "Offshore wind power (OSW) plays a key role within the UK strategy for a transition towards a low-carbon economy, offering vast potential for establishing a high-tech manufacturing industry. Previous experiences in the onshore sector (OWP) suggest the UK might fail in fully capturing these macroeconomic benefits. In this work, we investigate the history of UK renewable policies, comparing its national strategy to those of other major OSW-export countries. Through the use of a numerical general equilibrium model, we quantify the macroeconomic impacts under three scenarios: a baseline, which relies on previous estimates and foresee limited local content; a \u2018contamination\u2019 scenario, where the UK content reaches the same levels of OWP; and a \u2018non-myopic\u2019 scenario, where investors expect governmental support to decrease or disappear, replicating a common path of past renewable policies. We identify the UK as a FDI-oriented country. Our results suggest that increasing the share of locally-sourced capital goods in OSP to OWP-level could generate larger income and employment effects in the UK economy. We find that under forward-looking investors the economic benefits are significantly lower than the case of myopic agents. Our results show an inherent conflict with stated purposes of UK policy for OSW.", "author" : [ { "dropping-particle" : "", "family" : "Graziano", "given" : "Marcello", "non-dropping-particle" : "", "parse-names" : false, "suffix" : "" }, { "dropping-particle" : "", "family" : "Lecca", "given" : "Patrizio", "non-dropping-particle" : "", "parse-names" : false, "suffix" : "" }, { "dropping-particle" : "", "family" : "Musso", "given" : "Marta", "non-dropping-particle" : "", "parse-names" : false, "suffix" : "" } ], "container-title" : "Energy Policy", "id" : "ITEM-1", "issued" : { "date-parts" : [ [ "2017", "9", "1" ] ] }, "page" : "715-730", "publisher" : "Elsevier", "title" : "Historic paths and future expectations: The macroeconomic impacts of the offshore wind technologies in the UK", "type" : "article-journal", "volume" : "108" }, "uris" : [ "http://www.mendeley.com/documents/?uuid=f438244a-d47a-3f1a-96ec-da5a12499902" ] }, { "id" : "ITEM-2", "itemData" : { "DOI" : "10.1016/j.erss.2016.10.008", "abstract" : "a b s t r a c t Marine Renewable Energy (MREs) holds extensive environmental, social, and economic potential for rural coastal areas across the globe, which are often resource-rich but capital-poor, often due to his-toric paradigm of economic (under) development. Focusing on the Highland and Islands region (HIR) of Scotland, we identify a conundrum which is currently limiting overall development of MREs and their positive effects, mainly due to the lack of access to sustained sectorial investments and a stable demand for electricity. From a historic perspective, we identify in the Megaloplis paradigm the reasons for this conundrum. Further, we develop a new policy and governance paradigm, DICEP, rooted in the concepts of diffusion of benefits, inclusive governance, community engagement, regional entrepreneurship, and a balancing top-down approaches with bottom up initiatives. The paradigm builds upon local strengths and policies for combining MREs and economic development policies for expanding non-residential elec-tricity demand through the support of productive activities. Finally, we present two case studies where elements of Megalopolis and DICEP emerge, as well as propose potential localized uses of energy for manufacturing and agricultural practices. DICEP acts as an operationalization of the New Rural Paradigm, and a bridge between the initial diffusion of MREs and their future full deployment.", "author" : [ { "dropping-particle" : "", "family" : "Graziano", "given" : "Marcello", "non-dropping-particle" : "", "parse-names" : false, "suffix" : "" }, { "dropping-particle" : "", "family" : "Billing", "given" : "Suzannah-Lynn", "non-dropping-particle" : "", "parse-names" : false, "suffix" : "" }, { "dropping-particle" : "", "family" : "Kenter", "given" : "Jasper O", "non-dropping-particle" : "", "parse-names" : false, "suffix" : "" }, { "dropping-particle" : "", "family" : "Greenhill", "given" : "Lucy", "non-dropping-particle" : "", "parse-names" : false, "suffix" : "" } ], "container-title" : "Energy Research &amp; Social Science", "id" : "ITEM-2", "issued" : { "date-parts" : [ [ "2017" ] ] }, "page" : "136-147", "title" : "A transformational paradigm for marine renewable energy development", "type" : "article-journal", "volume" : "23" }, "uris" : [ "http://www.mendeley.com/documents/?uuid=be69c5f6-f839-39f5-983b-a29865039aa7" ] } ], "mendeley" : { "formattedCitation" : "(Graziano, Lecca and Musso, 2017; Graziano &lt;i&gt;et al.&lt;/i&gt;, 2017)", "plainTextFormattedCitation" : "(Graziano, Lecca and Musso, 2017; Graziano et al., 2017)", "previouslyFormattedCitation" : "(Graziano, Lecca and Musso, 2017; Graziano &lt;i&gt;et al.&lt;/i&gt;, 2017)" }, "properties" : { "noteIndex" : 15 }, "schema" : "https://github.com/citation-style-language/schema/raw/master/csl-citation.json" }</w:instrText>
      </w:r>
      <w:r>
        <w:fldChar w:fldCharType="separate"/>
      </w:r>
      <w:r w:rsidRPr="00D21B37">
        <w:rPr>
          <w:noProof/>
        </w:rPr>
        <w:t xml:space="preserve">(Graziano, Lecca and Musso, 2017; Graziano </w:t>
      </w:r>
      <w:r w:rsidRPr="00D21B37">
        <w:rPr>
          <w:i/>
          <w:noProof/>
        </w:rPr>
        <w:t>et al.</w:t>
      </w:r>
      <w:r w:rsidRPr="00D21B37">
        <w:rPr>
          <w:noProof/>
        </w:rPr>
        <w:t>, 2017)</w:t>
      </w:r>
      <w:r>
        <w:fldChar w:fldCharType="end"/>
      </w:r>
      <w:r>
        <w:t xml:space="preserve">. The sectoral relations between a post-Brexit UK and a possibly independently EU membered Scotland is however omitted in this reports scope </w:t>
      </w:r>
      <w:r w:rsidR="00F56BED">
        <w:t>due to its magnitude.</w:t>
      </w:r>
    </w:p>
    <w:p w14:paraId="70072BA7" w14:textId="57D647AC" w:rsidR="009A091B" w:rsidRDefault="00780323" w:rsidP="009A091B">
      <w:pPr>
        <w:rPr>
          <w:lang w:eastAsia="en-GB"/>
        </w:rPr>
      </w:pPr>
      <w:r>
        <w:rPr>
          <w:lang w:eastAsia="en-GB"/>
        </w:rPr>
        <w:t xml:space="preserve">The UK has </w:t>
      </w:r>
      <w:r w:rsidR="009A091B">
        <w:rPr>
          <w:lang w:eastAsia="en-GB"/>
        </w:rPr>
        <w:t xml:space="preserve">strongly advocated </w:t>
      </w:r>
      <w:r>
        <w:rPr>
          <w:lang w:eastAsia="en-GB"/>
        </w:rPr>
        <w:t>environment</w:t>
      </w:r>
      <w:r w:rsidR="009A091B">
        <w:rPr>
          <w:lang w:eastAsia="en-GB"/>
        </w:rPr>
        <w:t>al Law in</w:t>
      </w:r>
      <w:r w:rsidR="00810E02">
        <w:rPr>
          <w:lang w:eastAsia="en-GB"/>
        </w:rPr>
        <w:t xml:space="preserve"> the EU, acting as</w:t>
      </w:r>
      <w:r>
        <w:rPr>
          <w:lang w:eastAsia="en-GB"/>
        </w:rPr>
        <w:t xml:space="preserve"> pioneer</w:t>
      </w:r>
      <w:r w:rsidR="00810E02">
        <w:rPr>
          <w:lang w:eastAsia="en-GB"/>
        </w:rPr>
        <w:t>s</w:t>
      </w:r>
      <w:r w:rsidR="009A091B">
        <w:rPr>
          <w:lang w:eastAsia="en-GB"/>
        </w:rPr>
        <w:t xml:space="preserve"> in the areas such as</w:t>
      </w:r>
      <w:r>
        <w:rPr>
          <w:lang w:eastAsia="en-GB"/>
        </w:rPr>
        <w:t xml:space="preserve"> renewables</w:t>
      </w:r>
      <w:r w:rsidR="00F56BED">
        <w:rPr>
          <w:lang w:eastAsia="en-GB"/>
        </w:rPr>
        <w:t>,</w:t>
      </w:r>
      <w:r>
        <w:rPr>
          <w:lang w:eastAsia="en-GB"/>
        </w:rPr>
        <w:t xml:space="preserve"> taking on targets above the once set o</w:t>
      </w:r>
      <w:r w:rsidR="009A091B">
        <w:rPr>
          <w:lang w:eastAsia="en-GB"/>
        </w:rPr>
        <w:t xml:space="preserve">ut by RED; </w:t>
      </w:r>
      <w:r w:rsidR="00810E02">
        <w:rPr>
          <w:lang w:eastAsia="en-GB"/>
        </w:rPr>
        <w:t>assuming continued</w:t>
      </w:r>
      <w:r>
        <w:rPr>
          <w:lang w:eastAsia="en-GB"/>
        </w:rPr>
        <w:t xml:space="preserve"> efforts parallel to attitudes held during EU membership, </w:t>
      </w:r>
      <w:r w:rsidR="009A091B">
        <w:rPr>
          <w:lang w:eastAsia="en-GB"/>
        </w:rPr>
        <w:t>a ‘hard’ Brexit</w:t>
      </w:r>
      <w:r>
        <w:rPr>
          <w:lang w:eastAsia="en-GB"/>
        </w:rPr>
        <w:t xml:space="preserve"> could allow the UK</w:t>
      </w:r>
      <w:r w:rsidR="00810E02">
        <w:rPr>
          <w:lang w:eastAsia="en-GB"/>
        </w:rPr>
        <w:t xml:space="preserve"> to focus on areas of increased relevance</w:t>
      </w:r>
      <w:r>
        <w:rPr>
          <w:lang w:eastAsia="en-GB"/>
        </w:rPr>
        <w:t xml:space="preserve"> to their individual situation and further their promotion and implementation of renewables to levels </w:t>
      </w:r>
      <w:r w:rsidR="00810E02">
        <w:rPr>
          <w:lang w:eastAsia="en-GB"/>
        </w:rPr>
        <w:t xml:space="preserve">potentially </w:t>
      </w:r>
      <w:r>
        <w:rPr>
          <w:lang w:eastAsia="en-GB"/>
        </w:rPr>
        <w:t>exc</w:t>
      </w:r>
      <w:r w:rsidR="00810E02">
        <w:rPr>
          <w:lang w:eastAsia="en-GB"/>
        </w:rPr>
        <w:t>eeding those</w:t>
      </w:r>
      <w:r>
        <w:rPr>
          <w:lang w:eastAsia="en-GB"/>
        </w:rPr>
        <w:t xml:space="preserve"> of the EU</w:t>
      </w:r>
      <w:r w:rsidR="00810E02">
        <w:rPr>
          <w:lang w:eastAsia="en-GB"/>
        </w:rPr>
        <w:t>27</w:t>
      </w:r>
      <w:r>
        <w:rPr>
          <w:lang w:eastAsia="en-GB"/>
        </w:rPr>
        <w:t xml:space="preserve">. </w:t>
      </w:r>
    </w:p>
    <w:p w14:paraId="39F7FB0A" w14:textId="3DC2AA2C" w:rsidR="005C1775" w:rsidRDefault="0044197B" w:rsidP="009A091B">
      <w:pPr>
        <w:rPr>
          <w:lang w:eastAsia="en-GB"/>
        </w:rPr>
      </w:pPr>
      <w:r>
        <w:rPr>
          <w:lang w:eastAsia="en-GB"/>
        </w:rPr>
        <w:t>On the</w:t>
      </w:r>
      <w:r w:rsidR="00341322">
        <w:rPr>
          <w:lang w:eastAsia="en-GB"/>
        </w:rPr>
        <w:t xml:space="preserve"> 11</w:t>
      </w:r>
      <w:r w:rsidR="00341322" w:rsidRPr="00341322">
        <w:rPr>
          <w:vertAlign w:val="superscript"/>
          <w:lang w:eastAsia="en-GB"/>
        </w:rPr>
        <w:t>th</w:t>
      </w:r>
      <w:r w:rsidR="00341322">
        <w:rPr>
          <w:lang w:eastAsia="en-GB"/>
        </w:rPr>
        <w:t xml:space="preserve"> of December 2017,</w:t>
      </w:r>
      <w:r>
        <w:rPr>
          <w:lang w:eastAsia="en-GB"/>
        </w:rPr>
        <w:t xml:space="preserve"> Bremainer and</w:t>
      </w:r>
      <w:r w:rsidR="00341322">
        <w:rPr>
          <w:lang w:eastAsia="en-GB"/>
        </w:rPr>
        <w:t xml:space="preserve"> MP for Swansea West</w:t>
      </w:r>
      <w:r w:rsidR="008E74C8">
        <w:rPr>
          <w:lang w:eastAsia="en-GB"/>
        </w:rPr>
        <w:t xml:space="preserve"> </w:t>
      </w:r>
      <w:r w:rsidR="00341322">
        <w:rPr>
          <w:lang w:eastAsia="en-GB"/>
        </w:rPr>
        <w:t>Geraint Davies set forth a bill proposing for parliament a second referendum. If passed</w:t>
      </w:r>
      <w:r>
        <w:rPr>
          <w:lang w:eastAsia="en-GB"/>
        </w:rPr>
        <w:t xml:space="preserve"> </w:t>
      </w:r>
      <w:r w:rsidR="005C1775">
        <w:rPr>
          <w:lang w:eastAsia="en-GB"/>
        </w:rPr>
        <w:t xml:space="preserve">in parliament </w:t>
      </w:r>
      <w:r>
        <w:rPr>
          <w:lang w:eastAsia="en-GB"/>
        </w:rPr>
        <w:t>(figure</w:t>
      </w:r>
      <w:r w:rsidR="005C1775">
        <w:rPr>
          <w:lang w:eastAsia="en-GB"/>
        </w:rPr>
        <w:t xml:space="preserve"> 12)</w:t>
      </w:r>
      <w:r w:rsidR="00341322">
        <w:rPr>
          <w:lang w:eastAsia="en-GB"/>
        </w:rPr>
        <w:t xml:space="preserve">, this bill will, </w:t>
      </w:r>
      <w:r w:rsidR="005C1775">
        <w:rPr>
          <w:lang w:eastAsia="en-GB"/>
        </w:rPr>
        <w:t>on the terms stated by MP</w:t>
      </w:r>
      <w:r w:rsidR="00571D8E">
        <w:rPr>
          <w:lang w:eastAsia="en-GB"/>
        </w:rPr>
        <w:t xml:space="preserve"> Davies</w:t>
      </w:r>
      <w:r w:rsidR="00341322">
        <w:rPr>
          <w:lang w:eastAsia="en-GB"/>
        </w:rPr>
        <w:t>, prevent Br</w:t>
      </w:r>
      <w:r w:rsidR="00571D8E">
        <w:rPr>
          <w:lang w:eastAsia="en-GB"/>
        </w:rPr>
        <w:t xml:space="preserve">exit to occur should departure </w:t>
      </w:r>
      <w:r w:rsidR="00341322">
        <w:rPr>
          <w:lang w:eastAsia="en-GB"/>
        </w:rPr>
        <w:t xml:space="preserve">terms </w:t>
      </w:r>
      <w:r w:rsidR="005C1775">
        <w:rPr>
          <w:lang w:eastAsia="en-GB"/>
        </w:rPr>
        <w:t>differ</w:t>
      </w:r>
      <w:r w:rsidR="00571D8E">
        <w:rPr>
          <w:lang w:eastAsia="en-GB"/>
        </w:rPr>
        <w:t xml:space="preserve"> from those voted forth by the </w:t>
      </w:r>
      <w:r w:rsidR="00414E27">
        <w:rPr>
          <w:lang w:eastAsia="en-GB"/>
        </w:rPr>
        <w:t>democracy be</w:t>
      </w:r>
      <w:r w:rsidR="005C1775">
        <w:rPr>
          <w:lang w:eastAsia="en-GB"/>
        </w:rPr>
        <w:t xml:space="preserve"> </w:t>
      </w:r>
      <w:r w:rsidR="003F1403">
        <w:rPr>
          <w:lang w:eastAsia="en-GB"/>
        </w:rPr>
        <w:t>what the negotiative process concludes with</w:t>
      </w:r>
      <w:r w:rsidR="005C1775">
        <w:rPr>
          <w:lang w:eastAsia="en-GB"/>
        </w:rPr>
        <w:t xml:space="preserve"> </w:t>
      </w:r>
      <w:r w:rsidR="005C1775">
        <w:rPr>
          <w:lang w:eastAsia="en-GB"/>
        </w:rPr>
        <w:fldChar w:fldCharType="begin" w:fldLock="1"/>
      </w:r>
      <w:r w:rsidR="004A43B6">
        <w:rPr>
          <w:lang w:eastAsia="en-GB"/>
        </w:rPr>
        <w:instrText>ADDIN CSL_CITATION { "citationItems" : [ { "id" : "ITEM-1", "itemData" : { "URL" : "https://labourlist.org/2017/12/geraint-davies-the-will-of-the-people-demands-a-referendum-on-final-brexit-deal/", "accessed" : { "date-parts" : [ [ "2017", "12", "14" ] ] }, "author" : [ { "dropping-particle" : "", "family" : "Davies", "given" : "Geraint", "non-dropping-particle" : "", "parse-names" : false, "suffix" : "" } ], "container-title" : "LabourList.org", "id" : "ITEM-1", "issued" : { "date-parts" : [ [ "2017" ] ] }, "title" : "Geraint Davies: The will of the people demands a referendum on final Brexit deal | LabourList", "type" : "webpage" }, "uris" : [ "http://www.mendeley.com/documents/?uuid=a77a8452-980a-347d-9c66-7261515533ba" ] } ], "mendeley" : { "formattedCitation" : "(Davies, 2017)", "plainTextFormattedCitation" : "(Davies, 2017)", "previouslyFormattedCitation" : "(Davies, 2017)" }, "properties" : { "noteIndex" : 21 }, "schema" : "https://github.com/citation-style-language/schema/raw/master/csl-citation.json" }</w:instrText>
      </w:r>
      <w:r w:rsidR="005C1775">
        <w:rPr>
          <w:lang w:eastAsia="en-GB"/>
        </w:rPr>
        <w:fldChar w:fldCharType="separate"/>
      </w:r>
      <w:r w:rsidR="005C1775" w:rsidRPr="005C1775">
        <w:rPr>
          <w:noProof/>
          <w:lang w:eastAsia="en-GB"/>
        </w:rPr>
        <w:t>(Davies, 2017)</w:t>
      </w:r>
      <w:r w:rsidR="005C1775">
        <w:rPr>
          <w:lang w:eastAsia="en-GB"/>
        </w:rPr>
        <w:fldChar w:fldCharType="end"/>
      </w:r>
      <w:r w:rsidR="00414E27">
        <w:rPr>
          <w:lang w:eastAsia="en-GB"/>
        </w:rPr>
        <w:t>.</w:t>
      </w:r>
      <w:r w:rsidR="00341322">
        <w:rPr>
          <w:lang w:eastAsia="en-GB"/>
        </w:rPr>
        <w:t xml:space="preserve"> </w:t>
      </w:r>
    </w:p>
    <w:p w14:paraId="5BB901C5" w14:textId="5EC15573" w:rsidR="0044197B" w:rsidRPr="005C1775" w:rsidRDefault="0044197B" w:rsidP="0044197B">
      <w:pPr>
        <w:keepNext/>
        <w:ind w:firstLine="0"/>
        <w:rPr>
          <w:rFonts w:eastAsia="Times New Roman" w:cstheme="minorHAnsi"/>
          <w:szCs w:val="28"/>
          <w:lang w:eastAsia="en-GB"/>
        </w:rPr>
      </w:pPr>
      <w:r>
        <w:rPr>
          <w:rFonts w:eastAsia="Times New Roman" w:cstheme="minorHAnsi"/>
          <w:noProof/>
          <w:szCs w:val="28"/>
          <w:lang w:eastAsia="en-GB"/>
        </w:rPr>
        <w:drawing>
          <wp:inline distT="0" distB="0" distL="0" distR="0" wp14:anchorId="43AD54FE" wp14:editId="7F119E52">
            <wp:extent cx="5730875" cy="2637155"/>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2637155"/>
                    </a:xfrm>
                    <a:prstGeom prst="rect">
                      <a:avLst/>
                    </a:prstGeom>
                    <a:noFill/>
                    <a:ln>
                      <a:noFill/>
                    </a:ln>
                  </pic:spPr>
                </pic:pic>
              </a:graphicData>
            </a:graphic>
          </wp:inline>
        </w:drawing>
      </w:r>
    </w:p>
    <w:p w14:paraId="659040E9" w14:textId="2831DCAE" w:rsidR="0044197B" w:rsidRDefault="0044197B" w:rsidP="0044197B">
      <w:pPr>
        <w:pStyle w:val="Caption"/>
      </w:pPr>
      <w:r>
        <w:t xml:space="preserve">Figure </w:t>
      </w:r>
      <w:fldSimple w:instr=" SEQ Figure \* ARABIC ">
        <w:r w:rsidR="00C658DC">
          <w:rPr>
            <w:noProof/>
          </w:rPr>
          <w:t>13</w:t>
        </w:r>
      </w:fldSimple>
      <w:r>
        <w:t>: Passage of a Bill (Pariament.uk, no date)</w:t>
      </w:r>
    </w:p>
    <w:p w14:paraId="274DC7B5" w14:textId="5F14A307" w:rsidR="000B4D63" w:rsidRDefault="00341322" w:rsidP="009A091B">
      <w:pPr>
        <w:rPr>
          <w:lang w:eastAsia="en-GB"/>
        </w:rPr>
      </w:pPr>
      <w:r>
        <w:rPr>
          <w:lang w:eastAsia="en-GB"/>
        </w:rPr>
        <w:lastRenderedPageBreak/>
        <w:t xml:space="preserve">The EU </w:t>
      </w:r>
      <w:r w:rsidR="00B5151E">
        <w:rPr>
          <w:lang w:eastAsia="en-GB"/>
        </w:rPr>
        <w:t xml:space="preserve">has </w:t>
      </w:r>
      <w:r>
        <w:rPr>
          <w:lang w:eastAsia="en-GB"/>
        </w:rPr>
        <w:t>confessed to fears of economic insolvency</w:t>
      </w:r>
      <w:r w:rsidR="00C56441">
        <w:rPr>
          <w:lang w:eastAsia="en-GB"/>
        </w:rPr>
        <w:t xml:space="preserve"> post-Brexit, </w:t>
      </w:r>
      <w:r w:rsidR="009A091B">
        <w:rPr>
          <w:lang w:eastAsia="en-GB"/>
        </w:rPr>
        <w:t xml:space="preserve">which would be </w:t>
      </w:r>
      <w:r w:rsidR="00C56441">
        <w:rPr>
          <w:lang w:eastAsia="en-GB"/>
        </w:rPr>
        <w:t xml:space="preserve">leaving their budget prone to collapse without UK contributions </w:t>
      </w:r>
      <w:r w:rsidR="00C56441">
        <w:rPr>
          <w:lang w:eastAsia="en-GB"/>
        </w:rPr>
        <w:fldChar w:fldCharType="begin" w:fldLock="1"/>
      </w:r>
      <w:r w:rsidR="00E761DC">
        <w:rPr>
          <w:lang w:eastAsia="en-GB"/>
        </w:rPr>
        <w:instrText>ADDIN CSL_CITATION { "citationItems" : [ { "id" : "ITEM-1", "itemData" : { "URL" : "https://www.express.co.uk/news/uk/881746/Brexit-news-european-union-budget-finance-international-aid-divorce-bill", "abstract" : "Brexit victory? EU finally admit bloated budget WILL collapse without huge UK contribution\r\nTHE EUROPEAN Union has finally admitted that without the UK\u2019s sizeable contributions the bloated Brussels budget will collapse, draft EU documents have revealed.", "accessed" : { "date-parts" : [ [ "2017", "12", "13" ] ] }, "author" : [ { "dropping-particle" : "", "family" : "Falvey", "given" : "Dan", "non-dropping-particle" : "", "parse-names" : false, "suffix" : "" } ], "container-title" : "The Express", "id" : "ITEM-1", "issued" : { "date-parts" : [ [ "2017" ] ] }, "title" : "EU finally admit bloated budget WILL collapse without UK contribution", "type" : "webpage" }, "uris" : [ "http://www.mendeley.com/documents/?uuid=af87464c-78ba-3871-b557-12da8b52b96d" ] } ], "mendeley" : { "formattedCitation" : "(Falvey, 2017)", "plainTextFormattedCitation" : "(Falvey, 2017)", "previouslyFormattedCitation" : "(Falvey, 2017)" }, "properties" : { "noteIndex" : 23 }, "schema" : "https://github.com/citation-style-language/schema/raw/master/csl-citation.json" }</w:instrText>
      </w:r>
      <w:r w:rsidR="00C56441">
        <w:rPr>
          <w:lang w:eastAsia="en-GB"/>
        </w:rPr>
        <w:fldChar w:fldCharType="separate"/>
      </w:r>
      <w:r w:rsidR="00C56441" w:rsidRPr="00C56441">
        <w:rPr>
          <w:noProof/>
          <w:lang w:eastAsia="en-GB"/>
        </w:rPr>
        <w:t>(Falvey, 2017)</w:t>
      </w:r>
      <w:r w:rsidR="00C56441">
        <w:rPr>
          <w:lang w:eastAsia="en-GB"/>
        </w:rPr>
        <w:fldChar w:fldCharType="end"/>
      </w:r>
      <w:r w:rsidR="00B5151E">
        <w:rPr>
          <w:lang w:eastAsia="en-GB"/>
        </w:rPr>
        <w:t>. C</w:t>
      </w:r>
      <w:r>
        <w:rPr>
          <w:lang w:eastAsia="en-GB"/>
        </w:rPr>
        <w:t xml:space="preserve">ontradictorily in line with </w:t>
      </w:r>
      <w:r w:rsidR="000B4D63">
        <w:rPr>
          <w:lang w:eastAsia="en-GB"/>
        </w:rPr>
        <w:t xml:space="preserve">MEP </w:t>
      </w:r>
      <w:r>
        <w:rPr>
          <w:lang w:eastAsia="en-GB"/>
        </w:rPr>
        <w:t xml:space="preserve">Nigel Farage’s rebuttal to European Commission President Jean-Claude </w:t>
      </w:r>
      <w:r w:rsidR="00B5151E">
        <w:rPr>
          <w:lang w:eastAsia="en-GB"/>
        </w:rPr>
        <w:t>Junker during an assembly on the 23</w:t>
      </w:r>
      <w:r w:rsidR="00B5151E" w:rsidRPr="00B5151E">
        <w:rPr>
          <w:vertAlign w:val="superscript"/>
          <w:lang w:eastAsia="en-GB"/>
        </w:rPr>
        <w:t>rd</w:t>
      </w:r>
      <w:r w:rsidR="00B5151E">
        <w:rPr>
          <w:lang w:eastAsia="en-GB"/>
        </w:rPr>
        <w:t xml:space="preserve"> of June 2016, MP Davies has pointed out the vast departu</w:t>
      </w:r>
      <w:r w:rsidR="004C06EA">
        <w:rPr>
          <w:lang w:eastAsia="en-GB"/>
        </w:rPr>
        <w:t>re fee of &gt;£50</w:t>
      </w:r>
      <w:r w:rsidR="00A2062E">
        <w:rPr>
          <w:lang w:eastAsia="en-GB"/>
        </w:rPr>
        <w:t xml:space="preserve">BN, demanded by EU in order to move </w:t>
      </w:r>
      <w:r w:rsidR="004C06EA">
        <w:rPr>
          <w:lang w:eastAsia="en-GB"/>
        </w:rPr>
        <w:t xml:space="preserve">on </w:t>
      </w:r>
      <w:r w:rsidR="00A2062E">
        <w:rPr>
          <w:lang w:eastAsia="en-GB"/>
        </w:rPr>
        <w:t xml:space="preserve">to trade talks, </w:t>
      </w:r>
      <w:r w:rsidR="004C06EA">
        <w:rPr>
          <w:lang w:eastAsia="en-GB"/>
        </w:rPr>
        <w:t xml:space="preserve">is of </w:t>
      </w:r>
      <w:r w:rsidR="00B5151E">
        <w:rPr>
          <w:lang w:eastAsia="en-GB"/>
        </w:rPr>
        <w:t>considerable dislike to the voters</w:t>
      </w:r>
      <w:r w:rsidR="004C06EA">
        <w:rPr>
          <w:lang w:eastAsia="en-GB"/>
        </w:rPr>
        <w:t xml:space="preserve"> (Davies, 2017)</w:t>
      </w:r>
      <w:r w:rsidR="00A2062E">
        <w:rPr>
          <w:lang w:eastAsia="en-GB"/>
        </w:rPr>
        <w:t>.</w:t>
      </w:r>
      <w:r w:rsidR="00B5151E">
        <w:rPr>
          <w:lang w:eastAsia="en-GB"/>
        </w:rPr>
        <w:t xml:space="preserve"> This fee is not legally binding, nor is it </w:t>
      </w:r>
      <w:r w:rsidR="00C56441">
        <w:rPr>
          <w:lang w:eastAsia="en-GB"/>
        </w:rPr>
        <w:t xml:space="preserve">mandatory, and as </w:t>
      </w:r>
      <w:r w:rsidR="00414E27">
        <w:rPr>
          <w:lang w:eastAsia="en-GB"/>
        </w:rPr>
        <w:t xml:space="preserve">lead </w:t>
      </w:r>
      <w:r w:rsidR="00C56441">
        <w:rPr>
          <w:lang w:eastAsia="en-GB"/>
        </w:rPr>
        <w:t xml:space="preserve">Brexiter </w:t>
      </w:r>
      <w:r w:rsidR="00B5151E">
        <w:rPr>
          <w:lang w:eastAsia="en-GB"/>
        </w:rPr>
        <w:t xml:space="preserve">Farage, in hindsight of completion of Phase 1 deal being struck on the </w:t>
      </w:r>
      <w:r w:rsidR="000713CC">
        <w:rPr>
          <w:lang w:eastAsia="en-GB"/>
        </w:rPr>
        <w:t>8</w:t>
      </w:r>
      <w:r w:rsidR="00B5151E" w:rsidRPr="00B5151E">
        <w:rPr>
          <w:vertAlign w:val="superscript"/>
          <w:lang w:eastAsia="en-GB"/>
        </w:rPr>
        <w:t>th</w:t>
      </w:r>
      <w:r w:rsidR="00B5151E">
        <w:rPr>
          <w:lang w:eastAsia="en-GB"/>
        </w:rPr>
        <w:t xml:space="preserve"> of December 2017, </w:t>
      </w:r>
      <w:r w:rsidR="00A2062E">
        <w:rPr>
          <w:lang w:eastAsia="en-GB"/>
        </w:rPr>
        <w:t>has</w:t>
      </w:r>
      <w:r w:rsidR="00B5151E">
        <w:rPr>
          <w:lang w:eastAsia="en-GB"/>
        </w:rPr>
        <w:t xml:space="preserve"> stated; “we can now move on to the next stage of humiliation”</w:t>
      </w:r>
      <w:r w:rsidR="00A2062E">
        <w:rPr>
          <w:lang w:eastAsia="en-GB"/>
        </w:rPr>
        <w:t xml:space="preserve"> (Hope and Rothwell, 2017)</w:t>
      </w:r>
      <w:r w:rsidR="00B5151E">
        <w:rPr>
          <w:lang w:eastAsia="en-GB"/>
        </w:rPr>
        <w:t xml:space="preserve">. </w:t>
      </w:r>
      <w:r w:rsidR="009A091B">
        <w:rPr>
          <w:lang w:eastAsia="en-GB"/>
        </w:rPr>
        <w:t xml:space="preserve">This substantiates </w:t>
      </w:r>
      <w:r w:rsidR="00B5151E">
        <w:rPr>
          <w:lang w:eastAsia="en-GB"/>
        </w:rPr>
        <w:t xml:space="preserve">the basis for the insolvency </w:t>
      </w:r>
      <w:r w:rsidR="009A091B">
        <w:rPr>
          <w:lang w:eastAsia="en-GB"/>
        </w:rPr>
        <w:t>claims, which</w:t>
      </w:r>
      <w:r w:rsidR="00B5151E">
        <w:rPr>
          <w:lang w:eastAsia="en-GB"/>
        </w:rPr>
        <w:t xml:space="preserve"> would thereby instil negotiative advantages for </w:t>
      </w:r>
      <w:r w:rsidR="00AB2E26">
        <w:rPr>
          <w:lang w:eastAsia="en-GB"/>
        </w:rPr>
        <w:t>UK,</w:t>
      </w:r>
      <w:r w:rsidR="000713CC">
        <w:rPr>
          <w:lang w:eastAsia="en-GB"/>
        </w:rPr>
        <w:t xml:space="preserve"> allowing for demands</w:t>
      </w:r>
      <w:r w:rsidR="00AB2E26">
        <w:rPr>
          <w:lang w:eastAsia="en-GB"/>
        </w:rPr>
        <w:t xml:space="preserve"> of a sectoral carve-out and separate trade deals</w:t>
      </w:r>
      <w:r w:rsidR="000713CC">
        <w:rPr>
          <w:lang w:eastAsia="en-GB"/>
        </w:rPr>
        <w:t xml:space="preserve">, rather than </w:t>
      </w:r>
      <w:r w:rsidR="00414E27">
        <w:rPr>
          <w:lang w:eastAsia="en-GB"/>
        </w:rPr>
        <w:t>being bound</w:t>
      </w:r>
      <w:r w:rsidR="000713CC">
        <w:rPr>
          <w:lang w:eastAsia="en-GB"/>
        </w:rPr>
        <w:t xml:space="preserve"> to </w:t>
      </w:r>
      <w:r w:rsidR="00C56441">
        <w:rPr>
          <w:lang w:eastAsia="en-GB"/>
        </w:rPr>
        <w:t>vantage</w:t>
      </w:r>
      <w:r w:rsidR="000713CC">
        <w:rPr>
          <w:lang w:eastAsia="en-GB"/>
        </w:rPr>
        <w:t xml:space="preserve"> points based on “give and take from both sides”</w:t>
      </w:r>
      <w:r w:rsidR="00414E27">
        <w:rPr>
          <w:lang w:eastAsia="en-GB"/>
        </w:rPr>
        <w:t>, as uttered by PM Theresa May</w:t>
      </w:r>
      <w:r w:rsidR="000713CC">
        <w:rPr>
          <w:lang w:eastAsia="en-GB"/>
        </w:rPr>
        <w:t xml:space="preserve"> in a press conference subsequent to</w:t>
      </w:r>
      <w:r w:rsidR="00414E27">
        <w:rPr>
          <w:lang w:eastAsia="en-GB"/>
        </w:rPr>
        <w:t xml:space="preserve"> the</w:t>
      </w:r>
      <w:r w:rsidR="000713CC">
        <w:rPr>
          <w:lang w:eastAsia="en-GB"/>
        </w:rPr>
        <w:t xml:space="preserve"> Phase 1 deal being cemented</w:t>
      </w:r>
      <w:r w:rsidR="00C56441">
        <w:rPr>
          <w:lang w:eastAsia="en-GB"/>
        </w:rPr>
        <w:t xml:space="preserve"> </w:t>
      </w:r>
      <w:r w:rsidR="00C56441">
        <w:rPr>
          <w:lang w:eastAsia="en-GB"/>
        </w:rPr>
        <w:fldChar w:fldCharType="begin" w:fldLock="1"/>
      </w:r>
      <w:r w:rsidR="00C56441">
        <w:rPr>
          <w:lang w:eastAsia="en-GB"/>
        </w:rPr>
        <w:instrText>ADDIN CSL_CITATION { "citationItems" : [ { "id" : "ITEM-1", "itemData" : { "URL" : "http://www.telegraph.co.uk/news/2017/12/08/brexit-deal-nigel-farage-says-deal-not-acceptable-business-leaders/", "accessed" : { "date-parts" : [ [ "2017", "12", "13" ] ] }, "author" : [ { "dropping-particle" : "", "family" : "Hope", "given" : "Christopher", "non-dropping-particle" : "", "parse-names" : false, "suffix" : "" }, { "dropping-particle" : "", "family" : "Rothwell", "given" : "James", "non-dropping-particle" : "", "parse-names" : false, "suffix" : "" } ], "container-title" : "The Telegraph", "id" : "ITEM-1", "issued" : { "date-parts" : [ [ "2017" ] ] }, "title" : "How Europe and the UK reacted to the Brexit deal: 'We can now move on to the next stage of humiliation'", "type" : "webpage" }, "uris" : [ "http://www.mendeley.com/documents/?uuid=e91d0408-4b97-39f5-9960-d1cb0c7ece17" ] } ], "mendeley" : { "formattedCitation" : "(Hope and Rothwell, 2017)", "plainTextFormattedCitation" : "(Hope and Rothwell, 2017)", "previouslyFormattedCitation" : "(Hope and Rothwell, 2017)" }, "properties" : { "noteIndex" : 24 }, "schema" : "https://github.com/citation-style-language/schema/raw/master/csl-citation.json" }</w:instrText>
      </w:r>
      <w:r w:rsidR="00C56441">
        <w:rPr>
          <w:lang w:eastAsia="en-GB"/>
        </w:rPr>
        <w:fldChar w:fldCharType="separate"/>
      </w:r>
      <w:r w:rsidR="00C56441" w:rsidRPr="00C56441">
        <w:rPr>
          <w:noProof/>
          <w:lang w:eastAsia="en-GB"/>
        </w:rPr>
        <w:t>(Hope and Rothwell, 2017)</w:t>
      </w:r>
      <w:r w:rsidR="00C56441">
        <w:rPr>
          <w:lang w:eastAsia="en-GB"/>
        </w:rPr>
        <w:fldChar w:fldCharType="end"/>
      </w:r>
      <w:r w:rsidR="000713CC">
        <w:rPr>
          <w:lang w:eastAsia="en-GB"/>
        </w:rPr>
        <w:t xml:space="preserve">.  These </w:t>
      </w:r>
      <w:r w:rsidR="00AB2E26">
        <w:rPr>
          <w:lang w:eastAsia="en-GB"/>
        </w:rPr>
        <w:t xml:space="preserve">significantly sizeable </w:t>
      </w:r>
      <w:r w:rsidR="000713CC">
        <w:rPr>
          <w:lang w:eastAsia="en-GB"/>
        </w:rPr>
        <w:t>monetary resources could</w:t>
      </w:r>
      <w:r w:rsidR="00AB2E26">
        <w:rPr>
          <w:lang w:eastAsia="en-GB"/>
        </w:rPr>
        <w:t>,</w:t>
      </w:r>
      <w:r w:rsidR="000713CC">
        <w:rPr>
          <w:lang w:eastAsia="en-GB"/>
        </w:rPr>
        <w:t xml:space="preserve"> instead</w:t>
      </w:r>
      <w:r w:rsidR="00AB2E26">
        <w:rPr>
          <w:lang w:eastAsia="en-GB"/>
        </w:rPr>
        <w:t xml:space="preserve"> of being squandered on illegitimate fees required to proceed to levels of negotiation dictated on the terms of the opposing party,</w:t>
      </w:r>
      <w:r w:rsidR="000713CC">
        <w:rPr>
          <w:lang w:eastAsia="en-GB"/>
        </w:rPr>
        <w:t xml:space="preserve"> be applied to</w:t>
      </w:r>
      <w:r w:rsidR="00414E27">
        <w:rPr>
          <w:lang w:eastAsia="en-GB"/>
        </w:rPr>
        <w:t xml:space="preserve"> more reasonable means, such as</w:t>
      </w:r>
      <w:r w:rsidR="000713CC">
        <w:rPr>
          <w:lang w:eastAsia="en-GB"/>
        </w:rPr>
        <w:t xml:space="preserve"> increased subsidies for renewables, </w:t>
      </w:r>
      <w:r w:rsidR="00AB2E26">
        <w:rPr>
          <w:lang w:eastAsia="en-GB"/>
        </w:rPr>
        <w:t xml:space="preserve">which would </w:t>
      </w:r>
      <w:r w:rsidR="000713CC">
        <w:rPr>
          <w:lang w:eastAsia="en-GB"/>
        </w:rPr>
        <w:t>furt</w:t>
      </w:r>
      <w:r w:rsidR="004C06EA">
        <w:rPr>
          <w:lang w:eastAsia="en-GB"/>
        </w:rPr>
        <w:t xml:space="preserve">her </w:t>
      </w:r>
      <w:r w:rsidR="00AB2E26">
        <w:rPr>
          <w:lang w:eastAsia="en-GB"/>
        </w:rPr>
        <w:t>augment</w:t>
      </w:r>
      <w:r w:rsidR="000713CC">
        <w:rPr>
          <w:lang w:eastAsia="en-GB"/>
        </w:rPr>
        <w:t xml:space="preserve"> implementation and thereby increasing energy security from coal and natural gas </w:t>
      </w:r>
      <w:r w:rsidR="00AB2E26">
        <w:rPr>
          <w:lang w:eastAsia="en-GB"/>
        </w:rPr>
        <w:t>by alleviating dependence on the EEA.</w:t>
      </w:r>
      <w:r w:rsidR="000713CC">
        <w:rPr>
          <w:lang w:eastAsia="en-GB"/>
        </w:rPr>
        <w:t xml:space="preserve"> </w:t>
      </w:r>
      <w:r w:rsidR="0073341B">
        <w:rPr>
          <w:lang w:eastAsia="en-GB"/>
        </w:rPr>
        <w:t xml:space="preserve">This </w:t>
      </w:r>
      <w:r w:rsidR="00AB2E26">
        <w:rPr>
          <w:lang w:eastAsia="en-GB"/>
        </w:rPr>
        <w:t xml:space="preserve">could </w:t>
      </w:r>
      <w:r w:rsidR="000713CC">
        <w:rPr>
          <w:lang w:eastAsia="en-GB"/>
        </w:rPr>
        <w:t>greatly redu</w:t>
      </w:r>
      <w:r w:rsidR="00AB2E26">
        <w:rPr>
          <w:lang w:eastAsia="en-GB"/>
        </w:rPr>
        <w:t xml:space="preserve">ce UK GHG emissions, environmental </w:t>
      </w:r>
      <w:r w:rsidR="000713CC">
        <w:rPr>
          <w:lang w:eastAsia="en-GB"/>
        </w:rPr>
        <w:t>impact</w:t>
      </w:r>
      <w:r w:rsidR="0073341B">
        <w:rPr>
          <w:lang w:eastAsia="en-GB"/>
        </w:rPr>
        <w:t>,</w:t>
      </w:r>
      <w:r w:rsidR="00AB2E26">
        <w:rPr>
          <w:lang w:eastAsia="en-GB"/>
        </w:rPr>
        <w:t xml:space="preserve"> increase</w:t>
      </w:r>
      <w:r w:rsidR="000713CC">
        <w:rPr>
          <w:lang w:eastAsia="en-GB"/>
        </w:rPr>
        <w:t xml:space="preserve"> domestic job markets, </w:t>
      </w:r>
      <w:r w:rsidR="0073341B">
        <w:rPr>
          <w:lang w:eastAsia="en-GB"/>
        </w:rPr>
        <w:t xml:space="preserve">industries, rural and urban </w:t>
      </w:r>
      <w:r w:rsidR="000713CC">
        <w:rPr>
          <w:lang w:eastAsia="en-GB"/>
        </w:rPr>
        <w:t>economies and societies.</w:t>
      </w:r>
      <w:r w:rsidR="00865675">
        <w:rPr>
          <w:lang w:eastAsia="en-GB"/>
        </w:rPr>
        <w:t xml:space="preserve"> It is, however, important to note that the payment is dependent on a final overall </w:t>
      </w:r>
      <w:r w:rsidR="006E7495">
        <w:rPr>
          <w:lang w:eastAsia="en-GB"/>
        </w:rPr>
        <w:t>agreement</w:t>
      </w:r>
      <w:r w:rsidR="00865675">
        <w:rPr>
          <w:lang w:eastAsia="en-GB"/>
        </w:rPr>
        <w:t xml:space="preserve"> on Brexit, which after</w:t>
      </w:r>
      <w:r w:rsidR="0083481F">
        <w:rPr>
          <w:lang w:eastAsia="en-GB"/>
        </w:rPr>
        <w:t xml:space="preserve"> the</w:t>
      </w:r>
      <w:r w:rsidR="00865675">
        <w:rPr>
          <w:lang w:eastAsia="en-GB"/>
        </w:rPr>
        <w:t xml:space="preserve"> 13</w:t>
      </w:r>
      <w:r w:rsidR="00865675" w:rsidRPr="00865675">
        <w:rPr>
          <w:vertAlign w:val="superscript"/>
          <w:lang w:eastAsia="en-GB"/>
        </w:rPr>
        <w:t>th</w:t>
      </w:r>
      <w:r w:rsidR="00865675">
        <w:rPr>
          <w:lang w:eastAsia="en-GB"/>
        </w:rPr>
        <w:t xml:space="preserve"> of December 2017 (The Remainers</w:t>
      </w:r>
      <w:r w:rsidR="000B4D63">
        <w:rPr>
          <w:lang w:eastAsia="en-GB"/>
        </w:rPr>
        <w:t>`</w:t>
      </w:r>
      <w:r w:rsidR="00865675">
        <w:rPr>
          <w:lang w:eastAsia="en-GB"/>
        </w:rPr>
        <w:t xml:space="preserve"> passing of amendment 7 (309-305 votes)</w:t>
      </w:r>
      <w:r w:rsidR="006E7495">
        <w:rPr>
          <w:lang w:eastAsia="en-GB"/>
        </w:rPr>
        <w:t xml:space="preserve">, promising a decisive vote on </w:t>
      </w:r>
      <w:r w:rsidR="00865675">
        <w:rPr>
          <w:lang w:eastAsia="en-GB"/>
        </w:rPr>
        <w:t>final Brexit deal)</w:t>
      </w:r>
      <w:r w:rsidR="000B4D63">
        <w:rPr>
          <w:lang w:eastAsia="en-GB"/>
        </w:rPr>
        <w:t xml:space="preserve">, </w:t>
      </w:r>
      <w:r w:rsidR="0083481F">
        <w:rPr>
          <w:lang w:eastAsia="en-GB"/>
        </w:rPr>
        <w:t>may be prone to significant delays or even revocation</w:t>
      </w:r>
      <w:r w:rsidR="00F56BED">
        <w:rPr>
          <w:lang w:eastAsia="en-GB"/>
        </w:rPr>
        <w:t xml:space="preserve"> should the terms be of a displeasing nature to the respective parties</w:t>
      </w:r>
      <w:r w:rsidR="006E7495">
        <w:rPr>
          <w:lang w:eastAsia="en-GB"/>
        </w:rPr>
        <w:t>.</w:t>
      </w:r>
      <w:r w:rsidR="00F56BED">
        <w:rPr>
          <w:lang w:eastAsia="en-GB"/>
        </w:rPr>
        <w:t xml:space="preserve"> This comes</w:t>
      </w:r>
      <w:r w:rsidR="000B4D63">
        <w:rPr>
          <w:lang w:eastAsia="en-GB"/>
        </w:rPr>
        <w:t xml:space="preserve"> in unison with that of Farage’s </w:t>
      </w:r>
      <w:r w:rsidR="00F56BED">
        <w:rPr>
          <w:lang w:eastAsia="en-GB"/>
        </w:rPr>
        <w:t xml:space="preserve">contemporary </w:t>
      </w:r>
      <w:r w:rsidR="000B4D63">
        <w:rPr>
          <w:lang w:eastAsia="en-GB"/>
        </w:rPr>
        <w:t>utterance</w:t>
      </w:r>
      <w:r w:rsidR="004C06EA">
        <w:rPr>
          <w:lang w:eastAsia="en-GB"/>
        </w:rPr>
        <w:t>:</w:t>
      </w:r>
      <w:r w:rsidR="000B4D63">
        <w:rPr>
          <w:lang w:eastAsia="en-GB"/>
        </w:rPr>
        <w:t xml:space="preserve"> “</w:t>
      </w:r>
      <w:r w:rsidR="00F2163F" w:rsidRPr="00F2163F">
        <w:rPr>
          <w:lang w:eastAsia="en-GB"/>
        </w:rPr>
        <w:t xml:space="preserve">The aspirations of our </w:t>
      </w:r>
      <w:r w:rsidR="00F2163F" w:rsidRPr="00F2163F">
        <w:rPr>
          <w:lang w:eastAsia="en-GB"/>
        </w:rPr>
        <w:lastRenderedPageBreak/>
        <w:t xml:space="preserve">political leaders are out of step with the people they are meant to serve. I fear </w:t>
      </w:r>
      <w:r w:rsidR="00E602F1">
        <w:rPr>
          <w:noProof/>
          <w:lang w:eastAsia="en-GB"/>
        </w:rPr>
        <w:drawing>
          <wp:anchor distT="0" distB="0" distL="114300" distR="114300" simplePos="0" relativeHeight="251714560" behindDoc="0" locked="0" layoutInCell="1" allowOverlap="1" wp14:anchorId="1C00F58A" wp14:editId="3D9001A6">
            <wp:simplePos x="0" y="0"/>
            <wp:positionH relativeFrom="margin">
              <wp:align>center</wp:align>
            </wp:positionH>
            <wp:positionV relativeFrom="paragraph">
              <wp:posOffset>748030</wp:posOffset>
            </wp:positionV>
            <wp:extent cx="4924425" cy="4543425"/>
            <wp:effectExtent l="0" t="0" r="9525" b="952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24425" cy="4543425"/>
                    </a:xfrm>
                    <a:prstGeom prst="rect">
                      <a:avLst/>
                    </a:prstGeom>
                    <a:noFill/>
                    <a:ln>
                      <a:noFill/>
                    </a:ln>
                  </pic:spPr>
                </pic:pic>
              </a:graphicData>
            </a:graphic>
          </wp:anchor>
        </w:drawing>
      </w:r>
      <w:r w:rsidR="00F2163F" w:rsidRPr="00F2163F">
        <w:rPr>
          <w:lang w:eastAsia="en-GB"/>
        </w:rPr>
        <w:t>Brexit may need to be refought all over again</w:t>
      </w:r>
      <w:r w:rsidR="00F2163F">
        <w:rPr>
          <w:lang w:eastAsia="en-GB"/>
        </w:rPr>
        <w:t>”</w:t>
      </w:r>
      <w:r w:rsidR="004C06EA">
        <w:rPr>
          <w:lang w:eastAsia="en-GB"/>
        </w:rPr>
        <w:t xml:space="preserve"> </w:t>
      </w:r>
      <w:r w:rsidR="004C06EA">
        <w:rPr>
          <w:lang w:eastAsia="en-GB"/>
        </w:rPr>
        <w:fldChar w:fldCharType="begin" w:fldLock="1"/>
      </w:r>
      <w:r w:rsidR="004C06EA">
        <w:rPr>
          <w:lang w:eastAsia="en-GB"/>
        </w:rPr>
        <w:instrText>ADDIN CSL_CITATION { "citationItems" : [ { "id" : "ITEM-1", "itemData" : { "URL" : "http://www.westmonster.com/farage-brexit-may-need-to-be-refought-all-over-again/", "accessed" : { "date-parts" : [ [ "2017", "12", "14" ] ] }, "author" : [ { "dropping-particle" : "", "family" : "Westmonster", "given" : "", "non-dropping-particle" : "", "parse-names" : false, "suffix" : "" } ], "id" : "ITEM-1", "issued" : { "date-parts" : [ [ "2017" ] ] }, "title" : "Farage: Brexit may need to be refought all over again \u2013 Westmonster", "type" : "webpage" }, "uris" : [ "http://www.mendeley.com/documents/?uuid=1d7bf5f9-7694-38cc-ac42-251839776045" ] } ], "mendeley" : { "formattedCitation" : "(Westmonster, 2017)", "plainTextFormattedCitation" : "(Westmonster, 2017)", "previouslyFormattedCitation" : "(Westmonster, 2017)" }, "properties" : { "noteIndex" : 22 }, "schema" : "https://github.com/citation-style-language/schema/raw/master/csl-citation.json" }</w:instrText>
      </w:r>
      <w:r w:rsidR="004C06EA">
        <w:rPr>
          <w:lang w:eastAsia="en-GB"/>
        </w:rPr>
        <w:fldChar w:fldCharType="separate"/>
      </w:r>
      <w:r w:rsidR="004C06EA" w:rsidRPr="004C06EA">
        <w:rPr>
          <w:noProof/>
          <w:lang w:eastAsia="en-GB"/>
        </w:rPr>
        <w:t>(Westmonster, 2017)</w:t>
      </w:r>
      <w:r w:rsidR="004C06EA">
        <w:rPr>
          <w:lang w:eastAsia="en-GB"/>
        </w:rPr>
        <w:fldChar w:fldCharType="end"/>
      </w:r>
      <w:r w:rsidR="00F2163F">
        <w:rPr>
          <w:lang w:eastAsia="en-GB"/>
        </w:rPr>
        <w:t xml:space="preserve">. </w:t>
      </w:r>
    </w:p>
    <w:p w14:paraId="0B4FB744" w14:textId="3DEE30B4" w:rsidR="00C56441" w:rsidRDefault="00414E27" w:rsidP="00C56441">
      <w:pPr>
        <w:keepNext/>
        <w:ind w:firstLine="0"/>
      </w:pPr>
      <w:r>
        <w:rPr>
          <w:rFonts w:eastAsia="Times New Roman" w:cstheme="minorHAnsi"/>
          <w:szCs w:val="28"/>
          <w:lang w:eastAsia="en-GB"/>
        </w:rPr>
        <w:t xml:space="preserve"> </w:t>
      </w:r>
    </w:p>
    <w:p w14:paraId="0C3653B8" w14:textId="33AE8A25" w:rsidR="00C56441" w:rsidRDefault="00C56441" w:rsidP="00E602F1">
      <w:pPr>
        <w:pStyle w:val="Caption"/>
        <w:jc w:val="center"/>
      </w:pPr>
      <w:r>
        <w:t xml:space="preserve">Figure </w:t>
      </w:r>
      <w:fldSimple w:instr=" SEQ Figure \* ARABIC ">
        <w:r w:rsidR="00C658DC">
          <w:rPr>
            <w:noProof/>
          </w:rPr>
          <w:t>14</w:t>
        </w:r>
      </w:fldSimple>
      <w:r>
        <w:t xml:space="preserve">: Readers opinions from The Independent </w:t>
      </w:r>
      <w:r>
        <w:fldChar w:fldCharType="begin" w:fldLock="1"/>
      </w:r>
      <w:r>
        <w:instrText>ADDIN CSL_CITATION { "citationItems" : [ { "id" : "ITEM-1", "itemData" : { "URL" : "http://www.independent.co.uk/voices/brexit-deal-european-union-eu27-withdrawal-bill-8-december-is-it-binding-a8105936.html", "abstract" : "The Brexit deal is not legally binding \u2013 but politically, it's a different story altogether\r\n\r\nIt is technically accurate to say the new deal is not legally binding, but that would be misleading regarding its political importance\r\n", "accessed" : { "date-parts" : [ [ "2017", "12", "13" ] ] }, "author" : [ { "dropping-particle" : "", "family" : "Peers", "given" : "Steve", "non-dropping-particle" : "", "parse-names" : false, "suffix" : "" } ], "container-title" : "The Independent", "id" : "ITEM-1", "issued" : { "date-parts" : [ [ "2017" ] ] }, "title" : "The Brexit deal is not legally binding \u2013 but politically, it's a different story altogether | The Independent", "type" : "webpage" }, "uris" : [ "http://www.mendeley.com/documents/?uuid=febc72c2-1cd7-38b0-89d6-335a947643cd" ] } ], "mendeley" : { "formattedCitation" : "(Peers, 2017)", "plainTextFormattedCitation" : "(Peers, 2017)", "previouslyFormattedCitation" : "(Peers, 2017)" }, "properties" : { "noteIndex" : 25 }, "schema" : "https://github.com/citation-style-language/schema/raw/master/csl-citation.json" }</w:instrText>
      </w:r>
      <w:r>
        <w:fldChar w:fldCharType="separate"/>
      </w:r>
      <w:r w:rsidRPr="00C56441">
        <w:rPr>
          <w:i w:val="0"/>
          <w:noProof/>
        </w:rPr>
        <w:t>(Peers, 2017)</w:t>
      </w:r>
      <w:r>
        <w:fldChar w:fldCharType="end"/>
      </w:r>
    </w:p>
    <w:p w14:paraId="2B6E224F" w14:textId="0A9DAC63" w:rsidR="004C06EA" w:rsidRDefault="004C06EA" w:rsidP="004C06EA">
      <w:r>
        <w:t xml:space="preserve">Furthermore, expert in macroeconomics </w:t>
      </w:r>
      <w:r w:rsidR="00B62F2B">
        <w:t>and</w:t>
      </w:r>
      <w:r>
        <w:t xml:space="preserve"> professor</w:t>
      </w:r>
      <w:r w:rsidR="00B62F2B">
        <w:t xml:space="preserve"> at</w:t>
      </w:r>
      <w:r>
        <w:t xml:space="preserve"> Cardiff University</w:t>
      </w:r>
      <w:r w:rsidR="00B62F2B">
        <w:t xml:space="preserve"> Dr Patrick Minford</w:t>
      </w:r>
      <w:r>
        <w:t xml:space="preserve"> stated</w:t>
      </w:r>
      <w:r w:rsidR="00B62F2B">
        <w:t xml:space="preserve"> </w:t>
      </w:r>
      <w:r>
        <w:t>that “We'd</w:t>
      </w:r>
      <w:r w:rsidR="00B62F2B">
        <w:t xml:space="preserve"> be</w:t>
      </w:r>
      <w:r>
        <w:t xml:space="preserve"> £135bn a year better off with hard Brexit”</w:t>
      </w:r>
      <w:r w:rsidR="00B62F2B">
        <w:t>, which would be leading to what he refers to as access to the full benefits of freer trade outside the EU</w:t>
      </w:r>
      <w:r>
        <w:t xml:space="preserve"> </w:t>
      </w:r>
      <w:r>
        <w:fldChar w:fldCharType="begin" w:fldLock="1"/>
      </w:r>
      <w:r w:rsidR="00B62F2B">
        <w:instrText>ADDIN CSL_CITATION { "citationItems" : [ { "id" : "ITEM-1", "itemData" : { "URL" : "http://www.walesonline.co.uk/business/business-news/wed-135bn-year-better-hard-13502387", "abstract" : "We'd \u00a3135bn a year better off with hard Brexit claims Cardiff professor - but others call it 'economic suicide'\r\n\r\nFormer Thatcher adviser Patrick Minford gained notoriety last year with his claim that the loss of Britain's manufacturing industries \"shouldn't scare us\"", "accessed" : { "date-parts" : [ [ "2017", "12", "14" ] ] }, "author" : [ { "dropping-particle" : "", "family" : "Kelsey", "given" : "Chris", "non-dropping-particle" : "", "parse-names" : false, "suffix" : "" } ], "id" : "ITEM-1", "issued" : { "date-parts" : [ [ "2017" ] ] }, "title" : "We'd \u00a3135bn a year better off with hard Brexit claims Cardiff professor - but others call it 'economic suicide' - Wales Online", "type" : "webpage" }, "uris" : [ "http://www.mendeley.com/documents/?uuid=72dab81e-6631-3a02-a59c-c71a0f56b911" ] } ], "mendeley" : { "formattedCitation" : "(Kelsey, 2017)", "plainTextFormattedCitation" : "(Kelsey, 2017)", "previouslyFormattedCitation" : "(Kelsey, 2017)" }, "properties" : { "noteIndex" : 23 }, "schema" : "https://github.com/citation-style-language/schema/raw/master/csl-citation.json" }</w:instrText>
      </w:r>
      <w:r>
        <w:fldChar w:fldCharType="separate"/>
      </w:r>
      <w:r w:rsidRPr="004C06EA">
        <w:rPr>
          <w:noProof/>
        </w:rPr>
        <w:t>(Kelsey, 2017)</w:t>
      </w:r>
      <w:r>
        <w:fldChar w:fldCharType="end"/>
      </w:r>
      <w:r w:rsidR="00B62F2B">
        <w:t>. Additionally, Minford points to a ‘soft’ Brexit as being of no significant difference to the status quo situation and leaving the UK “as badly off as before”</w:t>
      </w:r>
      <w:r w:rsidR="00243B0C">
        <w:fldChar w:fldCharType="begin" w:fldLock="1"/>
      </w:r>
      <w:r w:rsidR="006A2F47">
        <w:instrText>ADDIN CSL_CITATION { "citationItems" : [ { "id" : "ITEM-1", "itemData" : { "DOI" : "10.1111/ecaf.12248", "ISSN" : "02650665", "author" : [ { "dropping-particle" : "", "family" : "Minford", "given" : "Patrick", "non-dropping-particle" : "", "parse-names" : false, "suffix" : "" }, { "dropping-particle" : "", "family" : "Pryce", "given" : "Vicky", "non-dropping-particle" : "", "parse-names" : false, "suffix" : "" } ], "container-title" : "Economic Affairs", "id" : "ITEM-1", "issue" : "3", "issued" : { "date-parts" : [ [ "2017", "10", "1" ] ] }, "page" : "422-427", "title" : "The Prospects for Brexit: Two Views", "type" : "article-journal", "volume" : "37" }, "uris" : [ "http://www.mendeley.com/documents/?uuid=5d28f7a1-9e51-3e7a-8be4-79cdc905a221" ] } ], "mendeley" : { "formattedCitation" : "(Minford and Pryce, 2017)", "plainTextFormattedCitation" : "(Minford and Pryce, 2017)", "previouslyFormattedCitation" : "(Minford and Pryce, 2017)" }, "properties" : { "noteIndex" : 21 }, "schema" : "https://github.com/citation-style-language/schema/raw/master/csl-citation.json" }</w:instrText>
      </w:r>
      <w:r w:rsidR="00243B0C">
        <w:fldChar w:fldCharType="separate"/>
      </w:r>
      <w:r w:rsidR="00243B0C" w:rsidRPr="00243B0C">
        <w:rPr>
          <w:noProof/>
        </w:rPr>
        <w:t>(Minford and Pryce, 2017)</w:t>
      </w:r>
      <w:r w:rsidR="00243B0C">
        <w:fldChar w:fldCharType="end"/>
      </w:r>
      <w:r w:rsidR="00B62F2B">
        <w:t>. The</w:t>
      </w:r>
      <w:r w:rsidR="00F56BED">
        <w:t xml:space="preserve"> suggestive</w:t>
      </w:r>
      <w:r w:rsidR="00B62F2B">
        <w:t xml:space="preserve"> freeing of such substantial funds could prove </w:t>
      </w:r>
      <w:r w:rsidR="00E15183">
        <w:t>beneficial</w:t>
      </w:r>
      <w:r w:rsidR="00B62F2B">
        <w:t xml:space="preserve"> to the UKs renewable energy development and excel the country’</w:t>
      </w:r>
      <w:r w:rsidR="00E15183">
        <w:t>s position towards</w:t>
      </w:r>
      <w:r w:rsidR="00B62F2B">
        <w:t xml:space="preserve"> alignment with the </w:t>
      </w:r>
      <w:r w:rsidR="00F56BED">
        <w:t>2050 Pathway A</w:t>
      </w:r>
      <w:r w:rsidR="00E15183">
        <w:t xml:space="preserve">nalysis target (80% emissions reduction by 2050, relative to </w:t>
      </w:r>
      <w:r w:rsidR="00C31D4D">
        <w:rPr>
          <w:noProof/>
          <w:lang w:eastAsia="en-GB"/>
        </w:rPr>
        <mc:AlternateContent>
          <mc:Choice Requires="wps">
            <w:drawing>
              <wp:anchor distT="0" distB="0" distL="114300" distR="114300" simplePos="0" relativeHeight="251688960" behindDoc="0" locked="0" layoutInCell="1" allowOverlap="1" wp14:anchorId="01C16C81" wp14:editId="6CDF5A78">
                <wp:simplePos x="0" y="0"/>
                <wp:positionH relativeFrom="column">
                  <wp:posOffset>-379730</wp:posOffset>
                </wp:positionH>
                <wp:positionV relativeFrom="paragraph">
                  <wp:posOffset>4580255</wp:posOffset>
                </wp:positionV>
                <wp:extent cx="621030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6210300" cy="635"/>
                        </a:xfrm>
                        <a:prstGeom prst="rect">
                          <a:avLst/>
                        </a:prstGeom>
                        <a:solidFill>
                          <a:prstClr val="white"/>
                        </a:solidFill>
                        <a:ln>
                          <a:noFill/>
                        </a:ln>
                      </wps:spPr>
                      <wps:txbx>
                        <w:txbxContent>
                          <w:p w14:paraId="3CC10485" w14:textId="30E85716" w:rsidR="00B725B9" w:rsidRPr="008053B6" w:rsidRDefault="00B725B9" w:rsidP="00C31D4D">
                            <w:pPr>
                              <w:pStyle w:val="Caption"/>
                              <w:rPr>
                                <w:sz w:val="28"/>
                              </w:rPr>
                            </w:pPr>
                            <w:r>
                              <w:t xml:space="preserve">Figure </w:t>
                            </w:r>
                            <w:fldSimple w:instr=" SEQ Figure \* ARABIC ">
                              <w:r>
                                <w:rPr>
                                  <w:noProof/>
                                </w:rPr>
                                <w:t>15</w:t>
                              </w:r>
                            </w:fldSimple>
                            <w:r>
                              <w:t>: source: (HM Government,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16C81" id="Text Box 24" o:spid="_x0000_s1032" type="#_x0000_t202" style="position:absolute;left:0;text-align:left;margin-left:-29.9pt;margin-top:360.65pt;width:489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" stroked="f">
                <v:textbox style="mso-fit-shape-to-text:t" inset="0,0,0,0">
                  <w:txbxContent>
                    <w:p w14:paraId="3CC10485" w14:textId="30E85716" w:rsidR="00B725B9" w:rsidRPr="008053B6" w:rsidRDefault="00B725B9" w:rsidP="00C31D4D">
                      <w:pPr>
                        <w:pStyle w:val="Caption"/>
                        <w:rPr>
                          <w:sz w:val="28"/>
                        </w:rPr>
                      </w:pPr>
                      <w:r>
                        <w:t xml:space="preserve">Figure </w:t>
                      </w:r>
                      <w:fldSimple w:instr=" SEQ Figure \* ARABIC ">
                        <w:r>
                          <w:rPr>
                            <w:noProof/>
                          </w:rPr>
                          <w:t>15</w:t>
                        </w:r>
                      </w:fldSimple>
                      <w:r>
                        <w:t>: source: (HM Government, 2010)</w:t>
                      </w:r>
                    </w:p>
                  </w:txbxContent>
                </v:textbox>
                <w10:wrap type="square"/>
              </v:shape>
            </w:pict>
          </mc:Fallback>
        </mc:AlternateContent>
      </w:r>
      <w:r w:rsidR="00E15183">
        <w:t xml:space="preserve">1990 </w:t>
      </w:r>
      <w:r w:rsidR="008C2DE4">
        <w:rPr>
          <w:noProof/>
          <w:lang w:eastAsia="en-GB"/>
        </w:rPr>
        <w:drawing>
          <wp:anchor distT="0" distB="0" distL="114300" distR="114300" simplePos="0" relativeHeight="251669504" behindDoc="0" locked="0" layoutInCell="1" allowOverlap="1" wp14:anchorId="1D85A500" wp14:editId="594F3EF9">
            <wp:simplePos x="0" y="0"/>
            <wp:positionH relativeFrom="margin">
              <wp:posOffset>-414845</wp:posOffset>
            </wp:positionH>
            <wp:positionV relativeFrom="paragraph">
              <wp:posOffset>568713</wp:posOffset>
            </wp:positionV>
            <wp:extent cx="6210300" cy="379984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10300" cy="3799840"/>
                    </a:xfrm>
                    <a:prstGeom prst="rect">
                      <a:avLst/>
                    </a:prstGeom>
                    <a:noFill/>
                    <a:ln>
                      <a:noFill/>
                    </a:ln>
                  </pic:spPr>
                </pic:pic>
              </a:graphicData>
            </a:graphic>
            <wp14:sizeRelV relativeFrom="margin">
              <wp14:pctHeight>0</wp14:pctHeight>
            </wp14:sizeRelV>
          </wp:anchor>
        </w:drawing>
      </w:r>
      <w:r w:rsidR="00E15183">
        <w:t xml:space="preserve">levels) </w:t>
      </w:r>
      <w:r w:rsidR="00E15183">
        <w:fldChar w:fldCharType="begin" w:fldLock="1"/>
      </w:r>
      <w:r w:rsidR="009E7A2F">
        <w:instrText>ADDIN CSL_CITATION { "citationItems" : [ { "id" : "ITEM-1", "itemData" : { "author" : [ { "dropping-particle" : "", "family" : "HM Government", "given" : "", "non-dropping-particle" : "", "parse-names" : false, "suffix" : "" } ], "id" : "ITEM-1", "issued" : { "date-parts" : [ [ "2010" ] ] }, "title" : "2050 Pathways Analysis", "type" : "article-journal" }, "uris" : [ "http://www.mendeley.com/documents/?uuid=e884757c-5b60-33b6-b66b-89f594875941" ] } ], "mendeley" : { "formattedCitation" : "(HM Government, 2010)", "plainTextFormattedCitation" : "(HM Government, 2010)", "previouslyFormattedCitation" : "(HM Government, 2010)" }, "properties" : { "noteIndex" : 23 }, "schema" : "https://github.com/citation-style-language/schema/raw/master/csl-citation.json" }</w:instrText>
      </w:r>
      <w:r w:rsidR="00E15183">
        <w:fldChar w:fldCharType="separate"/>
      </w:r>
      <w:r w:rsidR="00E15183" w:rsidRPr="00E15183">
        <w:rPr>
          <w:noProof/>
        </w:rPr>
        <w:t>(HM Government, 2010)</w:t>
      </w:r>
      <w:r w:rsidR="00E15183">
        <w:fldChar w:fldCharType="end"/>
      </w:r>
      <w:r w:rsidR="00E15183">
        <w:t>.</w:t>
      </w:r>
    </w:p>
    <w:p w14:paraId="3516F69E" w14:textId="30B47BA8" w:rsidR="004E7F4C" w:rsidRDefault="004E7F4C" w:rsidP="004C06EA"/>
    <w:p w14:paraId="16F8A53D" w14:textId="3C2853BC" w:rsidR="004E7F4C" w:rsidRDefault="004E7F4C" w:rsidP="004C06EA"/>
    <w:p w14:paraId="722139B9" w14:textId="17998C1E" w:rsidR="004E7F4C" w:rsidRDefault="004E7F4C" w:rsidP="004C06EA"/>
    <w:p w14:paraId="78A10D79" w14:textId="2F4E5C11" w:rsidR="004E7F4C" w:rsidRDefault="004E7F4C" w:rsidP="004C06EA"/>
    <w:p w14:paraId="6C2ECB45" w14:textId="399F9EEE" w:rsidR="004E7F4C" w:rsidRDefault="004E7F4C" w:rsidP="004C06EA"/>
    <w:p w14:paraId="3BA0E488" w14:textId="3898409F" w:rsidR="004E7F4C" w:rsidRDefault="004E7F4C" w:rsidP="004C06EA"/>
    <w:p w14:paraId="43F3DD44" w14:textId="4E3C4435" w:rsidR="004E7F4C" w:rsidRDefault="004E7F4C" w:rsidP="004C06EA"/>
    <w:p w14:paraId="791177D2" w14:textId="1510A8D8" w:rsidR="004E7F4C" w:rsidRDefault="004E7F4C" w:rsidP="004C06EA"/>
    <w:p w14:paraId="3B2A3106" w14:textId="77777777" w:rsidR="004E7F4C" w:rsidRPr="004C06EA" w:rsidRDefault="004E7F4C" w:rsidP="004C06EA"/>
    <w:p w14:paraId="633B1F31" w14:textId="77777777" w:rsidR="004E7F4C" w:rsidRPr="00C94803" w:rsidRDefault="00073E42" w:rsidP="00C94803">
      <w:pPr>
        <w:pStyle w:val="Heading2"/>
      </w:pPr>
      <w:bookmarkStart w:id="30" w:name="_Toc501110479"/>
      <w:bookmarkEnd w:id="30"/>
      <w:r w:rsidRPr="00C94803">
        <w:t>4.6 A coming r</w:t>
      </w:r>
      <w:r w:rsidR="00B36FF9" w:rsidRPr="00C94803">
        <w:t>eform of the Renewable Energy Directive</w:t>
      </w:r>
    </w:p>
    <w:p w14:paraId="3746BCAC" w14:textId="6ACC1BF6" w:rsidR="00E573DC" w:rsidRPr="004E7F4C" w:rsidRDefault="00243B0C" w:rsidP="004E7F4C">
      <w:pPr>
        <w:rPr>
          <w:rFonts w:asciiTheme="majorHAnsi" w:eastAsiaTheme="majorEastAsia" w:hAnsiTheme="majorHAnsi" w:cstheme="majorBidi"/>
          <w:color w:val="000000" w:themeColor="text1"/>
          <w:sz w:val="26"/>
          <w:szCs w:val="26"/>
        </w:rPr>
      </w:pPr>
      <w:r>
        <w:rPr>
          <w:noProof/>
          <w:lang w:eastAsia="en-GB"/>
        </w:rPr>
        <w:drawing>
          <wp:anchor distT="0" distB="0" distL="114300" distR="114300" simplePos="0" relativeHeight="251587584" behindDoc="0" locked="0" layoutInCell="1" allowOverlap="1" wp14:anchorId="01C2CB9B" wp14:editId="7BBED317">
            <wp:simplePos x="0" y="0"/>
            <wp:positionH relativeFrom="margin">
              <wp:posOffset>-635</wp:posOffset>
            </wp:positionH>
            <wp:positionV relativeFrom="paragraph">
              <wp:posOffset>291209</wp:posOffset>
            </wp:positionV>
            <wp:extent cx="3209925" cy="4371975"/>
            <wp:effectExtent l="0" t="0" r="9525"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09925" cy="4371975"/>
                    </a:xfrm>
                    <a:prstGeom prst="rect">
                      <a:avLst/>
                    </a:prstGeom>
                    <a:noFill/>
                    <a:ln>
                      <a:noFill/>
                    </a:ln>
                  </pic:spPr>
                </pic:pic>
              </a:graphicData>
            </a:graphic>
          </wp:anchor>
        </w:drawing>
      </w:r>
      <w:r w:rsidR="004E7F4C">
        <w:rPr>
          <w:noProof/>
          <w:lang w:eastAsia="en-GB"/>
        </w:rPr>
        <mc:AlternateContent>
          <mc:Choice Requires="wps">
            <w:drawing>
              <wp:anchor distT="0" distB="0" distL="114300" distR="114300" simplePos="0" relativeHeight="251613184" behindDoc="0" locked="0" layoutInCell="1" allowOverlap="1" wp14:anchorId="65924401" wp14:editId="14505B5B">
                <wp:simplePos x="0" y="0"/>
                <wp:positionH relativeFrom="page">
                  <wp:posOffset>737680</wp:posOffset>
                </wp:positionH>
                <wp:positionV relativeFrom="paragraph">
                  <wp:posOffset>4689442</wp:posOffset>
                </wp:positionV>
                <wp:extent cx="341185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3411855" cy="635"/>
                        </a:xfrm>
                        <a:prstGeom prst="rect">
                          <a:avLst/>
                        </a:prstGeom>
                        <a:solidFill>
                          <a:prstClr val="white"/>
                        </a:solidFill>
                        <a:ln>
                          <a:noFill/>
                        </a:ln>
                      </wps:spPr>
                      <wps:txbx>
                        <w:txbxContent>
                          <w:p w14:paraId="36A0EF76" w14:textId="4436C5B2" w:rsidR="00B725B9" w:rsidRPr="005A38A9" w:rsidRDefault="00B725B9" w:rsidP="005B4FC9">
                            <w:pPr>
                              <w:pStyle w:val="Caption"/>
                              <w:rPr>
                                <w:sz w:val="28"/>
                              </w:rPr>
                            </w:pPr>
                            <w:bookmarkStart w:id="31" w:name="_Toc500949338"/>
                            <w:r>
                              <w:t xml:space="preserve">Figure </w:t>
                            </w:r>
                            <w:fldSimple w:instr=" SEQ Figure \* ARABIC ">
                              <w:r>
                                <w:rPr>
                                  <w:noProof/>
                                </w:rPr>
                                <w:t>16</w:t>
                              </w:r>
                            </w:fldSimple>
                            <w:r>
                              <w:t>: Renewable Energy Funding Systems (UWE Nestle, 2017)</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924401" id="Text Box 27" o:spid="_x0000_s1033" type="#_x0000_t202" style="position:absolute;left:0;text-align:left;margin-left:58.1pt;margin-top:369.25pt;width:268.65pt;height:.05pt;z-index:25161318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uZMAIAAGYEAAAOAAAAZHJzL2Uyb0RvYy54bWysVMFu2zAMvQ/YPwi6L07SJSu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" stroked="f">
                <v:textbox style="mso-fit-shape-to-text:t" inset="0,0,0,0">
                  <w:txbxContent>
                    <w:p w14:paraId="36A0EF76" w14:textId="4436C5B2" w:rsidR="00B725B9" w:rsidRPr="005A38A9" w:rsidRDefault="00B725B9" w:rsidP="005B4FC9">
                      <w:pPr>
                        <w:pStyle w:val="Caption"/>
                        <w:rPr>
                          <w:sz w:val="28"/>
                        </w:rPr>
                      </w:pPr>
                      <w:bookmarkStart w:id="32" w:name="_Toc500949338"/>
                      <w:r>
                        <w:t xml:space="preserve">Figure </w:t>
                      </w:r>
                      <w:fldSimple w:instr=" SEQ Figure \* ARABIC ">
                        <w:r>
                          <w:rPr>
                            <w:noProof/>
                          </w:rPr>
                          <w:t>16</w:t>
                        </w:r>
                      </w:fldSimple>
                      <w:r>
                        <w:t>: Renewable Energy Funding Systems (UWE Nestle, 2017)</w:t>
                      </w:r>
                      <w:bookmarkEnd w:id="32"/>
                    </w:p>
                  </w:txbxContent>
                </v:textbox>
                <w10:wrap type="square" anchorx="page"/>
              </v:shape>
            </w:pict>
          </mc:Fallback>
        </mc:AlternateContent>
      </w:r>
      <w:r w:rsidR="004E7F4C">
        <w:rPr>
          <w:rStyle w:val="Heading2Char"/>
        </w:rPr>
        <w:br/>
      </w:r>
      <w:r w:rsidR="0073398D">
        <w:t>Following what has been deemed</w:t>
      </w:r>
      <w:r w:rsidR="00F56BED">
        <w:t xml:space="preserve"> by above</w:t>
      </w:r>
      <w:r w:rsidR="0073398D">
        <w:t>mentioned statistics to have been a</w:t>
      </w:r>
      <w:r w:rsidR="0018275E">
        <w:t xml:space="preserve"> successful directive, the European Commission has proposed a reform of RED to impose a tender system, discard</w:t>
      </w:r>
      <w:r w:rsidR="0073398D">
        <w:t xml:space="preserve">ing of </w:t>
      </w:r>
      <w:r w:rsidR="0069285D">
        <w:t>previous freedom</w:t>
      </w:r>
      <w:r w:rsidR="0073398D">
        <w:t>s</w:t>
      </w:r>
      <w:r w:rsidR="0069285D">
        <w:t xml:space="preserve"> promoting appropriate individual funding instruments for member states, based on scientifically ambiguous assertions, and h</w:t>
      </w:r>
      <w:r w:rsidR="00FC10BC">
        <w:t xml:space="preserve">arbouring substantial risks </w:t>
      </w:r>
      <w:r w:rsidR="00806666">
        <w:t xml:space="preserve">for </w:t>
      </w:r>
      <w:r w:rsidR="0073398D">
        <w:t xml:space="preserve">EU 27s </w:t>
      </w:r>
      <w:r w:rsidR="00FC10BC">
        <w:t>RE</w:t>
      </w:r>
      <w:r w:rsidR="00806666">
        <w:t xml:space="preserve"> development</w:t>
      </w:r>
      <w:r w:rsidR="00831012">
        <w:t xml:space="preserve"> </w:t>
      </w:r>
      <w:r w:rsidR="00806666">
        <w:t>(UWT Nestle, 2017)</w:t>
      </w:r>
      <w:r w:rsidR="00FC10BC">
        <w:t>. Given th</w:t>
      </w:r>
      <w:r w:rsidR="00A2062E">
        <w:t>e volatile state of negotiations, transposition</w:t>
      </w:r>
      <w:r w:rsidR="00806666">
        <w:t xml:space="preserve"> </w:t>
      </w:r>
      <w:r w:rsidR="00D553FA">
        <w:t xml:space="preserve">of these amendments </w:t>
      </w:r>
      <w:r w:rsidR="006B3FE2">
        <w:t>during the transitional phase</w:t>
      </w:r>
      <w:r w:rsidR="00806666">
        <w:t xml:space="preserve"> </w:t>
      </w:r>
      <w:r w:rsidR="00D553FA">
        <w:t xml:space="preserve">could pose detriment to UK renewables as reliance on </w:t>
      </w:r>
      <w:r w:rsidR="00806666">
        <w:t xml:space="preserve">subsidies </w:t>
      </w:r>
      <w:r w:rsidR="00831012">
        <w:t>in e.g. the off-shore wind sector</w:t>
      </w:r>
      <w:r w:rsidR="00C5080D">
        <w:t>, which</w:t>
      </w:r>
      <w:r w:rsidR="00831012">
        <w:t xml:space="preserve"> is considered to be one of its main beneficiaries </w:t>
      </w:r>
      <w:r w:rsidR="00C5080D">
        <w:t xml:space="preserve">supporting </w:t>
      </w:r>
      <w:r w:rsidR="00831012">
        <w:t>the techno</w:t>
      </w:r>
      <w:r w:rsidR="00C5080D">
        <w:t>logies</w:t>
      </w:r>
      <w:r w:rsidR="00831012">
        <w:t xml:space="preserve"> market competitiveness </w:t>
      </w:r>
      <w:r w:rsidR="00831012">
        <w:fldChar w:fldCharType="begin" w:fldLock="1"/>
      </w:r>
      <w:r w:rsidR="00E129A4">
        <w:instrText>ADDIN CSL_CITATION { "citationItems" : [ { "id" : "ITEM-1", "itemData" : { "DOI" : "10.1016/J.ENPOL.2017.06.042", "ISSN" : "0301-4215", "abstract" : "Offshore wind power (OSW) plays a key role within the UK strategy for a transition towards a low-carbon economy, offering vast potential for establishing a high-tech manufacturing industry. Previous experiences in the onshore sector (OWP) suggest the UK might fail in fully capturing these macroeconomic benefits. In this work, we investigate the history of UK renewable policies, comparing its national strategy to those of other major OSW-export countries. Through the use of a numerical general equilibrium model, we quantify the macroeconomic impacts under three scenarios: a baseline, which relies on previous estimates and foresee limited local content; a \u2018contamination\u2019 scenario, where the UK content reaches the same levels of OWP; and a \u2018non-myopic\u2019 scenario, where investors expect governmental support to decrease or disappear, replicating a common path of past renewable policies. We identify the UK as a FDI-oriented country. Our results suggest that increasing the share of locally-sourced capital goods in OSP to OWP-level could generate larger income and employment effects in the UK economy. We find that under forward-looking investors the economic benefits are significantly lower than the case of myopic agents. Our results show an inherent conflict with stated purposes of UK policy for OSW.", "author" : [ { "dropping-particle" : "", "family" : "Graziano", "given" : "Marcello", "non-dropping-particle" : "", "parse-names" : false, "suffix" : "" }, { "dropping-particle" : "", "family" : "Lecca", "given" : "Patrizio", "non-dropping-particle" : "", "parse-names" : false, "suffix" : "" }, { "dropping-particle" : "", "family" : "Musso", "given" : "Marta", "non-dropping-particle" : "", "parse-names" : false, "suffix" : "" } ], "container-title" : "Energy Policy", "id" : "ITEM-1", "issued" : { "date-parts" : [ [ "2017", "9", "1" ] ] }, "page" : "715-730", "publisher" : "Elsevier", "title" : "Historic paths and future expectations: The macroeconomic impacts of the offshore wind technologies in the UK", "type" : "article-journal", "volume" : "108" }, "uris" : [ "http://www.mendeley.com/documents/?uuid=f438244a-d47a-3f1a-96ec-da5a12499902" ] } ], "mendeley" : { "formattedCitation" : "(Graziano, Lecca and Musso, 2017)", "plainTextFormattedCitation" : "(Graziano, Lecca and Musso, 2017)", "previouslyFormattedCitation" : "(Graziano, Lecca and Musso, 2017)" }, "properties" : { "noteIndex" : 25 }, "schema" : "https://github.com/citation-style-language/schema/raw/master/csl-citation.json" }</w:instrText>
      </w:r>
      <w:r w:rsidR="00831012">
        <w:fldChar w:fldCharType="separate"/>
      </w:r>
      <w:r w:rsidR="00831012" w:rsidRPr="00831012">
        <w:rPr>
          <w:noProof/>
        </w:rPr>
        <w:t>(Graziano, Lecca and Musso, 2017)</w:t>
      </w:r>
      <w:r w:rsidR="00831012">
        <w:fldChar w:fldCharType="end"/>
      </w:r>
      <w:r w:rsidR="00831012">
        <w:t xml:space="preserve">. </w:t>
      </w:r>
    </w:p>
    <w:p w14:paraId="55BAE637" w14:textId="61221332" w:rsidR="00E573DC" w:rsidRDefault="00E573DC" w:rsidP="00E573DC">
      <w:pPr>
        <w:rPr>
          <w:lang w:eastAsia="en-GB"/>
        </w:rPr>
      </w:pPr>
      <w:r>
        <w:rPr>
          <w:lang w:eastAsia="en-GB"/>
        </w:rPr>
        <w:t xml:space="preserve">Would legislation such as RED have been set in effect in the UK if EU membership was not in place, and if not, would Brexit prompt omission of statutes of equal or higher relevance for future improvement of sustainable development of Britain’s resources? </w:t>
      </w:r>
    </w:p>
    <w:p w14:paraId="41A0E8C6" w14:textId="3FF80EDB" w:rsidR="00B36FF9" w:rsidRPr="00E573DC" w:rsidRDefault="00E573DC" w:rsidP="00E573DC">
      <w:pPr>
        <w:rPr>
          <w:i/>
          <w:color w:val="808080" w:themeColor="background1" w:themeShade="80"/>
        </w:rPr>
      </w:pPr>
      <w:r w:rsidRPr="00E573DC">
        <w:rPr>
          <w:i/>
          <w:color w:val="808080" w:themeColor="background1" w:themeShade="80"/>
        </w:rPr>
        <w:t xml:space="preserve">“Once Brexit is a fait accompli, it is possible to imagine climate change returning higher up the political agenda. At this point, the government should reiterate to the voters the economic case for pursuing the ambitions of the Climate Change Act. It is simply too early to tell whether or not in post-Brexit Britain voters will accept a case for strong climate change action.” </w:t>
      </w:r>
      <w:r w:rsidRPr="00E573DC">
        <w:rPr>
          <w:i/>
          <w:color w:val="808080" w:themeColor="background1" w:themeShade="80"/>
        </w:rPr>
        <w:fldChar w:fldCharType="begin" w:fldLock="1"/>
      </w:r>
      <w:r w:rsidR="00C94803">
        <w:rPr>
          <w:i/>
          <w:color w:val="808080" w:themeColor="background1" w:themeShade="80"/>
        </w:rPr>
        <w:instrText>ADDIN CSL_CITATION { "citationItems" : [ { "id" : "ITEM-1", "itemData" : { "DOI" : "10.1093/oxrep/grx004", "abstract" : "Brexit creates challenges and opportunities for UK and EU climate policy. Without replace-ment policies for existing EU policies, the UK may not meet its domestic carbon budgets. Membership of the EU ETS, application of energy efficiency directives and renewables targets, and the maintenance of innovation funding are the key issues at stake for the UK. Brexit may also impact the ambition and shape of EU climate policy and the direction of future climate agreements.", "author" : [ { "dropping-particle" : "", "family" : "Hepburn", "given" : "Cameron", "non-dropping-particle" : "", "parse-names" : false, "suffix" : "" }, { "dropping-particle" : "", "family" : "Teytelboym", "given" : "Alexander", "non-dropping-particle" : "", "parse-names" : false, "suffix" : "" } ], "container-title" : "Oxford Review of Economic Policy", "id" : "ITEM-1", "issue" : "1", "issued" : { "date-parts" : [ [ "2017" ] ] }, "page" : "S144\u2013S154 Climate", "title" : "Climate change policy after Brexit", "type" : "article-journal", "volume" : "33" }, "uris" : [ "http://www.mendeley.com/documents/?uuid=831b54eb-6289-3bbb-95ff-da30e6e930bd" ] } ], "mendeley" : { "formattedCitation" : "(Hepburn and Teytelboym, 2017)", "plainTextFormattedCitation" : "(Hepburn and Teytelboym, 2017)", "previouslyFormattedCitation" : "(Hepburn and Teytelboym, 2017)" }, "properties" : { "noteIndex" : 24 }, "schema" : "https://github.com/citation-style-language/schema/raw/master/csl-citation.json" }</w:instrText>
      </w:r>
      <w:r w:rsidRPr="00E573DC">
        <w:rPr>
          <w:i/>
          <w:color w:val="808080" w:themeColor="background1" w:themeShade="80"/>
        </w:rPr>
        <w:fldChar w:fldCharType="separate"/>
      </w:r>
      <w:r w:rsidRPr="00E573DC">
        <w:rPr>
          <w:i/>
          <w:noProof/>
          <w:color w:val="808080" w:themeColor="background1" w:themeShade="80"/>
        </w:rPr>
        <w:t>(Hepburn and Teytelboym, 2017)</w:t>
      </w:r>
      <w:r w:rsidRPr="00E573DC">
        <w:rPr>
          <w:i/>
          <w:color w:val="808080" w:themeColor="background1" w:themeShade="80"/>
        </w:rPr>
        <w:fldChar w:fldCharType="end"/>
      </w:r>
      <w:r w:rsidRPr="00E573DC">
        <w:rPr>
          <w:i/>
          <w:color w:val="808080" w:themeColor="background1" w:themeShade="80"/>
        </w:rPr>
        <w:t>.</w:t>
      </w:r>
    </w:p>
    <w:p w14:paraId="0D2EEEEB" w14:textId="759F1B38" w:rsidR="00656675" w:rsidRDefault="0013774C" w:rsidP="00B16C84">
      <w:pPr>
        <w:pStyle w:val="Heading1"/>
      </w:pPr>
      <w:bookmarkStart w:id="33" w:name="_Toc501110480"/>
      <w:r>
        <w:t>5.0</w:t>
      </w:r>
      <w:r w:rsidR="00806E2A">
        <w:t xml:space="preserve"> Conclusion</w:t>
      </w:r>
      <w:bookmarkEnd w:id="33"/>
    </w:p>
    <w:p w14:paraId="7B18B5C5" w14:textId="529E031C" w:rsidR="008C2DE4" w:rsidRDefault="00656675" w:rsidP="008C2DE4">
      <w:r>
        <w:t>Although one might</w:t>
      </w:r>
      <w:r w:rsidR="004E7F4C">
        <w:t xml:space="preserve"> speculate </w:t>
      </w:r>
      <w:r w:rsidR="00243B0C">
        <w:t xml:space="preserve">on </w:t>
      </w:r>
      <w:r w:rsidR="004E7F4C">
        <w:t>emerging relationship between EU and the UK,</w:t>
      </w:r>
      <w:r w:rsidR="003622C1">
        <w:t xml:space="preserve"> and</w:t>
      </w:r>
      <w:r w:rsidR="004E7F4C">
        <w:t xml:space="preserve"> u</w:t>
      </w:r>
      <w:r>
        <w:t xml:space="preserve">ncertainty </w:t>
      </w:r>
      <w:r w:rsidR="004E7F4C">
        <w:t xml:space="preserve">still </w:t>
      </w:r>
      <w:r>
        <w:t xml:space="preserve">looms as the negotiations continue onward in a </w:t>
      </w:r>
      <w:bookmarkStart w:id="34" w:name="_GoBack"/>
      <w:bookmarkEnd w:id="34"/>
      <w:r>
        <w:t xml:space="preserve">turbulent political </w:t>
      </w:r>
      <w:r w:rsidR="006263C2">
        <w:t>environment still split by division in Westminster</w:t>
      </w:r>
      <w:r w:rsidR="003622C1">
        <w:t xml:space="preserve">, </w:t>
      </w:r>
      <w:r w:rsidR="00243B0C">
        <w:t>the report finds it</w:t>
      </w:r>
      <w:r w:rsidR="003622C1">
        <w:t xml:space="preserve"> unlikely that emancipation for</w:t>
      </w:r>
      <w:r w:rsidR="00C94803">
        <w:t>m</w:t>
      </w:r>
      <w:r w:rsidR="003622C1">
        <w:t xml:space="preserve"> the EU and the associated</w:t>
      </w:r>
      <w:r w:rsidR="00C94803">
        <w:t xml:space="preserve"> subsequent</w:t>
      </w:r>
      <w:r w:rsidR="003622C1">
        <w:t xml:space="preserve"> revocation of RED will bear significant shifts in</w:t>
      </w:r>
      <w:r w:rsidR="00243B0C">
        <w:t xml:space="preserve"> ne</w:t>
      </w:r>
      <w:r w:rsidR="00C94803">
        <w:t>ither</w:t>
      </w:r>
      <w:r w:rsidR="003622C1">
        <w:t xml:space="preserve"> current thinking nor action in the UKs renewable energy sector</w:t>
      </w:r>
      <w:r w:rsidR="00C5080D">
        <w:t>. In summary, this re</w:t>
      </w:r>
      <w:r w:rsidR="004E7F4C">
        <w:t xml:space="preserve">port presents contemporary hind, now and forecast </w:t>
      </w:r>
      <w:r w:rsidR="00C94803">
        <w:t>of</w:t>
      </w:r>
      <w:r w:rsidR="003622C1">
        <w:t xml:space="preserve"> the UKs</w:t>
      </w:r>
      <w:r w:rsidR="00C94803">
        <w:t xml:space="preserve"> position on renewables.</w:t>
      </w:r>
      <w:r w:rsidR="004E7F4C">
        <w:t xml:space="preserve"> </w:t>
      </w:r>
      <w:r w:rsidR="00C94803">
        <w:t xml:space="preserve">The UK acting </w:t>
      </w:r>
      <w:r w:rsidR="004E7F4C">
        <w:t>as a prominent promoter of environmental Law in and outside the EU is substantiated</w:t>
      </w:r>
      <w:r w:rsidR="00243B0C">
        <w:t>;</w:t>
      </w:r>
      <w:r w:rsidR="004E7F4C">
        <w:t xml:space="preserve"> exploring how the UK, with increased available funding and exempt from the coming </w:t>
      </w:r>
      <w:r w:rsidR="00C94803">
        <w:t>altercations to the</w:t>
      </w:r>
      <w:r w:rsidR="004E7F4C">
        <w:t xml:space="preserve"> funding meth</w:t>
      </w:r>
      <w:r w:rsidR="00C94803">
        <w:t>ods under the soon to be reformed</w:t>
      </w:r>
      <w:r w:rsidR="004E7F4C">
        <w:t xml:space="preserve"> RED,</w:t>
      </w:r>
      <w:r w:rsidR="00243B0C">
        <w:t xml:space="preserve"> and with access to a freer market,</w:t>
      </w:r>
      <w:r w:rsidR="004E7F4C">
        <w:t xml:space="preserve"> can excel in augmen</w:t>
      </w:r>
      <w:r w:rsidR="00C94803">
        <w:t xml:space="preserve">ting its use of renewables by opting for a </w:t>
      </w:r>
      <w:r w:rsidR="004E7F4C">
        <w:t>‘hard’</w:t>
      </w:r>
      <w:r w:rsidR="00C94803">
        <w:t xml:space="preserve"> Brexit</w:t>
      </w:r>
      <w:r w:rsidR="004E7F4C">
        <w:t>, as well as a sectoral carve-out with multilateral energy sector agreements</w:t>
      </w:r>
      <w:r w:rsidR="00C94803">
        <w:t xml:space="preserve">, albeit not in congruency with a continued membership within the EU. </w:t>
      </w:r>
      <w:r w:rsidR="004E7F4C">
        <w:t xml:space="preserve"> </w:t>
      </w:r>
      <w:r w:rsidR="00C94803">
        <w:t xml:space="preserve"> </w:t>
      </w:r>
    </w:p>
    <w:p w14:paraId="5911C675" w14:textId="77777777" w:rsidR="00243B0C" w:rsidRDefault="00243B0C" w:rsidP="008C2DE4"/>
    <w:p w14:paraId="45D7D034" w14:textId="4DC0118D" w:rsidR="00806E2A" w:rsidRDefault="00806E2A" w:rsidP="00B16AC0">
      <w:pPr>
        <w:pStyle w:val="Heading1"/>
        <w:numPr>
          <w:ilvl w:val="0"/>
          <w:numId w:val="7"/>
        </w:numPr>
      </w:pPr>
      <w:bookmarkStart w:id="35" w:name="_Toc501110481"/>
      <w:r>
        <w:t>References</w:t>
      </w:r>
      <w:bookmarkEnd w:id="35"/>
    </w:p>
    <w:p w14:paraId="70FB81F8" w14:textId="50CB0FC0" w:rsidR="004237C2" w:rsidRPr="004237C2" w:rsidRDefault="00C94803" w:rsidP="004237C2">
      <w:pPr>
        <w:widowControl w:val="0"/>
        <w:autoSpaceDE w:val="0"/>
        <w:autoSpaceDN w:val="0"/>
        <w:adjustRightInd w:val="0"/>
        <w:ind w:left="480" w:hanging="480"/>
        <w:rPr>
          <w:rFonts w:ascii="Calibri" w:hAnsi="Calibri" w:cs="Calibri"/>
          <w:noProof/>
          <w:szCs w:val="24"/>
        </w:rPr>
      </w:pPr>
      <w:r>
        <w:fldChar w:fldCharType="begin" w:fldLock="1"/>
      </w:r>
      <w:r>
        <w:instrText xml:space="preserve">ADDIN Mendeley Bibliography CSL_BIBLIOGRAPHY </w:instrText>
      </w:r>
      <w:r>
        <w:fldChar w:fldCharType="separate"/>
      </w:r>
      <w:r w:rsidR="004237C2" w:rsidRPr="004237C2">
        <w:rPr>
          <w:rFonts w:ascii="Calibri" w:hAnsi="Calibri" w:cs="Calibri"/>
          <w:noProof/>
          <w:szCs w:val="24"/>
        </w:rPr>
        <w:t xml:space="preserve">Amponsah, N.Y., Troldborg, M., Kington, B., Aalders, I. and Hough, R.L. (2014) Greenhouse gas emissions from renewable energy sources: A review of lifecycle considerations </w:t>
      </w:r>
      <w:r w:rsidR="004237C2" w:rsidRPr="004237C2">
        <w:rPr>
          <w:rFonts w:ascii="Calibri" w:hAnsi="Calibri" w:cs="Calibri"/>
          <w:i/>
          <w:iCs/>
          <w:noProof/>
          <w:szCs w:val="24"/>
        </w:rPr>
        <w:t>Renewable and Sustainable Energy Reviews</w:t>
      </w:r>
      <w:r w:rsidR="004237C2" w:rsidRPr="004237C2">
        <w:rPr>
          <w:rFonts w:ascii="Calibri" w:hAnsi="Calibri" w:cs="Calibri"/>
          <w:noProof/>
          <w:szCs w:val="24"/>
        </w:rPr>
        <w:t>. doi:10.1016/j.rser.2014.07.087.</w:t>
      </w:r>
    </w:p>
    <w:p w14:paraId="7BB5E8CC"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Baldock, D., Farmer, A. and Nesbit, M. (2016) </w:t>
      </w:r>
      <w:r w:rsidRPr="004237C2">
        <w:rPr>
          <w:rFonts w:ascii="Calibri" w:hAnsi="Calibri" w:cs="Calibri"/>
          <w:i/>
          <w:iCs/>
          <w:noProof/>
          <w:szCs w:val="24"/>
        </w:rPr>
        <w:t>Brexit – the Implications for UK Environmental Policy and Regulation</w:t>
      </w:r>
      <w:r w:rsidRPr="004237C2">
        <w:rPr>
          <w:rFonts w:ascii="Calibri" w:hAnsi="Calibri" w:cs="Calibri"/>
          <w:noProof/>
          <w:szCs w:val="24"/>
        </w:rPr>
        <w:t xml:space="preserve"> [online]. Available from: https://ieep.eu/archive_uploads/2016/IEEP_2016_Brexit_-_Implications_for_UK_Environmental_Policy_and_Regulations.pdf [Accessed 27 November 2017].</w:t>
      </w:r>
    </w:p>
    <w:p w14:paraId="0CB0D4EC"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Brussels (2017) REPORT FROM THE COMMISSION TO THE EUROPEAN PARLIAMENT, THE COUNCIL, THE EUROPEAN ECONOMIC AND SOCIAL COMMITTEE AND THE COMMITTEE OF THE REGIONS Renewable Energy Progress Report. </w:t>
      </w:r>
      <w:r w:rsidRPr="004237C2">
        <w:rPr>
          <w:rFonts w:ascii="Calibri" w:hAnsi="Calibri" w:cs="Calibri"/>
          <w:i/>
          <w:iCs/>
          <w:noProof/>
          <w:szCs w:val="24"/>
        </w:rPr>
        <w:t>COM</w:t>
      </w:r>
      <w:r w:rsidRPr="004237C2">
        <w:rPr>
          <w:rFonts w:ascii="Calibri" w:hAnsi="Calibri" w:cs="Calibri"/>
          <w:noProof/>
          <w:szCs w:val="24"/>
        </w:rPr>
        <w:t xml:space="preserve"> [online]. 1  (57), . Available from: https://ec.europa.eu/transparency/regdoc/rep/1/2017/EN/COM-2017-57-F1-EN-MAIN-PART-1.PDF [Accessed 24 November 2017].</w:t>
      </w:r>
    </w:p>
    <w:p w14:paraId="76E50A1E"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Carus, M., Dammer, L., Hermann, A. and Essel, R. (2014) Proposals for a Reform of the Renewable Energy Directive to a Renewable Energy and Materials Directive. </w:t>
      </w:r>
      <w:r w:rsidRPr="004237C2">
        <w:rPr>
          <w:rFonts w:ascii="Calibri" w:hAnsi="Calibri" w:cs="Calibri"/>
          <w:i/>
          <w:iCs/>
          <w:noProof/>
          <w:szCs w:val="24"/>
        </w:rPr>
        <w:t>Industrial Biotechnology</w:t>
      </w:r>
      <w:r w:rsidRPr="004237C2">
        <w:rPr>
          <w:rFonts w:ascii="Calibri" w:hAnsi="Calibri" w:cs="Calibri"/>
          <w:noProof/>
          <w:szCs w:val="24"/>
        </w:rPr>
        <w:t xml:space="preserve"> [online]. 10  (4), pp. 269–274. Available from: http://www.scopus.com/inward/record.url?eid=2-s2.0-84905814773&amp;partnerID=tZOtx3y1doi:10.1089/ind.2014.1528.</w:t>
      </w:r>
    </w:p>
    <w:p w14:paraId="4BC21D6E"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Cockburn, H. (2017) </w:t>
      </w:r>
      <w:r w:rsidRPr="004237C2">
        <w:rPr>
          <w:rFonts w:ascii="Calibri" w:hAnsi="Calibri" w:cs="Calibri"/>
          <w:i/>
          <w:iCs/>
          <w:noProof/>
          <w:szCs w:val="24"/>
        </w:rPr>
        <w:t>UK vows to close all coal power plants by 2025 | The Independent</w:t>
      </w:r>
      <w:r w:rsidRPr="004237C2">
        <w:rPr>
          <w:rFonts w:ascii="Calibri" w:hAnsi="Calibri" w:cs="Calibri"/>
          <w:noProof/>
          <w:szCs w:val="24"/>
        </w:rPr>
        <w:t>. Available from: http://www.independent.co.uk/environment/coal-power-plants-uk-close-2025-renewable-energy-amber-rudd-nuclear-gas-policy-a7997241.html [Accessed 14 December 2017].</w:t>
      </w:r>
    </w:p>
    <w:p w14:paraId="70EFDA9A"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Davies, G. (2017) </w:t>
      </w:r>
      <w:r w:rsidRPr="004237C2">
        <w:rPr>
          <w:rFonts w:ascii="Calibri" w:hAnsi="Calibri" w:cs="Calibri"/>
          <w:i/>
          <w:iCs/>
          <w:noProof/>
          <w:szCs w:val="24"/>
        </w:rPr>
        <w:t>Geraint Davies: The will of the people demands a referendum on final Brexit deal | LabourList</w:t>
      </w:r>
      <w:r w:rsidRPr="004237C2">
        <w:rPr>
          <w:rFonts w:ascii="Calibri" w:hAnsi="Calibri" w:cs="Calibri"/>
          <w:noProof/>
          <w:szCs w:val="24"/>
        </w:rPr>
        <w:t>. Available from: https://labourlist.org/2017/12/geraint-davies-the-will-of-the-people-demands-a-referendum-on-final-brexit-deal/ [Accessed 14 December 2017].</w:t>
      </w:r>
    </w:p>
    <w:p w14:paraId="3CA23763"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European Union (2009) </w:t>
      </w:r>
      <w:r w:rsidRPr="004237C2">
        <w:rPr>
          <w:rFonts w:ascii="Calibri" w:hAnsi="Calibri" w:cs="Calibri"/>
          <w:i/>
          <w:iCs/>
          <w:noProof/>
          <w:szCs w:val="24"/>
        </w:rPr>
        <w:t>DIRECTIVE 2009/28/EC OF THE EUROPEAN PARLIAMENT AND OF THE COUNCIL</w:t>
      </w:r>
      <w:r w:rsidRPr="004237C2">
        <w:rPr>
          <w:rFonts w:ascii="Calibri" w:hAnsi="Calibri" w:cs="Calibri"/>
          <w:noProof/>
          <w:szCs w:val="24"/>
        </w:rPr>
        <w:t xml:space="preserve"> [online]. Available from: http://eur-lex.europa.eu/legal-content/EN/TXT/HTML/?uri=CELEX:32009L0028&amp;from=EN [Accessed 14 December 2017].</w:t>
      </w:r>
    </w:p>
    <w:p w14:paraId="3633AB1B"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Falvey, D. (2017) </w:t>
      </w:r>
      <w:r w:rsidRPr="004237C2">
        <w:rPr>
          <w:rFonts w:ascii="Calibri" w:hAnsi="Calibri" w:cs="Calibri"/>
          <w:i/>
          <w:iCs/>
          <w:noProof/>
          <w:szCs w:val="24"/>
        </w:rPr>
        <w:t>EU finally admit bloated budget WILL collapse without UK contribution</w:t>
      </w:r>
      <w:r w:rsidRPr="004237C2">
        <w:rPr>
          <w:rFonts w:ascii="Calibri" w:hAnsi="Calibri" w:cs="Calibri"/>
          <w:noProof/>
          <w:szCs w:val="24"/>
        </w:rPr>
        <w:t>. Available from: https://www.express.co.uk/news/uk/881746/Brexit-news-european-union-budget-finance-international-aid-divorce-bill [Accessed 13 December 2017].</w:t>
      </w:r>
    </w:p>
    <w:p w14:paraId="7737F1FD"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Fischer, S. and Geden, O. (2017) </w:t>
      </w:r>
      <w:r w:rsidRPr="004237C2">
        <w:rPr>
          <w:rFonts w:ascii="Calibri" w:hAnsi="Calibri" w:cs="Calibri"/>
          <w:i/>
          <w:iCs/>
          <w:noProof/>
          <w:szCs w:val="24"/>
        </w:rPr>
        <w:t>Brexit: Impacts on Europe’s Energy and Climate Policy</w:t>
      </w:r>
      <w:r w:rsidRPr="004237C2">
        <w:rPr>
          <w:rFonts w:ascii="Calibri" w:hAnsi="Calibri" w:cs="Calibri"/>
          <w:noProof/>
          <w:szCs w:val="24"/>
        </w:rPr>
        <w:t>. Available from: http://www.css.ethz.ch/content/dam/ethz/special-interest/gess/cis/center-for-securities-studies/pdfs/CSSAnalyse-197-EN.pdf [Accessed 24 November 2017].</w:t>
      </w:r>
    </w:p>
    <w:p w14:paraId="384B662E"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Graziano, M., Billing, S.-L., Kenter, J.O. and Greenhill, L. (2017) A transformational paradigm for marine renewable energy development. </w:t>
      </w:r>
      <w:r w:rsidRPr="004237C2">
        <w:rPr>
          <w:rFonts w:ascii="Calibri" w:hAnsi="Calibri" w:cs="Calibri"/>
          <w:i/>
          <w:iCs/>
          <w:noProof/>
          <w:szCs w:val="24"/>
        </w:rPr>
        <w:t>Energy Research &amp; Social Science</w:t>
      </w:r>
      <w:r w:rsidRPr="004237C2">
        <w:rPr>
          <w:rFonts w:ascii="Calibri" w:hAnsi="Calibri" w:cs="Calibri"/>
          <w:noProof/>
          <w:szCs w:val="24"/>
        </w:rPr>
        <w:t xml:space="preserve"> [online]. 23 pp. 136–147. Available from: https://ac.els-cdn.com/S221462961630250X/1-s2.0-S221462961630250X-main.pdf?_tid=799da1d6-b833-11e7-832c-00000aacb361&amp;acdnat=1508791869_884e6e4dc22b5e9e5dfd837e9085be16doi:10.1016/j.erss.2016.10.008 [Accessed 23 October 2017].</w:t>
      </w:r>
    </w:p>
    <w:p w14:paraId="3F9BC283"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Graziano, M., Lecca, P. and Musso, M. (2017) Historic paths and future expectations: The macroeconomic impacts of the offshore wind technologies in the UK. </w:t>
      </w:r>
      <w:r w:rsidRPr="004237C2">
        <w:rPr>
          <w:rFonts w:ascii="Calibri" w:hAnsi="Calibri" w:cs="Calibri"/>
          <w:i/>
          <w:iCs/>
          <w:noProof/>
          <w:szCs w:val="24"/>
        </w:rPr>
        <w:t>Energy Policy</w:t>
      </w:r>
      <w:r w:rsidRPr="004237C2">
        <w:rPr>
          <w:rFonts w:ascii="Calibri" w:hAnsi="Calibri" w:cs="Calibri"/>
          <w:noProof/>
          <w:szCs w:val="24"/>
        </w:rPr>
        <w:t xml:space="preserve"> [online]. 108 pp. 715–730. Available from: http://www.sciencedirect.com/science/article/pii/S030142151730397Xdoi:10.1016/J.ENPOL.2017.06.042 [Accessed 14 December 2017].</w:t>
      </w:r>
    </w:p>
    <w:p w14:paraId="5581E039"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Hepburn, C. and Teytelboym, A. (2017) Climate change policy after Brexit. </w:t>
      </w:r>
      <w:r w:rsidRPr="004237C2">
        <w:rPr>
          <w:rFonts w:ascii="Calibri" w:hAnsi="Calibri" w:cs="Calibri"/>
          <w:i/>
          <w:iCs/>
          <w:noProof/>
          <w:szCs w:val="24"/>
        </w:rPr>
        <w:t>Oxford Review of Economic Policy</w:t>
      </w:r>
      <w:r w:rsidRPr="004237C2">
        <w:rPr>
          <w:rFonts w:ascii="Calibri" w:hAnsi="Calibri" w:cs="Calibri"/>
          <w:noProof/>
          <w:szCs w:val="24"/>
        </w:rPr>
        <w:t xml:space="preserve"> [online]. 33  (1), pp. S144–S154 Climate. Available from: https://watermark.silverchair.com/grx004.pdf?token=AQECAHi208BE49Ooan9kkhW_Ercy7Dm3ZL_9Cf3qfKAc485ysgAAAdMwggHPBgkqhkiG9w0BBwagggHAMIIBvAIBADCCAbUGCSqGSIb3DQEHATAeBglghkgBZQMEAS4wEQQMUXAVLLdMF1iwoVs8AgEQgIIBhuyY9CBzkP0qOyKuAwePy4-LjKh_bav2tZuohg3xSfYDkbALdoi:10.1093/oxrep/grx004 [Accessed 24 November 2017].</w:t>
      </w:r>
    </w:p>
    <w:p w14:paraId="7283D33B"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Hilson, C. (2017) The Impact of Brexit on the Environment: Exploring the Dynamics of a Complex Relationship. </w:t>
      </w:r>
      <w:r w:rsidRPr="004237C2">
        <w:rPr>
          <w:rFonts w:ascii="Calibri" w:hAnsi="Calibri" w:cs="Calibri"/>
          <w:i/>
          <w:iCs/>
          <w:noProof/>
          <w:szCs w:val="24"/>
        </w:rPr>
        <w:t>Transnational Environmental Law</w:t>
      </w:r>
      <w:r w:rsidRPr="004237C2">
        <w:rPr>
          <w:rFonts w:ascii="Calibri" w:hAnsi="Calibri" w:cs="Calibri"/>
          <w:noProof/>
          <w:szCs w:val="24"/>
        </w:rPr>
        <w:t xml:space="preserve"> [online]. 1–25. . Available from: http://centaur.reading.ac.uk/72360/3/Hilson-Brexit---edit-VH-TE author revised clean.pdfdoi:https://doi.org/10.1017/S2047102517000279 [Accessed 24 November 2017].</w:t>
      </w:r>
    </w:p>
    <w:p w14:paraId="464B672F"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HM Government (2010) </w:t>
      </w:r>
      <w:r w:rsidRPr="004237C2">
        <w:rPr>
          <w:rFonts w:ascii="Calibri" w:hAnsi="Calibri" w:cs="Calibri"/>
          <w:i/>
          <w:iCs/>
          <w:noProof/>
          <w:szCs w:val="24"/>
        </w:rPr>
        <w:t>2050 Pathways Analysis</w:t>
      </w:r>
      <w:r w:rsidRPr="004237C2">
        <w:rPr>
          <w:rFonts w:ascii="Calibri" w:hAnsi="Calibri" w:cs="Calibri"/>
          <w:noProof/>
          <w:szCs w:val="24"/>
        </w:rPr>
        <w:t>. Available from: https://www.gov.uk/government/uploads/system/uploads/attachment_data/file/68816/216-2050-pathways-analysis-report.pdf [Accessed 14 December 2017].</w:t>
      </w:r>
    </w:p>
    <w:p w14:paraId="55C24D84"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Hope, C. and Rothwell, J. (2017) </w:t>
      </w:r>
      <w:r w:rsidRPr="004237C2">
        <w:rPr>
          <w:rFonts w:ascii="Calibri" w:hAnsi="Calibri" w:cs="Calibri"/>
          <w:i/>
          <w:iCs/>
          <w:noProof/>
          <w:szCs w:val="24"/>
        </w:rPr>
        <w:t>How Europe and the UK reacted to the Brexit deal: ‘We can now move on to the next stage of humiliation’</w:t>
      </w:r>
      <w:r w:rsidRPr="004237C2">
        <w:rPr>
          <w:rFonts w:ascii="Calibri" w:hAnsi="Calibri" w:cs="Calibri"/>
          <w:noProof/>
          <w:szCs w:val="24"/>
        </w:rPr>
        <w:t>. Available from: http://www.telegraph.co.uk/news/2017/12/08/brexit-deal-nigel-farage-says-deal-not-acceptable-business-leaders/ [Accessed 13 December 2017].</w:t>
      </w:r>
    </w:p>
    <w:p w14:paraId="1A2499D2"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Isachsen, A.J. (2017) </w:t>
      </w:r>
      <w:r w:rsidRPr="004237C2">
        <w:rPr>
          <w:rFonts w:ascii="Calibri" w:hAnsi="Calibri" w:cs="Calibri"/>
          <w:i/>
          <w:iCs/>
          <w:noProof/>
          <w:szCs w:val="24"/>
        </w:rPr>
        <w:t>Om Brexit</w:t>
      </w:r>
      <w:r w:rsidRPr="004237C2">
        <w:rPr>
          <w:rFonts w:ascii="Calibri" w:hAnsi="Calibri" w:cs="Calibri"/>
          <w:noProof/>
          <w:szCs w:val="24"/>
        </w:rPr>
        <w:t xml:space="preserve"> [online]. Available from: http://home.bi.no/fag87025/pdf/mb/201711.pdf [Accessed 24 November 2017].</w:t>
      </w:r>
    </w:p>
    <w:p w14:paraId="092DD11A"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Kelsey, C. (2017) </w:t>
      </w:r>
      <w:r w:rsidRPr="004237C2">
        <w:rPr>
          <w:rFonts w:ascii="Calibri" w:hAnsi="Calibri" w:cs="Calibri"/>
          <w:i/>
          <w:iCs/>
          <w:noProof/>
          <w:szCs w:val="24"/>
        </w:rPr>
        <w:t>We’d £135bn a year better off with hard Brexit claims Cardiff professor - but others call it ‘economic suicide’ - Wales Online</w:t>
      </w:r>
      <w:r w:rsidRPr="004237C2">
        <w:rPr>
          <w:rFonts w:ascii="Calibri" w:hAnsi="Calibri" w:cs="Calibri"/>
          <w:noProof/>
          <w:szCs w:val="24"/>
        </w:rPr>
        <w:t>. Available from: http://www.walesonline.co.uk/business/business-news/wed-135bn-year-better-hard-13502387 [Accessed 14 December 2017].</w:t>
      </w:r>
    </w:p>
    <w:p w14:paraId="3DBB94AF"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Lockwood, M., Froggatt, A., Wright, G. and Dutton, J. (2017) </w:t>
      </w:r>
      <w:r w:rsidRPr="004237C2">
        <w:rPr>
          <w:rFonts w:ascii="Calibri" w:hAnsi="Calibri" w:cs="Calibri"/>
          <w:i/>
          <w:iCs/>
          <w:noProof/>
          <w:szCs w:val="24"/>
        </w:rPr>
        <w:t>The implications of Brexit for the electricity sector in Great Britain: Trade- offs between market integration and policy influence</w:t>
      </w:r>
      <w:r w:rsidRPr="004237C2">
        <w:rPr>
          <w:rFonts w:ascii="Calibri" w:hAnsi="Calibri" w:cs="Calibri"/>
          <w:noProof/>
          <w:szCs w:val="24"/>
        </w:rPr>
        <w:t>. Available from: www.elsevier.com/locate/enpoldoi:10.1016/j.enpol.2017.08.021 [Accessed 27 November 2017].</w:t>
      </w:r>
    </w:p>
    <w:p w14:paraId="6043C6ED"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Minford, P. and Pryce, V. (2017) The Prospects for Brexit: Two Views. </w:t>
      </w:r>
      <w:r w:rsidRPr="004237C2">
        <w:rPr>
          <w:rFonts w:ascii="Calibri" w:hAnsi="Calibri" w:cs="Calibri"/>
          <w:i/>
          <w:iCs/>
          <w:noProof/>
          <w:szCs w:val="24"/>
        </w:rPr>
        <w:t>Economic Affairs</w:t>
      </w:r>
      <w:r w:rsidRPr="004237C2">
        <w:rPr>
          <w:rFonts w:ascii="Calibri" w:hAnsi="Calibri" w:cs="Calibri"/>
          <w:noProof/>
          <w:szCs w:val="24"/>
        </w:rPr>
        <w:t xml:space="preserve"> [online]. 37  (3), pp. 422–427. Available from: http://doi.wiley.com/10.1111/ecaf.12248doi:10.1111/ecaf.12248 [Accessed 14 December 2017].</w:t>
      </w:r>
    </w:p>
    <w:p w14:paraId="23336BA2"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Parkes, R. (2016) Brexit: A storm in a teacup? </w:t>
      </w:r>
      <w:r w:rsidRPr="004237C2">
        <w:rPr>
          <w:rFonts w:ascii="Calibri" w:hAnsi="Calibri" w:cs="Calibri"/>
          <w:i/>
          <w:iCs/>
          <w:noProof/>
          <w:szCs w:val="24"/>
        </w:rPr>
        <w:t>Renewable Energy Focus</w:t>
      </w:r>
      <w:r w:rsidRPr="004237C2">
        <w:rPr>
          <w:rFonts w:ascii="Calibri" w:hAnsi="Calibri" w:cs="Calibri"/>
          <w:noProof/>
          <w:szCs w:val="24"/>
        </w:rPr>
        <w:t xml:space="preserve"> [online]. 17  (5), pp. 188–190. Available from: https://www.sciencedirect.com/science/article/pii/S1755008416301053doi:10.1016/J.REF.2016.08.012 [Accessed 13 December 2017].</w:t>
      </w:r>
    </w:p>
    <w:p w14:paraId="06B4F129"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Peers, S. (2017) </w:t>
      </w:r>
      <w:r w:rsidRPr="004237C2">
        <w:rPr>
          <w:rFonts w:ascii="Calibri" w:hAnsi="Calibri" w:cs="Calibri"/>
          <w:i/>
          <w:iCs/>
          <w:noProof/>
          <w:szCs w:val="24"/>
        </w:rPr>
        <w:t>The Brexit deal is not legally binding – but politically, it’s a different story altogether | The Independent</w:t>
      </w:r>
      <w:r w:rsidRPr="004237C2">
        <w:rPr>
          <w:rFonts w:ascii="Calibri" w:hAnsi="Calibri" w:cs="Calibri"/>
          <w:noProof/>
          <w:szCs w:val="24"/>
        </w:rPr>
        <w:t>. Available from: http://www.independent.co.uk/voices/brexit-deal-european-union-eu27-withdrawal-bill-8-december-is-it-binding-a8105936.html [Accessed 13 December 2017].</w:t>
      </w:r>
    </w:p>
    <w:p w14:paraId="6694540F"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REA (2017) </w:t>
      </w:r>
      <w:r w:rsidRPr="004237C2">
        <w:rPr>
          <w:rFonts w:ascii="Calibri" w:hAnsi="Calibri" w:cs="Calibri"/>
          <w:i/>
          <w:iCs/>
          <w:noProof/>
          <w:szCs w:val="24"/>
        </w:rPr>
        <w:t>Renewable Energy View 2017</w:t>
      </w:r>
      <w:r w:rsidRPr="004237C2">
        <w:rPr>
          <w:rFonts w:ascii="Calibri" w:hAnsi="Calibri" w:cs="Calibri"/>
          <w:noProof/>
          <w:szCs w:val="24"/>
        </w:rPr>
        <w:t xml:space="preserve"> [online] 2 (2). Available from: http://www.r-e-a.net/upload/final_low_res_renewable_energy_view_-_review_2017.pdf [Accessed 13 December 2017].</w:t>
      </w:r>
    </w:p>
    <w:p w14:paraId="6369BD0E"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Reid, C.T. (2016) Brexit and the future of UK environmental law. </w:t>
      </w:r>
      <w:r w:rsidRPr="004237C2">
        <w:rPr>
          <w:rFonts w:ascii="Calibri" w:hAnsi="Calibri" w:cs="Calibri"/>
          <w:i/>
          <w:iCs/>
          <w:noProof/>
          <w:szCs w:val="24"/>
        </w:rPr>
        <w:t>Journal of Energy &amp; Natural Resources Law</w:t>
      </w:r>
      <w:r w:rsidRPr="004237C2">
        <w:rPr>
          <w:rFonts w:ascii="Calibri" w:hAnsi="Calibri" w:cs="Calibri"/>
          <w:noProof/>
          <w:szCs w:val="24"/>
        </w:rPr>
        <w:t xml:space="preserve"> [online]. 34  (4), pp. 407–415. Available from: https://www.tandfonline.com/doi/full/10.1080/02646811.2016.1218133doi:10.1080/02646811.2016.1218133 [Accessed 24 November 2017].</w:t>
      </w:r>
    </w:p>
    <w:p w14:paraId="6A86BAB8"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Richard Cowell (2017) Policy and Practice The EU referendum, planning and the environment: Where are we now? </w:t>
      </w:r>
      <w:r w:rsidRPr="004237C2">
        <w:rPr>
          <w:rFonts w:ascii="Calibri" w:hAnsi="Calibri" w:cs="Calibri"/>
          <w:i/>
          <w:iCs/>
          <w:noProof/>
          <w:szCs w:val="24"/>
        </w:rPr>
        <w:t>Town Planning Review</w:t>
      </w:r>
      <w:r w:rsidRPr="004237C2">
        <w:rPr>
          <w:rFonts w:ascii="Calibri" w:hAnsi="Calibri" w:cs="Calibri"/>
          <w:noProof/>
          <w:szCs w:val="24"/>
        </w:rPr>
        <w:t xml:space="preserve"> [online]. 88  (2), . Available from: https://doi.org/10.3828/tpr.2017.12doi:10.3828/tpr.2017.12 [Accessed 24 November 2017].</w:t>
      </w:r>
    </w:p>
    <w:p w14:paraId="4DB60F9E"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Sharifzadeh, M., Lubiano-Walochik, H. and Shah, N. (2017) Integrated renewable electricity generation considering uncertainties: The UK roadmap to 50% power generation from wind and solar energies. </w:t>
      </w:r>
      <w:r w:rsidRPr="004237C2">
        <w:rPr>
          <w:rFonts w:ascii="Calibri" w:hAnsi="Calibri" w:cs="Calibri"/>
          <w:i/>
          <w:iCs/>
          <w:noProof/>
          <w:szCs w:val="24"/>
        </w:rPr>
        <w:t>Renewable and Sustainable Energy Reviews</w:t>
      </w:r>
      <w:r w:rsidRPr="004237C2">
        <w:rPr>
          <w:rFonts w:ascii="Calibri" w:hAnsi="Calibri" w:cs="Calibri"/>
          <w:noProof/>
          <w:szCs w:val="24"/>
        </w:rPr>
        <w:t xml:space="preserve"> [online]. 72 pp. 385–398. Available from: http://www.sciencedirect.com/science/article/pii/S1364032117300795#f0020doi:10.1016/J.RSER.2017.01.069 [Accessed 12 December 2017].</w:t>
      </w:r>
    </w:p>
    <w:p w14:paraId="5C81F404"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UWE Nestle (2017) </w:t>
      </w:r>
      <w:r w:rsidRPr="004237C2">
        <w:rPr>
          <w:rFonts w:ascii="Calibri" w:hAnsi="Calibri" w:cs="Calibri"/>
          <w:i/>
          <w:iCs/>
          <w:noProof/>
          <w:szCs w:val="24"/>
        </w:rPr>
        <w:t>Reform of the EU renewable energy directive: Putting the brakes on the European Energy Transition?</w:t>
      </w:r>
      <w:r w:rsidRPr="004237C2">
        <w:rPr>
          <w:rFonts w:ascii="Calibri" w:hAnsi="Calibri" w:cs="Calibri"/>
          <w:noProof/>
          <w:szCs w:val="24"/>
        </w:rPr>
        <w:t xml:space="preserve"> [online]. Available from: http://library.fes.de/pdf-files/wiso/13841.pdf [Accessed 27 November 2017].</w:t>
      </w:r>
    </w:p>
    <w:p w14:paraId="007B3292"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Westmonster (2017) </w:t>
      </w:r>
      <w:r w:rsidRPr="004237C2">
        <w:rPr>
          <w:rFonts w:ascii="Calibri" w:hAnsi="Calibri" w:cs="Calibri"/>
          <w:i/>
          <w:iCs/>
          <w:noProof/>
          <w:szCs w:val="24"/>
        </w:rPr>
        <w:t>Farage: Brexit may need to be refought all over again – Westmonster</w:t>
      </w:r>
      <w:r w:rsidRPr="004237C2">
        <w:rPr>
          <w:rFonts w:ascii="Calibri" w:hAnsi="Calibri" w:cs="Calibri"/>
          <w:noProof/>
          <w:szCs w:val="24"/>
        </w:rPr>
        <w:t>. Available from: http://www.westmonster.com/farage-brexit-may-need-to-be-refought-all-over-again/ [Accessed 14 December 2017].</w:t>
      </w:r>
    </w:p>
    <w:p w14:paraId="114FBAD9" w14:textId="77777777" w:rsidR="004237C2" w:rsidRPr="004237C2" w:rsidRDefault="004237C2" w:rsidP="004237C2">
      <w:pPr>
        <w:widowControl w:val="0"/>
        <w:autoSpaceDE w:val="0"/>
        <w:autoSpaceDN w:val="0"/>
        <w:adjustRightInd w:val="0"/>
        <w:ind w:left="480" w:hanging="480"/>
        <w:rPr>
          <w:rFonts w:ascii="Calibri" w:hAnsi="Calibri" w:cs="Calibri"/>
          <w:noProof/>
          <w:szCs w:val="24"/>
        </w:rPr>
      </w:pPr>
      <w:r w:rsidRPr="004237C2">
        <w:rPr>
          <w:rFonts w:ascii="Calibri" w:hAnsi="Calibri" w:cs="Calibri"/>
          <w:noProof/>
          <w:szCs w:val="24"/>
        </w:rPr>
        <w:t xml:space="preserve">Whittaker, C., Borrion, A.L., Newnes, L. and Mcmanus, M. (2014) The renewable energy directive and cereal residues. </w:t>
      </w:r>
      <w:r w:rsidRPr="004237C2">
        <w:rPr>
          <w:rFonts w:ascii="Calibri" w:hAnsi="Calibri" w:cs="Calibri"/>
          <w:i/>
          <w:iCs/>
          <w:noProof/>
          <w:szCs w:val="24"/>
        </w:rPr>
        <w:t>Applied Energy</w:t>
      </w:r>
      <w:r w:rsidRPr="004237C2">
        <w:rPr>
          <w:rFonts w:ascii="Calibri" w:hAnsi="Calibri" w:cs="Calibri"/>
          <w:noProof/>
          <w:szCs w:val="24"/>
        </w:rPr>
        <w:t xml:space="preserve"> [online]. 122 pp. 207–215. Available from: https://ac.els-cdn.com/S0306261914001317/1-s2.0-S0306261914001317-main.pdf?_tid=ffa432aa-e0fa-11e7-b506-00000aacb361&amp;acdnat=1513275610_619b412122b82c5fbc25170c0367090adoi:10.1016/j.apenergy.2014.01.091 [Accessed 14 December 2017].</w:t>
      </w:r>
    </w:p>
    <w:p w14:paraId="3ABFC5F7" w14:textId="77777777" w:rsidR="004237C2" w:rsidRPr="004237C2" w:rsidRDefault="004237C2" w:rsidP="004237C2">
      <w:pPr>
        <w:widowControl w:val="0"/>
        <w:autoSpaceDE w:val="0"/>
        <w:autoSpaceDN w:val="0"/>
        <w:adjustRightInd w:val="0"/>
        <w:ind w:left="480" w:hanging="480"/>
        <w:rPr>
          <w:rFonts w:ascii="Calibri" w:hAnsi="Calibri" w:cs="Calibri"/>
          <w:noProof/>
        </w:rPr>
      </w:pPr>
      <w:r w:rsidRPr="004237C2">
        <w:rPr>
          <w:rFonts w:ascii="Calibri" w:hAnsi="Calibri" w:cs="Calibri"/>
          <w:noProof/>
          <w:szCs w:val="24"/>
        </w:rPr>
        <w:t xml:space="preserve">Wright, M., Labour, Hartlepool, ), Chair, R., Fuller, M., Conservative, Bedford, P. and Kyle (2017) </w:t>
      </w:r>
      <w:r w:rsidRPr="004237C2">
        <w:rPr>
          <w:rFonts w:ascii="Calibri" w:hAnsi="Calibri" w:cs="Calibri"/>
          <w:i/>
          <w:iCs/>
          <w:noProof/>
          <w:szCs w:val="24"/>
        </w:rPr>
        <w:t>Leaving the EU: negotiation priorities for energy and climate change policy Fourth Report of Session 2016–17</w:t>
      </w:r>
      <w:r w:rsidRPr="004237C2">
        <w:rPr>
          <w:rFonts w:ascii="Calibri" w:hAnsi="Calibri" w:cs="Calibri"/>
          <w:noProof/>
          <w:szCs w:val="24"/>
        </w:rPr>
        <w:t>. Available from: https://publications.parliament.uk/pa/cm201617/cmselect/cmbeis/909/909.pdf [Accessed 24 November 2017].</w:t>
      </w:r>
    </w:p>
    <w:p w14:paraId="5C6E2F2E" w14:textId="231A71BC" w:rsidR="00C94803" w:rsidRPr="00C94803" w:rsidRDefault="00C94803" w:rsidP="00C94803">
      <w:pPr>
        <w:jc w:val="left"/>
      </w:pPr>
      <w:r>
        <w:fldChar w:fldCharType="end"/>
      </w:r>
    </w:p>
    <w:p w14:paraId="7C256754" w14:textId="77777777" w:rsidR="00B16AC0" w:rsidRPr="00B16AC0" w:rsidRDefault="00B16AC0" w:rsidP="00B16AC0"/>
    <w:p w14:paraId="7F325B1D" w14:textId="77777777" w:rsidR="00806E2A" w:rsidRPr="00806E2A" w:rsidRDefault="00806E2A" w:rsidP="00806E2A"/>
    <w:p w14:paraId="0D1CE027" w14:textId="77777777" w:rsidR="00C42FB6" w:rsidRPr="00C42FB6" w:rsidRDefault="00C42FB6" w:rsidP="00B16C84"/>
    <w:p w14:paraId="69F2CE6E" w14:textId="77777777" w:rsidR="00A95976" w:rsidRPr="00A95976" w:rsidRDefault="00A95976" w:rsidP="00B16C84"/>
    <w:p w14:paraId="4A9C73B9" w14:textId="77777777" w:rsidR="00A95976" w:rsidRPr="00D72A41" w:rsidRDefault="00A95976" w:rsidP="00B16C84"/>
    <w:p w14:paraId="2456E31B" w14:textId="77777777" w:rsidR="00D72A41" w:rsidRPr="00D72A41" w:rsidRDefault="00D72A41" w:rsidP="00B16C84"/>
    <w:p w14:paraId="474C0A11" w14:textId="77777777" w:rsidR="002A55BB" w:rsidRDefault="002A55BB" w:rsidP="00B16C84"/>
    <w:p w14:paraId="4B2B03D2" w14:textId="77777777" w:rsidR="00E47F49" w:rsidRDefault="00E47F49" w:rsidP="00B16C84"/>
    <w:p w14:paraId="4C3E5A5E" w14:textId="77777777" w:rsidR="00E47F49" w:rsidRPr="00E47F49" w:rsidRDefault="00E47F49" w:rsidP="00B16C84"/>
    <w:p w14:paraId="0F1DA224" w14:textId="77777777" w:rsidR="00E22E35" w:rsidRDefault="00E22E35" w:rsidP="00B16C84"/>
    <w:p w14:paraId="7EE1F852" w14:textId="77777777" w:rsidR="00AF25E1" w:rsidRPr="00AF25E1" w:rsidRDefault="00AF25E1" w:rsidP="00B16C84"/>
    <w:p w14:paraId="3E00594D" w14:textId="77777777" w:rsidR="00AF25E1" w:rsidRPr="00AF25E1" w:rsidRDefault="00AF25E1" w:rsidP="00B16C84"/>
    <w:sectPr w:rsidR="00AF25E1" w:rsidRPr="00AF25E1" w:rsidSect="00741684">
      <w:headerReference w:type="default" r:id="rId34"/>
      <w:footerReference w:type="default" r:id="rId35"/>
      <w:headerReference w:type="first" r:id="rId36"/>
      <w:footerReference w:type="first" r:id="rId3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BA5863" w14:textId="77777777" w:rsidR="00B725B9" w:rsidRDefault="00B725B9" w:rsidP="0013774C">
      <w:pPr>
        <w:spacing w:after="0" w:line="240" w:lineRule="auto"/>
      </w:pPr>
      <w:r>
        <w:separator/>
      </w:r>
    </w:p>
  </w:endnote>
  <w:endnote w:type="continuationSeparator" w:id="0">
    <w:p w14:paraId="716DEB39" w14:textId="77777777" w:rsidR="00B725B9" w:rsidRDefault="00B725B9" w:rsidP="00137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Hebrew">
    <w:panose1 w:val="02040503050201020203"/>
    <w:charset w:val="00"/>
    <w:family w:val="roman"/>
    <w:notTrueType/>
    <w:pitch w:val="variable"/>
    <w:sig w:usb0="8000086F" w:usb1="4000204A" w:usb2="00000000" w:usb3="00000000" w:csb0="00000021" w:csb1="00000000"/>
  </w:font>
  <w:font w:name="Adobe Kaiti Std R">
    <w:panose1 w:val="02020400000000000000"/>
    <w:charset w:val="80"/>
    <w:family w:val="roman"/>
    <w:notTrueType/>
    <w:pitch w:val="variable"/>
    <w:sig w:usb0="00000207" w:usb1="0A0F1810" w:usb2="00000016" w:usb3="00000000" w:csb0="00060007" w:csb1="00000000"/>
  </w:font>
  <w:font w:name="Adobe Song Std L">
    <w:panose1 w:val="02020300000000000000"/>
    <w:charset w:val="80"/>
    <w:family w:val="roman"/>
    <w:notTrueType/>
    <w:pitch w:val="variable"/>
    <w:sig w:usb0="00000207" w:usb1="0A0F1810" w:usb2="00000016" w:usb3="00000000" w:csb0="00060007"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B2B252" w14:textId="3CB46A36" w:rsidR="00B725B9" w:rsidRDefault="00B725B9" w:rsidP="004A6BEF">
    <w:pPr>
      <w:pStyle w:val="Footer"/>
    </w:pPr>
  </w:p>
  <w:p w14:paraId="02D511F4" w14:textId="77777777" w:rsidR="00B725B9" w:rsidRDefault="00B725B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2B99C5" w14:textId="6B8DFCEA" w:rsidR="00B725B9" w:rsidRDefault="00B725B9" w:rsidP="00741684">
    <w:pPr>
      <w:pStyle w:val="Footer"/>
      <w:jc w:val="right"/>
    </w:pPr>
  </w:p>
  <w:p w14:paraId="24A9FFDA" w14:textId="77777777" w:rsidR="00B725B9" w:rsidRDefault="00B725B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8466880"/>
      <w:docPartObj>
        <w:docPartGallery w:val="Page Numbers (Bottom of Page)"/>
        <w:docPartUnique/>
      </w:docPartObj>
    </w:sdtPr>
    <w:sdtEndPr>
      <w:rPr>
        <w:noProof/>
      </w:rPr>
    </w:sdtEndPr>
    <w:sdtContent>
      <w:p w14:paraId="170F664C" w14:textId="5DDA0A40" w:rsidR="00B725B9" w:rsidRDefault="00B725B9" w:rsidP="00902E32">
        <w:pPr>
          <w:jc w:val="center"/>
        </w:pPr>
        <w:r>
          <w:fldChar w:fldCharType="begin"/>
        </w:r>
        <w:r>
          <w:instrText xml:space="preserve"> PAGE   \* MERGEFORMAT </w:instrText>
        </w:r>
        <w:r>
          <w:fldChar w:fldCharType="separate"/>
        </w:r>
        <w:r w:rsidR="00F41685">
          <w:rPr>
            <w:noProof/>
          </w:rPr>
          <w:t>21</w:t>
        </w:r>
        <w:r>
          <w:rPr>
            <w:noProof/>
          </w:rPr>
          <w:fldChar w:fldCharType="end"/>
        </w:r>
      </w:p>
    </w:sdtContent>
  </w:sdt>
  <w:p w14:paraId="5B68AC59" w14:textId="77777777" w:rsidR="00B725B9" w:rsidRDefault="00B725B9">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4947721"/>
      <w:docPartObj>
        <w:docPartGallery w:val="Page Numbers (Bottom of Page)"/>
        <w:docPartUnique/>
      </w:docPartObj>
    </w:sdtPr>
    <w:sdtEndPr>
      <w:rPr>
        <w:noProof/>
      </w:rPr>
    </w:sdtEndPr>
    <w:sdtContent>
      <w:p w14:paraId="1FDB9F0F" w14:textId="36F67FEE" w:rsidR="00B725B9" w:rsidRDefault="00B725B9">
        <w:pPr>
          <w:pStyle w:val="Footer"/>
          <w:jc w:val="center"/>
        </w:pPr>
        <w:r>
          <w:fldChar w:fldCharType="begin"/>
        </w:r>
        <w:r>
          <w:instrText xml:space="preserve"> PAGE   \* MERGEFORMAT </w:instrText>
        </w:r>
        <w:r>
          <w:fldChar w:fldCharType="separate"/>
        </w:r>
        <w:r w:rsidR="00F41685">
          <w:rPr>
            <w:noProof/>
          </w:rPr>
          <w:t>1</w:t>
        </w:r>
        <w:r>
          <w:rPr>
            <w:noProof/>
          </w:rPr>
          <w:fldChar w:fldCharType="end"/>
        </w:r>
      </w:p>
    </w:sdtContent>
  </w:sdt>
  <w:p w14:paraId="63F432B1" w14:textId="77777777" w:rsidR="00B725B9" w:rsidRDefault="00B725B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1013C3" w14:textId="77777777" w:rsidR="00B725B9" w:rsidRDefault="00B725B9" w:rsidP="0013774C">
      <w:pPr>
        <w:spacing w:after="0" w:line="240" w:lineRule="auto"/>
      </w:pPr>
      <w:r>
        <w:separator/>
      </w:r>
    </w:p>
  </w:footnote>
  <w:footnote w:type="continuationSeparator" w:id="0">
    <w:p w14:paraId="6B1A4572" w14:textId="77777777" w:rsidR="00B725B9" w:rsidRDefault="00B725B9" w:rsidP="001377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1CCA09" w14:textId="4B59B17F" w:rsidR="00B725B9" w:rsidRDefault="00B725B9" w:rsidP="00F8645D">
    <w:pPr>
      <w:pStyle w:val="Header"/>
      <w:tabs>
        <w:tab w:val="clear" w:pos="4513"/>
        <w:tab w:val="clear" w:pos="9026"/>
        <w:tab w:val="left" w:pos="1222"/>
      </w:tabs>
    </w:pPr>
    <w:r>
      <w:tab/>
    </w:r>
  </w:p>
  <w:p w14:paraId="066DD5D4" w14:textId="77777777" w:rsidR="00B725B9" w:rsidRDefault="00B725B9">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580737" w14:textId="77777777" w:rsidR="00B725B9" w:rsidRDefault="00B725B9" w:rsidP="00F8645D">
    <w:pPr>
      <w:pStyle w:val="Header"/>
      <w:tabs>
        <w:tab w:val="clear" w:pos="4513"/>
        <w:tab w:val="clear" w:pos="9026"/>
        <w:tab w:val="left" w:pos="1222"/>
      </w:tabs>
    </w:pPr>
    <w:r>
      <w:tab/>
    </w:r>
  </w:p>
  <w:p w14:paraId="7A198E5C" w14:textId="77777777" w:rsidR="00B725B9" w:rsidRDefault="00B725B9">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2AE2D" w14:textId="52207A16" w:rsidR="00B725B9" w:rsidRDefault="00B725B9">
    <w:pPr>
      <w:pStyle w:val="Header"/>
    </w:pPr>
  </w:p>
  <w:p w14:paraId="72DD5443" w14:textId="77777777" w:rsidR="00B725B9" w:rsidRDefault="00B725B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E65DB"/>
    <w:multiLevelType w:val="multilevel"/>
    <w:tmpl w:val="7AA20F6A"/>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86E7972"/>
    <w:multiLevelType w:val="multilevel"/>
    <w:tmpl w:val="C1683C2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D626FF3"/>
    <w:multiLevelType w:val="hybridMultilevel"/>
    <w:tmpl w:val="16D40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123689"/>
    <w:multiLevelType w:val="hybridMultilevel"/>
    <w:tmpl w:val="C34A7E3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C41FF2"/>
    <w:multiLevelType w:val="hybridMultilevel"/>
    <w:tmpl w:val="591A9C7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26126F"/>
    <w:multiLevelType w:val="hybridMultilevel"/>
    <w:tmpl w:val="B3D6BD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2E1012"/>
    <w:multiLevelType w:val="hybridMultilevel"/>
    <w:tmpl w:val="74F40E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6"/>
  </w:num>
  <w:num w:numId="4">
    <w:abstractNumId w:val="3"/>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hyphenationZone w:val="425"/>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AEB"/>
    <w:rsid w:val="00001407"/>
    <w:rsid w:val="00027295"/>
    <w:rsid w:val="000306E4"/>
    <w:rsid w:val="000534CD"/>
    <w:rsid w:val="000713CC"/>
    <w:rsid w:val="00073E42"/>
    <w:rsid w:val="00074617"/>
    <w:rsid w:val="000919D2"/>
    <w:rsid w:val="000A4428"/>
    <w:rsid w:val="000B4D63"/>
    <w:rsid w:val="000C07E4"/>
    <w:rsid w:val="000C1D10"/>
    <w:rsid w:val="000C7B25"/>
    <w:rsid w:val="000D2D55"/>
    <w:rsid w:val="00120F43"/>
    <w:rsid w:val="00121674"/>
    <w:rsid w:val="00121FFE"/>
    <w:rsid w:val="0013774C"/>
    <w:rsid w:val="0014141C"/>
    <w:rsid w:val="00165823"/>
    <w:rsid w:val="001734FA"/>
    <w:rsid w:val="0018275E"/>
    <w:rsid w:val="001B3C0C"/>
    <w:rsid w:val="001D642C"/>
    <w:rsid w:val="001F704D"/>
    <w:rsid w:val="0020700A"/>
    <w:rsid w:val="00243B0C"/>
    <w:rsid w:val="00243C74"/>
    <w:rsid w:val="00246C30"/>
    <w:rsid w:val="002529AB"/>
    <w:rsid w:val="0026788F"/>
    <w:rsid w:val="00276767"/>
    <w:rsid w:val="0028159E"/>
    <w:rsid w:val="002862F6"/>
    <w:rsid w:val="002A55BB"/>
    <w:rsid w:val="002A74CF"/>
    <w:rsid w:val="002C2B25"/>
    <w:rsid w:val="002D7760"/>
    <w:rsid w:val="002E0A68"/>
    <w:rsid w:val="002E47CF"/>
    <w:rsid w:val="002E53A2"/>
    <w:rsid w:val="002F3E97"/>
    <w:rsid w:val="003112D1"/>
    <w:rsid w:val="00311BFD"/>
    <w:rsid w:val="00317CFE"/>
    <w:rsid w:val="003365A1"/>
    <w:rsid w:val="00341322"/>
    <w:rsid w:val="00341ECD"/>
    <w:rsid w:val="003550A8"/>
    <w:rsid w:val="003622C1"/>
    <w:rsid w:val="003668CE"/>
    <w:rsid w:val="003907C8"/>
    <w:rsid w:val="00390EC3"/>
    <w:rsid w:val="003A3FBB"/>
    <w:rsid w:val="003B3630"/>
    <w:rsid w:val="003B7C72"/>
    <w:rsid w:val="003F1403"/>
    <w:rsid w:val="00404359"/>
    <w:rsid w:val="0040743F"/>
    <w:rsid w:val="00414E27"/>
    <w:rsid w:val="004237C2"/>
    <w:rsid w:val="004324EB"/>
    <w:rsid w:val="00441381"/>
    <w:rsid w:val="0044197B"/>
    <w:rsid w:val="00444F62"/>
    <w:rsid w:val="00475B71"/>
    <w:rsid w:val="004A43B6"/>
    <w:rsid w:val="004A6BEF"/>
    <w:rsid w:val="004B2B41"/>
    <w:rsid w:val="004B6894"/>
    <w:rsid w:val="004C06EA"/>
    <w:rsid w:val="004E57E8"/>
    <w:rsid w:val="004E6B52"/>
    <w:rsid w:val="004E7F4C"/>
    <w:rsid w:val="004F7EF6"/>
    <w:rsid w:val="005208D2"/>
    <w:rsid w:val="005307CF"/>
    <w:rsid w:val="00537744"/>
    <w:rsid w:val="00551270"/>
    <w:rsid w:val="00562273"/>
    <w:rsid w:val="005654C0"/>
    <w:rsid w:val="00571D8E"/>
    <w:rsid w:val="00587182"/>
    <w:rsid w:val="005B35B0"/>
    <w:rsid w:val="005B4FC9"/>
    <w:rsid w:val="005C1775"/>
    <w:rsid w:val="005C2F0C"/>
    <w:rsid w:val="005C4E16"/>
    <w:rsid w:val="005D1207"/>
    <w:rsid w:val="005E29A1"/>
    <w:rsid w:val="006107C9"/>
    <w:rsid w:val="006263C2"/>
    <w:rsid w:val="006329DD"/>
    <w:rsid w:val="00632D26"/>
    <w:rsid w:val="0063778A"/>
    <w:rsid w:val="00653AED"/>
    <w:rsid w:val="00656675"/>
    <w:rsid w:val="0068570D"/>
    <w:rsid w:val="0069285D"/>
    <w:rsid w:val="006A2F47"/>
    <w:rsid w:val="006B3FE2"/>
    <w:rsid w:val="006B4DB1"/>
    <w:rsid w:val="006C3F93"/>
    <w:rsid w:val="006C71C0"/>
    <w:rsid w:val="006E0BCB"/>
    <w:rsid w:val="006E2F2C"/>
    <w:rsid w:val="006E7495"/>
    <w:rsid w:val="0071069B"/>
    <w:rsid w:val="007147D7"/>
    <w:rsid w:val="00730F31"/>
    <w:rsid w:val="0073341B"/>
    <w:rsid w:val="0073398D"/>
    <w:rsid w:val="00735EAD"/>
    <w:rsid w:val="007361BF"/>
    <w:rsid w:val="00741684"/>
    <w:rsid w:val="00742EC7"/>
    <w:rsid w:val="0075193C"/>
    <w:rsid w:val="00775050"/>
    <w:rsid w:val="00777F7A"/>
    <w:rsid w:val="00780323"/>
    <w:rsid w:val="00780C38"/>
    <w:rsid w:val="00780CB5"/>
    <w:rsid w:val="007B28AD"/>
    <w:rsid w:val="007F4308"/>
    <w:rsid w:val="00806666"/>
    <w:rsid w:val="00806E2A"/>
    <w:rsid w:val="00810E02"/>
    <w:rsid w:val="0082213D"/>
    <w:rsid w:val="00831012"/>
    <w:rsid w:val="0083154E"/>
    <w:rsid w:val="0083481F"/>
    <w:rsid w:val="0084263B"/>
    <w:rsid w:val="00865675"/>
    <w:rsid w:val="008657D8"/>
    <w:rsid w:val="00871ADF"/>
    <w:rsid w:val="00874CCF"/>
    <w:rsid w:val="00895381"/>
    <w:rsid w:val="008A4BC7"/>
    <w:rsid w:val="008C0EAA"/>
    <w:rsid w:val="008C2DE4"/>
    <w:rsid w:val="008C49B8"/>
    <w:rsid w:val="008E445A"/>
    <w:rsid w:val="008E74C8"/>
    <w:rsid w:val="008F42BB"/>
    <w:rsid w:val="009012B6"/>
    <w:rsid w:val="00902E32"/>
    <w:rsid w:val="00916E36"/>
    <w:rsid w:val="0093551B"/>
    <w:rsid w:val="009375B4"/>
    <w:rsid w:val="00957B58"/>
    <w:rsid w:val="00963D30"/>
    <w:rsid w:val="0097581F"/>
    <w:rsid w:val="0097591E"/>
    <w:rsid w:val="00987EC8"/>
    <w:rsid w:val="009A091B"/>
    <w:rsid w:val="009B6321"/>
    <w:rsid w:val="009C4428"/>
    <w:rsid w:val="009E73AA"/>
    <w:rsid w:val="009E7A2F"/>
    <w:rsid w:val="009F29D1"/>
    <w:rsid w:val="009F456F"/>
    <w:rsid w:val="00A0294F"/>
    <w:rsid w:val="00A2062E"/>
    <w:rsid w:val="00A35149"/>
    <w:rsid w:val="00A42979"/>
    <w:rsid w:val="00A6258B"/>
    <w:rsid w:val="00A64E47"/>
    <w:rsid w:val="00A65698"/>
    <w:rsid w:val="00A87553"/>
    <w:rsid w:val="00A95976"/>
    <w:rsid w:val="00AA1244"/>
    <w:rsid w:val="00AB2E26"/>
    <w:rsid w:val="00AF25E1"/>
    <w:rsid w:val="00B01286"/>
    <w:rsid w:val="00B156DC"/>
    <w:rsid w:val="00B16AC0"/>
    <w:rsid w:val="00B16C84"/>
    <w:rsid w:val="00B2168D"/>
    <w:rsid w:val="00B36FF9"/>
    <w:rsid w:val="00B5151E"/>
    <w:rsid w:val="00B62F2B"/>
    <w:rsid w:val="00B725B9"/>
    <w:rsid w:val="00BA6586"/>
    <w:rsid w:val="00BB17A5"/>
    <w:rsid w:val="00BB701D"/>
    <w:rsid w:val="00BB74BA"/>
    <w:rsid w:val="00BD505E"/>
    <w:rsid w:val="00C021FE"/>
    <w:rsid w:val="00C1247A"/>
    <w:rsid w:val="00C2424D"/>
    <w:rsid w:val="00C2436F"/>
    <w:rsid w:val="00C31D4D"/>
    <w:rsid w:val="00C4099F"/>
    <w:rsid w:val="00C42FB6"/>
    <w:rsid w:val="00C465E5"/>
    <w:rsid w:val="00C5080D"/>
    <w:rsid w:val="00C56441"/>
    <w:rsid w:val="00C57A8A"/>
    <w:rsid w:val="00C63FB4"/>
    <w:rsid w:val="00C658DC"/>
    <w:rsid w:val="00C94803"/>
    <w:rsid w:val="00CA7E85"/>
    <w:rsid w:val="00CC154F"/>
    <w:rsid w:val="00CC1BA7"/>
    <w:rsid w:val="00CC2250"/>
    <w:rsid w:val="00CD20DC"/>
    <w:rsid w:val="00CD655B"/>
    <w:rsid w:val="00CE1EAC"/>
    <w:rsid w:val="00D0031C"/>
    <w:rsid w:val="00D1363C"/>
    <w:rsid w:val="00D14C69"/>
    <w:rsid w:val="00D21B37"/>
    <w:rsid w:val="00D32FF5"/>
    <w:rsid w:val="00D41D50"/>
    <w:rsid w:val="00D553FA"/>
    <w:rsid w:val="00D72A41"/>
    <w:rsid w:val="00D91991"/>
    <w:rsid w:val="00DB2A8B"/>
    <w:rsid w:val="00DB6193"/>
    <w:rsid w:val="00DC331C"/>
    <w:rsid w:val="00DC5954"/>
    <w:rsid w:val="00E129A4"/>
    <w:rsid w:val="00E15183"/>
    <w:rsid w:val="00E22E35"/>
    <w:rsid w:val="00E32AD5"/>
    <w:rsid w:val="00E438E3"/>
    <w:rsid w:val="00E47F49"/>
    <w:rsid w:val="00E573DC"/>
    <w:rsid w:val="00E602F1"/>
    <w:rsid w:val="00E66684"/>
    <w:rsid w:val="00E761DC"/>
    <w:rsid w:val="00E84C46"/>
    <w:rsid w:val="00ED7A65"/>
    <w:rsid w:val="00EE4852"/>
    <w:rsid w:val="00F2163F"/>
    <w:rsid w:val="00F27DA6"/>
    <w:rsid w:val="00F41685"/>
    <w:rsid w:val="00F47CA3"/>
    <w:rsid w:val="00F56BED"/>
    <w:rsid w:val="00F72063"/>
    <w:rsid w:val="00F8645D"/>
    <w:rsid w:val="00F878C0"/>
    <w:rsid w:val="00FC10BC"/>
    <w:rsid w:val="00FE43EB"/>
    <w:rsid w:val="00FE5AEB"/>
    <w:rsid w:val="00FF7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2B3155CC"/>
  <w15:chartTrackingRefBased/>
  <w15:docId w15:val="{DC9E25AC-0691-45B2-9767-D8A83DC17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43B6"/>
    <w:pPr>
      <w:spacing w:line="360" w:lineRule="auto"/>
      <w:ind w:firstLine="510"/>
      <w:jc w:val="both"/>
    </w:pPr>
    <w:rPr>
      <w:sz w:val="28"/>
    </w:rPr>
  </w:style>
  <w:style w:type="paragraph" w:styleId="Heading1">
    <w:name w:val="heading 1"/>
    <w:basedOn w:val="Normal"/>
    <w:next w:val="Normal"/>
    <w:link w:val="Heading1Char"/>
    <w:uiPriority w:val="9"/>
    <w:qFormat/>
    <w:rsid w:val="00AF25E1"/>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AF25E1"/>
    <w:pPr>
      <w:keepNext/>
      <w:keepLines/>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6263C2"/>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A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AE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F25E1"/>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AF25E1"/>
    <w:rPr>
      <w:rFonts w:asciiTheme="majorHAnsi" w:eastAsiaTheme="majorEastAsia" w:hAnsiTheme="majorHAnsi" w:cstheme="majorBidi"/>
      <w:color w:val="000000" w:themeColor="text1"/>
      <w:sz w:val="26"/>
      <w:szCs w:val="26"/>
    </w:rPr>
  </w:style>
  <w:style w:type="paragraph" w:styleId="ListParagraph">
    <w:name w:val="List Paragraph"/>
    <w:basedOn w:val="Normal"/>
    <w:uiPriority w:val="34"/>
    <w:qFormat/>
    <w:rsid w:val="00E22E35"/>
    <w:pPr>
      <w:ind w:left="720"/>
      <w:contextualSpacing/>
    </w:pPr>
  </w:style>
  <w:style w:type="character" w:customStyle="1" w:styleId="Heading3Char">
    <w:name w:val="Heading 3 Char"/>
    <w:basedOn w:val="DefaultParagraphFont"/>
    <w:link w:val="Heading3"/>
    <w:uiPriority w:val="9"/>
    <w:rsid w:val="006263C2"/>
    <w:rPr>
      <w:rFonts w:asciiTheme="majorHAnsi" w:eastAsiaTheme="majorEastAsia" w:hAnsiTheme="majorHAnsi" w:cstheme="majorBidi"/>
      <w:color w:val="000000" w:themeColor="text1"/>
      <w:sz w:val="24"/>
      <w:szCs w:val="24"/>
    </w:rPr>
  </w:style>
  <w:style w:type="paragraph" w:styleId="Caption">
    <w:name w:val="caption"/>
    <w:basedOn w:val="Normal"/>
    <w:next w:val="Normal"/>
    <w:uiPriority w:val="35"/>
    <w:unhideWhenUsed/>
    <w:qFormat/>
    <w:rsid w:val="006C71C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37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74C"/>
  </w:style>
  <w:style w:type="paragraph" w:styleId="Footer">
    <w:name w:val="footer"/>
    <w:basedOn w:val="Normal"/>
    <w:link w:val="FooterChar"/>
    <w:uiPriority w:val="99"/>
    <w:unhideWhenUsed/>
    <w:rsid w:val="00137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74C"/>
  </w:style>
  <w:style w:type="paragraph" w:styleId="NoSpacing">
    <w:name w:val="No Spacing"/>
    <w:link w:val="NoSpacingChar"/>
    <w:uiPriority w:val="1"/>
    <w:qFormat/>
    <w:rsid w:val="00AA1244"/>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AA1244"/>
    <w:rPr>
      <w:color w:val="44546A" w:themeColor="text2"/>
      <w:sz w:val="20"/>
      <w:szCs w:val="20"/>
      <w:lang w:val="en-US"/>
    </w:rPr>
  </w:style>
  <w:style w:type="paragraph" w:styleId="TOCHeading">
    <w:name w:val="TOC Heading"/>
    <w:basedOn w:val="Heading1"/>
    <w:next w:val="Normal"/>
    <w:uiPriority w:val="39"/>
    <w:unhideWhenUsed/>
    <w:qFormat/>
    <w:rsid w:val="0075193C"/>
    <w:pPr>
      <w:outlineLvl w:val="9"/>
    </w:pPr>
    <w:rPr>
      <w:color w:val="2E74B5" w:themeColor="accent1" w:themeShade="BF"/>
      <w:lang w:val="en-US"/>
    </w:rPr>
  </w:style>
  <w:style w:type="paragraph" w:styleId="TOC1">
    <w:name w:val="toc 1"/>
    <w:basedOn w:val="Normal"/>
    <w:next w:val="Normal"/>
    <w:autoRedefine/>
    <w:uiPriority w:val="39"/>
    <w:unhideWhenUsed/>
    <w:rsid w:val="0075193C"/>
    <w:pPr>
      <w:spacing w:after="100"/>
    </w:pPr>
  </w:style>
  <w:style w:type="paragraph" w:styleId="TOC2">
    <w:name w:val="toc 2"/>
    <w:basedOn w:val="Normal"/>
    <w:next w:val="Normal"/>
    <w:autoRedefine/>
    <w:uiPriority w:val="39"/>
    <w:unhideWhenUsed/>
    <w:rsid w:val="0075193C"/>
    <w:pPr>
      <w:spacing w:after="100"/>
      <w:ind w:left="220"/>
    </w:pPr>
  </w:style>
  <w:style w:type="paragraph" w:styleId="TOC3">
    <w:name w:val="toc 3"/>
    <w:basedOn w:val="Normal"/>
    <w:next w:val="Normal"/>
    <w:autoRedefine/>
    <w:uiPriority w:val="39"/>
    <w:unhideWhenUsed/>
    <w:rsid w:val="0075193C"/>
    <w:pPr>
      <w:spacing w:after="100"/>
      <w:ind w:left="440"/>
    </w:pPr>
  </w:style>
  <w:style w:type="character" w:styleId="Hyperlink">
    <w:name w:val="Hyperlink"/>
    <w:basedOn w:val="DefaultParagraphFont"/>
    <w:uiPriority w:val="99"/>
    <w:unhideWhenUsed/>
    <w:rsid w:val="0075193C"/>
    <w:rPr>
      <w:color w:val="0563C1" w:themeColor="hyperlink"/>
      <w:u w:val="single"/>
    </w:rPr>
  </w:style>
  <w:style w:type="paragraph" w:styleId="TableofFigures">
    <w:name w:val="table of figures"/>
    <w:basedOn w:val="Normal"/>
    <w:next w:val="Normal"/>
    <w:uiPriority w:val="99"/>
    <w:unhideWhenUsed/>
    <w:rsid w:val="0075193C"/>
    <w:pPr>
      <w:spacing w:after="0"/>
    </w:pPr>
  </w:style>
  <w:style w:type="table" w:styleId="TableGrid">
    <w:name w:val="Table Grid"/>
    <w:basedOn w:val="TableNormal"/>
    <w:uiPriority w:val="39"/>
    <w:rsid w:val="00806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E6B5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5B4FC9"/>
    <w:rPr>
      <w:b/>
      <w:bCs/>
    </w:rPr>
  </w:style>
  <w:style w:type="paragraph" w:styleId="Quote">
    <w:name w:val="Quote"/>
    <w:basedOn w:val="Normal"/>
    <w:next w:val="Normal"/>
    <w:link w:val="QuoteChar"/>
    <w:uiPriority w:val="29"/>
    <w:qFormat/>
    <w:rsid w:val="0089538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95381"/>
    <w:rPr>
      <w:i/>
      <w:iCs/>
      <w:color w:val="404040" w:themeColor="text1" w:themeTint="BF"/>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997665">
      <w:bodyDiv w:val="1"/>
      <w:marLeft w:val="0"/>
      <w:marRight w:val="0"/>
      <w:marTop w:val="0"/>
      <w:marBottom w:val="0"/>
      <w:divBdr>
        <w:top w:val="none" w:sz="0" w:space="0" w:color="auto"/>
        <w:left w:val="none" w:sz="0" w:space="0" w:color="auto"/>
        <w:bottom w:val="none" w:sz="0" w:space="0" w:color="auto"/>
        <w:right w:val="none" w:sz="0" w:space="0" w:color="auto"/>
      </w:divBdr>
      <w:divsChild>
        <w:div w:id="608196621">
          <w:marLeft w:val="0"/>
          <w:marRight w:val="0"/>
          <w:marTop w:val="0"/>
          <w:marBottom w:val="0"/>
          <w:divBdr>
            <w:top w:val="none" w:sz="0" w:space="0" w:color="auto"/>
            <w:left w:val="none" w:sz="0" w:space="0" w:color="auto"/>
            <w:bottom w:val="none" w:sz="0" w:space="0" w:color="auto"/>
            <w:right w:val="none" w:sz="0" w:space="0" w:color="auto"/>
          </w:divBdr>
        </w:div>
        <w:div w:id="177937580">
          <w:marLeft w:val="0"/>
          <w:marRight w:val="0"/>
          <w:marTop w:val="0"/>
          <w:marBottom w:val="0"/>
          <w:divBdr>
            <w:top w:val="none" w:sz="0" w:space="0" w:color="auto"/>
            <w:left w:val="none" w:sz="0" w:space="0" w:color="auto"/>
            <w:bottom w:val="none" w:sz="0" w:space="0" w:color="auto"/>
            <w:right w:val="none" w:sz="0" w:space="0" w:color="auto"/>
          </w:divBdr>
        </w:div>
      </w:divsChild>
    </w:div>
    <w:div w:id="290281616">
      <w:bodyDiv w:val="1"/>
      <w:marLeft w:val="0"/>
      <w:marRight w:val="0"/>
      <w:marTop w:val="0"/>
      <w:marBottom w:val="0"/>
      <w:divBdr>
        <w:top w:val="none" w:sz="0" w:space="0" w:color="auto"/>
        <w:left w:val="none" w:sz="0" w:space="0" w:color="auto"/>
        <w:bottom w:val="none" w:sz="0" w:space="0" w:color="auto"/>
        <w:right w:val="none" w:sz="0" w:space="0" w:color="auto"/>
      </w:divBdr>
      <w:divsChild>
        <w:div w:id="797454580">
          <w:marLeft w:val="0"/>
          <w:marRight w:val="0"/>
          <w:marTop w:val="0"/>
          <w:marBottom w:val="0"/>
          <w:divBdr>
            <w:top w:val="none" w:sz="0" w:space="0" w:color="auto"/>
            <w:left w:val="none" w:sz="0" w:space="0" w:color="auto"/>
            <w:bottom w:val="none" w:sz="0" w:space="0" w:color="auto"/>
            <w:right w:val="none" w:sz="0" w:space="0" w:color="auto"/>
          </w:divBdr>
          <w:divsChild>
            <w:div w:id="2094859117">
              <w:marLeft w:val="0"/>
              <w:marRight w:val="0"/>
              <w:marTop w:val="0"/>
              <w:marBottom w:val="0"/>
              <w:divBdr>
                <w:top w:val="none" w:sz="0" w:space="0" w:color="auto"/>
                <w:left w:val="none" w:sz="0" w:space="0" w:color="auto"/>
                <w:bottom w:val="none" w:sz="0" w:space="0" w:color="auto"/>
                <w:right w:val="none" w:sz="0" w:space="0" w:color="auto"/>
              </w:divBdr>
            </w:div>
            <w:div w:id="1821799295">
              <w:marLeft w:val="0"/>
              <w:marRight w:val="0"/>
              <w:marTop w:val="0"/>
              <w:marBottom w:val="0"/>
              <w:divBdr>
                <w:top w:val="none" w:sz="0" w:space="0" w:color="auto"/>
                <w:left w:val="none" w:sz="0" w:space="0" w:color="auto"/>
                <w:bottom w:val="none" w:sz="0" w:space="0" w:color="auto"/>
                <w:right w:val="none" w:sz="0" w:space="0" w:color="auto"/>
              </w:divBdr>
            </w:div>
            <w:div w:id="1801337283">
              <w:marLeft w:val="0"/>
              <w:marRight w:val="0"/>
              <w:marTop w:val="0"/>
              <w:marBottom w:val="0"/>
              <w:divBdr>
                <w:top w:val="none" w:sz="0" w:space="0" w:color="auto"/>
                <w:left w:val="none" w:sz="0" w:space="0" w:color="auto"/>
                <w:bottom w:val="none" w:sz="0" w:space="0" w:color="auto"/>
                <w:right w:val="none" w:sz="0" w:space="0" w:color="auto"/>
              </w:divBdr>
            </w:div>
            <w:div w:id="1970087757">
              <w:marLeft w:val="0"/>
              <w:marRight w:val="0"/>
              <w:marTop w:val="0"/>
              <w:marBottom w:val="0"/>
              <w:divBdr>
                <w:top w:val="none" w:sz="0" w:space="0" w:color="auto"/>
                <w:left w:val="none" w:sz="0" w:space="0" w:color="auto"/>
                <w:bottom w:val="none" w:sz="0" w:space="0" w:color="auto"/>
                <w:right w:val="none" w:sz="0" w:space="0" w:color="auto"/>
              </w:divBdr>
            </w:div>
            <w:div w:id="1235507512">
              <w:marLeft w:val="0"/>
              <w:marRight w:val="0"/>
              <w:marTop w:val="0"/>
              <w:marBottom w:val="0"/>
              <w:divBdr>
                <w:top w:val="none" w:sz="0" w:space="0" w:color="auto"/>
                <w:left w:val="none" w:sz="0" w:space="0" w:color="auto"/>
                <w:bottom w:val="none" w:sz="0" w:space="0" w:color="auto"/>
                <w:right w:val="none" w:sz="0" w:space="0" w:color="auto"/>
              </w:divBdr>
            </w:div>
            <w:div w:id="1221553880">
              <w:marLeft w:val="0"/>
              <w:marRight w:val="0"/>
              <w:marTop w:val="0"/>
              <w:marBottom w:val="0"/>
              <w:divBdr>
                <w:top w:val="none" w:sz="0" w:space="0" w:color="auto"/>
                <w:left w:val="none" w:sz="0" w:space="0" w:color="auto"/>
                <w:bottom w:val="none" w:sz="0" w:space="0" w:color="auto"/>
                <w:right w:val="none" w:sz="0" w:space="0" w:color="auto"/>
              </w:divBdr>
            </w:div>
            <w:div w:id="2146703395">
              <w:marLeft w:val="0"/>
              <w:marRight w:val="0"/>
              <w:marTop w:val="0"/>
              <w:marBottom w:val="0"/>
              <w:divBdr>
                <w:top w:val="none" w:sz="0" w:space="0" w:color="auto"/>
                <w:left w:val="none" w:sz="0" w:space="0" w:color="auto"/>
                <w:bottom w:val="none" w:sz="0" w:space="0" w:color="auto"/>
                <w:right w:val="none" w:sz="0" w:space="0" w:color="auto"/>
              </w:divBdr>
            </w:div>
            <w:div w:id="327949887">
              <w:marLeft w:val="0"/>
              <w:marRight w:val="0"/>
              <w:marTop w:val="0"/>
              <w:marBottom w:val="0"/>
              <w:divBdr>
                <w:top w:val="none" w:sz="0" w:space="0" w:color="auto"/>
                <w:left w:val="none" w:sz="0" w:space="0" w:color="auto"/>
                <w:bottom w:val="none" w:sz="0" w:space="0" w:color="auto"/>
                <w:right w:val="none" w:sz="0" w:space="0" w:color="auto"/>
              </w:divBdr>
            </w:div>
            <w:div w:id="1949582123">
              <w:marLeft w:val="0"/>
              <w:marRight w:val="0"/>
              <w:marTop w:val="0"/>
              <w:marBottom w:val="0"/>
              <w:divBdr>
                <w:top w:val="none" w:sz="0" w:space="0" w:color="auto"/>
                <w:left w:val="none" w:sz="0" w:space="0" w:color="auto"/>
                <w:bottom w:val="none" w:sz="0" w:space="0" w:color="auto"/>
                <w:right w:val="none" w:sz="0" w:space="0" w:color="auto"/>
              </w:divBdr>
            </w:div>
            <w:div w:id="1486094419">
              <w:marLeft w:val="0"/>
              <w:marRight w:val="0"/>
              <w:marTop w:val="0"/>
              <w:marBottom w:val="0"/>
              <w:divBdr>
                <w:top w:val="none" w:sz="0" w:space="0" w:color="auto"/>
                <w:left w:val="none" w:sz="0" w:space="0" w:color="auto"/>
                <w:bottom w:val="none" w:sz="0" w:space="0" w:color="auto"/>
                <w:right w:val="none" w:sz="0" w:space="0" w:color="auto"/>
              </w:divBdr>
            </w:div>
            <w:div w:id="1744833755">
              <w:marLeft w:val="0"/>
              <w:marRight w:val="0"/>
              <w:marTop w:val="0"/>
              <w:marBottom w:val="0"/>
              <w:divBdr>
                <w:top w:val="none" w:sz="0" w:space="0" w:color="auto"/>
                <w:left w:val="none" w:sz="0" w:space="0" w:color="auto"/>
                <w:bottom w:val="none" w:sz="0" w:space="0" w:color="auto"/>
                <w:right w:val="none" w:sz="0" w:space="0" w:color="auto"/>
              </w:divBdr>
            </w:div>
            <w:div w:id="994139263">
              <w:marLeft w:val="0"/>
              <w:marRight w:val="0"/>
              <w:marTop w:val="0"/>
              <w:marBottom w:val="0"/>
              <w:divBdr>
                <w:top w:val="none" w:sz="0" w:space="0" w:color="auto"/>
                <w:left w:val="none" w:sz="0" w:space="0" w:color="auto"/>
                <w:bottom w:val="none" w:sz="0" w:space="0" w:color="auto"/>
                <w:right w:val="none" w:sz="0" w:space="0" w:color="auto"/>
              </w:divBdr>
            </w:div>
            <w:div w:id="160587302">
              <w:marLeft w:val="0"/>
              <w:marRight w:val="0"/>
              <w:marTop w:val="0"/>
              <w:marBottom w:val="0"/>
              <w:divBdr>
                <w:top w:val="none" w:sz="0" w:space="0" w:color="auto"/>
                <w:left w:val="none" w:sz="0" w:space="0" w:color="auto"/>
                <w:bottom w:val="none" w:sz="0" w:space="0" w:color="auto"/>
                <w:right w:val="none" w:sz="0" w:space="0" w:color="auto"/>
              </w:divBdr>
            </w:div>
            <w:div w:id="1950578985">
              <w:marLeft w:val="0"/>
              <w:marRight w:val="0"/>
              <w:marTop w:val="0"/>
              <w:marBottom w:val="0"/>
              <w:divBdr>
                <w:top w:val="none" w:sz="0" w:space="0" w:color="auto"/>
                <w:left w:val="none" w:sz="0" w:space="0" w:color="auto"/>
                <w:bottom w:val="none" w:sz="0" w:space="0" w:color="auto"/>
                <w:right w:val="none" w:sz="0" w:space="0" w:color="auto"/>
              </w:divBdr>
            </w:div>
            <w:div w:id="1277760865">
              <w:marLeft w:val="0"/>
              <w:marRight w:val="0"/>
              <w:marTop w:val="0"/>
              <w:marBottom w:val="0"/>
              <w:divBdr>
                <w:top w:val="none" w:sz="0" w:space="0" w:color="auto"/>
                <w:left w:val="none" w:sz="0" w:space="0" w:color="auto"/>
                <w:bottom w:val="none" w:sz="0" w:space="0" w:color="auto"/>
                <w:right w:val="none" w:sz="0" w:space="0" w:color="auto"/>
              </w:divBdr>
            </w:div>
            <w:div w:id="801460538">
              <w:marLeft w:val="0"/>
              <w:marRight w:val="0"/>
              <w:marTop w:val="0"/>
              <w:marBottom w:val="0"/>
              <w:divBdr>
                <w:top w:val="none" w:sz="0" w:space="0" w:color="auto"/>
                <w:left w:val="none" w:sz="0" w:space="0" w:color="auto"/>
                <w:bottom w:val="none" w:sz="0" w:space="0" w:color="auto"/>
                <w:right w:val="none" w:sz="0" w:space="0" w:color="auto"/>
              </w:divBdr>
            </w:div>
            <w:div w:id="902910738">
              <w:marLeft w:val="0"/>
              <w:marRight w:val="0"/>
              <w:marTop w:val="0"/>
              <w:marBottom w:val="0"/>
              <w:divBdr>
                <w:top w:val="none" w:sz="0" w:space="0" w:color="auto"/>
                <w:left w:val="none" w:sz="0" w:space="0" w:color="auto"/>
                <w:bottom w:val="none" w:sz="0" w:space="0" w:color="auto"/>
                <w:right w:val="none" w:sz="0" w:space="0" w:color="auto"/>
              </w:divBdr>
            </w:div>
            <w:div w:id="1963074546">
              <w:marLeft w:val="0"/>
              <w:marRight w:val="0"/>
              <w:marTop w:val="0"/>
              <w:marBottom w:val="0"/>
              <w:divBdr>
                <w:top w:val="none" w:sz="0" w:space="0" w:color="auto"/>
                <w:left w:val="none" w:sz="0" w:space="0" w:color="auto"/>
                <w:bottom w:val="none" w:sz="0" w:space="0" w:color="auto"/>
                <w:right w:val="none" w:sz="0" w:space="0" w:color="auto"/>
              </w:divBdr>
            </w:div>
            <w:div w:id="300504322">
              <w:marLeft w:val="0"/>
              <w:marRight w:val="0"/>
              <w:marTop w:val="0"/>
              <w:marBottom w:val="0"/>
              <w:divBdr>
                <w:top w:val="none" w:sz="0" w:space="0" w:color="auto"/>
                <w:left w:val="none" w:sz="0" w:space="0" w:color="auto"/>
                <w:bottom w:val="none" w:sz="0" w:space="0" w:color="auto"/>
                <w:right w:val="none" w:sz="0" w:space="0" w:color="auto"/>
              </w:divBdr>
            </w:div>
            <w:div w:id="1158040653">
              <w:marLeft w:val="0"/>
              <w:marRight w:val="0"/>
              <w:marTop w:val="0"/>
              <w:marBottom w:val="0"/>
              <w:divBdr>
                <w:top w:val="none" w:sz="0" w:space="0" w:color="auto"/>
                <w:left w:val="none" w:sz="0" w:space="0" w:color="auto"/>
                <w:bottom w:val="none" w:sz="0" w:space="0" w:color="auto"/>
                <w:right w:val="none" w:sz="0" w:space="0" w:color="auto"/>
              </w:divBdr>
            </w:div>
            <w:div w:id="886068832">
              <w:marLeft w:val="0"/>
              <w:marRight w:val="0"/>
              <w:marTop w:val="0"/>
              <w:marBottom w:val="0"/>
              <w:divBdr>
                <w:top w:val="none" w:sz="0" w:space="0" w:color="auto"/>
                <w:left w:val="none" w:sz="0" w:space="0" w:color="auto"/>
                <w:bottom w:val="none" w:sz="0" w:space="0" w:color="auto"/>
                <w:right w:val="none" w:sz="0" w:space="0" w:color="auto"/>
              </w:divBdr>
            </w:div>
            <w:div w:id="912277225">
              <w:marLeft w:val="0"/>
              <w:marRight w:val="0"/>
              <w:marTop w:val="0"/>
              <w:marBottom w:val="0"/>
              <w:divBdr>
                <w:top w:val="none" w:sz="0" w:space="0" w:color="auto"/>
                <w:left w:val="none" w:sz="0" w:space="0" w:color="auto"/>
                <w:bottom w:val="none" w:sz="0" w:space="0" w:color="auto"/>
                <w:right w:val="none" w:sz="0" w:space="0" w:color="auto"/>
              </w:divBdr>
            </w:div>
            <w:div w:id="310908525">
              <w:marLeft w:val="0"/>
              <w:marRight w:val="0"/>
              <w:marTop w:val="0"/>
              <w:marBottom w:val="0"/>
              <w:divBdr>
                <w:top w:val="none" w:sz="0" w:space="0" w:color="auto"/>
                <w:left w:val="none" w:sz="0" w:space="0" w:color="auto"/>
                <w:bottom w:val="none" w:sz="0" w:space="0" w:color="auto"/>
                <w:right w:val="none" w:sz="0" w:space="0" w:color="auto"/>
              </w:divBdr>
            </w:div>
            <w:div w:id="1632784533">
              <w:marLeft w:val="0"/>
              <w:marRight w:val="0"/>
              <w:marTop w:val="0"/>
              <w:marBottom w:val="0"/>
              <w:divBdr>
                <w:top w:val="none" w:sz="0" w:space="0" w:color="auto"/>
                <w:left w:val="none" w:sz="0" w:space="0" w:color="auto"/>
                <w:bottom w:val="none" w:sz="0" w:space="0" w:color="auto"/>
                <w:right w:val="none" w:sz="0" w:space="0" w:color="auto"/>
              </w:divBdr>
            </w:div>
            <w:div w:id="376128944">
              <w:marLeft w:val="0"/>
              <w:marRight w:val="0"/>
              <w:marTop w:val="0"/>
              <w:marBottom w:val="0"/>
              <w:divBdr>
                <w:top w:val="none" w:sz="0" w:space="0" w:color="auto"/>
                <w:left w:val="none" w:sz="0" w:space="0" w:color="auto"/>
                <w:bottom w:val="none" w:sz="0" w:space="0" w:color="auto"/>
                <w:right w:val="none" w:sz="0" w:space="0" w:color="auto"/>
              </w:divBdr>
            </w:div>
            <w:div w:id="77362129">
              <w:marLeft w:val="0"/>
              <w:marRight w:val="0"/>
              <w:marTop w:val="0"/>
              <w:marBottom w:val="0"/>
              <w:divBdr>
                <w:top w:val="none" w:sz="0" w:space="0" w:color="auto"/>
                <w:left w:val="none" w:sz="0" w:space="0" w:color="auto"/>
                <w:bottom w:val="none" w:sz="0" w:space="0" w:color="auto"/>
                <w:right w:val="none" w:sz="0" w:space="0" w:color="auto"/>
              </w:divBdr>
            </w:div>
            <w:div w:id="1086808046">
              <w:marLeft w:val="0"/>
              <w:marRight w:val="0"/>
              <w:marTop w:val="0"/>
              <w:marBottom w:val="0"/>
              <w:divBdr>
                <w:top w:val="none" w:sz="0" w:space="0" w:color="auto"/>
                <w:left w:val="none" w:sz="0" w:space="0" w:color="auto"/>
                <w:bottom w:val="none" w:sz="0" w:space="0" w:color="auto"/>
                <w:right w:val="none" w:sz="0" w:space="0" w:color="auto"/>
              </w:divBdr>
            </w:div>
            <w:div w:id="1538658598">
              <w:marLeft w:val="0"/>
              <w:marRight w:val="0"/>
              <w:marTop w:val="0"/>
              <w:marBottom w:val="0"/>
              <w:divBdr>
                <w:top w:val="none" w:sz="0" w:space="0" w:color="auto"/>
                <w:left w:val="none" w:sz="0" w:space="0" w:color="auto"/>
                <w:bottom w:val="none" w:sz="0" w:space="0" w:color="auto"/>
                <w:right w:val="none" w:sz="0" w:space="0" w:color="auto"/>
              </w:divBdr>
            </w:div>
            <w:div w:id="1553418381">
              <w:marLeft w:val="0"/>
              <w:marRight w:val="0"/>
              <w:marTop w:val="0"/>
              <w:marBottom w:val="0"/>
              <w:divBdr>
                <w:top w:val="none" w:sz="0" w:space="0" w:color="auto"/>
                <w:left w:val="none" w:sz="0" w:space="0" w:color="auto"/>
                <w:bottom w:val="none" w:sz="0" w:space="0" w:color="auto"/>
                <w:right w:val="none" w:sz="0" w:space="0" w:color="auto"/>
              </w:divBdr>
            </w:div>
            <w:div w:id="1956473821">
              <w:marLeft w:val="0"/>
              <w:marRight w:val="0"/>
              <w:marTop w:val="0"/>
              <w:marBottom w:val="0"/>
              <w:divBdr>
                <w:top w:val="none" w:sz="0" w:space="0" w:color="auto"/>
                <w:left w:val="none" w:sz="0" w:space="0" w:color="auto"/>
                <w:bottom w:val="none" w:sz="0" w:space="0" w:color="auto"/>
                <w:right w:val="none" w:sz="0" w:space="0" w:color="auto"/>
              </w:divBdr>
            </w:div>
            <w:div w:id="376007725">
              <w:marLeft w:val="0"/>
              <w:marRight w:val="0"/>
              <w:marTop w:val="0"/>
              <w:marBottom w:val="0"/>
              <w:divBdr>
                <w:top w:val="none" w:sz="0" w:space="0" w:color="auto"/>
                <w:left w:val="none" w:sz="0" w:space="0" w:color="auto"/>
                <w:bottom w:val="none" w:sz="0" w:space="0" w:color="auto"/>
                <w:right w:val="none" w:sz="0" w:space="0" w:color="auto"/>
              </w:divBdr>
            </w:div>
            <w:div w:id="355736991">
              <w:marLeft w:val="0"/>
              <w:marRight w:val="0"/>
              <w:marTop w:val="0"/>
              <w:marBottom w:val="0"/>
              <w:divBdr>
                <w:top w:val="none" w:sz="0" w:space="0" w:color="auto"/>
                <w:left w:val="none" w:sz="0" w:space="0" w:color="auto"/>
                <w:bottom w:val="none" w:sz="0" w:space="0" w:color="auto"/>
                <w:right w:val="none" w:sz="0" w:space="0" w:color="auto"/>
              </w:divBdr>
            </w:div>
            <w:div w:id="1699811017">
              <w:marLeft w:val="0"/>
              <w:marRight w:val="0"/>
              <w:marTop w:val="0"/>
              <w:marBottom w:val="0"/>
              <w:divBdr>
                <w:top w:val="none" w:sz="0" w:space="0" w:color="auto"/>
                <w:left w:val="none" w:sz="0" w:space="0" w:color="auto"/>
                <w:bottom w:val="none" w:sz="0" w:space="0" w:color="auto"/>
                <w:right w:val="none" w:sz="0" w:space="0" w:color="auto"/>
              </w:divBdr>
            </w:div>
            <w:div w:id="1289971652">
              <w:marLeft w:val="0"/>
              <w:marRight w:val="0"/>
              <w:marTop w:val="0"/>
              <w:marBottom w:val="0"/>
              <w:divBdr>
                <w:top w:val="none" w:sz="0" w:space="0" w:color="auto"/>
                <w:left w:val="none" w:sz="0" w:space="0" w:color="auto"/>
                <w:bottom w:val="none" w:sz="0" w:space="0" w:color="auto"/>
                <w:right w:val="none" w:sz="0" w:space="0" w:color="auto"/>
              </w:divBdr>
            </w:div>
            <w:div w:id="1816603063">
              <w:marLeft w:val="0"/>
              <w:marRight w:val="0"/>
              <w:marTop w:val="0"/>
              <w:marBottom w:val="0"/>
              <w:divBdr>
                <w:top w:val="none" w:sz="0" w:space="0" w:color="auto"/>
                <w:left w:val="none" w:sz="0" w:space="0" w:color="auto"/>
                <w:bottom w:val="none" w:sz="0" w:space="0" w:color="auto"/>
                <w:right w:val="none" w:sz="0" w:space="0" w:color="auto"/>
              </w:divBdr>
            </w:div>
            <w:div w:id="1685326609">
              <w:marLeft w:val="0"/>
              <w:marRight w:val="0"/>
              <w:marTop w:val="0"/>
              <w:marBottom w:val="0"/>
              <w:divBdr>
                <w:top w:val="none" w:sz="0" w:space="0" w:color="auto"/>
                <w:left w:val="none" w:sz="0" w:space="0" w:color="auto"/>
                <w:bottom w:val="none" w:sz="0" w:space="0" w:color="auto"/>
                <w:right w:val="none" w:sz="0" w:space="0" w:color="auto"/>
              </w:divBdr>
            </w:div>
            <w:div w:id="395055018">
              <w:marLeft w:val="0"/>
              <w:marRight w:val="0"/>
              <w:marTop w:val="0"/>
              <w:marBottom w:val="0"/>
              <w:divBdr>
                <w:top w:val="none" w:sz="0" w:space="0" w:color="auto"/>
                <w:left w:val="none" w:sz="0" w:space="0" w:color="auto"/>
                <w:bottom w:val="none" w:sz="0" w:space="0" w:color="auto"/>
                <w:right w:val="none" w:sz="0" w:space="0" w:color="auto"/>
              </w:divBdr>
            </w:div>
            <w:div w:id="1969313633">
              <w:marLeft w:val="0"/>
              <w:marRight w:val="0"/>
              <w:marTop w:val="0"/>
              <w:marBottom w:val="0"/>
              <w:divBdr>
                <w:top w:val="none" w:sz="0" w:space="0" w:color="auto"/>
                <w:left w:val="none" w:sz="0" w:space="0" w:color="auto"/>
                <w:bottom w:val="none" w:sz="0" w:space="0" w:color="auto"/>
                <w:right w:val="none" w:sz="0" w:space="0" w:color="auto"/>
              </w:divBdr>
            </w:div>
            <w:div w:id="1290356132">
              <w:marLeft w:val="0"/>
              <w:marRight w:val="0"/>
              <w:marTop w:val="0"/>
              <w:marBottom w:val="0"/>
              <w:divBdr>
                <w:top w:val="none" w:sz="0" w:space="0" w:color="auto"/>
                <w:left w:val="none" w:sz="0" w:space="0" w:color="auto"/>
                <w:bottom w:val="none" w:sz="0" w:space="0" w:color="auto"/>
                <w:right w:val="none" w:sz="0" w:space="0" w:color="auto"/>
              </w:divBdr>
            </w:div>
            <w:div w:id="1035276909">
              <w:marLeft w:val="0"/>
              <w:marRight w:val="0"/>
              <w:marTop w:val="0"/>
              <w:marBottom w:val="0"/>
              <w:divBdr>
                <w:top w:val="none" w:sz="0" w:space="0" w:color="auto"/>
                <w:left w:val="none" w:sz="0" w:space="0" w:color="auto"/>
                <w:bottom w:val="none" w:sz="0" w:space="0" w:color="auto"/>
                <w:right w:val="none" w:sz="0" w:space="0" w:color="auto"/>
              </w:divBdr>
            </w:div>
            <w:div w:id="2028679145">
              <w:marLeft w:val="0"/>
              <w:marRight w:val="0"/>
              <w:marTop w:val="0"/>
              <w:marBottom w:val="0"/>
              <w:divBdr>
                <w:top w:val="none" w:sz="0" w:space="0" w:color="auto"/>
                <w:left w:val="none" w:sz="0" w:space="0" w:color="auto"/>
                <w:bottom w:val="none" w:sz="0" w:space="0" w:color="auto"/>
                <w:right w:val="none" w:sz="0" w:space="0" w:color="auto"/>
              </w:divBdr>
            </w:div>
            <w:div w:id="480267743">
              <w:marLeft w:val="0"/>
              <w:marRight w:val="0"/>
              <w:marTop w:val="0"/>
              <w:marBottom w:val="0"/>
              <w:divBdr>
                <w:top w:val="none" w:sz="0" w:space="0" w:color="auto"/>
                <w:left w:val="none" w:sz="0" w:space="0" w:color="auto"/>
                <w:bottom w:val="none" w:sz="0" w:space="0" w:color="auto"/>
                <w:right w:val="none" w:sz="0" w:space="0" w:color="auto"/>
              </w:divBdr>
            </w:div>
            <w:div w:id="106781773">
              <w:marLeft w:val="0"/>
              <w:marRight w:val="0"/>
              <w:marTop w:val="0"/>
              <w:marBottom w:val="0"/>
              <w:divBdr>
                <w:top w:val="none" w:sz="0" w:space="0" w:color="auto"/>
                <w:left w:val="none" w:sz="0" w:space="0" w:color="auto"/>
                <w:bottom w:val="none" w:sz="0" w:space="0" w:color="auto"/>
                <w:right w:val="none" w:sz="0" w:space="0" w:color="auto"/>
              </w:divBdr>
            </w:div>
            <w:div w:id="531455676">
              <w:marLeft w:val="0"/>
              <w:marRight w:val="0"/>
              <w:marTop w:val="0"/>
              <w:marBottom w:val="0"/>
              <w:divBdr>
                <w:top w:val="none" w:sz="0" w:space="0" w:color="auto"/>
                <w:left w:val="none" w:sz="0" w:space="0" w:color="auto"/>
                <w:bottom w:val="none" w:sz="0" w:space="0" w:color="auto"/>
                <w:right w:val="none" w:sz="0" w:space="0" w:color="auto"/>
              </w:divBdr>
            </w:div>
            <w:div w:id="16546655">
              <w:marLeft w:val="0"/>
              <w:marRight w:val="0"/>
              <w:marTop w:val="0"/>
              <w:marBottom w:val="0"/>
              <w:divBdr>
                <w:top w:val="none" w:sz="0" w:space="0" w:color="auto"/>
                <w:left w:val="none" w:sz="0" w:space="0" w:color="auto"/>
                <w:bottom w:val="none" w:sz="0" w:space="0" w:color="auto"/>
                <w:right w:val="none" w:sz="0" w:space="0" w:color="auto"/>
              </w:divBdr>
            </w:div>
            <w:div w:id="425344622">
              <w:marLeft w:val="0"/>
              <w:marRight w:val="0"/>
              <w:marTop w:val="0"/>
              <w:marBottom w:val="0"/>
              <w:divBdr>
                <w:top w:val="none" w:sz="0" w:space="0" w:color="auto"/>
                <w:left w:val="none" w:sz="0" w:space="0" w:color="auto"/>
                <w:bottom w:val="none" w:sz="0" w:space="0" w:color="auto"/>
                <w:right w:val="none" w:sz="0" w:space="0" w:color="auto"/>
              </w:divBdr>
            </w:div>
            <w:div w:id="695934355">
              <w:marLeft w:val="0"/>
              <w:marRight w:val="0"/>
              <w:marTop w:val="0"/>
              <w:marBottom w:val="0"/>
              <w:divBdr>
                <w:top w:val="none" w:sz="0" w:space="0" w:color="auto"/>
                <w:left w:val="none" w:sz="0" w:space="0" w:color="auto"/>
                <w:bottom w:val="none" w:sz="0" w:space="0" w:color="auto"/>
                <w:right w:val="none" w:sz="0" w:space="0" w:color="auto"/>
              </w:divBdr>
            </w:div>
            <w:div w:id="409501263">
              <w:marLeft w:val="0"/>
              <w:marRight w:val="0"/>
              <w:marTop w:val="0"/>
              <w:marBottom w:val="0"/>
              <w:divBdr>
                <w:top w:val="none" w:sz="0" w:space="0" w:color="auto"/>
                <w:left w:val="none" w:sz="0" w:space="0" w:color="auto"/>
                <w:bottom w:val="none" w:sz="0" w:space="0" w:color="auto"/>
                <w:right w:val="none" w:sz="0" w:space="0" w:color="auto"/>
              </w:divBdr>
            </w:div>
            <w:div w:id="1401710264">
              <w:marLeft w:val="0"/>
              <w:marRight w:val="0"/>
              <w:marTop w:val="0"/>
              <w:marBottom w:val="0"/>
              <w:divBdr>
                <w:top w:val="none" w:sz="0" w:space="0" w:color="auto"/>
                <w:left w:val="none" w:sz="0" w:space="0" w:color="auto"/>
                <w:bottom w:val="none" w:sz="0" w:space="0" w:color="auto"/>
                <w:right w:val="none" w:sz="0" w:space="0" w:color="auto"/>
              </w:divBdr>
            </w:div>
            <w:div w:id="1277761414">
              <w:marLeft w:val="0"/>
              <w:marRight w:val="0"/>
              <w:marTop w:val="0"/>
              <w:marBottom w:val="0"/>
              <w:divBdr>
                <w:top w:val="none" w:sz="0" w:space="0" w:color="auto"/>
                <w:left w:val="none" w:sz="0" w:space="0" w:color="auto"/>
                <w:bottom w:val="none" w:sz="0" w:space="0" w:color="auto"/>
                <w:right w:val="none" w:sz="0" w:space="0" w:color="auto"/>
              </w:divBdr>
            </w:div>
            <w:div w:id="2013989836">
              <w:marLeft w:val="0"/>
              <w:marRight w:val="0"/>
              <w:marTop w:val="0"/>
              <w:marBottom w:val="0"/>
              <w:divBdr>
                <w:top w:val="none" w:sz="0" w:space="0" w:color="auto"/>
                <w:left w:val="none" w:sz="0" w:space="0" w:color="auto"/>
                <w:bottom w:val="none" w:sz="0" w:space="0" w:color="auto"/>
                <w:right w:val="none" w:sz="0" w:space="0" w:color="auto"/>
              </w:divBdr>
            </w:div>
            <w:div w:id="654727875">
              <w:marLeft w:val="0"/>
              <w:marRight w:val="0"/>
              <w:marTop w:val="0"/>
              <w:marBottom w:val="0"/>
              <w:divBdr>
                <w:top w:val="none" w:sz="0" w:space="0" w:color="auto"/>
                <w:left w:val="none" w:sz="0" w:space="0" w:color="auto"/>
                <w:bottom w:val="none" w:sz="0" w:space="0" w:color="auto"/>
                <w:right w:val="none" w:sz="0" w:space="0" w:color="auto"/>
              </w:divBdr>
            </w:div>
            <w:div w:id="229584257">
              <w:marLeft w:val="0"/>
              <w:marRight w:val="0"/>
              <w:marTop w:val="0"/>
              <w:marBottom w:val="0"/>
              <w:divBdr>
                <w:top w:val="none" w:sz="0" w:space="0" w:color="auto"/>
                <w:left w:val="none" w:sz="0" w:space="0" w:color="auto"/>
                <w:bottom w:val="none" w:sz="0" w:space="0" w:color="auto"/>
                <w:right w:val="none" w:sz="0" w:space="0" w:color="auto"/>
              </w:divBdr>
            </w:div>
            <w:div w:id="945233570">
              <w:marLeft w:val="0"/>
              <w:marRight w:val="0"/>
              <w:marTop w:val="0"/>
              <w:marBottom w:val="0"/>
              <w:divBdr>
                <w:top w:val="none" w:sz="0" w:space="0" w:color="auto"/>
                <w:left w:val="none" w:sz="0" w:space="0" w:color="auto"/>
                <w:bottom w:val="none" w:sz="0" w:space="0" w:color="auto"/>
                <w:right w:val="none" w:sz="0" w:space="0" w:color="auto"/>
              </w:divBdr>
            </w:div>
            <w:div w:id="1194924407">
              <w:marLeft w:val="0"/>
              <w:marRight w:val="0"/>
              <w:marTop w:val="0"/>
              <w:marBottom w:val="0"/>
              <w:divBdr>
                <w:top w:val="none" w:sz="0" w:space="0" w:color="auto"/>
                <w:left w:val="none" w:sz="0" w:space="0" w:color="auto"/>
                <w:bottom w:val="none" w:sz="0" w:space="0" w:color="auto"/>
                <w:right w:val="none" w:sz="0" w:space="0" w:color="auto"/>
              </w:divBdr>
            </w:div>
            <w:div w:id="1820725828">
              <w:marLeft w:val="0"/>
              <w:marRight w:val="0"/>
              <w:marTop w:val="0"/>
              <w:marBottom w:val="0"/>
              <w:divBdr>
                <w:top w:val="none" w:sz="0" w:space="0" w:color="auto"/>
                <w:left w:val="none" w:sz="0" w:space="0" w:color="auto"/>
                <w:bottom w:val="none" w:sz="0" w:space="0" w:color="auto"/>
                <w:right w:val="none" w:sz="0" w:space="0" w:color="auto"/>
              </w:divBdr>
            </w:div>
            <w:div w:id="948002646">
              <w:marLeft w:val="0"/>
              <w:marRight w:val="0"/>
              <w:marTop w:val="0"/>
              <w:marBottom w:val="0"/>
              <w:divBdr>
                <w:top w:val="none" w:sz="0" w:space="0" w:color="auto"/>
                <w:left w:val="none" w:sz="0" w:space="0" w:color="auto"/>
                <w:bottom w:val="none" w:sz="0" w:space="0" w:color="auto"/>
                <w:right w:val="none" w:sz="0" w:space="0" w:color="auto"/>
              </w:divBdr>
            </w:div>
            <w:div w:id="222520175">
              <w:marLeft w:val="0"/>
              <w:marRight w:val="0"/>
              <w:marTop w:val="0"/>
              <w:marBottom w:val="0"/>
              <w:divBdr>
                <w:top w:val="none" w:sz="0" w:space="0" w:color="auto"/>
                <w:left w:val="none" w:sz="0" w:space="0" w:color="auto"/>
                <w:bottom w:val="none" w:sz="0" w:space="0" w:color="auto"/>
                <w:right w:val="none" w:sz="0" w:space="0" w:color="auto"/>
              </w:divBdr>
            </w:div>
            <w:div w:id="998578979">
              <w:marLeft w:val="0"/>
              <w:marRight w:val="0"/>
              <w:marTop w:val="0"/>
              <w:marBottom w:val="0"/>
              <w:divBdr>
                <w:top w:val="none" w:sz="0" w:space="0" w:color="auto"/>
                <w:left w:val="none" w:sz="0" w:space="0" w:color="auto"/>
                <w:bottom w:val="none" w:sz="0" w:space="0" w:color="auto"/>
                <w:right w:val="none" w:sz="0" w:space="0" w:color="auto"/>
              </w:divBdr>
            </w:div>
            <w:div w:id="814641521">
              <w:marLeft w:val="0"/>
              <w:marRight w:val="0"/>
              <w:marTop w:val="0"/>
              <w:marBottom w:val="0"/>
              <w:divBdr>
                <w:top w:val="none" w:sz="0" w:space="0" w:color="auto"/>
                <w:left w:val="none" w:sz="0" w:space="0" w:color="auto"/>
                <w:bottom w:val="none" w:sz="0" w:space="0" w:color="auto"/>
                <w:right w:val="none" w:sz="0" w:space="0" w:color="auto"/>
              </w:divBdr>
            </w:div>
            <w:div w:id="607784470">
              <w:marLeft w:val="0"/>
              <w:marRight w:val="0"/>
              <w:marTop w:val="0"/>
              <w:marBottom w:val="0"/>
              <w:divBdr>
                <w:top w:val="none" w:sz="0" w:space="0" w:color="auto"/>
                <w:left w:val="none" w:sz="0" w:space="0" w:color="auto"/>
                <w:bottom w:val="none" w:sz="0" w:space="0" w:color="auto"/>
                <w:right w:val="none" w:sz="0" w:space="0" w:color="auto"/>
              </w:divBdr>
            </w:div>
            <w:div w:id="1905333815">
              <w:marLeft w:val="0"/>
              <w:marRight w:val="0"/>
              <w:marTop w:val="0"/>
              <w:marBottom w:val="0"/>
              <w:divBdr>
                <w:top w:val="none" w:sz="0" w:space="0" w:color="auto"/>
                <w:left w:val="none" w:sz="0" w:space="0" w:color="auto"/>
                <w:bottom w:val="none" w:sz="0" w:space="0" w:color="auto"/>
                <w:right w:val="none" w:sz="0" w:space="0" w:color="auto"/>
              </w:divBdr>
            </w:div>
            <w:div w:id="1392924218">
              <w:marLeft w:val="0"/>
              <w:marRight w:val="0"/>
              <w:marTop w:val="0"/>
              <w:marBottom w:val="0"/>
              <w:divBdr>
                <w:top w:val="none" w:sz="0" w:space="0" w:color="auto"/>
                <w:left w:val="none" w:sz="0" w:space="0" w:color="auto"/>
                <w:bottom w:val="none" w:sz="0" w:space="0" w:color="auto"/>
                <w:right w:val="none" w:sz="0" w:space="0" w:color="auto"/>
              </w:divBdr>
            </w:div>
            <w:div w:id="597521844">
              <w:marLeft w:val="0"/>
              <w:marRight w:val="0"/>
              <w:marTop w:val="0"/>
              <w:marBottom w:val="0"/>
              <w:divBdr>
                <w:top w:val="none" w:sz="0" w:space="0" w:color="auto"/>
                <w:left w:val="none" w:sz="0" w:space="0" w:color="auto"/>
                <w:bottom w:val="none" w:sz="0" w:space="0" w:color="auto"/>
                <w:right w:val="none" w:sz="0" w:space="0" w:color="auto"/>
              </w:divBdr>
            </w:div>
            <w:div w:id="668559448">
              <w:marLeft w:val="0"/>
              <w:marRight w:val="0"/>
              <w:marTop w:val="0"/>
              <w:marBottom w:val="0"/>
              <w:divBdr>
                <w:top w:val="none" w:sz="0" w:space="0" w:color="auto"/>
                <w:left w:val="none" w:sz="0" w:space="0" w:color="auto"/>
                <w:bottom w:val="none" w:sz="0" w:space="0" w:color="auto"/>
                <w:right w:val="none" w:sz="0" w:space="0" w:color="auto"/>
              </w:divBdr>
            </w:div>
            <w:div w:id="414136522">
              <w:marLeft w:val="0"/>
              <w:marRight w:val="0"/>
              <w:marTop w:val="0"/>
              <w:marBottom w:val="0"/>
              <w:divBdr>
                <w:top w:val="none" w:sz="0" w:space="0" w:color="auto"/>
                <w:left w:val="none" w:sz="0" w:space="0" w:color="auto"/>
                <w:bottom w:val="none" w:sz="0" w:space="0" w:color="auto"/>
                <w:right w:val="none" w:sz="0" w:space="0" w:color="auto"/>
              </w:divBdr>
            </w:div>
            <w:div w:id="823009645">
              <w:marLeft w:val="0"/>
              <w:marRight w:val="0"/>
              <w:marTop w:val="0"/>
              <w:marBottom w:val="0"/>
              <w:divBdr>
                <w:top w:val="none" w:sz="0" w:space="0" w:color="auto"/>
                <w:left w:val="none" w:sz="0" w:space="0" w:color="auto"/>
                <w:bottom w:val="none" w:sz="0" w:space="0" w:color="auto"/>
                <w:right w:val="none" w:sz="0" w:space="0" w:color="auto"/>
              </w:divBdr>
            </w:div>
            <w:div w:id="1962026927">
              <w:marLeft w:val="0"/>
              <w:marRight w:val="0"/>
              <w:marTop w:val="0"/>
              <w:marBottom w:val="0"/>
              <w:divBdr>
                <w:top w:val="none" w:sz="0" w:space="0" w:color="auto"/>
                <w:left w:val="none" w:sz="0" w:space="0" w:color="auto"/>
                <w:bottom w:val="none" w:sz="0" w:space="0" w:color="auto"/>
                <w:right w:val="none" w:sz="0" w:space="0" w:color="auto"/>
              </w:divBdr>
            </w:div>
            <w:div w:id="107357046">
              <w:marLeft w:val="0"/>
              <w:marRight w:val="0"/>
              <w:marTop w:val="0"/>
              <w:marBottom w:val="0"/>
              <w:divBdr>
                <w:top w:val="none" w:sz="0" w:space="0" w:color="auto"/>
                <w:left w:val="none" w:sz="0" w:space="0" w:color="auto"/>
                <w:bottom w:val="none" w:sz="0" w:space="0" w:color="auto"/>
                <w:right w:val="none" w:sz="0" w:space="0" w:color="auto"/>
              </w:divBdr>
            </w:div>
            <w:div w:id="2134595412">
              <w:marLeft w:val="0"/>
              <w:marRight w:val="0"/>
              <w:marTop w:val="0"/>
              <w:marBottom w:val="0"/>
              <w:divBdr>
                <w:top w:val="none" w:sz="0" w:space="0" w:color="auto"/>
                <w:left w:val="none" w:sz="0" w:space="0" w:color="auto"/>
                <w:bottom w:val="none" w:sz="0" w:space="0" w:color="auto"/>
                <w:right w:val="none" w:sz="0" w:space="0" w:color="auto"/>
              </w:divBdr>
            </w:div>
            <w:div w:id="1304122819">
              <w:marLeft w:val="0"/>
              <w:marRight w:val="0"/>
              <w:marTop w:val="0"/>
              <w:marBottom w:val="0"/>
              <w:divBdr>
                <w:top w:val="none" w:sz="0" w:space="0" w:color="auto"/>
                <w:left w:val="none" w:sz="0" w:space="0" w:color="auto"/>
                <w:bottom w:val="none" w:sz="0" w:space="0" w:color="auto"/>
                <w:right w:val="none" w:sz="0" w:space="0" w:color="auto"/>
              </w:divBdr>
            </w:div>
            <w:div w:id="936788635">
              <w:marLeft w:val="0"/>
              <w:marRight w:val="0"/>
              <w:marTop w:val="0"/>
              <w:marBottom w:val="0"/>
              <w:divBdr>
                <w:top w:val="none" w:sz="0" w:space="0" w:color="auto"/>
                <w:left w:val="none" w:sz="0" w:space="0" w:color="auto"/>
                <w:bottom w:val="none" w:sz="0" w:space="0" w:color="auto"/>
                <w:right w:val="none" w:sz="0" w:space="0" w:color="auto"/>
              </w:divBdr>
            </w:div>
            <w:div w:id="1496216574">
              <w:marLeft w:val="0"/>
              <w:marRight w:val="0"/>
              <w:marTop w:val="0"/>
              <w:marBottom w:val="0"/>
              <w:divBdr>
                <w:top w:val="none" w:sz="0" w:space="0" w:color="auto"/>
                <w:left w:val="none" w:sz="0" w:space="0" w:color="auto"/>
                <w:bottom w:val="none" w:sz="0" w:space="0" w:color="auto"/>
                <w:right w:val="none" w:sz="0" w:space="0" w:color="auto"/>
              </w:divBdr>
            </w:div>
            <w:div w:id="1953710142">
              <w:marLeft w:val="0"/>
              <w:marRight w:val="0"/>
              <w:marTop w:val="0"/>
              <w:marBottom w:val="0"/>
              <w:divBdr>
                <w:top w:val="none" w:sz="0" w:space="0" w:color="auto"/>
                <w:left w:val="none" w:sz="0" w:space="0" w:color="auto"/>
                <w:bottom w:val="none" w:sz="0" w:space="0" w:color="auto"/>
                <w:right w:val="none" w:sz="0" w:space="0" w:color="auto"/>
              </w:divBdr>
            </w:div>
            <w:div w:id="822618808">
              <w:marLeft w:val="0"/>
              <w:marRight w:val="0"/>
              <w:marTop w:val="0"/>
              <w:marBottom w:val="0"/>
              <w:divBdr>
                <w:top w:val="none" w:sz="0" w:space="0" w:color="auto"/>
                <w:left w:val="none" w:sz="0" w:space="0" w:color="auto"/>
                <w:bottom w:val="none" w:sz="0" w:space="0" w:color="auto"/>
                <w:right w:val="none" w:sz="0" w:space="0" w:color="auto"/>
              </w:divBdr>
            </w:div>
            <w:div w:id="2076388265">
              <w:marLeft w:val="0"/>
              <w:marRight w:val="0"/>
              <w:marTop w:val="0"/>
              <w:marBottom w:val="0"/>
              <w:divBdr>
                <w:top w:val="none" w:sz="0" w:space="0" w:color="auto"/>
                <w:left w:val="none" w:sz="0" w:space="0" w:color="auto"/>
                <w:bottom w:val="none" w:sz="0" w:space="0" w:color="auto"/>
                <w:right w:val="none" w:sz="0" w:space="0" w:color="auto"/>
              </w:divBdr>
            </w:div>
            <w:div w:id="35660290">
              <w:marLeft w:val="0"/>
              <w:marRight w:val="0"/>
              <w:marTop w:val="0"/>
              <w:marBottom w:val="0"/>
              <w:divBdr>
                <w:top w:val="none" w:sz="0" w:space="0" w:color="auto"/>
                <w:left w:val="none" w:sz="0" w:space="0" w:color="auto"/>
                <w:bottom w:val="none" w:sz="0" w:space="0" w:color="auto"/>
                <w:right w:val="none" w:sz="0" w:space="0" w:color="auto"/>
              </w:divBdr>
            </w:div>
            <w:div w:id="773668607">
              <w:marLeft w:val="0"/>
              <w:marRight w:val="0"/>
              <w:marTop w:val="0"/>
              <w:marBottom w:val="0"/>
              <w:divBdr>
                <w:top w:val="none" w:sz="0" w:space="0" w:color="auto"/>
                <w:left w:val="none" w:sz="0" w:space="0" w:color="auto"/>
                <w:bottom w:val="none" w:sz="0" w:space="0" w:color="auto"/>
                <w:right w:val="none" w:sz="0" w:space="0" w:color="auto"/>
              </w:divBdr>
            </w:div>
            <w:div w:id="1567568744">
              <w:marLeft w:val="0"/>
              <w:marRight w:val="0"/>
              <w:marTop w:val="0"/>
              <w:marBottom w:val="0"/>
              <w:divBdr>
                <w:top w:val="none" w:sz="0" w:space="0" w:color="auto"/>
                <w:left w:val="none" w:sz="0" w:space="0" w:color="auto"/>
                <w:bottom w:val="none" w:sz="0" w:space="0" w:color="auto"/>
                <w:right w:val="none" w:sz="0" w:space="0" w:color="auto"/>
              </w:divBdr>
            </w:div>
            <w:div w:id="1112238594">
              <w:marLeft w:val="0"/>
              <w:marRight w:val="0"/>
              <w:marTop w:val="0"/>
              <w:marBottom w:val="0"/>
              <w:divBdr>
                <w:top w:val="none" w:sz="0" w:space="0" w:color="auto"/>
                <w:left w:val="none" w:sz="0" w:space="0" w:color="auto"/>
                <w:bottom w:val="none" w:sz="0" w:space="0" w:color="auto"/>
                <w:right w:val="none" w:sz="0" w:space="0" w:color="auto"/>
              </w:divBdr>
            </w:div>
            <w:div w:id="81293694">
              <w:marLeft w:val="0"/>
              <w:marRight w:val="0"/>
              <w:marTop w:val="0"/>
              <w:marBottom w:val="0"/>
              <w:divBdr>
                <w:top w:val="none" w:sz="0" w:space="0" w:color="auto"/>
                <w:left w:val="none" w:sz="0" w:space="0" w:color="auto"/>
                <w:bottom w:val="none" w:sz="0" w:space="0" w:color="auto"/>
                <w:right w:val="none" w:sz="0" w:space="0" w:color="auto"/>
              </w:divBdr>
            </w:div>
            <w:div w:id="253394573">
              <w:marLeft w:val="0"/>
              <w:marRight w:val="0"/>
              <w:marTop w:val="0"/>
              <w:marBottom w:val="0"/>
              <w:divBdr>
                <w:top w:val="none" w:sz="0" w:space="0" w:color="auto"/>
                <w:left w:val="none" w:sz="0" w:space="0" w:color="auto"/>
                <w:bottom w:val="none" w:sz="0" w:space="0" w:color="auto"/>
                <w:right w:val="none" w:sz="0" w:space="0" w:color="auto"/>
              </w:divBdr>
            </w:div>
            <w:div w:id="148061830">
              <w:marLeft w:val="0"/>
              <w:marRight w:val="0"/>
              <w:marTop w:val="0"/>
              <w:marBottom w:val="0"/>
              <w:divBdr>
                <w:top w:val="none" w:sz="0" w:space="0" w:color="auto"/>
                <w:left w:val="none" w:sz="0" w:space="0" w:color="auto"/>
                <w:bottom w:val="none" w:sz="0" w:space="0" w:color="auto"/>
                <w:right w:val="none" w:sz="0" w:space="0" w:color="auto"/>
              </w:divBdr>
            </w:div>
            <w:div w:id="1189487855">
              <w:marLeft w:val="0"/>
              <w:marRight w:val="0"/>
              <w:marTop w:val="0"/>
              <w:marBottom w:val="0"/>
              <w:divBdr>
                <w:top w:val="none" w:sz="0" w:space="0" w:color="auto"/>
                <w:left w:val="none" w:sz="0" w:space="0" w:color="auto"/>
                <w:bottom w:val="none" w:sz="0" w:space="0" w:color="auto"/>
                <w:right w:val="none" w:sz="0" w:space="0" w:color="auto"/>
              </w:divBdr>
            </w:div>
            <w:div w:id="1729645982">
              <w:marLeft w:val="0"/>
              <w:marRight w:val="0"/>
              <w:marTop w:val="0"/>
              <w:marBottom w:val="0"/>
              <w:divBdr>
                <w:top w:val="none" w:sz="0" w:space="0" w:color="auto"/>
                <w:left w:val="none" w:sz="0" w:space="0" w:color="auto"/>
                <w:bottom w:val="none" w:sz="0" w:space="0" w:color="auto"/>
                <w:right w:val="none" w:sz="0" w:space="0" w:color="auto"/>
              </w:divBdr>
            </w:div>
            <w:div w:id="1158837542">
              <w:marLeft w:val="0"/>
              <w:marRight w:val="0"/>
              <w:marTop w:val="0"/>
              <w:marBottom w:val="0"/>
              <w:divBdr>
                <w:top w:val="none" w:sz="0" w:space="0" w:color="auto"/>
                <w:left w:val="none" w:sz="0" w:space="0" w:color="auto"/>
                <w:bottom w:val="none" w:sz="0" w:space="0" w:color="auto"/>
                <w:right w:val="none" w:sz="0" w:space="0" w:color="auto"/>
              </w:divBdr>
            </w:div>
            <w:div w:id="1451126440">
              <w:marLeft w:val="0"/>
              <w:marRight w:val="0"/>
              <w:marTop w:val="0"/>
              <w:marBottom w:val="0"/>
              <w:divBdr>
                <w:top w:val="none" w:sz="0" w:space="0" w:color="auto"/>
                <w:left w:val="none" w:sz="0" w:space="0" w:color="auto"/>
                <w:bottom w:val="none" w:sz="0" w:space="0" w:color="auto"/>
                <w:right w:val="none" w:sz="0" w:space="0" w:color="auto"/>
              </w:divBdr>
            </w:div>
            <w:div w:id="1350566379">
              <w:marLeft w:val="0"/>
              <w:marRight w:val="0"/>
              <w:marTop w:val="0"/>
              <w:marBottom w:val="0"/>
              <w:divBdr>
                <w:top w:val="none" w:sz="0" w:space="0" w:color="auto"/>
                <w:left w:val="none" w:sz="0" w:space="0" w:color="auto"/>
                <w:bottom w:val="none" w:sz="0" w:space="0" w:color="auto"/>
                <w:right w:val="none" w:sz="0" w:space="0" w:color="auto"/>
              </w:divBdr>
            </w:div>
            <w:div w:id="701899324">
              <w:marLeft w:val="0"/>
              <w:marRight w:val="0"/>
              <w:marTop w:val="0"/>
              <w:marBottom w:val="0"/>
              <w:divBdr>
                <w:top w:val="none" w:sz="0" w:space="0" w:color="auto"/>
                <w:left w:val="none" w:sz="0" w:space="0" w:color="auto"/>
                <w:bottom w:val="none" w:sz="0" w:space="0" w:color="auto"/>
                <w:right w:val="none" w:sz="0" w:space="0" w:color="auto"/>
              </w:divBdr>
            </w:div>
            <w:div w:id="1715348903">
              <w:marLeft w:val="0"/>
              <w:marRight w:val="0"/>
              <w:marTop w:val="0"/>
              <w:marBottom w:val="0"/>
              <w:divBdr>
                <w:top w:val="none" w:sz="0" w:space="0" w:color="auto"/>
                <w:left w:val="none" w:sz="0" w:space="0" w:color="auto"/>
                <w:bottom w:val="none" w:sz="0" w:space="0" w:color="auto"/>
                <w:right w:val="none" w:sz="0" w:space="0" w:color="auto"/>
              </w:divBdr>
            </w:div>
            <w:div w:id="408428243">
              <w:marLeft w:val="0"/>
              <w:marRight w:val="0"/>
              <w:marTop w:val="0"/>
              <w:marBottom w:val="0"/>
              <w:divBdr>
                <w:top w:val="none" w:sz="0" w:space="0" w:color="auto"/>
                <w:left w:val="none" w:sz="0" w:space="0" w:color="auto"/>
                <w:bottom w:val="none" w:sz="0" w:space="0" w:color="auto"/>
                <w:right w:val="none" w:sz="0" w:space="0" w:color="auto"/>
              </w:divBdr>
            </w:div>
            <w:div w:id="325060544">
              <w:marLeft w:val="0"/>
              <w:marRight w:val="0"/>
              <w:marTop w:val="0"/>
              <w:marBottom w:val="0"/>
              <w:divBdr>
                <w:top w:val="none" w:sz="0" w:space="0" w:color="auto"/>
                <w:left w:val="none" w:sz="0" w:space="0" w:color="auto"/>
                <w:bottom w:val="none" w:sz="0" w:space="0" w:color="auto"/>
                <w:right w:val="none" w:sz="0" w:space="0" w:color="auto"/>
              </w:divBdr>
            </w:div>
            <w:div w:id="1671710334">
              <w:marLeft w:val="0"/>
              <w:marRight w:val="0"/>
              <w:marTop w:val="0"/>
              <w:marBottom w:val="0"/>
              <w:divBdr>
                <w:top w:val="none" w:sz="0" w:space="0" w:color="auto"/>
                <w:left w:val="none" w:sz="0" w:space="0" w:color="auto"/>
                <w:bottom w:val="none" w:sz="0" w:space="0" w:color="auto"/>
                <w:right w:val="none" w:sz="0" w:space="0" w:color="auto"/>
              </w:divBdr>
            </w:div>
            <w:div w:id="1784768474">
              <w:marLeft w:val="0"/>
              <w:marRight w:val="0"/>
              <w:marTop w:val="0"/>
              <w:marBottom w:val="0"/>
              <w:divBdr>
                <w:top w:val="none" w:sz="0" w:space="0" w:color="auto"/>
                <w:left w:val="none" w:sz="0" w:space="0" w:color="auto"/>
                <w:bottom w:val="none" w:sz="0" w:space="0" w:color="auto"/>
                <w:right w:val="none" w:sz="0" w:space="0" w:color="auto"/>
              </w:divBdr>
            </w:div>
            <w:div w:id="1100687341">
              <w:marLeft w:val="0"/>
              <w:marRight w:val="0"/>
              <w:marTop w:val="0"/>
              <w:marBottom w:val="0"/>
              <w:divBdr>
                <w:top w:val="none" w:sz="0" w:space="0" w:color="auto"/>
                <w:left w:val="none" w:sz="0" w:space="0" w:color="auto"/>
                <w:bottom w:val="none" w:sz="0" w:space="0" w:color="auto"/>
                <w:right w:val="none" w:sz="0" w:space="0" w:color="auto"/>
              </w:divBdr>
            </w:div>
            <w:div w:id="912205716">
              <w:marLeft w:val="0"/>
              <w:marRight w:val="0"/>
              <w:marTop w:val="0"/>
              <w:marBottom w:val="0"/>
              <w:divBdr>
                <w:top w:val="none" w:sz="0" w:space="0" w:color="auto"/>
                <w:left w:val="none" w:sz="0" w:space="0" w:color="auto"/>
                <w:bottom w:val="none" w:sz="0" w:space="0" w:color="auto"/>
                <w:right w:val="none" w:sz="0" w:space="0" w:color="auto"/>
              </w:divBdr>
            </w:div>
            <w:div w:id="1670786087">
              <w:marLeft w:val="0"/>
              <w:marRight w:val="0"/>
              <w:marTop w:val="0"/>
              <w:marBottom w:val="0"/>
              <w:divBdr>
                <w:top w:val="none" w:sz="0" w:space="0" w:color="auto"/>
                <w:left w:val="none" w:sz="0" w:space="0" w:color="auto"/>
                <w:bottom w:val="none" w:sz="0" w:space="0" w:color="auto"/>
                <w:right w:val="none" w:sz="0" w:space="0" w:color="auto"/>
              </w:divBdr>
            </w:div>
            <w:div w:id="1834494402">
              <w:marLeft w:val="0"/>
              <w:marRight w:val="0"/>
              <w:marTop w:val="0"/>
              <w:marBottom w:val="0"/>
              <w:divBdr>
                <w:top w:val="none" w:sz="0" w:space="0" w:color="auto"/>
                <w:left w:val="none" w:sz="0" w:space="0" w:color="auto"/>
                <w:bottom w:val="none" w:sz="0" w:space="0" w:color="auto"/>
                <w:right w:val="none" w:sz="0" w:space="0" w:color="auto"/>
              </w:divBdr>
            </w:div>
            <w:div w:id="280579947">
              <w:marLeft w:val="0"/>
              <w:marRight w:val="0"/>
              <w:marTop w:val="0"/>
              <w:marBottom w:val="0"/>
              <w:divBdr>
                <w:top w:val="none" w:sz="0" w:space="0" w:color="auto"/>
                <w:left w:val="none" w:sz="0" w:space="0" w:color="auto"/>
                <w:bottom w:val="none" w:sz="0" w:space="0" w:color="auto"/>
                <w:right w:val="none" w:sz="0" w:space="0" w:color="auto"/>
              </w:divBdr>
            </w:div>
            <w:div w:id="1832060703">
              <w:marLeft w:val="0"/>
              <w:marRight w:val="0"/>
              <w:marTop w:val="0"/>
              <w:marBottom w:val="0"/>
              <w:divBdr>
                <w:top w:val="none" w:sz="0" w:space="0" w:color="auto"/>
                <w:left w:val="none" w:sz="0" w:space="0" w:color="auto"/>
                <w:bottom w:val="none" w:sz="0" w:space="0" w:color="auto"/>
                <w:right w:val="none" w:sz="0" w:space="0" w:color="auto"/>
              </w:divBdr>
            </w:div>
            <w:div w:id="888691055">
              <w:marLeft w:val="0"/>
              <w:marRight w:val="0"/>
              <w:marTop w:val="0"/>
              <w:marBottom w:val="0"/>
              <w:divBdr>
                <w:top w:val="none" w:sz="0" w:space="0" w:color="auto"/>
                <w:left w:val="none" w:sz="0" w:space="0" w:color="auto"/>
                <w:bottom w:val="none" w:sz="0" w:space="0" w:color="auto"/>
                <w:right w:val="none" w:sz="0" w:space="0" w:color="auto"/>
              </w:divBdr>
            </w:div>
            <w:div w:id="394201065">
              <w:marLeft w:val="0"/>
              <w:marRight w:val="0"/>
              <w:marTop w:val="0"/>
              <w:marBottom w:val="0"/>
              <w:divBdr>
                <w:top w:val="none" w:sz="0" w:space="0" w:color="auto"/>
                <w:left w:val="none" w:sz="0" w:space="0" w:color="auto"/>
                <w:bottom w:val="none" w:sz="0" w:space="0" w:color="auto"/>
                <w:right w:val="none" w:sz="0" w:space="0" w:color="auto"/>
              </w:divBdr>
            </w:div>
            <w:div w:id="1877695854">
              <w:marLeft w:val="0"/>
              <w:marRight w:val="0"/>
              <w:marTop w:val="0"/>
              <w:marBottom w:val="0"/>
              <w:divBdr>
                <w:top w:val="none" w:sz="0" w:space="0" w:color="auto"/>
                <w:left w:val="none" w:sz="0" w:space="0" w:color="auto"/>
                <w:bottom w:val="none" w:sz="0" w:space="0" w:color="auto"/>
                <w:right w:val="none" w:sz="0" w:space="0" w:color="auto"/>
              </w:divBdr>
            </w:div>
            <w:div w:id="1880823762">
              <w:marLeft w:val="0"/>
              <w:marRight w:val="0"/>
              <w:marTop w:val="0"/>
              <w:marBottom w:val="0"/>
              <w:divBdr>
                <w:top w:val="none" w:sz="0" w:space="0" w:color="auto"/>
                <w:left w:val="none" w:sz="0" w:space="0" w:color="auto"/>
                <w:bottom w:val="none" w:sz="0" w:space="0" w:color="auto"/>
                <w:right w:val="none" w:sz="0" w:space="0" w:color="auto"/>
              </w:divBdr>
            </w:div>
            <w:div w:id="1586962689">
              <w:marLeft w:val="0"/>
              <w:marRight w:val="0"/>
              <w:marTop w:val="0"/>
              <w:marBottom w:val="0"/>
              <w:divBdr>
                <w:top w:val="none" w:sz="0" w:space="0" w:color="auto"/>
                <w:left w:val="none" w:sz="0" w:space="0" w:color="auto"/>
                <w:bottom w:val="none" w:sz="0" w:space="0" w:color="auto"/>
                <w:right w:val="none" w:sz="0" w:space="0" w:color="auto"/>
              </w:divBdr>
            </w:div>
            <w:div w:id="717123041">
              <w:marLeft w:val="0"/>
              <w:marRight w:val="0"/>
              <w:marTop w:val="0"/>
              <w:marBottom w:val="0"/>
              <w:divBdr>
                <w:top w:val="none" w:sz="0" w:space="0" w:color="auto"/>
                <w:left w:val="none" w:sz="0" w:space="0" w:color="auto"/>
                <w:bottom w:val="none" w:sz="0" w:space="0" w:color="auto"/>
                <w:right w:val="none" w:sz="0" w:space="0" w:color="auto"/>
              </w:divBdr>
            </w:div>
            <w:div w:id="1746760380">
              <w:marLeft w:val="0"/>
              <w:marRight w:val="0"/>
              <w:marTop w:val="0"/>
              <w:marBottom w:val="0"/>
              <w:divBdr>
                <w:top w:val="none" w:sz="0" w:space="0" w:color="auto"/>
                <w:left w:val="none" w:sz="0" w:space="0" w:color="auto"/>
                <w:bottom w:val="none" w:sz="0" w:space="0" w:color="auto"/>
                <w:right w:val="none" w:sz="0" w:space="0" w:color="auto"/>
              </w:divBdr>
            </w:div>
            <w:div w:id="1016809444">
              <w:marLeft w:val="0"/>
              <w:marRight w:val="0"/>
              <w:marTop w:val="0"/>
              <w:marBottom w:val="0"/>
              <w:divBdr>
                <w:top w:val="none" w:sz="0" w:space="0" w:color="auto"/>
                <w:left w:val="none" w:sz="0" w:space="0" w:color="auto"/>
                <w:bottom w:val="none" w:sz="0" w:space="0" w:color="auto"/>
                <w:right w:val="none" w:sz="0" w:space="0" w:color="auto"/>
              </w:divBdr>
            </w:div>
            <w:div w:id="81344461">
              <w:marLeft w:val="0"/>
              <w:marRight w:val="0"/>
              <w:marTop w:val="0"/>
              <w:marBottom w:val="0"/>
              <w:divBdr>
                <w:top w:val="none" w:sz="0" w:space="0" w:color="auto"/>
                <w:left w:val="none" w:sz="0" w:space="0" w:color="auto"/>
                <w:bottom w:val="none" w:sz="0" w:space="0" w:color="auto"/>
                <w:right w:val="none" w:sz="0" w:space="0" w:color="auto"/>
              </w:divBdr>
            </w:div>
            <w:div w:id="1116220216">
              <w:marLeft w:val="0"/>
              <w:marRight w:val="0"/>
              <w:marTop w:val="0"/>
              <w:marBottom w:val="0"/>
              <w:divBdr>
                <w:top w:val="none" w:sz="0" w:space="0" w:color="auto"/>
                <w:left w:val="none" w:sz="0" w:space="0" w:color="auto"/>
                <w:bottom w:val="none" w:sz="0" w:space="0" w:color="auto"/>
                <w:right w:val="none" w:sz="0" w:space="0" w:color="auto"/>
              </w:divBdr>
            </w:div>
            <w:div w:id="136529262">
              <w:marLeft w:val="0"/>
              <w:marRight w:val="0"/>
              <w:marTop w:val="0"/>
              <w:marBottom w:val="0"/>
              <w:divBdr>
                <w:top w:val="none" w:sz="0" w:space="0" w:color="auto"/>
                <w:left w:val="none" w:sz="0" w:space="0" w:color="auto"/>
                <w:bottom w:val="none" w:sz="0" w:space="0" w:color="auto"/>
                <w:right w:val="none" w:sz="0" w:space="0" w:color="auto"/>
              </w:divBdr>
            </w:div>
            <w:div w:id="860633669">
              <w:marLeft w:val="0"/>
              <w:marRight w:val="0"/>
              <w:marTop w:val="0"/>
              <w:marBottom w:val="0"/>
              <w:divBdr>
                <w:top w:val="none" w:sz="0" w:space="0" w:color="auto"/>
                <w:left w:val="none" w:sz="0" w:space="0" w:color="auto"/>
                <w:bottom w:val="none" w:sz="0" w:space="0" w:color="auto"/>
                <w:right w:val="none" w:sz="0" w:space="0" w:color="auto"/>
              </w:divBdr>
            </w:div>
            <w:div w:id="2036613559">
              <w:marLeft w:val="0"/>
              <w:marRight w:val="0"/>
              <w:marTop w:val="0"/>
              <w:marBottom w:val="0"/>
              <w:divBdr>
                <w:top w:val="none" w:sz="0" w:space="0" w:color="auto"/>
                <w:left w:val="none" w:sz="0" w:space="0" w:color="auto"/>
                <w:bottom w:val="none" w:sz="0" w:space="0" w:color="auto"/>
                <w:right w:val="none" w:sz="0" w:space="0" w:color="auto"/>
              </w:divBdr>
            </w:div>
            <w:div w:id="884025273">
              <w:marLeft w:val="0"/>
              <w:marRight w:val="0"/>
              <w:marTop w:val="0"/>
              <w:marBottom w:val="0"/>
              <w:divBdr>
                <w:top w:val="none" w:sz="0" w:space="0" w:color="auto"/>
                <w:left w:val="none" w:sz="0" w:space="0" w:color="auto"/>
                <w:bottom w:val="none" w:sz="0" w:space="0" w:color="auto"/>
                <w:right w:val="none" w:sz="0" w:space="0" w:color="auto"/>
              </w:divBdr>
            </w:div>
            <w:div w:id="2053771195">
              <w:marLeft w:val="0"/>
              <w:marRight w:val="0"/>
              <w:marTop w:val="0"/>
              <w:marBottom w:val="0"/>
              <w:divBdr>
                <w:top w:val="none" w:sz="0" w:space="0" w:color="auto"/>
                <w:left w:val="none" w:sz="0" w:space="0" w:color="auto"/>
                <w:bottom w:val="none" w:sz="0" w:space="0" w:color="auto"/>
                <w:right w:val="none" w:sz="0" w:space="0" w:color="auto"/>
              </w:divBdr>
            </w:div>
            <w:div w:id="309482407">
              <w:marLeft w:val="0"/>
              <w:marRight w:val="0"/>
              <w:marTop w:val="0"/>
              <w:marBottom w:val="0"/>
              <w:divBdr>
                <w:top w:val="none" w:sz="0" w:space="0" w:color="auto"/>
                <w:left w:val="none" w:sz="0" w:space="0" w:color="auto"/>
                <w:bottom w:val="none" w:sz="0" w:space="0" w:color="auto"/>
                <w:right w:val="none" w:sz="0" w:space="0" w:color="auto"/>
              </w:divBdr>
            </w:div>
            <w:div w:id="1234008612">
              <w:marLeft w:val="0"/>
              <w:marRight w:val="0"/>
              <w:marTop w:val="0"/>
              <w:marBottom w:val="0"/>
              <w:divBdr>
                <w:top w:val="none" w:sz="0" w:space="0" w:color="auto"/>
                <w:left w:val="none" w:sz="0" w:space="0" w:color="auto"/>
                <w:bottom w:val="none" w:sz="0" w:space="0" w:color="auto"/>
                <w:right w:val="none" w:sz="0" w:space="0" w:color="auto"/>
              </w:divBdr>
            </w:div>
            <w:div w:id="1807312125">
              <w:marLeft w:val="0"/>
              <w:marRight w:val="0"/>
              <w:marTop w:val="0"/>
              <w:marBottom w:val="0"/>
              <w:divBdr>
                <w:top w:val="none" w:sz="0" w:space="0" w:color="auto"/>
                <w:left w:val="none" w:sz="0" w:space="0" w:color="auto"/>
                <w:bottom w:val="none" w:sz="0" w:space="0" w:color="auto"/>
                <w:right w:val="none" w:sz="0" w:space="0" w:color="auto"/>
              </w:divBdr>
            </w:div>
            <w:div w:id="1913616334">
              <w:marLeft w:val="0"/>
              <w:marRight w:val="0"/>
              <w:marTop w:val="0"/>
              <w:marBottom w:val="0"/>
              <w:divBdr>
                <w:top w:val="none" w:sz="0" w:space="0" w:color="auto"/>
                <w:left w:val="none" w:sz="0" w:space="0" w:color="auto"/>
                <w:bottom w:val="none" w:sz="0" w:space="0" w:color="auto"/>
                <w:right w:val="none" w:sz="0" w:space="0" w:color="auto"/>
              </w:divBdr>
            </w:div>
            <w:div w:id="1392263676">
              <w:marLeft w:val="0"/>
              <w:marRight w:val="0"/>
              <w:marTop w:val="0"/>
              <w:marBottom w:val="0"/>
              <w:divBdr>
                <w:top w:val="none" w:sz="0" w:space="0" w:color="auto"/>
                <w:left w:val="none" w:sz="0" w:space="0" w:color="auto"/>
                <w:bottom w:val="none" w:sz="0" w:space="0" w:color="auto"/>
                <w:right w:val="none" w:sz="0" w:space="0" w:color="auto"/>
              </w:divBdr>
            </w:div>
            <w:div w:id="40129490">
              <w:marLeft w:val="0"/>
              <w:marRight w:val="0"/>
              <w:marTop w:val="0"/>
              <w:marBottom w:val="0"/>
              <w:divBdr>
                <w:top w:val="none" w:sz="0" w:space="0" w:color="auto"/>
                <w:left w:val="none" w:sz="0" w:space="0" w:color="auto"/>
                <w:bottom w:val="none" w:sz="0" w:space="0" w:color="auto"/>
                <w:right w:val="none" w:sz="0" w:space="0" w:color="auto"/>
              </w:divBdr>
            </w:div>
            <w:div w:id="1379091645">
              <w:marLeft w:val="0"/>
              <w:marRight w:val="0"/>
              <w:marTop w:val="0"/>
              <w:marBottom w:val="0"/>
              <w:divBdr>
                <w:top w:val="none" w:sz="0" w:space="0" w:color="auto"/>
                <w:left w:val="none" w:sz="0" w:space="0" w:color="auto"/>
                <w:bottom w:val="none" w:sz="0" w:space="0" w:color="auto"/>
                <w:right w:val="none" w:sz="0" w:space="0" w:color="auto"/>
              </w:divBdr>
            </w:div>
            <w:div w:id="589194032">
              <w:marLeft w:val="0"/>
              <w:marRight w:val="0"/>
              <w:marTop w:val="0"/>
              <w:marBottom w:val="0"/>
              <w:divBdr>
                <w:top w:val="none" w:sz="0" w:space="0" w:color="auto"/>
                <w:left w:val="none" w:sz="0" w:space="0" w:color="auto"/>
                <w:bottom w:val="none" w:sz="0" w:space="0" w:color="auto"/>
                <w:right w:val="none" w:sz="0" w:space="0" w:color="auto"/>
              </w:divBdr>
            </w:div>
            <w:div w:id="1572353442">
              <w:marLeft w:val="0"/>
              <w:marRight w:val="0"/>
              <w:marTop w:val="0"/>
              <w:marBottom w:val="0"/>
              <w:divBdr>
                <w:top w:val="none" w:sz="0" w:space="0" w:color="auto"/>
                <w:left w:val="none" w:sz="0" w:space="0" w:color="auto"/>
                <w:bottom w:val="none" w:sz="0" w:space="0" w:color="auto"/>
                <w:right w:val="none" w:sz="0" w:space="0" w:color="auto"/>
              </w:divBdr>
            </w:div>
            <w:div w:id="412894854">
              <w:marLeft w:val="0"/>
              <w:marRight w:val="0"/>
              <w:marTop w:val="0"/>
              <w:marBottom w:val="0"/>
              <w:divBdr>
                <w:top w:val="none" w:sz="0" w:space="0" w:color="auto"/>
                <w:left w:val="none" w:sz="0" w:space="0" w:color="auto"/>
                <w:bottom w:val="none" w:sz="0" w:space="0" w:color="auto"/>
                <w:right w:val="none" w:sz="0" w:space="0" w:color="auto"/>
              </w:divBdr>
            </w:div>
            <w:div w:id="829949330">
              <w:marLeft w:val="0"/>
              <w:marRight w:val="0"/>
              <w:marTop w:val="0"/>
              <w:marBottom w:val="0"/>
              <w:divBdr>
                <w:top w:val="none" w:sz="0" w:space="0" w:color="auto"/>
                <w:left w:val="none" w:sz="0" w:space="0" w:color="auto"/>
                <w:bottom w:val="none" w:sz="0" w:space="0" w:color="auto"/>
                <w:right w:val="none" w:sz="0" w:space="0" w:color="auto"/>
              </w:divBdr>
            </w:div>
            <w:div w:id="734861206">
              <w:marLeft w:val="0"/>
              <w:marRight w:val="0"/>
              <w:marTop w:val="0"/>
              <w:marBottom w:val="0"/>
              <w:divBdr>
                <w:top w:val="none" w:sz="0" w:space="0" w:color="auto"/>
                <w:left w:val="none" w:sz="0" w:space="0" w:color="auto"/>
                <w:bottom w:val="none" w:sz="0" w:space="0" w:color="auto"/>
                <w:right w:val="none" w:sz="0" w:space="0" w:color="auto"/>
              </w:divBdr>
            </w:div>
            <w:div w:id="1970159439">
              <w:marLeft w:val="0"/>
              <w:marRight w:val="0"/>
              <w:marTop w:val="0"/>
              <w:marBottom w:val="0"/>
              <w:divBdr>
                <w:top w:val="none" w:sz="0" w:space="0" w:color="auto"/>
                <w:left w:val="none" w:sz="0" w:space="0" w:color="auto"/>
                <w:bottom w:val="none" w:sz="0" w:space="0" w:color="auto"/>
                <w:right w:val="none" w:sz="0" w:space="0" w:color="auto"/>
              </w:divBdr>
            </w:div>
            <w:div w:id="1180318317">
              <w:marLeft w:val="0"/>
              <w:marRight w:val="0"/>
              <w:marTop w:val="0"/>
              <w:marBottom w:val="0"/>
              <w:divBdr>
                <w:top w:val="none" w:sz="0" w:space="0" w:color="auto"/>
                <w:left w:val="none" w:sz="0" w:space="0" w:color="auto"/>
                <w:bottom w:val="none" w:sz="0" w:space="0" w:color="auto"/>
                <w:right w:val="none" w:sz="0" w:space="0" w:color="auto"/>
              </w:divBdr>
            </w:div>
            <w:div w:id="2038385919">
              <w:marLeft w:val="0"/>
              <w:marRight w:val="0"/>
              <w:marTop w:val="0"/>
              <w:marBottom w:val="0"/>
              <w:divBdr>
                <w:top w:val="none" w:sz="0" w:space="0" w:color="auto"/>
                <w:left w:val="none" w:sz="0" w:space="0" w:color="auto"/>
                <w:bottom w:val="none" w:sz="0" w:space="0" w:color="auto"/>
                <w:right w:val="none" w:sz="0" w:space="0" w:color="auto"/>
              </w:divBdr>
            </w:div>
            <w:div w:id="10618012">
              <w:marLeft w:val="0"/>
              <w:marRight w:val="0"/>
              <w:marTop w:val="0"/>
              <w:marBottom w:val="0"/>
              <w:divBdr>
                <w:top w:val="none" w:sz="0" w:space="0" w:color="auto"/>
                <w:left w:val="none" w:sz="0" w:space="0" w:color="auto"/>
                <w:bottom w:val="none" w:sz="0" w:space="0" w:color="auto"/>
                <w:right w:val="none" w:sz="0" w:space="0" w:color="auto"/>
              </w:divBdr>
            </w:div>
            <w:div w:id="1857621980">
              <w:marLeft w:val="0"/>
              <w:marRight w:val="0"/>
              <w:marTop w:val="0"/>
              <w:marBottom w:val="0"/>
              <w:divBdr>
                <w:top w:val="none" w:sz="0" w:space="0" w:color="auto"/>
                <w:left w:val="none" w:sz="0" w:space="0" w:color="auto"/>
                <w:bottom w:val="none" w:sz="0" w:space="0" w:color="auto"/>
                <w:right w:val="none" w:sz="0" w:space="0" w:color="auto"/>
              </w:divBdr>
            </w:div>
            <w:div w:id="1688553740">
              <w:marLeft w:val="0"/>
              <w:marRight w:val="0"/>
              <w:marTop w:val="0"/>
              <w:marBottom w:val="0"/>
              <w:divBdr>
                <w:top w:val="none" w:sz="0" w:space="0" w:color="auto"/>
                <w:left w:val="none" w:sz="0" w:space="0" w:color="auto"/>
                <w:bottom w:val="none" w:sz="0" w:space="0" w:color="auto"/>
                <w:right w:val="none" w:sz="0" w:space="0" w:color="auto"/>
              </w:divBdr>
            </w:div>
            <w:div w:id="1891303917">
              <w:marLeft w:val="0"/>
              <w:marRight w:val="0"/>
              <w:marTop w:val="0"/>
              <w:marBottom w:val="0"/>
              <w:divBdr>
                <w:top w:val="none" w:sz="0" w:space="0" w:color="auto"/>
                <w:left w:val="none" w:sz="0" w:space="0" w:color="auto"/>
                <w:bottom w:val="none" w:sz="0" w:space="0" w:color="auto"/>
                <w:right w:val="none" w:sz="0" w:space="0" w:color="auto"/>
              </w:divBdr>
            </w:div>
            <w:div w:id="2057124249">
              <w:marLeft w:val="0"/>
              <w:marRight w:val="0"/>
              <w:marTop w:val="0"/>
              <w:marBottom w:val="0"/>
              <w:divBdr>
                <w:top w:val="none" w:sz="0" w:space="0" w:color="auto"/>
                <w:left w:val="none" w:sz="0" w:space="0" w:color="auto"/>
                <w:bottom w:val="none" w:sz="0" w:space="0" w:color="auto"/>
                <w:right w:val="none" w:sz="0" w:space="0" w:color="auto"/>
              </w:divBdr>
            </w:div>
            <w:div w:id="906376607">
              <w:marLeft w:val="0"/>
              <w:marRight w:val="0"/>
              <w:marTop w:val="0"/>
              <w:marBottom w:val="0"/>
              <w:divBdr>
                <w:top w:val="none" w:sz="0" w:space="0" w:color="auto"/>
                <w:left w:val="none" w:sz="0" w:space="0" w:color="auto"/>
                <w:bottom w:val="none" w:sz="0" w:space="0" w:color="auto"/>
                <w:right w:val="none" w:sz="0" w:space="0" w:color="auto"/>
              </w:divBdr>
            </w:div>
            <w:div w:id="862863693">
              <w:marLeft w:val="0"/>
              <w:marRight w:val="0"/>
              <w:marTop w:val="0"/>
              <w:marBottom w:val="0"/>
              <w:divBdr>
                <w:top w:val="none" w:sz="0" w:space="0" w:color="auto"/>
                <w:left w:val="none" w:sz="0" w:space="0" w:color="auto"/>
                <w:bottom w:val="none" w:sz="0" w:space="0" w:color="auto"/>
                <w:right w:val="none" w:sz="0" w:space="0" w:color="auto"/>
              </w:divBdr>
            </w:div>
            <w:div w:id="949048554">
              <w:marLeft w:val="0"/>
              <w:marRight w:val="0"/>
              <w:marTop w:val="0"/>
              <w:marBottom w:val="0"/>
              <w:divBdr>
                <w:top w:val="none" w:sz="0" w:space="0" w:color="auto"/>
                <w:left w:val="none" w:sz="0" w:space="0" w:color="auto"/>
                <w:bottom w:val="none" w:sz="0" w:space="0" w:color="auto"/>
                <w:right w:val="none" w:sz="0" w:space="0" w:color="auto"/>
              </w:divBdr>
            </w:div>
            <w:div w:id="957108749">
              <w:marLeft w:val="0"/>
              <w:marRight w:val="0"/>
              <w:marTop w:val="0"/>
              <w:marBottom w:val="0"/>
              <w:divBdr>
                <w:top w:val="none" w:sz="0" w:space="0" w:color="auto"/>
                <w:left w:val="none" w:sz="0" w:space="0" w:color="auto"/>
                <w:bottom w:val="none" w:sz="0" w:space="0" w:color="auto"/>
                <w:right w:val="none" w:sz="0" w:space="0" w:color="auto"/>
              </w:divBdr>
            </w:div>
            <w:div w:id="1591157125">
              <w:marLeft w:val="0"/>
              <w:marRight w:val="0"/>
              <w:marTop w:val="0"/>
              <w:marBottom w:val="0"/>
              <w:divBdr>
                <w:top w:val="none" w:sz="0" w:space="0" w:color="auto"/>
                <w:left w:val="none" w:sz="0" w:space="0" w:color="auto"/>
                <w:bottom w:val="none" w:sz="0" w:space="0" w:color="auto"/>
                <w:right w:val="none" w:sz="0" w:space="0" w:color="auto"/>
              </w:divBdr>
            </w:div>
            <w:div w:id="2074961715">
              <w:marLeft w:val="0"/>
              <w:marRight w:val="0"/>
              <w:marTop w:val="0"/>
              <w:marBottom w:val="0"/>
              <w:divBdr>
                <w:top w:val="none" w:sz="0" w:space="0" w:color="auto"/>
                <w:left w:val="none" w:sz="0" w:space="0" w:color="auto"/>
                <w:bottom w:val="none" w:sz="0" w:space="0" w:color="auto"/>
                <w:right w:val="none" w:sz="0" w:space="0" w:color="auto"/>
              </w:divBdr>
            </w:div>
            <w:div w:id="1028919981">
              <w:marLeft w:val="0"/>
              <w:marRight w:val="0"/>
              <w:marTop w:val="0"/>
              <w:marBottom w:val="0"/>
              <w:divBdr>
                <w:top w:val="none" w:sz="0" w:space="0" w:color="auto"/>
                <w:left w:val="none" w:sz="0" w:space="0" w:color="auto"/>
                <w:bottom w:val="none" w:sz="0" w:space="0" w:color="auto"/>
                <w:right w:val="none" w:sz="0" w:space="0" w:color="auto"/>
              </w:divBdr>
            </w:div>
            <w:div w:id="178591813">
              <w:marLeft w:val="0"/>
              <w:marRight w:val="0"/>
              <w:marTop w:val="0"/>
              <w:marBottom w:val="0"/>
              <w:divBdr>
                <w:top w:val="none" w:sz="0" w:space="0" w:color="auto"/>
                <w:left w:val="none" w:sz="0" w:space="0" w:color="auto"/>
                <w:bottom w:val="none" w:sz="0" w:space="0" w:color="auto"/>
                <w:right w:val="none" w:sz="0" w:space="0" w:color="auto"/>
              </w:divBdr>
            </w:div>
            <w:div w:id="409930159">
              <w:marLeft w:val="0"/>
              <w:marRight w:val="0"/>
              <w:marTop w:val="0"/>
              <w:marBottom w:val="0"/>
              <w:divBdr>
                <w:top w:val="none" w:sz="0" w:space="0" w:color="auto"/>
                <w:left w:val="none" w:sz="0" w:space="0" w:color="auto"/>
                <w:bottom w:val="none" w:sz="0" w:space="0" w:color="auto"/>
                <w:right w:val="none" w:sz="0" w:space="0" w:color="auto"/>
              </w:divBdr>
            </w:div>
            <w:div w:id="2114006773">
              <w:marLeft w:val="0"/>
              <w:marRight w:val="0"/>
              <w:marTop w:val="0"/>
              <w:marBottom w:val="0"/>
              <w:divBdr>
                <w:top w:val="none" w:sz="0" w:space="0" w:color="auto"/>
                <w:left w:val="none" w:sz="0" w:space="0" w:color="auto"/>
                <w:bottom w:val="none" w:sz="0" w:space="0" w:color="auto"/>
                <w:right w:val="none" w:sz="0" w:space="0" w:color="auto"/>
              </w:divBdr>
            </w:div>
            <w:div w:id="197355718">
              <w:marLeft w:val="0"/>
              <w:marRight w:val="0"/>
              <w:marTop w:val="0"/>
              <w:marBottom w:val="0"/>
              <w:divBdr>
                <w:top w:val="none" w:sz="0" w:space="0" w:color="auto"/>
                <w:left w:val="none" w:sz="0" w:space="0" w:color="auto"/>
                <w:bottom w:val="none" w:sz="0" w:space="0" w:color="auto"/>
                <w:right w:val="none" w:sz="0" w:space="0" w:color="auto"/>
              </w:divBdr>
            </w:div>
            <w:div w:id="353533797">
              <w:marLeft w:val="0"/>
              <w:marRight w:val="0"/>
              <w:marTop w:val="0"/>
              <w:marBottom w:val="0"/>
              <w:divBdr>
                <w:top w:val="none" w:sz="0" w:space="0" w:color="auto"/>
                <w:left w:val="none" w:sz="0" w:space="0" w:color="auto"/>
                <w:bottom w:val="none" w:sz="0" w:space="0" w:color="auto"/>
                <w:right w:val="none" w:sz="0" w:space="0" w:color="auto"/>
              </w:divBdr>
            </w:div>
            <w:div w:id="1803234493">
              <w:marLeft w:val="0"/>
              <w:marRight w:val="0"/>
              <w:marTop w:val="0"/>
              <w:marBottom w:val="0"/>
              <w:divBdr>
                <w:top w:val="none" w:sz="0" w:space="0" w:color="auto"/>
                <w:left w:val="none" w:sz="0" w:space="0" w:color="auto"/>
                <w:bottom w:val="none" w:sz="0" w:space="0" w:color="auto"/>
                <w:right w:val="none" w:sz="0" w:space="0" w:color="auto"/>
              </w:divBdr>
            </w:div>
            <w:div w:id="1639921034">
              <w:marLeft w:val="0"/>
              <w:marRight w:val="0"/>
              <w:marTop w:val="0"/>
              <w:marBottom w:val="0"/>
              <w:divBdr>
                <w:top w:val="none" w:sz="0" w:space="0" w:color="auto"/>
                <w:left w:val="none" w:sz="0" w:space="0" w:color="auto"/>
                <w:bottom w:val="none" w:sz="0" w:space="0" w:color="auto"/>
                <w:right w:val="none" w:sz="0" w:space="0" w:color="auto"/>
              </w:divBdr>
            </w:div>
            <w:div w:id="250234847">
              <w:marLeft w:val="0"/>
              <w:marRight w:val="0"/>
              <w:marTop w:val="0"/>
              <w:marBottom w:val="0"/>
              <w:divBdr>
                <w:top w:val="none" w:sz="0" w:space="0" w:color="auto"/>
                <w:left w:val="none" w:sz="0" w:space="0" w:color="auto"/>
                <w:bottom w:val="none" w:sz="0" w:space="0" w:color="auto"/>
                <w:right w:val="none" w:sz="0" w:space="0" w:color="auto"/>
              </w:divBdr>
            </w:div>
            <w:div w:id="1309164621">
              <w:marLeft w:val="0"/>
              <w:marRight w:val="0"/>
              <w:marTop w:val="0"/>
              <w:marBottom w:val="0"/>
              <w:divBdr>
                <w:top w:val="none" w:sz="0" w:space="0" w:color="auto"/>
                <w:left w:val="none" w:sz="0" w:space="0" w:color="auto"/>
                <w:bottom w:val="none" w:sz="0" w:space="0" w:color="auto"/>
                <w:right w:val="none" w:sz="0" w:space="0" w:color="auto"/>
              </w:divBdr>
            </w:div>
            <w:div w:id="1512840310">
              <w:marLeft w:val="0"/>
              <w:marRight w:val="0"/>
              <w:marTop w:val="0"/>
              <w:marBottom w:val="0"/>
              <w:divBdr>
                <w:top w:val="none" w:sz="0" w:space="0" w:color="auto"/>
                <w:left w:val="none" w:sz="0" w:space="0" w:color="auto"/>
                <w:bottom w:val="none" w:sz="0" w:space="0" w:color="auto"/>
                <w:right w:val="none" w:sz="0" w:space="0" w:color="auto"/>
              </w:divBdr>
            </w:div>
            <w:div w:id="1931041129">
              <w:marLeft w:val="0"/>
              <w:marRight w:val="0"/>
              <w:marTop w:val="0"/>
              <w:marBottom w:val="0"/>
              <w:divBdr>
                <w:top w:val="none" w:sz="0" w:space="0" w:color="auto"/>
                <w:left w:val="none" w:sz="0" w:space="0" w:color="auto"/>
                <w:bottom w:val="none" w:sz="0" w:space="0" w:color="auto"/>
                <w:right w:val="none" w:sz="0" w:space="0" w:color="auto"/>
              </w:divBdr>
            </w:div>
            <w:div w:id="901991000">
              <w:marLeft w:val="0"/>
              <w:marRight w:val="0"/>
              <w:marTop w:val="0"/>
              <w:marBottom w:val="0"/>
              <w:divBdr>
                <w:top w:val="none" w:sz="0" w:space="0" w:color="auto"/>
                <w:left w:val="none" w:sz="0" w:space="0" w:color="auto"/>
                <w:bottom w:val="none" w:sz="0" w:space="0" w:color="auto"/>
                <w:right w:val="none" w:sz="0" w:space="0" w:color="auto"/>
              </w:divBdr>
            </w:div>
            <w:div w:id="591472865">
              <w:marLeft w:val="0"/>
              <w:marRight w:val="0"/>
              <w:marTop w:val="0"/>
              <w:marBottom w:val="0"/>
              <w:divBdr>
                <w:top w:val="none" w:sz="0" w:space="0" w:color="auto"/>
                <w:left w:val="none" w:sz="0" w:space="0" w:color="auto"/>
                <w:bottom w:val="none" w:sz="0" w:space="0" w:color="auto"/>
                <w:right w:val="none" w:sz="0" w:space="0" w:color="auto"/>
              </w:divBdr>
            </w:div>
            <w:div w:id="1340884417">
              <w:marLeft w:val="0"/>
              <w:marRight w:val="0"/>
              <w:marTop w:val="0"/>
              <w:marBottom w:val="0"/>
              <w:divBdr>
                <w:top w:val="none" w:sz="0" w:space="0" w:color="auto"/>
                <w:left w:val="none" w:sz="0" w:space="0" w:color="auto"/>
                <w:bottom w:val="none" w:sz="0" w:space="0" w:color="auto"/>
                <w:right w:val="none" w:sz="0" w:space="0" w:color="auto"/>
              </w:divBdr>
            </w:div>
            <w:div w:id="510605324">
              <w:marLeft w:val="0"/>
              <w:marRight w:val="0"/>
              <w:marTop w:val="0"/>
              <w:marBottom w:val="0"/>
              <w:divBdr>
                <w:top w:val="none" w:sz="0" w:space="0" w:color="auto"/>
                <w:left w:val="none" w:sz="0" w:space="0" w:color="auto"/>
                <w:bottom w:val="none" w:sz="0" w:space="0" w:color="auto"/>
                <w:right w:val="none" w:sz="0" w:space="0" w:color="auto"/>
              </w:divBdr>
            </w:div>
            <w:div w:id="1199196058">
              <w:marLeft w:val="0"/>
              <w:marRight w:val="0"/>
              <w:marTop w:val="0"/>
              <w:marBottom w:val="0"/>
              <w:divBdr>
                <w:top w:val="none" w:sz="0" w:space="0" w:color="auto"/>
                <w:left w:val="none" w:sz="0" w:space="0" w:color="auto"/>
                <w:bottom w:val="none" w:sz="0" w:space="0" w:color="auto"/>
                <w:right w:val="none" w:sz="0" w:space="0" w:color="auto"/>
              </w:divBdr>
            </w:div>
            <w:div w:id="1916285353">
              <w:marLeft w:val="0"/>
              <w:marRight w:val="0"/>
              <w:marTop w:val="0"/>
              <w:marBottom w:val="0"/>
              <w:divBdr>
                <w:top w:val="none" w:sz="0" w:space="0" w:color="auto"/>
                <w:left w:val="none" w:sz="0" w:space="0" w:color="auto"/>
                <w:bottom w:val="none" w:sz="0" w:space="0" w:color="auto"/>
                <w:right w:val="none" w:sz="0" w:space="0" w:color="auto"/>
              </w:divBdr>
            </w:div>
            <w:div w:id="1041176675">
              <w:marLeft w:val="0"/>
              <w:marRight w:val="0"/>
              <w:marTop w:val="0"/>
              <w:marBottom w:val="0"/>
              <w:divBdr>
                <w:top w:val="none" w:sz="0" w:space="0" w:color="auto"/>
                <w:left w:val="none" w:sz="0" w:space="0" w:color="auto"/>
                <w:bottom w:val="none" w:sz="0" w:space="0" w:color="auto"/>
                <w:right w:val="none" w:sz="0" w:space="0" w:color="auto"/>
              </w:divBdr>
            </w:div>
            <w:div w:id="306934623">
              <w:marLeft w:val="0"/>
              <w:marRight w:val="0"/>
              <w:marTop w:val="0"/>
              <w:marBottom w:val="0"/>
              <w:divBdr>
                <w:top w:val="none" w:sz="0" w:space="0" w:color="auto"/>
                <w:left w:val="none" w:sz="0" w:space="0" w:color="auto"/>
                <w:bottom w:val="none" w:sz="0" w:space="0" w:color="auto"/>
                <w:right w:val="none" w:sz="0" w:space="0" w:color="auto"/>
              </w:divBdr>
            </w:div>
            <w:div w:id="969215177">
              <w:marLeft w:val="0"/>
              <w:marRight w:val="0"/>
              <w:marTop w:val="0"/>
              <w:marBottom w:val="0"/>
              <w:divBdr>
                <w:top w:val="none" w:sz="0" w:space="0" w:color="auto"/>
                <w:left w:val="none" w:sz="0" w:space="0" w:color="auto"/>
                <w:bottom w:val="none" w:sz="0" w:space="0" w:color="auto"/>
                <w:right w:val="none" w:sz="0" w:space="0" w:color="auto"/>
              </w:divBdr>
            </w:div>
            <w:div w:id="41774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558745">
      <w:bodyDiv w:val="1"/>
      <w:marLeft w:val="0"/>
      <w:marRight w:val="0"/>
      <w:marTop w:val="0"/>
      <w:marBottom w:val="0"/>
      <w:divBdr>
        <w:top w:val="none" w:sz="0" w:space="0" w:color="auto"/>
        <w:left w:val="none" w:sz="0" w:space="0" w:color="auto"/>
        <w:bottom w:val="none" w:sz="0" w:space="0" w:color="auto"/>
        <w:right w:val="none" w:sz="0" w:space="0" w:color="auto"/>
      </w:divBdr>
    </w:div>
    <w:div w:id="659432984">
      <w:bodyDiv w:val="1"/>
      <w:marLeft w:val="0"/>
      <w:marRight w:val="0"/>
      <w:marTop w:val="0"/>
      <w:marBottom w:val="0"/>
      <w:divBdr>
        <w:top w:val="none" w:sz="0" w:space="0" w:color="auto"/>
        <w:left w:val="none" w:sz="0" w:space="0" w:color="auto"/>
        <w:bottom w:val="none" w:sz="0" w:space="0" w:color="auto"/>
        <w:right w:val="none" w:sz="0" w:space="0" w:color="auto"/>
      </w:divBdr>
      <w:divsChild>
        <w:div w:id="1452240708">
          <w:marLeft w:val="0"/>
          <w:marRight w:val="0"/>
          <w:marTop w:val="0"/>
          <w:marBottom w:val="0"/>
          <w:divBdr>
            <w:top w:val="none" w:sz="0" w:space="0" w:color="auto"/>
            <w:left w:val="none" w:sz="0" w:space="0" w:color="auto"/>
            <w:bottom w:val="none" w:sz="0" w:space="0" w:color="auto"/>
            <w:right w:val="none" w:sz="0" w:space="0" w:color="auto"/>
          </w:divBdr>
        </w:div>
        <w:div w:id="524095949">
          <w:marLeft w:val="0"/>
          <w:marRight w:val="0"/>
          <w:marTop w:val="0"/>
          <w:marBottom w:val="0"/>
          <w:divBdr>
            <w:top w:val="none" w:sz="0" w:space="0" w:color="auto"/>
            <w:left w:val="none" w:sz="0" w:space="0" w:color="auto"/>
            <w:bottom w:val="none" w:sz="0" w:space="0" w:color="auto"/>
            <w:right w:val="none" w:sz="0" w:space="0" w:color="auto"/>
          </w:divBdr>
        </w:div>
        <w:div w:id="1762602584">
          <w:marLeft w:val="0"/>
          <w:marRight w:val="0"/>
          <w:marTop w:val="0"/>
          <w:marBottom w:val="0"/>
          <w:divBdr>
            <w:top w:val="none" w:sz="0" w:space="0" w:color="auto"/>
            <w:left w:val="none" w:sz="0" w:space="0" w:color="auto"/>
            <w:bottom w:val="none" w:sz="0" w:space="0" w:color="auto"/>
            <w:right w:val="none" w:sz="0" w:space="0" w:color="auto"/>
          </w:divBdr>
        </w:div>
        <w:div w:id="135613327">
          <w:marLeft w:val="0"/>
          <w:marRight w:val="0"/>
          <w:marTop w:val="0"/>
          <w:marBottom w:val="0"/>
          <w:divBdr>
            <w:top w:val="none" w:sz="0" w:space="0" w:color="auto"/>
            <w:left w:val="none" w:sz="0" w:space="0" w:color="auto"/>
            <w:bottom w:val="none" w:sz="0" w:space="0" w:color="auto"/>
            <w:right w:val="none" w:sz="0" w:space="0" w:color="auto"/>
          </w:divBdr>
        </w:div>
        <w:div w:id="1091509851">
          <w:marLeft w:val="0"/>
          <w:marRight w:val="0"/>
          <w:marTop w:val="0"/>
          <w:marBottom w:val="0"/>
          <w:divBdr>
            <w:top w:val="none" w:sz="0" w:space="0" w:color="auto"/>
            <w:left w:val="none" w:sz="0" w:space="0" w:color="auto"/>
            <w:bottom w:val="none" w:sz="0" w:space="0" w:color="auto"/>
            <w:right w:val="none" w:sz="0" w:space="0" w:color="auto"/>
          </w:divBdr>
        </w:div>
      </w:divsChild>
    </w:div>
    <w:div w:id="1178272706">
      <w:bodyDiv w:val="1"/>
      <w:marLeft w:val="0"/>
      <w:marRight w:val="0"/>
      <w:marTop w:val="0"/>
      <w:marBottom w:val="0"/>
      <w:divBdr>
        <w:top w:val="none" w:sz="0" w:space="0" w:color="auto"/>
        <w:left w:val="none" w:sz="0" w:space="0" w:color="auto"/>
        <w:bottom w:val="none" w:sz="0" w:space="0" w:color="auto"/>
        <w:right w:val="none" w:sz="0" w:space="0" w:color="auto"/>
      </w:divBdr>
    </w:div>
    <w:div w:id="1458529822">
      <w:bodyDiv w:val="1"/>
      <w:marLeft w:val="0"/>
      <w:marRight w:val="0"/>
      <w:marTop w:val="0"/>
      <w:marBottom w:val="0"/>
      <w:divBdr>
        <w:top w:val="none" w:sz="0" w:space="0" w:color="auto"/>
        <w:left w:val="none" w:sz="0" w:space="0" w:color="auto"/>
        <w:bottom w:val="none" w:sz="0" w:space="0" w:color="auto"/>
        <w:right w:val="none" w:sz="0" w:space="0" w:color="auto"/>
      </w:divBdr>
      <w:divsChild>
        <w:div w:id="28186935">
          <w:marLeft w:val="0"/>
          <w:marRight w:val="0"/>
          <w:marTop w:val="0"/>
          <w:marBottom w:val="0"/>
          <w:divBdr>
            <w:top w:val="none" w:sz="0" w:space="0" w:color="auto"/>
            <w:left w:val="none" w:sz="0" w:space="0" w:color="auto"/>
            <w:bottom w:val="none" w:sz="0" w:space="0" w:color="auto"/>
            <w:right w:val="none" w:sz="0" w:space="0" w:color="auto"/>
          </w:divBdr>
        </w:div>
        <w:div w:id="1825466184">
          <w:marLeft w:val="0"/>
          <w:marRight w:val="0"/>
          <w:marTop w:val="0"/>
          <w:marBottom w:val="0"/>
          <w:divBdr>
            <w:top w:val="none" w:sz="0" w:space="0" w:color="auto"/>
            <w:left w:val="none" w:sz="0" w:space="0" w:color="auto"/>
            <w:bottom w:val="none" w:sz="0" w:space="0" w:color="auto"/>
            <w:right w:val="none" w:sz="0" w:space="0" w:color="auto"/>
          </w:divBdr>
        </w:div>
        <w:div w:id="1630697543">
          <w:marLeft w:val="0"/>
          <w:marRight w:val="0"/>
          <w:marTop w:val="0"/>
          <w:marBottom w:val="0"/>
          <w:divBdr>
            <w:top w:val="none" w:sz="0" w:space="0" w:color="auto"/>
            <w:left w:val="none" w:sz="0" w:space="0" w:color="auto"/>
            <w:bottom w:val="none" w:sz="0" w:space="0" w:color="auto"/>
            <w:right w:val="none" w:sz="0" w:space="0" w:color="auto"/>
          </w:divBdr>
        </w:div>
        <w:div w:id="1763722415">
          <w:marLeft w:val="0"/>
          <w:marRight w:val="0"/>
          <w:marTop w:val="0"/>
          <w:marBottom w:val="0"/>
          <w:divBdr>
            <w:top w:val="none" w:sz="0" w:space="0" w:color="auto"/>
            <w:left w:val="none" w:sz="0" w:space="0" w:color="auto"/>
            <w:bottom w:val="none" w:sz="0" w:space="0" w:color="auto"/>
            <w:right w:val="none" w:sz="0" w:space="0" w:color="auto"/>
          </w:divBdr>
        </w:div>
        <w:div w:id="74058137">
          <w:marLeft w:val="0"/>
          <w:marRight w:val="0"/>
          <w:marTop w:val="0"/>
          <w:marBottom w:val="0"/>
          <w:divBdr>
            <w:top w:val="none" w:sz="0" w:space="0" w:color="auto"/>
            <w:left w:val="none" w:sz="0" w:space="0" w:color="auto"/>
            <w:bottom w:val="none" w:sz="0" w:space="0" w:color="auto"/>
            <w:right w:val="none" w:sz="0" w:space="0" w:color="auto"/>
          </w:divBdr>
        </w:div>
        <w:div w:id="1160387704">
          <w:marLeft w:val="0"/>
          <w:marRight w:val="0"/>
          <w:marTop w:val="0"/>
          <w:marBottom w:val="0"/>
          <w:divBdr>
            <w:top w:val="none" w:sz="0" w:space="0" w:color="auto"/>
            <w:left w:val="none" w:sz="0" w:space="0" w:color="auto"/>
            <w:bottom w:val="none" w:sz="0" w:space="0" w:color="auto"/>
            <w:right w:val="none" w:sz="0" w:space="0" w:color="auto"/>
          </w:divBdr>
        </w:div>
        <w:div w:id="650793918">
          <w:marLeft w:val="0"/>
          <w:marRight w:val="0"/>
          <w:marTop w:val="0"/>
          <w:marBottom w:val="0"/>
          <w:divBdr>
            <w:top w:val="none" w:sz="0" w:space="0" w:color="auto"/>
            <w:left w:val="none" w:sz="0" w:space="0" w:color="auto"/>
            <w:bottom w:val="none" w:sz="0" w:space="0" w:color="auto"/>
            <w:right w:val="none" w:sz="0" w:space="0" w:color="auto"/>
          </w:divBdr>
        </w:div>
        <w:div w:id="1075973246">
          <w:marLeft w:val="0"/>
          <w:marRight w:val="0"/>
          <w:marTop w:val="0"/>
          <w:marBottom w:val="0"/>
          <w:divBdr>
            <w:top w:val="none" w:sz="0" w:space="0" w:color="auto"/>
            <w:left w:val="none" w:sz="0" w:space="0" w:color="auto"/>
            <w:bottom w:val="none" w:sz="0" w:space="0" w:color="auto"/>
            <w:right w:val="none" w:sz="0" w:space="0" w:color="auto"/>
          </w:divBdr>
        </w:div>
        <w:div w:id="972250664">
          <w:marLeft w:val="0"/>
          <w:marRight w:val="0"/>
          <w:marTop w:val="0"/>
          <w:marBottom w:val="0"/>
          <w:divBdr>
            <w:top w:val="none" w:sz="0" w:space="0" w:color="auto"/>
            <w:left w:val="none" w:sz="0" w:space="0" w:color="auto"/>
            <w:bottom w:val="none" w:sz="0" w:space="0" w:color="auto"/>
            <w:right w:val="none" w:sz="0" w:space="0" w:color="auto"/>
          </w:divBdr>
        </w:div>
        <w:div w:id="997803923">
          <w:marLeft w:val="0"/>
          <w:marRight w:val="0"/>
          <w:marTop w:val="0"/>
          <w:marBottom w:val="0"/>
          <w:divBdr>
            <w:top w:val="none" w:sz="0" w:space="0" w:color="auto"/>
            <w:left w:val="none" w:sz="0" w:space="0" w:color="auto"/>
            <w:bottom w:val="none" w:sz="0" w:space="0" w:color="auto"/>
            <w:right w:val="none" w:sz="0" w:space="0" w:color="auto"/>
          </w:divBdr>
        </w:div>
        <w:div w:id="7148433">
          <w:marLeft w:val="0"/>
          <w:marRight w:val="0"/>
          <w:marTop w:val="0"/>
          <w:marBottom w:val="0"/>
          <w:divBdr>
            <w:top w:val="none" w:sz="0" w:space="0" w:color="auto"/>
            <w:left w:val="none" w:sz="0" w:space="0" w:color="auto"/>
            <w:bottom w:val="none" w:sz="0" w:space="0" w:color="auto"/>
            <w:right w:val="none" w:sz="0" w:space="0" w:color="auto"/>
          </w:divBdr>
        </w:div>
        <w:div w:id="1023675054">
          <w:marLeft w:val="0"/>
          <w:marRight w:val="0"/>
          <w:marTop w:val="0"/>
          <w:marBottom w:val="0"/>
          <w:divBdr>
            <w:top w:val="none" w:sz="0" w:space="0" w:color="auto"/>
            <w:left w:val="none" w:sz="0" w:space="0" w:color="auto"/>
            <w:bottom w:val="none" w:sz="0" w:space="0" w:color="auto"/>
            <w:right w:val="none" w:sz="0" w:space="0" w:color="auto"/>
          </w:divBdr>
        </w:div>
        <w:div w:id="1202788719">
          <w:marLeft w:val="0"/>
          <w:marRight w:val="0"/>
          <w:marTop w:val="0"/>
          <w:marBottom w:val="0"/>
          <w:divBdr>
            <w:top w:val="none" w:sz="0" w:space="0" w:color="auto"/>
            <w:left w:val="none" w:sz="0" w:space="0" w:color="auto"/>
            <w:bottom w:val="none" w:sz="0" w:space="0" w:color="auto"/>
            <w:right w:val="none" w:sz="0" w:space="0" w:color="auto"/>
          </w:divBdr>
        </w:div>
        <w:div w:id="1088114850">
          <w:marLeft w:val="0"/>
          <w:marRight w:val="0"/>
          <w:marTop w:val="0"/>
          <w:marBottom w:val="0"/>
          <w:divBdr>
            <w:top w:val="none" w:sz="0" w:space="0" w:color="auto"/>
            <w:left w:val="none" w:sz="0" w:space="0" w:color="auto"/>
            <w:bottom w:val="none" w:sz="0" w:space="0" w:color="auto"/>
            <w:right w:val="none" w:sz="0" w:space="0" w:color="auto"/>
          </w:divBdr>
        </w:div>
        <w:div w:id="1882670302">
          <w:marLeft w:val="0"/>
          <w:marRight w:val="0"/>
          <w:marTop w:val="0"/>
          <w:marBottom w:val="0"/>
          <w:divBdr>
            <w:top w:val="none" w:sz="0" w:space="0" w:color="auto"/>
            <w:left w:val="none" w:sz="0" w:space="0" w:color="auto"/>
            <w:bottom w:val="none" w:sz="0" w:space="0" w:color="auto"/>
            <w:right w:val="none" w:sz="0" w:space="0" w:color="auto"/>
          </w:divBdr>
        </w:div>
        <w:div w:id="443614775">
          <w:marLeft w:val="0"/>
          <w:marRight w:val="0"/>
          <w:marTop w:val="0"/>
          <w:marBottom w:val="0"/>
          <w:divBdr>
            <w:top w:val="none" w:sz="0" w:space="0" w:color="auto"/>
            <w:left w:val="none" w:sz="0" w:space="0" w:color="auto"/>
            <w:bottom w:val="none" w:sz="0" w:space="0" w:color="auto"/>
            <w:right w:val="none" w:sz="0" w:space="0" w:color="auto"/>
          </w:divBdr>
        </w:div>
        <w:div w:id="1840652670">
          <w:marLeft w:val="0"/>
          <w:marRight w:val="0"/>
          <w:marTop w:val="0"/>
          <w:marBottom w:val="0"/>
          <w:divBdr>
            <w:top w:val="none" w:sz="0" w:space="0" w:color="auto"/>
            <w:left w:val="none" w:sz="0" w:space="0" w:color="auto"/>
            <w:bottom w:val="none" w:sz="0" w:space="0" w:color="auto"/>
            <w:right w:val="none" w:sz="0" w:space="0" w:color="auto"/>
          </w:divBdr>
        </w:div>
        <w:div w:id="1879926611">
          <w:marLeft w:val="0"/>
          <w:marRight w:val="0"/>
          <w:marTop w:val="0"/>
          <w:marBottom w:val="0"/>
          <w:divBdr>
            <w:top w:val="none" w:sz="0" w:space="0" w:color="auto"/>
            <w:left w:val="none" w:sz="0" w:space="0" w:color="auto"/>
            <w:bottom w:val="none" w:sz="0" w:space="0" w:color="auto"/>
            <w:right w:val="none" w:sz="0" w:space="0" w:color="auto"/>
          </w:divBdr>
        </w:div>
        <w:div w:id="275672224">
          <w:marLeft w:val="0"/>
          <w:marRight w:val="0"/>
          <w:marTop w:val="0"/>
          <w:marBottom w:val="0"/>
          <w:divBdr>
            <w:top w:val="none" w:sz="0" w:space="0" w:color="auto"/>
            <w:left w:val="none" w:sz="0" w:space="0" w:color="auto"/>
            <w:bottom w:val="none" w:sz="0" w:space="0" w:color="auto"/>
            <w:right w:val="none" w:sz="0" w:space="0" w:color="auto"/>
          </w:divBdr>
        </w:div>
        <w:div w:id="1379740945">
          <w:marLeft w:val="0"/>
          <w:marRight w:val="0"/>
          <w:marTop w:val="0"/>
          <w:marBottom w:val="0"/>
          <w:divBdr>
            <w:top w:val="none" w:sz="0" w:space="0" w:color="auto"/>
            <w:left w:val="none" w:sz="0" w:space="0" w:color="auto"/>
            <w:bottom w:val="none" w:sz="0" w:space="0" w:color="auto"/>
            <w:right w:val="none" w:sz="0" w:space="0" w:color="auto"/>
          </w:divBdr>
        </w:div>
        <w:div w:id="183518788">
          <w:marLeft w:val="0"/>
          <w:marRight w:val="0"/>
          <w:marTop w:val="0"/>
          <w:marBottom w:val="0"/>
          <w:divBdr>
            <w:top w:val="none" w:sz="0" w:space="0" w:color="auto"/>
            <w:left w:val="none" w:sz="0" w:space="0" w:color="auto"/>
            <w:bottom w:val="none" w:sz="0" w:space="0" w:color="auto"/>
            <w:right w:val="none" w:sz="0" w:space="0" w:color="auto"/>
          </w:divBdr>
        </w:div>
        <w:div w:id="967397250">
          <w:marLeft w:val="0"/>
          <w:marRight w:val="0"/>
          <w:marTop w:val="0"/>
          <w:marBottom w:val="0"/>
          <w:divBdr>
            <w:top w:val="none" w:sz="0" w:space="0" w:color="auto"/>
            <w:left w:val="none" w:sz="0" w:space="0" w:color="auto"/>
            <w:bottom w:val="none" w:sz="0" w:space="0" w:color="auto"/>
            <w:right w:val="none" w:sz="0" w:space="0" w:color="auto"/>
          </w:divBdr>
        </w:div>
        <w:div w:id="1023047758">
          <w:marLeft w:val="0"/>
          <w:marRight w:val="0"/>
          <w:marTop w:val="0"/>
          <w:marBottom w:val="0"/>
          <w:divBdr>
            <w:top w:val="none" w:sz="0" w:space="0" w:color="auto"/>
            <w:left w:val="none" w:sz="0" w:space="0" w:color="auto"/>
            <w:bottom w:val="none" w:sz="0" w:space="0" w:color="auto"/>
            <w:right w:val="none" w:sz="0" w:space="0" w:color="auto"/>
          </w:divBdr>
        </w:div>
        <w:div w:id="1640262659">
          <w:marLeft w:val="0"/>
          <w:marRight w:val="0"/>
          <w:marTop w:val="0"/>
          <w:marBottom w:val="0"/>
          <w:divBdr>
            <w:top w:val="none" w:sz="0" w:space="0" w:color="auto"/>
            <w:left w:val="none" w:sz="0" w:space="0" w:color="auto"/>
            <w:bottom w:val="none" w:sz="0" w:space="0" w:color="auto"/>
            <w:right w:val="none" w:sz="0" w:space="0" w:color="auto"/>
          </w:divBdr>
        </w:div>
        <w:div w:id="1663968396">
          <w:marLeft w:val="0"/>
          <w:marRight w:val="0"/>
          <w:marTop w:val="0"/>
          <w:marBottom w:val="0"/>
          <w:divBdr>
            <w:top w:val="none" w:sz="0" w:space="0" w:color="auto"/>
            <w:left w:val="none" w:sz="0" w:space="0" w:color="auto"/>
            <w:bottom w:val="none" w:sz="0" w:space="0" w:color="auto"/>
            <w:right w:val="none" w:sz="0" w:space="0" w:color="auto"/>
          </w:divBdr>
        </w:div>
        <w:div w:id="412626299">
          <w:marLeft w:val="0"/>
          <w:marRight w:val="0"/>
          <w:marTop w:val="0"/>
          <w:marBottom w:val="0"/>
          <w:divBdr>
            <w:top w:val="none" w:sz="0" w:space="0" w:color="auto"/>
            <w:left w:val="none" w:sz="0" w:space="0" w:color="auto"/>
            <w:bottom w:val="none" w:sz="0" w:space="0" w:color="auto"/>
            <w:right w:val="none" w:sz="0" w:space="0" w:color="auto"/>
          </w:divBdr>
        </w:div>
        <w:div w:id="1792087915">
          <w:marLeft w:val="0"/>
          <w:marRight w:val="0"/>
          <w:marTop w:val="0"/>
          <w:marBottom w:val="0"/>
          <w:divBdr>
            <w:top w:val="none" w:sz="0" w:space="0" w:color="auto"/>
            <w:left w:val="none" w:sz="0" w:space="0" w:color="auto"/>
            <w:bottom w:val="none" w:sz="0" w:space="0" w:color="auto"/>
            <w:right w:val="none" w:sz="0" w:space="0" w:color="auto"/>
          </w:divBdr>
        </w:div>
        <w:div w:id="1861697289">
          <w:marLeft w:val="0"/>
          <w:marRight w:val="0"/>
          <w:marTop w:val="0"/>
          <w:marBottom w:val="0"/>
          <w:divBdr>
            <w:top w:val="none" w:sz="0" w:space="0" w:color="auto"/>
            <w:left w:val="none" w:sz="0" w:space="0" w:color="auto"/>
            <w:bottom w:val="none" w:sz="0" w:space="0" w:color="auto"/>
            <w:right w:val="none" w:sz="0" w:space="0" w:color="auto"/>
          </w:divBdr>
        </w:div>
        <w:div w:id="1402362831">
          <w:marLeft w:val="0"/>
          <w:marRight w:val="0"/>
          <w:marTop w:val="0"/>
          <w:marBottom w:val="0"/>
          <w:divBdr>
            <w:top w:val="none" w:sz="0" w:space="0" w:color="auto"/>
            <w:left w:val="none" w:sz="0" w:space="0" w:color="auto"/>
            <w:bottom w:val="none" w:sz="0" w:space="0" w:color="auto"/>
            <w:right w:val="none" w:sz="0" w:space="0" w:color="auto"/>
          </w:divBdr>
        </w:div>
        <w:div w:id="958532595">
          <w:marLeft w:val="0"/>
          <w:marRight w:val="0"/>
          <w:marTop w:val="0"/>
          <w:marBottom w:val="0"/>
          <w:divBdr>
            <w:top w:val="none" w:sz="0" w:space="0" w:color="auto"/>
            <w:left w:val="none" w:sz="0" w:space="0" w:color="auto"/>
            <w:bottom w:val="none" w:sz="0" w:space="0" w:color="auto"/>
            <w:right w:val="none" w:sz="0" w:space="0" w:color="auto"/>
          </w:divBdr>
        </w:div>
        <w:div w:id="69695497">
          <w:marLeft w:val="0"/>
          <w:marRight w:val="0"/>
          <w:marTop w:val="0"/>
          <w:marBottom w:val="0"/>
          <w:divBdr>
            <w:top w:val="none" w:sz="0" w:space="0" w:color="auto"/>
            <w:left w:val="none" w:sz="0" w:space="0" w:color="auto"/>
            <w:bottom w:val="none" w:sz="0" w:space="0" w:color="auto"/>
            <w:right w:val="none" w:sz="0" w:space="0" w:color="auto"/>
          </w:divBdr>
        </w:div>
        <w:div w:id="223488179">
          <w:marLeft w:val="0"/>
          <w:marRight w:val="0"/>
          <w:marTop w:val="0"/>
          <w:marBottom w:val="0"/>
          <w:divBdr>
            <w:top w:val="none" w:sz="0" w:space="0" w:color="auto"/>
            <w:left w:val="none" w:sz="0" w:space="0" w:color="auto"/>
            <w:bottom w:val="none" w:sz="0" w:space="0" w:color="auto"/>
            <w:right w:val="none" w:sz="0" w:space="0" w:color="auto"/>
          </w:divBdr>
        </w:div>
        <w:div w:id="1671979661">
          <w:marLeft w:val="0"/>
          <w:marRight w:val="0"/>
          <w:marTop w:val="0"/>
          <w:marBottom w:val="0"/>
          <w:divBdr>
            <w:top w:val="none" w:sz="0" w:space="0" w:color="auto"/>
            <w:left w:val="none" w:sz="0" w:space="0" w:color="auto"/>
            <w:bottom w:val="none" w:sz="0" w:space="0" w:color="auto"/>
            <w:right w:val="none" w:sz="0" w:space="0" w:color="auto"/>
          </w:divBdr>
        </w:div>
        <w:div w:id="1567102662">
          <w:marLeft w:val="0"/>
          <w:marRight w:val="0"/>
          <w:marTop w:val="0"/>
          <w:marBottom w:val="0"/>
          <w:divBdr>
            <w:top w:val="none" w:sz="0" w:space="0" w:color="auto"/>
            <w:left w:val="none" w:sz="0" w:space="0" w:color="auto"/>
            <w:bottom w:val="none" w:sz="0" w:space="0" w:color="auto"/>
            <w:right w:val="none" w:sz="0" w:space="0" w:color="auto"/>
          </w:divBdr>
        </w:div>
        <w:div w:id="1008143798">
          <w:marLeft w:val="0"/>
          <w:marRight w:val="0"/>
          <w:marTop w:val="0"/>
          <w:marBottom w:val="0"/>
          <w:divBdr>
            <w:top w:val="none" w:sz="0" w:space="0" w:color="auto"/>
            <w:left w:val="none" w:sz="0" w:space="0" w:color="auto"/>
            <w:bottom w:val="none" w:sz="0" w:space="0" w:color="auto"/>
            <w:right w:val="none" w:sz="0" w:space="0" w:color="auto"/>
          </w:divBdr>
        </w:div>
        <w:div w:id="117260863">
          <w:marLeft w:val="0"/>
          <w:marRight w:val="0"/>
          <w:marTop w:val="0"/>
          <w:marBottom w:val="0"/>
          <w:divBdr>
            <w:top w:val="none" w:sz="0" w:space="0" w:color="auto"/>
            <w:left w:val="none" w:sz="0" w:space="0" w:color="auto"/>
            <w:bottom w:val="none" w:sz="0" w:space="0" w:color="auto"/>
            <w:right w:val="none" w:sz="0" w:space="0" w:color="auto"/>
          </w:divBdr>
        </w:div>
        <w:div w:id="220093285">
          <w:marLeft w:val="0"/>
          <w:marRight w:val="0"/>
          <w:marTop w:val="0"/>
          <w:marBottom w:val="0"/>
          <w:divBdr>
            <w:top w:val="none" w:sz="0" w:space="0" w:color="auto"/>
            <w:left w:val="none" w:sz="0" w:space="0" w:color="auto"/>
            <w:bottom w:val="none" w:sz="0" w:space="0" w:color="auto"/>
            <w:right w:val="none" w:sz="0" w:space="0" w:color="auto"/>
          </w:divBdr>
        </w:div>
        <w:div w:id="1434549184">
          <w:marLeft w:val="0"/>
          <w:marRight w:val="0"/>
          <w:marTop w:val="0"/>
          <w:marBottom w:val="0"/>
          <w:divBdr>
            <w:top w:val="none" w:sz="0" w:space="0" w:color="auto"/>
            <w:left w:val="none" w:sz="0" w:space="0" w:color="auto"/>
            <w:bottom w:val="none" w:sz="0" w:space="0" w:color="auto"/>
            <w:right w:val="none" w:sz="0" w:space="0" w:color="auto"/>
          </w:divBdr>
        </w:div>
        <w:div w:id="524487428">
          <w:marLeft w:val="0"/>
          <w:marRight w:val="0"/>
          <w:marTop w:val="0"/>
          <w:marBottom w:val="0"/>
          <w:divBdr>
            <w:top w:val="none" w:sz="0" w:space="0" w:color="auto"/>
            <w:left w:val="none" w:sz="0" w:space="0" w:color="auto"/>
            <w:bottom w:val="none" w:sz="0" w:space="0" w:color="auto"/>
            <w:right w:val="none" w:sz="0" w:space="0" w:color="auto"/>
          </w:divBdr>
        </w:div>
        <w:div w:id="504126222">
          <w:marLeft w:val="0"/>
          <w:marRight w:val="0"/>
          <w:marTop w:val="0"/>
          <w:marBottom w:val="0"/>
          <w:divBdr>
            <w:top w:val="none" w:sz="0" w:space="0" w:color="auto"/>
            <w:left w:val="none" w:sz="0" w:space="0" w:color="auto"/>
            <w:bottom w:val="none" w:sz="0" w:space="0" w:color="auto"/>
            <w:right w:val="none" w:sz="0" w:space="0" w:color="auto"/>
          </w:divBdr>
        </w:div>
      </w:divsChild>
    </w:div>
    <w:div w:id="1723753679">
      <w:bodyDiv w:val="1"/>
      <w:marLeft w:val="0"/>
      <w:marRight w:val="0"/>
      <w:marTop w:val="0"/>
      <w:marBottom w:val="0"/>
      <w:divBdr>
        <w:top w:val="none" w:sz="0" w:space="0" w:color="auto"/>
        <w:left w:val="none" w:sz="0" w:space="0" w:color="auto"/>
        <w:bottom w:val="none" w:sz="0" w:space="0" w:color="auto"/>
        <w:right w:val="none" w:sz="0" w:space="0" w:color="auto"/>
      </w:divBdr>
      <w:divsChild>
        <w:div w:id="481195747">
          <w:marLeft w:val="0"/>
          <w:marRight w:val="0"/>
          <w:marTop w:val="0"/>
          <w:marBottom w:val="0"/>
          <w:divBdr>
            <w:top w:val="none" w:sz="0" w:space="0" w:color="auto"/>
            <w:left w:val="none" w:sz="0" w:space="0" w:color="auto"/>
            <w:bottom w:val="none" w:sz="0" w:space="0" w:color="auto"/>
            <w:right w:val="none" w:sz="0" w:space="0" w:color="auto"/>
          </w:divBdr>
        </w:div>
        <w:div w:id="430051082">
          <w:marLeft w:val="0"/>
          <w:marRight w:val="0"/>
          <w:marTop w:val="0"/>
          <w:marBottom w:val="0"/>
          <w:divBdr>
            <w:top w:val="none" w:sz="0" w:space="0" w:color="auto"/>
            <w:left w:val="none" w:sz="0" w:space="0" w:color="auto"/>
            <w:bottom w:val="none" w:sz="0" w:space="0" w:color="auto"/>
            <w:right w:val="none" w:sz="0" w:space="0" w:color="auto"/>
          </w:divBdr>
        </w:div>
        <w:div w:id="1934826003">
          <w:marLeft w:val="0"/>
          <w:marRight w:val="0"/>
          <w:marTop w:val="0"/>
          <w:marBottom w:val="0"/>
          <w:divBdr>
            <w:top w:val="none" w:sz="0" w:space="0" w:color="auto"/>
            <w:left w:val="none" w:sz="0" w:space="0" w:color="auto"/>
            <w:bottom w:val="none" w:sz="0" w:space="0" w:color="auto"/>
            <w:right w:val="none" w:sz="0" w:space="0" w:color="auto"/>
          </w:divBdr>
        </w:div>
      </w:divsChild>
    </w:div>
    <w:div w:id="1802651594">
      <w:bodyDiv w:val="1"/>
      <w:marLeft w:val="0"/>
      <w:marRight w:val="0"/>
      <w:marTop w:val="0"/>
      <w:marBottom w:val="0"/>
      <w:divBdr>
        <w:top w:val="none" w:sz="0" w:space="0" w:color="auto"/>
        <w:left w:val="none" w:sz="0" w:space="0" w:color="auto"/>
        <w:bottom w:val="none" w:sz="0" w:space="0" w:color="auto"/>
        <w:right w:val="none" w:sz="0" w:space="0" w:color="auto"/>
      </w:divBdr>
    </w:div>
    <w:div w:id="1823621036">
      <w:bodyDiv w:val="1"/>
      <w:marLeft w:val="0"/>
      <w:marRight w:val="0"/>
      <w:marTop w:val="0"/>
      <w:marBottom w:val="0"/>
      <w:divBdr>
        <w:top w:val="none" w:sz="0" w:space="0" w:color="auto"/>
        <w:left w:val="none" w:sz="0" w:space="0" w:color="auto"/>
        <w:bottom w:val="none" w:sz="0" w:space="0" w:color="auto"/>
        <w:right w:val="none" w:sz="0" w:space="0" w:color="auto"/>
      </w:divBdr>
    </w:div>
    <w:div w:id="1981417415">
      <w:bodyDiv w:val="1"/>
      <w:marLeft w:val="0"/>
      <w:marRight w:val="0"/>
      <w:marTop w:val="0"/>
      <w:marBottom w:val="0"/>
      <w:divBdr>
        <w:top w:val="none" w:sz="0" w:space="0" w:color="auto"/>
        <w:left w:val="none" w:sz="0" w:space="0" w:color="auto"/>
        <w:bottom w:val="none" w:sz="0" w:space="0" w:color="auto"/>
        <w:right w:val="none" w:sz="0" w:space="0" w:color="auto"/>
      </w:divBdr>
      <w:divsChild>
        <w:div w:id="71125384">
          <w:marLeft w:val="0"/>
          <w:marRight w:val="0"/>
          <w:marTop w:val="0"/>
          <w:marBottom w:val="0"/>
          <w:divBdr>
            <w:top w:val="none" w:sz="0" w:space="0" w:color="auto"/>
            <w:left w:val="none" w:sz="0" w:space="0" w:color="auto"/>
            <w:bottom w:val="none" w:sz="0" w:space="0" w:color="auto"/>
            <w:right w:val="none" w:sz="0" w:space="0" w:color="auto"/>
          </w:divBdr>
        </w:div>
        <w:div w:id="1930772029">
          <w:marLeft w:val="0"/>
          <w:marRight w:val="0"/>
          <w:marTop w:val="0"/>
          <w:marBottom w:val="0"/>
          <w:divBdr>
            <w:top w:val="none" w:sz="0" w:space="0" w:color="auto"/>
            <w:left w:val="none" w:sz="0" w:space="0" w:color="auto"/>
            <w:bottom w:val="none" w:sz="0" w:space="0" w:color="auto"/>
            <w:right w:val="none" w:sz="0" w:space="0" w:color="auto"/>
          </w:divBdr>
        </w:div>
        <w:div w:id="1126389338">
          <w:marLeft w:val="0"/>
          <w:marRight w:val="0"/>
          <w:marTop w:val="0"/>
          <w:marBottom w:val="0"/>
          <w:divBdr>
            <w:top w:val="none" w:sz="0" w:space="0" w:color="auto"/>
            <w:left w:val="none" w:sz="0" w:space="0" w:color="auto"/>
            <w:bottom w:val="none" w:sz="0" w:space="0" w:color="auto"/>
            <w:right w:val="none" w:sz="0" w:space="0" w:color="auto"/>
          </w:divBdr>
        </w:div>
        <w:div w:id="1551380245">
          <w:marLeft w:val="0"/>
          <w:marRight w:val="0"/>
          <w:marTop w:val="0"/>
          <w:marBottom w:val="0"/>
          <w:divBdr>
            <w:top w:val="none" w:sz="0" w:space="0" w:color="auto"/>
            <w:left w:val="none" w:sz="0" w:space="0" w:color="auto"/>
            <w:bottom w:val="none" w:sz="0" w:space="0" w:color="auto"/>
            <w:right w:val="none" w:sz="0" w:space="0" w:color="auto"/>
          </w:divBdr>
        </w:div>
        <w:div w:id="1195120792">
          <w:marLeft w:val="0"/>
          <w:marRight w:val="0"/>
          <w:marTop w:val="0"/>
          <w:marBottom w:val="0"/>
          <w:divBdr>
            <w:top w:val="none" w:sz="0" w:space="0" w:color="auto"/>
            <w:left w:val="none" w:sz="0" w:space="0" w:color="auto"/>
            <w:bottom w:val="none" w:sz="0" w:space="0" w:color="auto"/>
            <w:right w:val="none" w:sz="0" w:space="0" w:color="auto"/>
          </w:divBdr>
        </w:div>
        <w:div w:id="125970844">
          <w:marLeft w:val="0"/>
          <w:marRight w:val="0"/>
          <w:marTop w:val="0"/>
          <w:marBottom w:val="0"/>
          <w:divBdr>
            <w:top w:val="none" w:sz="0" w:space="0" w:color="auto"/>
            <w:left w:val="none" w:sz="0" w:space="0" w:color="auto"/>
            <w:bottom w:val="none" w:sz="0" w:space="0" w:color="auto"/>
            <w:right w:val="none" w:sz="0" w:space="0" w:color="auto"/>
          </w:divBdr>
        </w:div>
        <w:div w:id="1747221541">
          <w:marLeft w:val="0"/>
          <w:marRight w:val="0"/>
          <w:marTop w:val="0"/>
          <w:marBottom w:val="0"/>
          <w:divBdr>
            <w:top w:val="none" w:sz="0" w:space="0" w:color="auto"/>
            <w:left w:val="none" w:sz="0" w:space="0" w:color="auto"/>
            <w:bottom w:val="none" w:sz="0" w:space="0" w:color="auto"/>
            <w:right w:val="none" w:sz="0" w:space="0" w:color="auto"/>
          </w:divBdr>
        </w:div>
        <w:div w:id="1077169399">
          <w:marLeft w:val="0"/>
          <w:marRight w:val="0"/>
          <w:marTop w:val="0"/>
          <w:marBottom w:val="0"/>
          <w:divBdr>
            <w:top w:val="none" w:sz="0" w:space="0" w:color="auto"/>
            <w:left w:val="none" w:sz="0" w:space="0" w:color="auto"/>
            <w:bottom w:val="none" w:sz="0" w:space="0" w:color="auto"/>
            <w:right w:val="none" w:sz="0" w:space="0" w:color="auto"/>
          </w:divBdr>
        </w:div>
        <w:div w:id="1059474328">
          <w:marLeft w:val="0"/>
          <w:marRight w:val="0"/>
          <w:marTop w:val="0"/>
          <w:marBottom w:val="0"/>
          <w:divBdr>
            <w:top w:val="none" w:sz="0" w:space="0" w:color="auto"/>
            <w:left w:val="none" w:sz="0" w:space="0" w:color="auto"/>
            <w:bottom w:val="none" w:sz="0" w:space="0" w:color="auto"/>
            <w:right w:val="none" w:sz="0" w:space="0" w:color="auto"/>
          </w:divBdr>
        </w:div>
        <w:div w:id="768694623">
          <w:marLeft w:val="0"/>
          <w:marRight w:val="0"/>
          <w:marTop w:val="0"/>
          <w:marBottom w:val="0"/>
          <w:divBdr>
            <w:top w:val="none" w:sz="0" w:space="0" w:color="auto"/>
            <w:left w:val="none" w:sz="0" w:space="0" w:color="auto"/>
            <w:bottom w:val="none" w:sz="0" w:space="0" w:color="auto"/>
            <w:right w:val="none" w:sz="0" w:space="0" w:color="auto"/>
          </w:divBdr>
        </w:div>
        <w:div w:id="888110267">
          <w:marLeft w:val="0"/>
          <w:marRight w:val="0"/>
          <w:marTop w:val="0"/>
          <w:marBottom w:val="0"/>
          <w:divBdr>
            <w:top w:val="none" w:sz="0" w:space="0" w:color="auto"/>
            <w:left w:val="none" w:sz="0" w:space="0" w:color="auto"/>
            <w:bottom w:val="none" w:sz="0" w:space="0" w:color="auto"/>
            <w:right w:val="none" w:sz="0" w:space="0" w:color="auto"/>
          </w:divBdr>
        </w:div>
        <w:div w:id="1341464407">
          <w:marLeft w:val="0"/>
          <w:marRight w:val="0"/>
          <w:marTop w:val="0"/>
          <w:marBottom w:val="0"/>
          <w:divBdr>
            <w:top w:val="none" w:sz="0" w:space="0" w:color="auto"/>
            <w:left w:val="none" w:sz="0" w:space="0" w:color="auto"/>
            <w:bottom w:val="none" w:sz="0" w:space="0" w:color="auto"/>
            <w:right w:val="none" w:sz="0" w:space="0" w:color="auto"/>
          </w:divBdr>
        </w:div>
        <w:div w:id="1397436778">
          <w:marLeft w:val="0"/>
          <w:marRight w:val="0"/>
          <w:marTop w:val="0"/>
          <w:marBottom w:val="0"/>
          <w:divBdr>
            <w:top w:val="none" w:sz="0" w:space="0" w:color="auto"/>
            <w:left w:val="none" w:sz="0" w:space="0" w:color="auto"/>
            <w:bottom w:val="none" w:sz="0" w:space="0" w:color="auto"/>
            <w:right w:val="none" w:sz="0" w:space="0" w:color="auto"/>
          </w:divBdr>
        </w:div>
        <w:div w:id="991324856">
          <w:marLeft w:val="0"/>
          <w:marRight w:val="0"/>
          <w:marTop w:val="0"/>
          <w:marBottom w:val="0"/>
          <w:divBdr>
            <w:top w:val="none" w:sz="0" w:space="0" w:color="auto"/>
            <w:left w:val="none" w:sz="0" w:space="0" w:color="auto"/>
            <w:bottom w:val="none" w:sz="0" w:space="0" w:color="auto"/>
            <w:right w:val="none" w:sz="0" w:space="0" w:color="auto"/>
          </w:divBdr>
        </w:div>
        <w:div w:id="1270087748">
          <w:marLeft w:val="0"/>
          <w:marRight w:val="0"/>
          <w:marTop w:val="0"/>
          <w:marBottom w:val="0"/>
          <w:divBdr>
            <w:top w:val="none" w:sz="0" w:space="0" w:color="auto"/>
            <w:left w:val="none" w:sz="0" w:space="0" w:color="auto"/>
            <w:bottom w:val="none" w:sz="0" w:space="0" w:color="auto"/>
            <w:right w:val="none" w:sz="0" w:space="0" w:color="auto"/>
          </w:divBdr>
        </w:div>
        <w:div w:id="859396518">
          <w:marLeft w:val="0"/>
          <w:marRight w:val="0"/>
          <w:marTop w:val="0"/>
          <w:marBottom w:val="0"/>
          <w:divBdr>
            <w:top w:val="none" w:sz="0" w:space="0" w:color="auto"/>
            <w:left w:val="none" w:sz="0" w:space="0" w:color="auto"/>
            <w:bottom w:val="none" w:sz="0" w:space="0" w:color="auto"/>
            <w:right w:val="none" w:sz="0" w:space="0" w:color="auto"/>
          </w:divBdr>
        </w:div>
        <w:div w:id="1167134134">
          <w:marLeft w:val="0"/>
          <w:marRight w:val="0"/>
          <w:marTop w:val="0"/>
          <w:marBottom w:val="0"/>
          <w:divBdr>
            <w:top w:val="none" w:sz="0" w:space="0" w:color="auto"/>
            <w:left w:val="none" w:sz="0" w:space="0" w:color="auto"/>
            <w:bottom w:val="none" w:sz="0" w:space="0" w:color="auto"/>
            <w:right w:val="none" w:sz="0" w:space="0" w:color="auto"/>
          </w:divBdr>
        </w:div>
        <w:div w:id="235016209">
          <w:marLeft w:val="0"/>
          <w:marRight w:val="0"/>
          <w:marTop w:val="0"/>
          <w:marBottom w:val="0"/>
          <w:divBdr>
            <w:top w:val="none" w:sz="0" w:space="0" w:color="auto"/>
            <w:left w:val="none" w:sz="0" w:space="0" w:color="auto"/>
            <w:bottom w:val="none" w:sz="0" w:space="0" w:color="auto"/>
            <w:right w:val="none" w:sz="0" w:space="0" w:color="auto"/>
          </w:divBdr>
        </w:div>
        <w:div w:id="1477992858">
          <w:marLeft w:val="0"/>
          <w:marRight w:val="0"/>
          <w:marTop w:val="0"/>
          <w:marBottom w:val="0"/>
          <w:divBdr>
            <w:top w:val="none" w:sz="0" w:space="0" w:color="auto"/>
            <w:left w:val="none" w:sz="0" w:space="0" w:color="auto"/>
            <w:bottom w:val="none" w:sz="0" w:space="0" w:color="auto"/>
            <w:right w:val="none" w:sz="0" w:space="0" w:color="auto"/>
          </w:divBdr>
        </w:div>
        <w:div w:id="2132698535">
          <w:marLeft w:val="0"/>
          <w:marRight w:val="0"/>
          <w:marTop w:val="0"/>
          <w:marBottom w:val="0"/>
          <w:divBdr>
            <w:top w:val="none" w:sz="0" w:space="0" w:color="auto"/>
            <w:left w:val="none" w:sz="0" w:space="0" w:color="auto"/>
            <w:bottom w:val="none" w:sz="0" w:space="0" w:color="auto"/>
            <w:right w:val="none" w:sz="0" w:space="0" w:color="auto"/>
          </w:divBdr>
        </w:div>
        <w:div w:id="1329553764">
          <w:marLeft w:val="0"/>
          <w:marRight w:val="0"/>
          <w:marTop w:val="0"/>
          <w:marBottom w:val="0"/>
          <w:divBdr>
            <w:top w:val="none" w:sz="0" w:space="0" w:color="auto"/>
            <w:left w:val="none" w:sz="0" w:space="0" w:color="auto"/>
            <w:bottom w:val="none" w:sz="0" w:space="0" w:color="auto"/>
            <w:right w:val="none" w:sz="0" w:space="0" w:color="auto"/>
          </w:divBdr>
        </w:div>
        <w:div w:id="1397976062">
          <w:marLeft w:val="0"/>
          <w:marRight w:val="0"/>
          <w:marTop w:val="0"/>
          <w:marBottom w:val="0"/>
          <w:divBdr>
            <w:top w:val="none" w:sz="0" w:space="0" w:color="auto"/>
            <w:left w:val="none" w:sz="0" w:space="0" w:color="auto"/>
            <w:bottom w:val="none" w:sz="0" w:space="0" w:color="auto"/>
            <w:right w:val="none" w:sz="0" w:space="0" w:color="auto"/>
          </w:divBdr>
        </w:div>
        <w:div w:id="354426812">
          <w:marLeft w:val="0"/>
          <w:marRight w:val="0"/>
          <w:marTop w:val="0"/>
          <w:marBottom w:val="0"/>
          <w:divBdr>
            <w:top w:val="none" w:sz="0" w:space="0" w:color="auto"/>
            <w:left w:val="none" w:sz="0" w:space="0" w:color="auto"/>
            <w:bottom w:val="none" w:sz="0" w:space="0" w:color="auto"/>
            <w:right w:val="none" w:sz="0" w:space="0" w:color="auto"/>
          </w:divBdr>
        </w:div>
        <w:div w:id="272516748">
          <w:marLeft w:val="0"/>
          <w:marRight w:val="0"/>
          <w:marTop w:val="0"/>
          <w:marBottom w:val="0"/>
          <w:divBdr>
            <w:top w:val="none" w:sz="0" w:space="0" w:color="auto"/>
            <w:left w:val="none" w:sz="0" w:space="0" w:color="auto"/>
            <w:bottom w:val="none" w:sz="0" w:space="0" w:color="auto"/>
            <w:right w:val="none" w:sz="0" w:space="0" w:color="auto"/>
          </w:divBdr>
        </w:div>
        <w:div w:id="353460436">
          <w:marLeft w:val="0"/>
          <w:marRight w:val="0"/>
          <w:marTop w:val="0"/>
          <w:marBottom w:val="0"/>
          <w:divBdr>
            <w:top w:val="none" w:sz="0" w:space="0" w:color="auto"/>
            <w:left w:val="none" w:sz="0" w:space="0" w:color="auto"/>
            <w:bottom w:val="none" w:sz="0" w:space="0" w:color="auto"/>
            <w:right w:val="none" w:sz="0" w:space="0" w:color="auto"/>
          </w:divBdr>
        </w:div>
        <w:div w:id="952320970">
          <w:marLeft w:val="0"/>
          <w:marRight w:val="0"/>
          <w:marTop w:val="0"/>
          <w:marBottom w:val="0"/>
          <w:divBdr>
            <w:top w:val="none" w:sz="0" w:space="0" w:color="auto"/>
            <w:left w:val="none" w:sz="0" w:space="0" w:color="auto"/>
            <w:bottom w:val="none" w:sz="0" w:space="0" w:color="auto"/>
            <w:right w:val="none" w:sz="0" w:space="0" w:color="auto"/>
          </w:divBdr>
        </w:div>
        <w:div w:id="784469569">
          <w:marLeft w:val="0"/>
          <w:marRight w:val="0"/>
          <w:marTop w:val="0"/>
          <w:marBottom w:val="0"/>
          <w:divBdr>
            <w:top w:val="none" w:sz="0" w:space="0" w:color="auto"/>
            <w:left w:val="none" w:sz="0" w:space="0" w:color="auto"/>
            <w:bottom w:val="none" w:sz="0" w:space="0" w:color="auto"/>
            <w:right w:val="none" w:sz="0" w:space="0" w:color="auto"/>
          </w:divBdr>
        </w:div>
        <w:div w:id="1535577312">
          <w:marLeft w:val="0"/>
          <w:marRight w:val="0"/>
          <w:marTop w:val="0"/>
          <w:marBottom w:val="0"/>
          <w:divBdr>
            <w:top w:val="none" w:sz="0" w:space="0" w:color="auto"/>
            <w:left w:val="none" w:sz="0" w:space="0" w:color="auto"/>
            <w:bottom w:val="none" w:sz="0" w:space="0" w:color="auto"/>
            <w:right w:val="none" w:sz="0" w:space="0" w:color="auto"/>
          </w:divBdr>
        </w:div>
        <w:div w:id="2030830458">
          <w:marLeft w:val="0"/>
          <w:marRight w:val="0"/>
          <w:marTop w:val="0"/>
          <w:marBottom w:val="0"/>
          <w:divBdr>
            <w:top w:val="none" w:sz="0" w:space="0" w:color="auto"/>
            <w:left w:val="none" w:sz="0" w:space="0" w:color="auto"/>
            <w:bottom w:val="none" w:sz="0" w:space="0" w:color="auto"/>
            <w:right w:val="none" w:sz="0" w:space="0" w:color="auto"/>
          </w:divBdr>
        </w:div>
        <w:div w:id="2036147559">
          <w:marLeft w:val="0"/>
          <w:marRight w:val="0"/>
          <w:marTop w:val="0"/>
          <w:marBottom w:val="0"/>
          <w:divBdr>
            <w:top w:val="none" w:sz="0" w:space="0" w:color="auto"/>
            <w:left w:val="none" w:sz="0" w:space="0" w:color="auto"/>
            <w:bottom w:val="none" w:sz="0" w:space="0" w:color="auto"/>
            <w:right w:val="none" w:sz="0" w:space="0" w:color="auto"/>
          </w:divBdr>
        </w:div>
        <w:div w:id="1897352344">
          <w:marLeft w:val="0"/>
          <w:marRight w:val="0"/>
          <w:marTop w:val="0"/>
          <w:marBottom w:val="0"/>
          <w:divBdr>
            <w:top w:val="none" w:sz="0" w:space="0" w:color="auto"/>
            <w:left w:val="none" w:sz="0" w:space="0" w:color="auto"/>
            <w:bottom w:val="none" w:sz="0" w:space="0" w:color="auto"/>
            <w:right w:val="none" w:sz="0" w:space="0" w:color="auto"/>
          </w:divBdr>
        </w:div>
        <w:div w:id="179776771">
          <w:marLeft w:val="0"/>
          <w:marRight w:val="0"/>
          <w:marTop w:val="0"/>
          <w:marBottom w:val="0"/>
          <w:divBdr>
            <w:top w:val="none" w:sz="0" w:space="0" w:color="auto"/>
            <w:left w:val="none" w:sz="0" w:space="0" w:color="auto"/>
            <w:bottom w:val="none" w:sz="0" w:space="0" w:color="auto"/>
            <w:right w:val="none" w:sz="0" w:space="0" w:color="auto"/>
          </w:divBdr>
        </w:div>
        <w:div w:id="1688673182">
          <w:marLeft w:val="0"/>
          <w:marRight w:val="0"/>
          <w:marTop w:val="0"/>
          <w:marBottom w:val="0"/>
          <w:divBdr>
            <w:top w:val="none" w:sz="0" w:space="0" w:color="auto"/>
            <w:left w:val="none" w:sz="0" w:space="0" w:color="auto"/>
            <w:bottom w:val="none" w:sz="0" w:space="0" w:color="auto"/>
            <w:right w:val="none" w:sz="0" w:space="0" w:color="auto"/>
          </w:divBdr>
        </w:div>
        <w:div w:id="146824605">
          <w:marLeft w:val="0"/>
          <w:marRight w:val="0"/>
          <w:marTop w:val="0"/>
          <w:marBottom w:val="0"/>
          <w:divBdr>
            <w:top w:val="none" w:sz="0" w:space="0" w:color="auto"/>
            <w:left w:val="none" w:sz="0" w:space="0" w:color="auto"/>
            <w:bottom w:val="none" w:sz="0" w:space="0" w:color="auto"/>
            <w:right w:val="none" w:sz="0" w:space="0" w:color="auto"/>
          </w:divBdr>
        </w:div>
        <w:div w:id="33233217">
          <w:marLeft w:val="0"/>
          <w:marRight w:val="0"/>
          <w:marTop w:val="0"/>
          <w:marBottom w:val="0"/>
          <w:divBdr>
            <w:top w:val="none" w:sz="0" w:space="0" w:color="auto"/>
            <w:left w:val="none" w:sz="0" w:space="0" w:color="auto"/>
            <w:bottom w:val="none" w:sz="0" w:space="0" w:color="auto"/>
            <w:right w:val="none" w:sz="0" w:space="0" w:color="auto"/>
          </w:divBdr>
        </w:div>
        <w:div w:id="1919248881">
          <w:marLeft w:val="0"/>
          <w:marRight w:val="0"/>
          <w:marTop w:val="0"/>
          <w:marBottom w:val="0"/>
          <w:divBdr>
            <w:top w:val="none" w:sz="0" w:space="0" w:color="auto"/>
            <w:left w:val="none" w:sz="0" w:space="0" w:color="auto"/>
            <w:bottom w:val="none" w:sz="0" w:space="0" w:color="auto"/>
            <w:right w:val="none" w:sz="0" w:space="0" w:color="auto"/>
          </w:divBdr>
        </w:div>
        <w:div w:id="1598707029">
          <w:marLeft w:val="0"/>
          <w:marRight w:val="0"/>
          <w:marTop w:val="0"/>
          <w:marBottom w:val="0"/>
          <w:divBdr>
            <w:top w:val="none" w:sz="0" w:space="0" w:color="auto"/>
            <w:left w:val="none" w:sz="0" w:space="0" w:color="auto"/>
            <w:bottom w:val="none" w:sz="0" w:space="0" w:color="auto"/>
            <w:right w:val="none" w:sz="0" w:space="0" w:color="auto"/>
          </w:divBdr>
        </w:div>
        <w:div w:id="810513357">
          <w:marLeft w:val="0"/>
          <w:marRight w:val="0"/>
          <w:marTop w:val="0"/>
          <w:marBottom w:val="0"/>
          <w:divBdr>
            <w:top w:val="none" w:sz="0" w:space="0" w:color="auto"/>
            <w:left w:val="none" w:sz="0" w:space="0" w:color="auto"/>
            <w:bottom w:val="none" w:sz="0" w:space="0" w:color="auto"/>
            <w:right w:val="none" w:sz="0" w:space="0" w:color="auto"/>
          </w:divBdr>
        </w:div>
        <w:div w:id="491600152">
          <w:marLeft w:val="0"/>
          <w:marRight w:val="0"/>
          <w:marTop w:val="0"/>
          <w:marBottom w:val="0"/>
          <w:divBdr>
            <w:top w:val="none" w:sz="0" w:space="0" w:color="auto"/>
            <w:left w:val="none" w:sz="0" w:space="0" w:color="auto"/>
            <w:bottom w:val="none" w:sz="0" w:space="0" w:color="auto"/>
            <w:right w:val="none" w:sz="0" w:space="0" w:color="auto"/>
          </w:divBdr>
        </w:div>
        <w:div w:id="1553343900">
          <w:marLeft w:val="0"/>
          <w:marRight w:val="0"/>
          <w:marTop w:val="0"/>
          <w:marBottom w:val="0"/>
          <w:divBdr>
            <w:top w:val="none" w:sz="0" w:space="0" w:color="auto"/>
            <w:left w:val="none" w:sz="0" w:space="0" w:color="auto"/>
            <w:bottom w:val="none" w:sz="0" w:space="0" w:color="auto"/>
            <w:right w:val="none" w:sz="0" w:space="0" w:color="auto"/>
          </w:divBdr>
        </w:div>
      </w:divsChild>
    </w:div>
    <w:div w:id="2102334274">
      <w:bodyDiv w:val="1"/>
      <w:marLeft w:val="0"/>
      <w:marRight w:val="0"/>
      <w:marTop w:val="0"/>
      <w:marBottom w:val="0"/>
      <w:divBdr>
        <w:top w:val="none" w:sz="0" w:space="0" w:color="auto"/>
        <w:left w:val="none" w:sz="0" w:space="0" w:color="auto"/>
        <w:bottom w:val="none" w:sz="0" w:space="0" w:color="auto"/>
        <w:right w:val="none" w:sz="0" w:space="0" w:color="auto"/>
      </w:divBdr>
    </w:div>
    <w:div w:id="2120099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owtsd-my.sharepoint.com/personal/lhavro_147450_student_uwtsd_ac_uk/Documents/environmental%20law%20assignment.docx"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uowtsd-my.sharepoint.com/personal/lhavro_147450_student_uwtsd_ac_uk/Documents/environmental%20law%20assignment.docx"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lhavro_147450_student_uwtsd_ac_uk/Documents/environmental%20law%20assignment.docx"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eader" Target="header3.xml"/><Relationship Id="rId10" Type="http://schemas.openxmlformats.org/officeDocument/2006/relationships/hyperlink" Target="https://uowtsd-my.sharepoint.com/personal/lhavro_147450_student_uwtsd_ac_uk/Documents/environmental%20law%20assignment.docx"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https://uowtsd-my.sharepoint.com/personal/lhavro_147450_student_uwtsd_ac_uk/Documents/environmental%20law%20assignment.docx" TargetMode="External"/><Relationship Id="rId14" Type="http://schemas.openxmlformats.org/officeDocument/2006/relationships/header" Target="head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900F53-6FFD-4825-9A71-882C37B08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16551</Words>
  <Characters>94347</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Environmental Law in a post-Brexit legislative climate</vt:lpstr>
    </vt:vector>
  </TitlesOfParts>
  <Company/>
  <LinksUpToDate>false</LinksUpToDate>
  <CharactersWithSpaces>110677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Law in a post-Brexit legislative climate</dc:title>
  <dc:subject>A paradigm shift for renewables?</dc:subject>
  <dc:creator>Lars Ivar Nitter Havro</dc:creator>
  <cp:keywords/>
  <dc:description/>
  <cp:lastModifiedBy>Lars Havro (P147450)</cp:lastModifiedBy>
  <cp:revision>2</cp:revision>
  <dcterms:created xsi:type="dcterms:W3CDTF">2017-12-15T15:58:00Z</dcterms:created>
  <dcterms:modified xsi:type="dcterms:W3CDTF">2017-12-15T15:58:00Z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http://www.zotero.org/styles/harvard-university-of-the-west-of-england</vt:lpwstr>
  </property>
  <property fmtid="{D5CDD505-2E9C-101B-9397-08002B2CF9AE}" pid="21" name="Mendeley Recent Style Name 9_1">
    <vt:lpwstr>University of the West of England (Bristol) - Harvard</vt:lpwstr>
  </property>
  <property fmtid="{D5CDD505-2E9C-101B-9397-08002B2CF9AE}" pid="22" name="Mendeley Document_1">
    <vt:lpwstr>True</vt:lpwstr>
  </property>
  <property fmtid="{D5CDD505-2E9C-101B-9397-08002B2CF9AE}" pid="23" name="Mendeley Unique User Id_1">
    <vt:lpwstr>313edb9d-e2ec-38c9-a121-3e3e58e1d13b</vt:lpwstr>
  </property>
  <property fmtid="{D5CDD505-2E9C-101B-9397-08002B2CF9AE}" pid="24" name="Mendeley Citation Style_1">
    <vt:lpwstr>http://www.zotero.org/styles/harvard-university-of-the-west-of-england</vt:lpwstr>
  </property>
</Properties>
</file>