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0C992" w14:textId="77777777" w:rsidR="00E821B3" w:rsidRPr="00E821B3" w:rsidRDefault="00E821B3" w:rsidP="00387E72">
      <w:pPr>
        <w:spacing w:after="120" w:line="480" w:lineRule="auto"/>
        <w:jc w:val="center"/>
        <w:rPr>
          <w:rFonts w:ascii="Times New Roman" w:hAnsi="Times New Roman" w:cs="Times New Roman"/>
          <w:b/>
          <w:bCs/>
          <w:color w:val="auto"/>
          <w:sz w:val="32"/>
          <w:szCs w:val="32"/>
          <w:lang w:val="en-IN"/>
        </w:rPr>
      </w:pPr>
      <w:r w:rsidRPr="00E821B3">
        <w:rPr>
          <w:rFonts w:ascii="Times New Roman" w:hAnsi="Times New Roman" w:cs="Times New Roman"/>
          <w:b/>
          <w:bCs/>
          <w:color w:val="auto"/>
          <w:sz w:val="32"/>
          <w:szCs w:val="32"/>
          <w:lang w:val="en-IN"/>
        </w:rPr>
        <w:drawing>
          <wp:inline distT="0" distB="0" distL="0" distR="0" wp14:anchorId="3603063D" wp14:editId="2D132EB3">
            <wp:extent cx="2485390" cy="935355"/>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537772" cy="954997"/>
                    </a:xfrm>
                    <a:prstGeom prst="rect">
                      <a:avLst/>
                    </a:prstGeom>
                    <a:noFill/>
                    <a:ln>
                      <a:noFill/>
                    </a:ln>
                  </pic:spPr>
                </pic:pic>
              </a:graphicData>
            </a:graphic>
          </wp:inline>
        </w:drawing>
      </w:r>
    </w:p>
    <w:p w14:paraId="4A11B9F5" w14:textId="77777777" w:rsidR="00E821B3" w:rsidRPr="00E821B3" w:rsidRDefault="00E821B3" w:rsidP="00387E72">
      <w:pPr>
        <w:spacing w:after="120" w:line="480" w:lineRule="auto"/>
        <w:jc w:val="center"/>
        <w:rPr>
          <w:rFonts w:ascii="Times New Roman" w:hAnsi="Times New Roman" w:cs="Times New Roman"/>
          <w:b/>
          <w:bCs/>
          <w:color w:val="auto"/>
          <w:sz w:val="32"/>
          <w:szCs w:val="32"/>
          <w:lang w:val="en-IN"/>
        </w:rPr>
      </w:pPr>
    </w:p>
    <w:p w14:paraId="2517D6A1" w14:textId="77777777" w:rsidR="00E821B3" w:rsidRPr="00E821B3" w:rsidRDefault="00E821B3" w:rsidP="00387E72">
      <w:pPr>
        <w:spacing w:after="120" w:line="480" w:lineRule="auto"/>
        <w:jc w:val="center"/>
        <w:rPr>
          <w:rFonts w:ascii="Times New Roman" w:hAnsi="Times New Roman" w:cs="Times New Roman"/>
          <w:b/>
          <w:bCs/>
          <w:color w:val="auto"/>
          <w:sz w:val="32"/>
          <w:szCs w:val="32"/>
          <w:lang w:val="en-IN"/>
        </w:rPr>
      </w:pPr>
    </w:p>
    <w:p w14:paraId="105FAFE9" w14:textId="77777777" w:rsidR="00E821B3" w:rsidRPr="00F0140E" w:rsidRDefault="00E821B3" w:rsidP="00387E72">
      <w:pPr>
        <w:spacing w:after="120" w:line="480" w:lineRule="auto"/>
        <w:jc w:val="center"/>
        <w:rPr>
          <w:rFonts w:ascii="Times New Roman" w:hAnsi="Times New Roman" w:cs="Times New Roman"/>
          <w:color w:val="auto"/>
          <w:sz w:val="28"/>
          <w:szCs w:val="28"/>
        </w:rPr>
      </w:pPr>
      <w:r w:rsidRPr="00F0140E">
        <w:rPr>
          <w:rFonts w:ascii="Times New Roman" w:hAnsi="Times New Roman" w:cs="Times New Roman"/>
          <w:b/>
          <w:bCs/>
          <w:color w:val="auto"/>
          <w:sz w:val="28"/>
          <w:szCs w:val="28"/>
        </w:rPr>
        <w:t>University of Wales Trinity Saint David</w:t>
      </w:r>
    </w:p>
    <w:p w14:paraId="41EC3C36" w14:textId="77777777" w:rsidR="00E821B3" w:rsidRPr="00F0140E" w:rsidRDefault="00E821B3" w:rsidP="00387E72">
      <w:pPr>
        <w:spacing w:after="120" w:line="480" w:lineRule="auto"/>
        <w:jc w:val="center"/>
        <w:rPr>
          <w:rFonts w:ascii="Times New Roman" w:hAnsi="Times New Roman" w:cs="Times New Roman"/>
          <w:color w:val="auto"/>
          <w:sz w:val="28"/>
          <w:szCs w:val="28"/>
        </w:rPr>
      </w:pPr>
      <w:r w:rsidRPr="00F0140E">
        <w:rPr>
          <w:rFonts w:ascii="Times New Roman" w:hAnsi="Times New Roman" w:cs="Times New Roman"/>
          <w:b/>
          <w:bCs/>
          <w:color w:val="auto"/>
          <w:sz w:val="28"/>
          <w:szCs w:val="28"/>
        </w:rPr>
        <w:t>MBA Business Research | BMMB7028</w:t>
      </w:r>
    </w:p>
    <w:p w14:paraId="545402FA" w14:textId="77777777" w:rsidR="00E821B3" w:rsidRPr="00E821B3" w:rsidRDefault="00E821B3" w:rsidP="00387E72">
      <w:pPr>
        <w:spacing w:after="120" w:line="480" w:lineRule="auto"/>
        <w:jc w:val="center"/>
        <w:rPr>
          <w:rFonts w:ascii="Times New Roman" w:hAnsi="Times New Roman" w:cs="Times New Roman"/>
          <w:b/>
          <w:bCs/>
          <w:color w:val="auto"/>
          <w:sz w:val="28"/>
          <w:szCs w:val="28"/>
          <w:lang w:val="en-IN"/>
        </w:rPr>
      </w:pPr>
      <w:r w:rsidRPr="00E821B3">
        <w:rPr>
          <w:rFonts w:ascii="Times New Roman" w:hAnsi="Times New Roman" w:cs="Times New Roman"/>
          <w:b/>
          <w:bCs/>
          <w:color w:val="auto"/>
          <w:sz w:val="28"/>
          <w:szCs w:val="28"/>
          <w:lang w:val="en-IN"/>
        </w:rPr>
        <w:t>Research Proposal Report</w:t>
      </w:r>
    </w:p>
    <w:p w14:paraId="3A7B890D" w14:textId="77777777" w:rsidR="006C64F5" w:rsidRPr="00F0140E" w:rsidRDefault="006C64F5" w:rsidP="00387E72">
      <w:pPr>
        <w:spacing w:after="120" w:line="480" w:lineRule="auto"/>
        <w:jc w:val="center"/>
        <w:rPr>
          <w:rFonts w:ascii="Times New Roman" w:hAnsi="Times New Roman" w:cs="Times New Roman"/>
          <w:color w:val="auto"/>
          <w:sz w:val="28"/>
          <w:szCs w:val="28"/>
        </w:rPr>
      </w:pPr>
    </w:p>
    <w:p w14:paraId="304588F2" w14:textId="77777777" w:rsidR="006C64F5" w:rsidRPr="00F0140E" w:rsidRDefault="00000000" w:rsidP="00387E72">
      <w:pPr>
        <w:spacing w:after="120" w:line="480" w:lineRule="auto"/>
        <w:jc w:val="center"/>
        <w:rPr>
          <w:rFonts w:ascii="Times New Roman" w:hAnsi="Times New Roman" w:cs="Times New Roman"/>
          <w:i/>
          <w:iCs/>
          <w:color w:val="0B769F" w:themeColor="accent4" w:themeShade="BF"/>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140E">
        <w:rPr>
          <w:rFonts w:ascii="Times New Roman" w:hAnsi="Times New Roman" w:cs="Times New Roman"/>
          <w:bCs/>
          <w:i/>
          <w:iCs/>
          <w:color w:val="0B769F" w:themeColor="accent4" w:themeShade="BF"/>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Formal Training and Development Programmes on Employee Motivation: A Quantitative Investigation of Staff in the UK Hospitality Industry</w:t>
      </w:r>
    </w:p>
    <w:p w14:paraId="45601FB9" w14:textId="0D638F3D" w:rsidR="00E821B3" w:rsidRPr="00F0140E" w:rsidRDefault="00E821B3" w:rsidP="00387E72">
      <w:pPr>
        <w:tabs>
          <w:tab w:val="left" w:pos="3618"/>
        </w:tabs>
        <w:spacing w:after="120" w:line="480" w:lineRule="auto"/>
        <w:ind w:left="113"/>
        <w:jc w:val="center"/>
        <w:rPr>
          <w:rFonts w:ascii="Times New Roman" w:hAnsi="Times New Roman" w:cs="Times New Roman"/>
          <w:color w:val="auto"/>
          <w:sz w:val="28"/>
          <w:szCs w:val="28"/>
        </w:rPr>
      </w:pPr>
      <w:r w:rsidRPr="00F0140E">
        <w:rPr>
          <w:rFonts w:ascii="Times New Roman" w:hAnsi="Times New Roman" w:cs="Times New Roman"/>
          <w:b/>
          <w:bCs/>
          <w:color w:val="auto"/>
          <w:sz w:val="28"/>
          <w:szCs w:val="28"/>
        </w:rPr>
        <w:t xml:space="preserve">Student Name: </w:t>
      </w:r>
      <w:r w:rsidR="00356779" w:rsidRPr="00F0140E">
        <w:rPr>
          <w:rFonts w:ascii="Times New Roman" w:hAnsi="Times New Roman" w:cs="Times New Roman"/>
          <w:color w:val="auto"/>
          <w:sz w:val="28"/>
          <w:szCs w:val="28"/>
        </w:rPr>
        <w:t>Ahsanul Haque</w:t>
      </w:r>
    </w:p>
    <w:p w14:paraId="1C0476DA" w14:textId="002F3805" w:rsidR="006C64F5" w:rsidRPr="00F0140E" w:rsidRDefault="00E821B3" w:rsidP="00387E72">
      <w:pPr>
        <w:tabs>
          <w:tab w:val="left" w:pos="3618"/>
        </w:tabs>
        <w:spacing w:after="120" w:line="480" w:lineRule="auto"/>
        <w:ind w:left="113"/>
        <w:jc w:val="center"/>
        <w:rPr>
          <w:rFonts w:ascii="Times New Roman" w:hAnsi="Times New Roman" w:cs="Times New Roman"/>
        </w:rPr>
      </w:pPr>
      <w:r w:rsidRPr="00F0140E">
        <w:rPr>
          <w:rFonts w:ascii="Times New Roman" w:hAnsi="Times New Roman" w:cs="Times New Roman"/>
          <w:b/>
          <w:bCs/>
          <w:color w:val="auto"/>
          <w:sz w:val="28"/>
          <w:szCs w:val="28"/>
        </w:rPr>
        <w:t>Student ID Number:</w:t>
      </w:r>
      <w:r w:rsidRPr="00F0140E">
        <w:rPr>
          <w:rFonts w:ascii="Times New Roman" w:hAnsi="Times New Roman" w:cs="Times New Roman"/>
          <w:color w:val="auto"/>
          <w:sz w:val="28"/>
          <w:szCs w:val="28"/>
        </w:rPr>
        <w:t xml:space="preserve"> </w:t>
      </w:r>
      <w:r w:rsidR="00356779" w:rsidRPr="00F0140E">
        <w:rPr>
          <w:rFonts w:ascii="Times New Roman" w:hAnsi="Times New Roman" w:cs="Times New Roman"/>
          <w:color w:val="auto"/>
          <w:sz w:val="28"/>
          <w:szCs w:val="28"/>
        </w:rPr>
        <w:t>2513203</w:t>
      </w:r>
      <w:r w:rsidR="00000000" w:rsidRPr="00F0140E">
        <w:rPr>
          <w:rFonts w:ascii="Times New Roman" w:hAnsi="Times New Roman" w:cs="Times New Roman"/>
        </w:rPr>
        <w:br w:type="page"/>
      </w:r>
    </w:p>
    <w:p w14:paraId="725053F9" w14:textId="77777777" w:rsidR="006C64F5" w:rsidRPr="00F0140E" w:rsidRDefault="00000000" w:rsidP="00387E72">
      <w:pPr>
        <w:pStyle w:val="Heading1"/>
        <w:pBdr>
          <w:bottom w:val="single" w:sz="8" w:space="4" w:color="2E75B6"/>
        </w:pBdr>
        <w:spacing w:before="0" w:after="120"/>
        <w:jc w:val="both"/>
        <w:rPr>
          <w:rFonts w:ascii="Times New Roman" w:hAnsi="Times New Roman" w:cs="Times New Roman"/>
        </w:rPr>
      </w:pPr>
      <w:bookmarkStart w:id="0" w:name="_Toc225816465"/>
      <w:r w:rsidRPr="00F0140E">
        <w:rPr>
          <w:rFonts w:ascii="Times New Roman" w:hAnsi="Times New Roman" w:cs="Times New Roman"/>
        </w:rPr>
        <w:lastRenderedPageBreak/>
        <w:t>Abstract</w:t>
      </w:r>
      <w:bookmarkEnd w:id="0"/>
    </w:p>
    <w:p w14:paraId="0EB25BF0" w14:textId="301F7918" w:rsidR="006C64F5" w:rsidRPr="00F0140E" w:rsidRDefault="00F0140E" w:rsidP="00387E72">
      <w:pPr>
        <w:spacing w:after="120" w:line="480" w:lineRule="auto"/>
        <w:jc w:val="both"/>
        <w:rPr>
          <w:rFonts w:ascii="Times New Roman" w:hAnsi="Times New Roman" w:cs="Times New Roman"/>
        </w:rPr>
      </w:pPr>
      <w:r w:rsidRPr="00F0140E">
        <w:rPr>
          <w:rFonts w:ascii="Times New Roman" w:hAnsi="Times New Roman" w:cs="Times New Roman"/>
        </w:rPr>
        <w:t>The long history of inadequate investment in structured training and development (T&amp;D) across the UK hospitality sector has been intensified by the post-Brexit labour crunch in recent years</w:t>
      </w:r>
      <w:r w:rsidRPr="00F0140E">
        <w:rPr>
          <w:rFonts w:ascii="Times New Roman" w:hAnsi="Times New Roman" w:cs="Times New Roman"/>
        </w:rPr>
        <w:t>, and this problem remains unsolved and under-researched</w:t>
      </w:r>
      <w:r w:rsidRPr="00F0140E">
        <w:rPr>
          <w:rFonts w:ascii="Times New Roman" w:hAnsi="Times New Roman" w:cs="Times New Roman"/>
        </w:rPr>
        <w:t xml:space="preserve">: </w:t>
      </w:r>
      <w:r w:rsidRPr="00F0140E">
        <w:rPr>
          <w:rFonts w:ascii="Times New Roman" w:hAnsi="Times New Roman" w:cs="Times New Roman"/>
        </w:rPr>
        <w:t>do</w:t>
      </w:r>
      <w:r w:rsidRPr="00F0140E">
        <w:rPr>
          <w:rFonts w:ascii="Times New Roman" w:hAnsi="Times New Roman" w:cs="Times New Roman"/>
        </w:rPr>
        <w:t xml:space="preserve"> formal T&amp;D programmes have any significant impact on employee motivation? The suggested paper will investigate the relationship between two types of motivation, i.e. intrinsic and extrinsic motivation, and formal attendance of T&amp;D programme, concerning the case of the front-line workers employed in the hotel chains and restaurant groupings within the UK. Job satisfaction will be a mediating variable that might influence this relationship. The study will be based on Self-Determination Theory (Deci and Ryan, 2017), and it will be based on a quantitative method based on the positivist epistemology and a deductive design. A structured Likert-scale questionnaire will be given to about 200 frontline hospitality workers who will be recruited under purposive convenience sampling</w:t>
      </w:r>
      <w:r w:rsidRPr="00F0140E">
        <w:rPr>
          <w:rFonts w:ascii="Times New Roman" w:hAnsi="Times New Roman" w:cs="Times New Roman"/>
        </w:rPr>
        <w:t xml:space="preserve">, and the data will be analysed sequentially through the IBM SPSS Statistics using descriptive statistics, Pearson correlation and multiple linear regression analysis, including a </w:t>
      </w:r>
      <w:r w:rsidRPr="00F0140E">
        <w:rPr>
          <w:rFonts w:ascii="Times New Roman" w:hAnsi="Times New Roman" w:cs="Times New Roman"/>
        </w:rPr>
        <w:t>mediation test. There will be three directional hypotheses. The findings are also anticipated to yield sector-sensitive, quantitative data that will bridge a gap in research on motivation in the UK hospitality industry and will be applicable in informing HR practitioners and industry bodies to make evidence-based training investment decisions in a post-Brexit labour market.</w:t>
      </w:r>
      <w:r w:rsidRPr="00F0140E">
        <w:rPr>
          <w:rFonts w:ascii="Times New Roman" w:hAnsi="Times New Roman" w:cs="Times New Roman"/>
        </w:rPr>
        <w:t xml:space="preserve"> </w:t>
      </w:r>
    </w:p>
    <w:p w14:paraId="6B7DCFFD"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rPr>
        <w:br w:type="page"/>
      </w:r>
    </w:p>
    <w:sdt>
      <w:sdtPr>
        <w:id w:val="-585069608"/>
        <w:docPartObj>
          <w:docPartGallery w:val="Table of Contents"/>
          <w:docPartUnique/>
        </w:docPartObj>
      </w:sdtPr>
      <w:sdtEndPr>
        <w:rPr>
          <w:rFonts w:ascii="Arial" w:eastAsia="Arial" w:hAnsi="Arial" w:cs="Arial"/>
          <w:b/>
          <w:bCs/>
          <w:noProof/>
          <w:color w:val="000000"/>
          <w:sz w:val="24"/>
          <w:szCs w:val="24"/>
        </w:rPr>
      </w:sdtEndPr>
      <w:sdtContent>
        <w:p w14:paraId="0CA65844" w14:textId="6D6248D4" w:rsidR="009A330B" w:rsidRPr="009A330B" w:rsidRDefault="009A330B" w:rsidP="009A330B">
          <w:pPr>
            <w:pStyle w:val="TOCHeading"/>
            <w:spacing w:line="480" w:lineRule="auto"/>
            <w:rPr>
              <w:rFonts w:ascii="Times New Roman" w:hAnsi="Times New Roman" w:cs="Times New Roman"/>
              <w:sz w:val="24"/>
              <w:szCs w:val="24"/>
            </w:rPr>
          </w:pPr>
          <w:r w:rsidRPr="009A330B">
            <w:rPr>
              <w:rFonts w:ascii="Times New Roman" w:hAnsi="Times New Roman" w:cs="Times New Roman"/>
              <w:sz w:val="24"/>
              <w:szCs w:val="24"/>
            </w:rPr>
            <w:t>Table of Contents</w:t>
          </w:r>
        </w:p>
        <w:p w14:paraId="2294DE24" w14:textId="5947B415" w:rsidR="009A330B" w:rsidRPr="009A330B" w:rsidRDefault="009A330B" w:rsidP="009A330B">
          <w:pPr>
            <w:pStyle w:val="TOC1"/>
            <w:tabs>
              <w:tab w:val="right" w:leader="dot" w:pos="9016"/>
            </w:tabs>
            <w:spacing w:line="480" w:lineRule="auto"/>
            <w:rPr>
              <w:rFonts w:ascii="Times New Roman" w:hAnsi="Times New Roman" w:cs="Times New Roman"/>
              <w:noProof/>
            </w:rPr>
          </w:pPr>
          <w:r w:rsidRPr="009A330B">
            <w:rPr>
              <w:rFonts w:ascii="Times New Roman" w:hAnsi="Times New Roman" w:cs="Times New Roman"/>
            </w:rPr>
            <w:fldChar w:fldCharType="begin"/>
          </w:r>
          <w:r w:rsidRPr="009A330B">
            <w:rPr>
              <w:rFonts w:ascii="Times New Roman" w:hAnsi="Times New Roman" w:cs="Times New Roman"/>
            </w:rPr>
            <w:instrText xml:space="preserve"> TOC \o "1-3" \h \z \u </w:instrText>
          </w:r>
          <w:r w:rsidRPr="009A330B">
            <w:rPr>
              <w:rFonts w:ascii="Times New Roman" w:hAnsi="Times New Roman" w:cs="Times New Roman"/>
            </w:rPr>
            <w:fldChar w:fldCharType="separate"/>
          </w:r>
          <w:hyperlink w:anchor="_Toc225816465" w:history="1">
            <w:r w:rsidRPr="009A330B">
              <w:rPr>
                <w:rStyle w:val="Hyperlink"/>
                <w:rFonts w:ascii="Times New Roman" w:hAnsi="Times New Roman" w:cs="Times New Roman"/>
                <w:noProof/>
              </w:rPr>
              <w:t>Abstract</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_Toc225816465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2</w:t>
            </w:r>
            <w:r w:rsidRPr="009A330B">
              <w:rPr>
                <w:rFonts w:ascii="Times New Roman" w:hAnsi="Times New Roman" w:cs="Times New Roman"/>
                <w:noProof/>
                <w:webHidden/>
              </w:rPr>
              <w:fldChar w:fldCharType="end"/>
            </w:r>
          </w:hyperlink>
        </w:p>
        <w:p w14:paraId="441AD063" w14:textId="24ED44C9" w:rsidR="009A330B" w:rsidRPr="009A330B" w:rsidRDefault="009A330B" w:rsidP="009A330B">
          <w:pPr>
            <w:pStyle w:val="TOC1"/>
            <w:tabs>
              <w:tab w:val="right" w:leader="dot" w:pos="9016"/>
            </w:tabs>
            <w:spacing w:line="480" w:lineRule="auto"/>
            <w:rPr>
              <w:rFonts w:ascii="Times New Roman" w:hAnsi="Times New Roman" w:cs="Times New Roman"/>
              <w:noProof/>
            </w:rPr>
          </w:pPr>
          <w:hyperlink w:anchor="_Toc225816466" w:history="1">
            <w:r w:rsidRPr="009A330B">
              <w:rPr>
                <w:rStyle w:val="Hyperlink"/>
                <w:rFonts w:ascii="Times New Roman" w:hAnsi="Times New Roman" w:cs="Times New Roman"/>
                <w:noProof/>
              </w:rPr>
              <w:t>1.0  Introduction</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_Toc225816466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5</w:t>
            </w:r>
            <w:r w:rsidRPr="009A330B">
              <w:rPr>
                <w:rFonts w:ascii="Times New Roman" w:hAnsi="Times New Roman" w:cs="Times New Roman"/>
                <w:noProof/>
                <w:webHidden/>
              </w:rPr>
              <w:fldChar w:fldCharType="end"/>
            </w:r>
          </w:hyperlink>
        </w:p>
        <w:p w14:paraId="53B9407A" w14:textId="3CBFAC22"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67" w:history="1">
            <w:r w:rsidRPr="009A330B">
              <w:rPr>
                <w:rStyle w:val="Hyperlink"/>
                <w:rFonts w:ascii="Times New Roman" w:hAnsi="Times New Roman" w:cs="Times New Roman"/>
                <w:noProof/>
              </w:rPr>
              <w:t>1.1  Contextual Background</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_Toc225816467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5</w:t>
            </w:r>
            <w:r w:rsidRPr="009A330B">
              <w:rPr>
                <w:rFonts w:ascii="Times New Roman" w:hAnsi="Times New Roman" w:cs="Times New Roman"/>
                <w:noProof/>
                <w:webHidden/>
              </w:rPr>
              <w:fldChar w:fldCharType="end"/>
            </w:r>
          </w:hyperlink>
        </w:p>
        <w:p w14:paraId="04EB7259" w14:textId="22FF1F7A"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68" w:history="1">
            <w:r w:rsidRPr="009A330B">
              <w:rPr>
                <w:rStyle w:val="Hyperlink"/>
                <w:rFonts w:ascii="Times New Roman" w:hAnsi="Times New Roman" w:cs="Times New Roman"/>
                <w:noProof/>
              </w:rPr>
              <w:t>1.2  Statement of the Research Problem</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_Toc225816468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6</w:t>
            </w:r>
            <w:r w:rsidRPr="009A330B">
              <w:rPr>
                <w:rFonts w:ascii="Times New Roman" w:hAnsi="Times New Roman" w:cs="Times New Roman"/>
                <w:noProof/>
                <w:webHidden/>
              </w:rPr>
              <w:fldChar w:fldCharType="end"/>
            </w:r>
          </w:hyperlink>
        </w:p>
        <w:p w14:paraId="578E74A2" w14:textId="03CFAA90"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69" w:history="1">
            <w:r w:rsidRPr="009A330B">
              <w:rPr>
                <w:rStyle w:val="Hyperlink"/>
                <w:rFonts w:ascii="Times New Roman" w:hAnsi="Times New Roman" w:cs="Times New Roman"/>
                <w:noProof/>
              </w:rPr>
              <w:t>1.3  Significance of the Research</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_Toc225816469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7</w:t>
            </w:r>
            <w:r w:rsidRPr="009A330B">
              <w:rPr>
                <w:rFonts w:ascii="Times New Roman" w:hAnsi="Times New Roman" w:cs="Times New Roman"/>
                <w:noProof/>
                <w:webHidden/>
              </w:rPr>
              <w:fldChar w:fldCharType="end"/>
            </w:r>
          </w:hyperlink>
        </w:p>
        <w:p w14:paraId="0F1D3C74" w14:textId="2F9AF45F"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70" w:history="1">
            <w:r w:rsidRPr="009A330B">
              <w:rPr>
                <w:rStyle w:val="Hyperlink"/>
                <w:rFonts w:ascii="Times New Roman" w:hAnsi="Times New Roman" w:cs="Times New Roman"/>
                <w:noProof/>
              </w:rPr>
              <w:t>1.4  Definition of Key Terms</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_Toc225816470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7</w:t>
            </w:r>
            <w:r w:rsidRPr="009A330B">
              <w:rPr>
                <w:rFonts w:ascii="Times New Roman" w:hAnsi="Times New Roman" w:cs="Times New Roman"/>
                <w:noProof/>
                <w:webHidden/>
              </w:rPr>
              <w:fldChar w:fldCharType="end"/>
            </w:r>
          </w:hyperlink>
        </w:p>
        <w:p w14:paraId="6FA4DA32" w14:textId="4751566D"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71" w:history="1">
            <w:r w:rsidRPr="009A330B">
              <w:rPr>
                <w:rStyle w:val="Hyperlink"/>
                <w:rFonts w:ascii="Times New Roman" w:hAnsi="Times New Roman" w:cs="Times New Roman"/>
                <w:noProof/>
              </w:rPr>
              <w:t>1.5  Research Aim</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_Toc225816471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8</w:t>
            </w:r>
            <w:r w:rsidRPr="009A330B">
              <w:rPr>
                <w:rFonts w:ascii="Times New Roman" w:hAnsi="Times New Roman" w:cs="Times New Roman"/>
                <w:noProof/>
                <w:webHidden/>
              </w:rPr>
              <w:fldChar w:fldCharType="end"/>
            </w:r>
          </w:hyperlink>
        </w:p>
        <w:p w14:paraId="2253A8E0" w14:textId="7E6B3A99"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72" w:history="1">
            <w:r w:rsidRPr="009A330B">
              <w:rPr>
                <w:rStyle w:val="Hyperlink"/>
                <w:rFonts w:ascii="Times New Roman" w:hAnsi="Times New Roman" w:cs="Times New Roman"/>
                <w:noProof/>
              </w:rPr>
              <w:t>1.6  Research Objectives</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_Toc225816472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8</w:t>
            </w:r>
            <w:r w:rsidRPr="009A330B">
              <w:rPr>
                <w:rFonts w:ascii="Times New Roman" w:hAnsi="Times New Roman" w:cs="Times New Roman"/>
                <w:noProof/>
                <w:webHidden/>
              </w:rPr>
              <w:fldChar w:fldCharType="end"/>
            </w:r>
          </w:hyperlink>
        </w:p>
        <w:p w14:paraId="7E8264D3" w14:textId="7E6E5381"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73" w:history="1">
            <w:r w:rsidRPr="009A330B">
              <w:rPr>
                <w:rStyle w:val="Hyperlink"/>
                <w:rFonts w:ascii="Times New Roman" w:hAnsi="Times New Roman" w:cs="Times New Roman"/>
                <w:noProof/>
              </w:rPr>
              <w:t>1.7  Research Questions</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_Toc225816473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8</w:t>
            </w:r>
            <w:r w:rsidRPr="009A330B">
              <w:rPr>
                <w:rFonts w:ascii="Times New Roman" w:hAnsi="Times New Roman" w:cs="Times New Roman"/>
                <w:noProof/>
                <w:webHidden/>
              </w:rPr>
              <w:fldChar w:fldCharType="end"/>
            </w:r>
          </w:hyperlink>
        </w:p>
        <w:p w14:paraId="6B62EF7B" w14:textId="67132CC4" w:rsidR="009A330B" w:rsidRPr="009A330B" w:rsidRDefault="009A330B" w:rsidP="009A330B">
          <w:pPr>
            <w:pStyle w:val="TOC1"/>
            <w:tabs>
              <w:tab w:val="right" w:leader="dot" w:pos="9016"/>
            </w:tabs>
            <w:spacing w:line="480" w:lineRule="auto"/>
            <w:rPr>
              <w:rFonts w:ascii="Times New Roman" w:hAnsi="Times New Roman" w:cs="Times New Roman"/>
              <w:noProof/>
            </w:rPr>
          </w:pPr>
          <w:hyperlink w:anchor="_Toc225816474" w:history="1">
            <w:r w:rsidRPr="009A330B">
              <w:rPr>
                <w:rStyle w:val="Hyperlink"/>
                <w:rFonts w:ascii="Times New Roman" w:hAnsi="Times New Roman" w:cs="Times New Roman"/>
                <w:noProof/>
              </w:rPr>
              <w:t>2.0  Literature Review</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_Toc225816474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9</w:t>
            </w:r>
            <w:r w:rsidRPr="009A330B">
              <w:rPr>
                <w:rFonts w:ascii="Times New Roman" w:hAnsi="Times New Roman" w:cs="Times New Roman"/>
                <w:noProof/>
                <w:webHidden/>
              </w:rPr>
              <w:fldChar w:fldCharType="end"/>
            </w:r>
          </w:hyperlink>
        </w:p>
        <w:p w14:paraId="4D8A3333" w14:textId="2A75755D"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75" w:history="1">
            <w:r w:rsidRPr="009A330B">
              <w:rPr>
                <w:rStyle w:val="Hyperlink"/>
                <w:rFonts w:ascii="Times New Roman" w:hAnsi="Times New Roman" w:cs="Times New Roman"/>
                <w:noProof/>
              </w:rPr>
              <w:t>2.1  Theoretical and Conceptual Foundations</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_Toc225816475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9</w:t>
            </w:r>
            <w:r w:rsidRPr="009A330B">
              <w:rPr>
                <w:rFonts w:ascii="Times New Roman" w:hAnsi="Times New Roman" w:cs="Times New Roman"/>
                <w:noProof/>
                <w:webHidden/>
              </w:rPr>
              <w:fldChar w:fldCharType="end"/>
            </w:r>
          </w:hyperlink>
        </w:p>
        <w:p w14:paraId="49DB0C8F" w14:textId="445E642C"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76" w:history="1">
            <w:r w:rsidRPr="009A330B">
              <w:rPr>
                <w:rStyle w:val="Hyperlink"/>
                <w:rFonts w:ascii="Times New Roman" w:hAnsi="Times New Roman" w:cs="Times New Roman"/>
                <w:noProof/>
              </w:rPr>
              <w:t>2.2  Critical Review of Existing Empirical Research</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_Toc225816476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10</w:t>
            </w:r>
            <w:r w:rsidRPr="009A330B">
              <w:rPr>
                <w:rFonts w:ascii="Times New Roman" w:hAnsi="Times New Roman" w:cs="Times New Roman"/>
                <w:noProof/>
                <w:webHidden/>
              </w:rPr>
              <w:fldChar w:fldCharType="end"/>
            </w:r>
          </w:hyperlink>
        </w:p>
        <w:p w14:paraId="737DAC67" w14:textId="4B805D84"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77" w:history="1">
            <w:r w:rsidRPr="009A330B">
              <w:rPr>
                <w:rStyle w:val="Hyperlink"/>
                <w:rFonts w:ascii="Times New Roman" w:hAnsi="Times New Roman" w:cs="Times New Roman"/>
                <w:noProof/>
              </w:rPr>
              <w:t>2.3  Contextual Review: The UK Hospitality Sector</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_Toc225816477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13</w:t>
            </w:r>
            <w:r w:rsidRPr="009A330B">
              <w:rPr>
                <w:rFonts w:ascii="Times New Roman" w:hAnsi="Times New Roman" w:cs="Times New Roman"/>
                <w:noProof/>
                <w:webHidden/>
              </w:rPr>
              <w:fldChar w:fldCharType="end"/>
            </w:r>
          </w:hyperlink>
        </w:p>
        <w:p w14:paraId="374BDF2F" w14:textId="3FB3A485"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78" w:history="1">
            <w:r w:rsidRPr="009A330B">
              <w:rPr>
                <w:rStyle w:val="Hyperlink"/>
                <w:rFonts w:ascii="Times New Roman" w:hAnsi="Times New Roman" w:cs="Times New Roman"/>
                <w:noProof/>
              </w:rPr>
              <w:t>2.4 Identification of the Research Gap and Hypotheses</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_Toc225816478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14</w:t>
            </w:r>
            <w:r w:rsidRPr="009A330B">
              <w:rPr>
                <w:rFonts w:ascii="Times New Roman" w:hAnsi="Times New Roman" w:cs="Times New Roman"/>
                <w:noProof/>
                <w:webHidden/>
              </w:rPr>
              <w:fldChar w:fldCharType="end"/>
            </w:r>
          </w:hyperlink>
        </w:p>
        <w:p w14:paraId="74BDD9F9" w14:textId="51C013BD" w:rsidR="009A330B" w:rsidRPr="009A330B" w:rsidRDefault="009A330B" w:rsidP="009A330B">
          <w:pPr>
            <w:pStyle w:val="TOC1"/>
            <w:tabs>
              <w:tab w:val="right" w:leader="dot" w:pos="9016"/>
            </w:tabs>
            <w:spacing w:line="480" w:lineRule="auto"/>
            <w:rPr>
              <w:rFonts w:ascii="Times New Roman" w:hAnsi="Times New Roman" w:cs="Times New Roman"/>
              <w:noProof/>
            </w:rPr>
          </w:pPr>
          <w:hyperlink w:anchor="_Toc225816479" w:history="1">
            <w:r w:rsidRPr="009A330B">
              <w:rPr>
                <w:rStyle w:val="Hyperlink"/>
                <w:rFonts w:ascii="Times New Roman" w:hAnsi="Times New Roman" w:cs="Times New Roman"/>
                <w:noProof/>
              </w:rPr>
              <w:t>3.0  Research Methodology</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_Toc225816479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16</w:t>
            </w:r>
            <w:r w:rsidRPr="009A330B">
              <w:rPr>
                <w:rFonts w:ascii="Times New Roman" w:hAnsi="Times New Roman" w:cs="Times New Roman"/>
                <w:noProof/>
                <w:webHidden/>
              </w:rPr>
              <w:fldChar w:fldCharType="end"/>
            </w:r>
          </w:hyperlink>
        </w:p>
        <w:p w14:paraId="326025BC" w14:textId="438C437A"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0" w:history="1">
            <w:r w:rsidRPr="009A330B">
              <w:rPr>
                <w:rStyle w:val="Hyperlink"/>
                <w:rFonts w:ascii="Times New Roman" w:hAnsi="Times New Roman" w:cs="Times New Roman"/>
                <w:noProof/>
              </w:rPr>
              <w:t>3.1  Research Philosophy</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_Toc225816480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16</w:t>
            </w:r>
            <w:r w:rsidRPr="009A330B">
              <w:rPr>
                <w:rFonts w:ascii="Times New Roman" w:hAnsi="Times New Roman" w:cs="Times New Roman"/>
                <w:noProof/>
                <w:webHidden/>
              </w:rPr>
              <w:fldChar w:fldCharType="end"/>
            </w:r>
          </w:hyperlink>
        </w:p>
        <w:p w14:paraId="2D9475F0" w14:textId="29FA1511"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1" w:history="1">
            <w:r w:rsidRPr="009A330B">
              <w:rPr>
                <w:rStyle w:val="Hyperlink"/>
                <w:rFonts w:ascii="Times New Roman" w:hAnsi="Times New Roman" w:cs="Times New Roman"/>
                <w:noProof/>
              </w:rPr>
              <w:t>3.2 Research Approach</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_Toc225816481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17</w:t>
            </w:r>
            <w:r w:rsidRPr="009A330B">
              <w:rPr>
                <w:rFonts w:ascii="Times New Roman" w:hAnsi="Times New Roman" w:cs="Times New Roman"/>
                <w:noProof/>
                <w:webHidden/>
              </w:rPr>
              <w:fldChar w:fldCharType="end"/>
            </w:r>
          </w:hyperlink>
        </w:p>
        <w:p w14:paraId="337D4D75" w14:textId="769A24AE"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2" w:history="1">
            <w:r w:rsidRPr="009A330B">
              <w:rPr>
                <w:rStyle w:val="Hyperlink"/>
                <w:rFonts w:ascii="Times New Roman" w:hAnsi="Times New Roman" w:cs="Times New Roman"/>
                <w:noProof/>
              </w:rPr>
              <w:t>3.3 Methodological Choice and Research Strategy</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_Toc225816482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17</w:t>
            </w:r>
            <w:r w:rsidRPr="009A330B">
              <w:rPr>
                <w:rFonts w:ascii="Times New Roman" w:hAnsi="Times New Roman" w:cs="Times New Roman"/>
                <w:noProof/>
                <w:webHidden/>
              </w:rPr>
              <w:fldChar w:fldCharType="end"/>
            </w:r>
          </w:hyperlink>
        </w:p>
        <w:p w14:paraId="6911501A" w14:textId="0ACC7581"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3" w:history="1">
            <w:r w:rsidRPr="009A330B">
              <w:rPr>
                <w:rStyle w:val="Hyperlink"/>
                <w:rFonts w:ascii="Times New Roman" w:hAnsi="Times New Roman" w:cs="Times New Roman"/>
                <w:noProof/>
              </w:rPr>
              <w:t>3.4 Critical Evaluation of the Methodology</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_Toc225816483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17</w:t>
            </w:r>
            <w:r w:rsidRPr="009A330B">
              <w:rPr>
                <w:rFonts w:ascii="Times New Roman" w:hAnsi="Times New Roman" w:cs="Times New Roman"/>
                <w:noProof/>
                <w:webHidden/>
              </w:rPr>
              <w:fldChar w:fldCharType="end"/>
            </w:r>
          </w:hyperlink>
        </w:p>
        <w:p w14:paraId="583AE40A" w14:textId="6CCD57AF"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4" w:history="1">
            <w:r w:rsidRPr="009A330B">
              <w:rPr>
                <w:rStyle w:val="Hyperlink"/>
                <w:rFonts w:ascii="Times New Roman" w:hAnsi="Times New Roman" w:cs="Times New Roman"/>
                <w:noProof/>
              </w:rPr>
              <w:t>3.5 Data Collection Methods</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_Toc225816484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18</w:t>
            </w:r>
            <w:r w:rsidRPr="009A330B">
              <w:rPr>
                <w:rFonts w:ascii="Times New Roman" w:hAnsi="Times New Roman" w:cs="Times New Roman"/>
                <w:noProof/>
                <w:webHidden/>
              </w:rPr>
              <w:fldChar w:fldCharType="end"/>
            </w:r>
          </w:hyperlink>
        </w:p>
        <w:p w14:paraId="664B315E" w14:textId="37102D99"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5" w:history="1">
            <w:r w:rsidRPr="009A330B">
              <w:rPr>
                <w:rStyle w:val="Hyperlink"/>
                <w:rFonts w:ascii="Times New Roman" w:hAnsi="Times New Roman" w:cs="Times New Roman"/>
                <w:noProof/>
              </w:rPr>
              <w:t>3.6 Sampling Strategy and Target Population</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_Toc225816485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18</w:t>
            </w:r>
            <w:r w:rsidRPr="009A330B">
              <w:rPr>
                <w:rFonts w:ascii="Times New Roman" w:hAnsi="Times New Roman" w:cs="Times New Roman"/>
                <w:noProof/>
                <w:webHidden/>
              </w:rPr>
              <w:fldChar w:fldCharType="end"/>
            </w:r>
          </w:hyperlink>
        </w:p>
        <w:p w14:paraId="6DB1C5E7" w14:textId="07FFB07C"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6" w:history="1">
            <w:r w:rsidRPr="009A330B">
              <w:rPr>
                <w:rStyle w:val="Hyperlink"/>
                <w:rFonts w:ascii="Times New Roman" w:hAnsi="Times New Roman" w:cs="Times New Roman"/>
                <w:noProof/>
              </w:rPr>
              <w:t>3.7 Data Analysis Plan</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_Toc225816486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19</w:t>
            </w:r>
            <w:r w:rsidRPr="009A330B">
              <w:rPr>
                <w:rFonts w:ascii="Times New Roman" w:hAnsi="Times New Roman" w:cs="Times New Roman"/>
                <w:noProof/>
                <w:webHidden/>
              </w:rPr>
              <w:fldChar w:fldCharType="end"/>
            </w:r>
          </w:hyperlink>
        </w:p>
        <w:p w14:paraId="58021831" w14:textId="78DC1E74"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7" w:history="1">
            <w:r w:rsidRPr="009A330B">
              <w:rPr>
                <w:rStyle w:val="Hyperlink"/>
                <w:rFonts w:ascii="Times New Roman" w:hAnsi="Times New Roman" w:cs="Times New Roman"/>
                <w:noProof/>
              </w:rPr>
              <w:t>3.8  Ethical Considerations</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_Toc225816487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21</w:t>
            </w:r>
            <w:r w:rsidRPr="009A330B">
              <w:rPr>
                <w:rFonts w:ascii="Times New Roman" w:hAnsi="Times New Roman" w:cs="Times New Roman"/>
                <w:noProof/>
                <w:webHidden/>
              </w:rPr>
              <w:fldChar w:fldCharType="end"/>
            </w:r>
          </w:hyperlink>
        </w:p>
        <w:p w14:paraId="6366F195" w14:textId="3CE3552B"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88" w:history="1">
            <w:r w:rsidRPr="009A330B">
              <w:rPr>
                <w:rStyle w:val="Hyperlink"/>
                <w:rFonts w:ascii="Times New Roman" w:hAnsi="Times New Roman" w:cs="Times New Roman"/>
                <w:noProof/>
              </w:rPr>
              <w:t>3.9 Limitations of the Study</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_Toc225816488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21</w:t>
            </w:r>
            <w:r w:rsidRPr="009A330B">
              <w:rPr>
                <w:rFonts w:ascii="Times New Roman" w:hAnsi="Times New Roman" w:cs="Times New Roman"/>
                <w:noProof/>
                <w:webHidden/>
              </w:rPr>
              <w:fldChar w:fldCharType="end"/>
            </w:r>
          </w:hyperlink>
        </w:p>
        <w:p w14:paraId="7F4EBC8A" w14:textId="5F058B14" w:rsidR="009A330B" w:rsidRPr="009A330B" w:rsidRDefault="009A330B" w:rsidP="009A330B">
          <w:pPr>
            <w:pStyle w:val="TOC1"/>
            <w:tabs>
              <w:tab w:val="right" w:leader="dot" w:pos="9016"/>
            </w:tabs>
            <w:spacing w:line="480" w:lineRule="auto"/>
            <w:rPr>
              <w:rFonts w:ascii="Times New Roman" w:hAnsi="Times New Roman" w:cs="Times New Roman"/>
              <w:noProof/>
            </w:rPr>
          </w:pPr>
          <w:hyperlink w:anchor="_Toc225816489" w:history="1">
            <w:r w:rsidRPr="009A330B">
              <w:rPr>
                <w:rStyle w:val="Hyperlink"/>
                <w:rFonts w:ascii="Times New Roman" w:hAnsi="Times New Roman" w:cs="Times New Roman"/>
                <w:noProof/>
              </w:rPr>
              <w:t>4.0  Outcomes and Timetable</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_Toc225816489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23</w:t>
            </w:r>
            <w:r w:rsidRPr="009A330B">
              <w:rPr>
                <w:rFonts w:ascii="Times New Roman" w:hAnsi="Times New Roman" w:cs="Times New Roman"/>
                <w:noProof/>
                <w:webHidden/>
              </w:rPr>
              <w:fldChar w:fldCharType="end"/>
            </w:r>
          </w:hyperlink>
        </w:p>
        <w:p w14:paraId="0AA3EB0E" w14:textId="34D07526"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90" w:history="1">
            <w:r w:rsidRPr="009A330B">
              <w:rPr>
                <w:rStyle w:val="Hyperlink"/>
                <w:rFonts w:ascii="Times New Roman" w:hAnsi="Times New Roman" w:cs="Times New Roman"/>
                <w:noProof/>
              </w:rPr>
              <w:t>4.1  Expected Outcomes and Contribution</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_Toc225816490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23</w:t>
            </w:r>
            <w:r w:rsidRPr="009A330B">
              <w:rPr>
                <w:rFonts w:ascii="Times New Roman" w:hAnsi="Times New Roman" w:cs="Times New Roman"/>
                <w:noProof/>
                <w:webHidden/>
              </w:rPr>
              <w:fldChar w:fldCharType="end"/>
            </w:r>
          </w:hyperlink>
        </w:p>
        <w:p w14:paraId="4D7D215F" w14:textId="5B545ED1"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91" w:history="1">
            <w:r w:rsidRPr="009A330B">
              <w:rPr>
                <w:rStyle w:val="Hyperlink"/>
                <w:rFonts w:ascii="Times New Roman" w:hAnsi="Times New Roman" w:cs="Times New Roman"/>
                <w:noProof/>
              </w:rPr>
              <w:t>4.2  Gantt Chart and Timeline Narrative</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_Toc225816491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24</w:t>
            </w:r>
            <w:r w:rsidRPr="009A330B">
              <w:rPr>
                <w:rFonts w:ascii="Times New Roman" w:hAnsi="Times New Roman" w:cs="Times New Roman"/>
                <w:noProof/>
                <w:webHidden/>
              </w:rPr>
              <w:fldChar w:fldCharType="end"/>
            </w:r>
          </w:hyperlink>
        </w:p>
        <w:p w14:paraId="54761692" w14:textId="2D29B09D" w:rsidR="009A330B" w:rsidRPr="009A330B" w:rsidRDefault="009A330B" w:rsidP="009A330B">
          <w:pPr>
            <w:pStyle w:val="TOC1"/>
            <w:tabs>
              <w:tab w:val="right" w:leader="dot" w:pos="9016"/>
            </w:tabs>
            <w:spacing w:line="480" w:lineRule="auto"/>
            <w:rPr>
              <w:rFonts w:ascii="Times New Roman" w:hAnsi="Times New Roman" w:cs="Times New Roman"/>
              <w:noProof/>
            </w:rPr>
          </w:pPr>
          <w:hyperlink w:anchor="_Toc225816492" w:history="1">
            <w:r w:rsidRPr="009A330B">
              <w:rPr>
                <w:rStyle w:val="Hyperlink"/>
                <w:rFonts w:ascii="Times New Roman" w:hAnsi="Times New Roman" w:cs="Times New Roman"/>
                <w:noProof/>
              </w:rPr>
              <w:t>Reference List</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_Toc225816492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25</w:t>
            </w:r>
            <w:r w:rsidRPr="009A330B">
              <w:rPr>
                <w:rFonts w:ascii="Times New Roman" w:hAnsi="Times New Roman" w:cs="Times New Roman"/>
                <w:noProof/>
                <w:webHidden/>
              </w:rPr>
              <w:fldChar w:fldCharType="end"/>
            </w:r>
          </w:hyperlink>
        </w:p>
        <w:p w14:paraId="514CCFCE" w14:textId="66CF9B65" w:rsidR="009A330B" w:rsidRPr="009A330B" w:rsidRDefault="009A330B" w:rsidP="009A330B">
          <w:pPr>
            <w:pStyle w:val="TOC1"/>
            <w:tabs>
              <w:tab w:val="right" w:leader="dot" w:pos="9016"/>
            </w:tabs>
            <w:spacing w:line="480" w:lineRule="auto"/>
            <w:rPr>
              <w:rFonts w:ascii="Times New Roman" w:hAnsi="Times New Roman" w:cs="Times New Roman"/>
              <w:noProof/>
            </w:rPr>
          </w:pPr>
          <w:hyperlink w:anchor="_Toc225816493" w:history="1">
            <w:r w:rsidRPr="009A330B">
              <w:rPr>
                <w:rStyle w:val="Hyperlink"/>
                <w:rFonts w:ascii="Times New Roman" w:hAnsi="Times New Roman" w:cs="Times New Roman"/>
                <w:noProof/>
              </w:rPr>
              <w:t>Appendices</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_Toc225816493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32</w:t>
            </w:r>
            <w:r w:rsidRPr="009A330B">
              <w:rPr>
                <w:rFonts w:ascii="Times New Roman" w:hAnsi="Times New Roman" w:cs="Times New Roman"/>
                <w:noProof/>
                <w:webHidden/>
              </w:rPr>
              <w:fldChar w:fldCharType="end"/>
            </w:r>
          </w:hyperlink>
        </w:p>
        <w:p w14:paraId="0ACCF9D7" w14:textId="420910B6"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94" w:history="1">
            <w:r w:rsidRPr="009A330B">
              <w:rPr>
                <w:rStyle w:val="Hyperlink"/>
                <w:rFonts w:ascii="Times New Roman" w:hAnsi="Times New Roman" w:cs="Times New Roman"/>
                <w:noProof/>
              </w:rPr>
              <w:t>Appendix A: Survey Questionnaire. Indicative Structure</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_Toc225816494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32</w:t>
            </w:r>
            <w:r w:rsidRPr="009A330B">
              <w:rPr>
                <w:rFonts w:ascii="Times New Roman" w:hAnsi="Times New Roman" w:cs="Times New Roman"/>
                <w:noProof/>
                <w:webHidden/>
              </w:rPr>
              <w:fldChar w:fldCharType="end"/>
            </w:r>
          </w:hyperlink>
        </w:p>
        <w:p w14:paraId="74996513" w14:textId="68DEC991" w:rsidR="009A330B" w:rsidRPr="009A330B" w:rsidRDefault="009A330B" w:rsidP="009A330B">
          <w:pPr>
            <w:pStyle w:val="TOC2"/>
            <w:tabs>
              <w:tab w:val="right" w:leader="dot" w:pos="9016"/>
            </w:tabs>
            <w:spacing w:line="480" w:lineRule="auto"/>
            <w:rPr>
              <w:rFonts w:ascii="Times New Roman" w:hAnsi="Times New Roman" w:cs="Times New Roman"/>
              <w:noProof/>
            </w:rPr>
          </w:pPr>
          <w:hyperlink w:anchor="_Toc225816495" w:history="1">
            <w:r w:rsidRPr="009A330B">
              <w:rPr>
                <w:rStyle w:val="Hyperlink"/>
                <w:rFonts w:ascii="Times New Roman" w:hAnsi="Times New Roman" w:cs="Times New Roman"/>
                <w:noProof/>
              </w:rPr>
              <w:t>Appendix B: Varia</w:t>
            </w:r>
            <w:r w:rsidRPr="009A330B">
              <w:rPr>
                <w:rStyle w:val="Hyperlink"/>
                <w:rFonts w:ascii="Times New Roman" w:hAnsi="Times New Roman" w:cs="Times New Roman"/>
                <w:noProof/>
              </w:rPr>
              <w:t>b</w:t>
            </w:r>
            <w:r w:rsidRPr="009A330B">
              <w:rPr>
                <w:rStyle w:val="Hyperlink"/>
                <w:rFonts w:ascii="Times New Roman" w:hAnsi="Times New Roman" w:cs="Times New Roman"/>
                <w:noProof/>
              </w:rPr>
              <w:t>le Operationalisation Table</w:t>
            </w:r>
            <w:r w:rsidRPr="009A330B">
              <w:rPr>
                <w:rFonts w:ascii="Times New Roman" w:hAnsi="Times New Roman" w:cs="Times New Roman"/>
                <w:noProof/>
                <w:webHidden/>
              </w:rPr>
              <w:tab/>
            </w:r>
            <w:r w:rsidRPr="009A330B">
              <w:rPr>
                <w:rFonts w:ascii="Times New Roman" w:hAnsi="Times New Roman" w:cs="Times New Roman"/>
                <w:noProof/>
                <w:webHidden/>
              </w:rPr>
              <w:fldChar w:fldCharType="begin"/>
            </w:r>
            <w:r w:rsidRPr="009A330B">
              <w:rPr>
                <w:rFonts w:ascii="Times New Roman" w:hAnsi="Times New Roman" w:cs="Times New Roman"/>
                <w:noProof/>
                <w:webHidden/>
              </w:rPr>
              <w:instrText xml:space="preserve"> PAGEREF _Toc225816495 \h </w:instrText>
            </w:r>
            <w:r w:rsidRPr="009A330B">
              <w:rPr>
                <w:rFonts w:ascii="Times New Roman" w:hAnsi="Times New Roman" w:cs="Times New Roman"/>
                <w:noProof/>
                <w:webHidden/>
              </w:rPr>
            </w:r>
            <w:r w:rsidRPr="009A330B">
              <w:rPr>
                <w:rFonts w:ascii="Times New Roman" w:hAnsi="Times New Roman" w:cs="Times New Roman"/>
                <w:noProof/>
                <w:webHidden/>
              </w:rPr>
              <w:fldChar w:fldCharType="separate"/>
            </w:r>
            <w:r w:rsidR="00A85AAC">
              <w:rPr>
                <w:rFonts w:ascii="Times New Roman" w:hAnsi="Times New Roman" w:cs="Times New Roman"/>
                <w:noProof/>
                <w:webHidden/>
              </w:rPr>
              <w:t>32</w:t>
            </w:r>
            <w:r w:rsidRPr="009A330B">
              <w:rPr>
                <w:rFonts w:ascii="Times New Roman" w:hAnsi="Times New Roman" w:cs="Times New Roman"/>
                <w:noProof/>
                <w:webHidden/>
              </w:rPr>
              <w:fldChar w:fldCharType="end"/>
            </w:r>
          </w:hyperlink>
        </w:p>
        <w:p w14:paraId="6494E458" w14:textId="37CDCDF0" w:rsidR="009A330B" w:rsidRDefault="009A330B" w:rsidP="009A330B">
          <w:pPr>
            <w:spacing w:line="480" w:lineRule="auto"/>
          </w:pPr>
          <w:r w:rsidRPr="009A330B">
            <w:rPr>
              <w:rFonts w:ascii="Times New Roman" w:hAnsi="Times New Roman" w:cs="Times New Roman"/>
              <w:b/>
              <w:bCs/>
              <w:noProof/>
            </w:rPr>
            <w:fldChar w:fldCharType="end"/>
          </w:r>
        </w:p>
      </w:sdtContent>
    </w:sdt>
    <w:p w14:paraId="4337B23B" w14:textId="42B82A88"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rPr>
        <w:br w:type="page"/>
      </w:r>
    </w:p>
    <w:p w14:paraId="4ABD6CF5" w14:textId="77777777" w:rsidR="006C64F5" w:rsidRPr="00F0140E" w:rsidRDefault="00000000" w:rsidP="00387E72">
      <w:pPr>
        <w:pStyle w:val="Heading1"/>
        <w:pBdr>
          <w:bottom w:val="single" w:sz="8" w:space="4" w:color="2E75B6"/>
        </w:pBdr>
        <w:spacing w:before="0" w:after="120"/>
        <w:jc w:val="both"/>
        <w:rPr>
          <w:rFonts w:ascii="Times New Roman" w:hAnsi="Times New Roman" w:cs="Times New Roman"/>
        </w:rPr>
      </w:pPr>
      <w:bookmarkStart w:id="1" w:name="_Toc225816466"/>
      <w:r w:rsidRPr="00F0140E">
        <w:rPr>
          <w:rFonts w:ascii="Times New Roman" w:hAnsi="Times New Roman" w:cs="Times New Roman"/>
        </w:rPr>
        <w:lastRenderedPageBreak/>
        <w:t>1.0  Introduction</w:t>
      </w:r>
      <w:bookmarkEnd w:id="1"/>
    </w:p>
    <w:p w14:paraId="6009BF94" w14:textId="77777777" w:rsidR="006C64F5" w:rsidRPr="00F0140E" w:rsidRDefault="00000000" w:rsidP="00387E72">
      <w:pPr>
        <w:pStyle w:val="Heading2"/>
        <w:spacing w:line="480" w:lineRule="auto"/>
      </w:pPr>
      <w:bookmarkStart w:id="2" w:name="_Toc225816467"/>
      <w:r w:rsidRPr="00F0140E">
        <w:t>1.1  Contextual Background</w:t>
      </w:r>
      <w:bookmarkEnd w:id="2"/>
    </w:p>
    <w:p w14:paraId="71078307" w14:textId="233D9534" w:rsidR="006C64F5" w:rsidRPr="00F0140E" w:rsidRDefault="002A2477"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Hospitality </w:t>
      </w:r>
      <w:r w:rsidR="00072652" w:rsidRPr="00F0140E">
        <w:rPr>
          <w:rFonts w:ascii="Times New Roman" w:hAnsi="Times New Roman" w:cs="Times New Roman"/>
        </w:rPr>
        <w:t>is one of the largest sources of employment in the UK economy, with direct employment of over 3.2 million individuals across hotel, restaurant, and food service chains</w:t>
      </w:r>
      <w:r w:rsidRPr="00F0140E">
        <w:rPr>
          <w:rFonts w:ascii="Times New Roman" w:hAnsi="Times New Roman" w:cs="Times New Roman"/>
        </w:rPr>
        <w:t xml:space="preserve"> (Economic Insight, 2019). The sector has regularly registered one of the lowest proportions of employer-sponsored training investment </w:t>
      </w:r>
      <w:r w:rsidR="009765D1" w:rsidRPr="00F0140E">
        <w:rPr>
          <w:rFonts w:ascii="Times New Roman" w:hAnsi="Times New Roman" w:cs="Times New Roman"/>
        </w:rPr>
        <w:t>across the major</w:t>
      </w:r>
      <w:r w:rsidRPr="00F0140E">
        <w:rPr>
          <w:rFonts w:ascii="Times New Roman" w:hAnsi="Times New Roman" w:cs="Times New Roman"/>
        </w:rPr>
        <w:t xml:space="preserve"> industries in the UK, a structural situation that preceded but was closely amplified by the exit </w:t>
      </w:r>
      <w:r w:rsidR="00072652" w:rsidRPr="00F0140E">
        <w:rPr>
          <w:rFonts w:ascii="Times New Roman" w:hAnsi="Times New Roman" w:cs="Times New Roman"/>
        </w:rPr>
        <w:t>from</w:t>
      </w:r>
      <w:r w:rsidRPr="00F0140E">
        <w:rPr>
          <w:rFonts w:ascii="Times New Roman" w:hAnsi="Times New Roman" w:cs="Times New Roman"/>
        </w:rPr>
        <w:t xml:space="preserve"> the European Union. Reduced supply of experienced and mobile hospitality labour in the EU member states</w:t>
      </w:r>
      <w:r w:rsidR="009765D1" w:rsidRPr="00F0140E">
        <w:rPr>
          <w:rFonts w:ascii="Times New Roman" w:hAnsi="Times New Roman" w:cs="Times New Roman"/>
        </w:rPr>
        <w:t>, by the post-Brexit restriction on free movement,</w:t>
      </w:r>
      <w:r w:rsidRPr="00F0140E">
        <w:rPr>
          <w:rFonts w:ascii="Times New Roman" w:hAnsi="Times New Roman" w:cs="Times New Roman"/>
        </w:rPr>
        <w:t xml:space="preserve"> cut off a workforce pipeline many operators had used to mitigate the impact of training shortages domestically (Tiwasing, 2021). The effects are </w:t>
      </w:r>
      <w:r w:rsidR="00072652" w:rsidRPr="00F0140E">
        <w:rPr>
          <w:rFonts w:ascii="Times New Roman" w:hAnsi="Times New Roman" w:cs="Times New Roman"/>
        </w:rPr>
        <w:t xml:space="preserve">well known: vacancy rates remain high, frontline turnover is growing faster, and the quality of </w:t>
      </w:r>
      <w:r w:rsidRPr="00F0140E">
        <w:rPr>
          <w:rFonts w:ascii="Times New Roman" w:hAnsi="Times New Roman" w:cs="Times New Roman"/>
        </w:rPr>
        <w:t xml:space="preserve">services in the hotel and restaurant business is decreasing (UK Hospitality, 2023). A </w:t>
      </w:r>
      <w:r w:rsidR="00072652" w:rsidRPr="00F0140E">
        <w:rPr>
          <w:rFonts w:ascii="Times New Roman" w:hAnsi="Times New Roman" w:cs="Times New Roman"/>
        </w:rPr>
        <w:t>national-level</w:t>
      </w:r>
      <w:r w:rsidRPr="00F0140E">
        <w:rPr>
          <w:rFonts w:ascii="Times New Roman" w:hAnsi="Times New Roman" w:cs="Times New Roman"/>
        </w:rPr>
        <w:t xml:space="preserve"> analysis by Deb and Li (2024) lists hospitality as one of the sectors with the strongest upskilling pressure and </w:t>
      </w:r>
      <w:r w:rsidR="009765D1" w:rsidRPr="00F0140E">
        <w:rPr>
          <w:rFonts w:ascii="Times New Roman" w:hAnsi="Times New Roman" w:cs="Times New Roman"/>
        </w:rPr>
        <w:t>reports that investment in formal training infrastructure across the sector is</w:t>
      </w:r>
      <w:r w:rsidRPr="00F0140E">
        <w:rPr>
          <w:rFonts w:ascii="Times New Roman" w:hAnsi="Times New Roman" w:cs="Times New Roman"/>
        </w:rPr>
        <w:t xml:space="preserve"> unequal and under-researched in the academic literature. In Figure 1 below, the narrowing of the research scope of this proposal is </w:t>
      </w:r>
      <w:r w:rsidR="00072652" w:rsidRPr="00F0140E">
        <w:rPr>
          <w:rFonts w:ascii="Times New Roman" w:hAnsi="Times New Roman" w:cs="Times New Roman"/>
        </w:rPr>
        <w:t>shown, with the macro-level sectoral perspective reduced to the specific motivational outcomes under investigation</w:t>
      </w:r>
      <w:r w:rsidRPr="00F0140E">
        <w:rPr>
          <w:rFonts w:ascii="Times New Roman" w:hAnsi="Times New Roman" w:cs="Times New Roman"/>
        </w:rPr>
        <w:t xml:space="preserve">. </w:t>
      </w:r>
    </w:p>
    <w:p w14:paraId="0C41E7B9" w14:textId="650EC91D" w:rsidR="003271A5" w:rsidRPr="00F0140E" w:rsidRDefault="003271A5" w:rsidP="00387E72">
      <w:pPr>
        <w:spacing w:after="120" w:line="480" w:lineRule="auto"/>
        <w:jc w:val="both"/>
        <w:rPr>
          <w:rFonts w:ascii="Times New Roman" w:hAnsi="Times New Roman" w:cs="Times New Roman"/>
        </w:rPr>
      </w:pPr>
      <w:r w:rsidRPr="00F0140E">
        <w:rPr>
          <w:rFonts w:ascii="Times New Roman" w:hAnsi="Times New Roman" w:cs="Times New Roman"/>
          <w:noProof/>
        </w:rPr>
        <w:lastRenderedPageBreak/>
        <w:drawing>
          <wp:inline distT="0" distB="0" distL="0" distR="0" wp14:anchorId="2622EB57" wp14:editId="0D752C1C">
            <wp:extent cx="5618352" cy="2802193"/>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629000" cy="2807504"/>
                    </a:xfrm>
                    <a:prstGeom prst="rect">
                      <a:avLst/>
                    </a:prstGeom>
                    <a:noFill/>
                    <a:ln>
                      <a:noFill/>
                    </a:ln>
                    <a:extLst>
                      <a:ext uri="{53640926-AAD7-44D8-BBD7-CCE9431645EC}">
                        <a14:shadowObscured xmlns:a14="http://schemas.microsoft.com/office/drawing/2010/main"/>
                      </a:ext>
                    </a:extLst>
                  </pic:spPr>
                </pic:pic>
              </a:graphicData>
            </a:graphic>
          </wp:inline>
        </w:drawing>
      </w:r>
    </w:p>
    <w:p w14:paraId="483AA3D2" w14:textId="77777777" w:rsidR="006C64F5" w:rsidRPr="00F0140E" w:rsidRDefault="006C64F5" w:rsidP="00387E72">
      <w:pPr>
        <w:spacing w:after="120" w:line="480" w:lineRule="auto"/>
        <w:jc w:val="both"/>
        <w:rPr>
          <w:rFonts w:ascii="Times New Roman" w:hAnsi="Times New Roman" w:cs="Times New Roman"/>
        </w:rPr>
      </w:pPr>
    </w:p>
    <w:p w14:paraId="48B3272D"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i/>
          <w:iCs/>
          <w:color w:val="555555"/>
          <w:sz w:val="20"/>
          <w:szCs w:val="20"/>
        </w:rPr>
        <w:t>Figure 1: Narrowing Research Focus. From Macro-Level Sector Context to Study-Specific Variables</w:t>
      </w:r>
    </w:p>
    <w:p w14:paraId="1BF2D6D2" w14:textId="77777777" w:rsidR="006C64F5" w:rsidRPr="00F0140E" w:rsidRDefault="006C64F5" w:rsidP="00387E72">
      <w:pPr>
        <w:spacing w:after="120" w:line="480" w:lineRule="auto"/>
        <w:jc w:val="both"/>
        <w:rPr>
          <w:rFonts w:ascii="Times New Roman" w:hAnsi="Times New Roman" w:cs="Times New Roman"/>
        </w:rPr>
      </w:pPr>
    </w:p>
    <w:p w14:paraId="4E27F83A" w14:textId="77777777" w:rsidR="006C64F5" w:rsidRPr="00F0140E" w:rsidRDefault="00000000" w:rsidP="00387E72">
      <w:pPr>
        <w:pStyle w:val="Heading2"/>
        <w:spacing w:line="480" w:lineRule="auto"/>
      </w:pPr>
      <w:bookmarkStart w:id="3" w:name="_Toc225816468"/>
      <w:r w:rsidRPr="00F0140E">
        <w:t>1.2  Statement of the Research Problem</w:t>
      </w:r>
      <w:bookmarkEnd w:id="3"/>
    </w:p>
    <w:p w14:paraId="6E6A9CEA" w14:textId="227CE214" w:rsidR="006C64F5" w:rsidRPr="00F0140E" w:rsidRDefault="002A2477"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There is </w:t>
      </w:r>
      <w:r w:rsidR="00072652" w:rsidRPr="00F0140E">
        <w:rPr>
          <w:rFonts w:ascii="Times New Roman" w:hAnsi="Times New Roman" w:cs="Times New Roman"/>
        </w:rPr>
        <w:t>substantial evidence suggesting that T&amp;D programmes have a positive impact on employee performance and organisational outcomes</w:t>
      </w:r>
      <w:r w:rsidRPr="00F0140E">
        <w:rPr>
          <w:rFonts w:ascii="Times New Roman" w:hAnsi="Times New Roman" w:cs="Times New Roman"/>
        </w:rPr>
        <w:t xml:space="preserve"> in general management conditions (Aguinis and Kraiger, 2009; Salas et al., 2012). Nevertheless, there is one particular and consequential gap: the processes </w:t>
      </w:r>
      <w:r w:rsidR="00072652" w:rsidRPr="00F0140E">
        <w:rPr>
          <w:rFonts w:ascii="Times New Roman" w:hAnsi="Times New Roman" w:cs="Times New Roman"/>
        </w:rPr>
        <w:t>by which the formal T&amp;D involvement influences employees' enthusiasm, as a clear psychological construct broken into intrinsic and extrinsic levels, have not been thoroughly studied within a quantitative research framework in</w:t>
      </w:r>
      <w:r w:rsidRPr="00F0140E">
        <w:rPr>
          <w:rFonts w:ascii="Times New Roman" w:hAnsi="Times New Roman" w:cs="Times New Roman"/>
        </w:rPr>
        <w:t xml:space="preserve"> the modern UK hospitality environment. </w:t>
      </w:r>
      <w:r w:rsidR="00072652" w:rsidRPr="00F0140E">
        <w:rPr>
          <w:rFonts w:ascii="Times New Roman" w:hAnsi="Times New Roman" w:cs="Times New Roman"/>
        </w:rPr>
        <w:t>The majority</w:t>
      </w:r>
      <w:r w:rsidRPr="00F0140E">
        <w:rPr>
          <w:rFonts w:ascii="Times New Roman" w:hAnsi="Times New Roman" w:cs="Times New Roman"/>
        </w:rPr>
        <w:t xml:space="preserve"> of published literature either views motivation as the proxy of performance instead of a major outcome itself (Niati et al., 2021), quantifies motivational constructs without separating intrinsic and extrinsic dimensions (Kotera et al., 2018), or uses samples on South Asian or Indonesian </w:t>
      </w:r>
      <w:r w:rsidR="00072652" w:rsidRPr="00F0140E">
        <w:rPr>
          <w:rFonts w:ascii="Times New Roman" w:hAnsi="Times New Roman" w:cs="Times New Roman"/>
        </w:rPr>
        <w:t xml:space="preserve">populations </w:t>
      </w:r>
      <w:r w:rsidRPr="00F0140E">
        <w:rPr>
          <w:rFonts w:ascii="Times New Roman" w:hAnsi="Times New Roman" w:cs="Times New Roman"/>
        </w:rPr>
        <w:t xml:space="preserve">or makes generalised assessments of motivation in hospitality settings which have totally different structural conditions to post-Brexit UK (Awoitau et al., 2024; Hamid et al., 2023). Little empirical </w:t>
      </w:r>
      <w:r w:rsidRPr="00F0140E">
        <w:rPr>
          <w:rFonts w:ascii="Times New Roman" w:hAnsi="Times New Roman" w:cs="Times New Roman"/>
        </w:rPr>
        <w:lastRenderedPageBreak/>
        <w:t xml:space="preserve">research on job satisfaction as a mediating variable in this relationship has </w:t>
      </w:r>
      <w:r w:rsidR="00072652" w:rsidRPr="00F0140E">
        <w:rPr>
          <w:rFonts w:ascii="Times New Roman" w:hAnsi="Times New Roman" w:cs="Times New Roman"/>
        </w:rPr>
        <w:t>been reported</w:t>
      </w:r>
      <w:r w:rsidRPr="00F0140E">
        <w:rPr>
          <w:rFonts w:ascii="Times New Roman" w:hAnsi="Times New Roman" w:cs="Times New Roman"/>
        </w:rPr>
        <w:t xml:space="preserve"> in the UK hospitality literature. The gap in this proposal deals with that compound gap. </w:t>
      </w:r>
    </w:p>
    <w:p w14:paraId="0B12A0AA" w14:textId="77777777" w:rsidR="006C64F5" w:rsidRPr="00F0140E" w:rsidRDefault="00000000" w:rsidP="00387E72">
      <w:pPr>
        <w:pStyle w:val="Heading2"/>
        <w:spacing w:line="480" w:lineRule="auto"/>
      </w:pPr>
      <w:bookmarkStart w:id="4" w:name="_Toc225816469"/>
      <w:r w:rsidRPr="00F0140E">
        <w:t>1.3  Significance of the Research</w:t>
      </w:r>
      <w:bookmarkEnd w:id="4"/>
    </w:p>
    <w:p w14:paraId="64AA63B6" w14:textId="38C40B8C" w:rsidR="006C64F5" w:rsidRPr="00F0140E" w:rsidRDefault="002A2477"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 scholarly importance of this research </w:t>
      </w:r>
      <w:r w:rsidR="00072652" w:rsidRPr="00F0140E">
        <w:rPr>
          <w:rFonts w:ascii="Times New Roman" w:hAnsi="Times New Roman" w:cs="Times New Roman"/>
        </w:rPr>
        <w:t>lies in its contribution to Self-Determination Theory (SDT) in a sector-specific, post-Brexit UK context</w:t>
      </w:r>
      <w:r w:rsidRPr="00F0140E">
        <w:rPr>
          <w:rFonts w:ascii="Times New Roman" w:hAnsi="Times New Roman" w:cs="Times New Roman"/>
        </w:rPr>
        <w:t xml:space="preserve">. According to McAnally and Hagger (2024), the lack of sector-specific quantitative tests of SDT motivational predictions is a gap in the workplace motivation literature, and Rigby and Ryan (2018) specifically advocate </w:t>
      </w:r>
      <w:r w:rsidR="00072652" w:rsidRPr="00F0140E">
        <w:rPr>
          <w:rFonts w:ascii="Times New Roman" w:hAnsi="Times New Roman" w:cs="Times New Roman"/>
        </w:rPr>
        <w:t>empirically investigating how organisational development practices trigger the mechanisms of need-satisfaction in</w:t>
      </w:r>
      <w:r w:rsidRPr="00F0140E">
        <w:rPr>
          <w:rFonts w:ascii="Times New Roman" w:hAnsi="Times New Roman" w:cs="Times New Roman"/>
        </w:rPr>
        <w:t xml:space="preserve"> SDT. This paper directly answers both of these calls. The practical importance is also acute: HR professionals in organisations that include Whitbread, Mitchells and Butlers, Hilton UK, and Marriott International UK are in need of evidence-based information on whether and how they can </w:t>
      </w:r>
      <w:r w:rsidR="00072652" w:rsidRPr="00F0140E">
        <w:rPr>
          <w:rFonts w:ascii="Times New Roman" w:hAnsi="Times New Roman" w:cs="Times New Roman"/>
        </w:rPr>
        <w:t>structure</w:t>
      </w:r>
      <w:r w:rsidRPr="00F0140E">
        <w:rPr>
          <w:rFonts w:ascii="Times New Roman" w:hAnsi="Times New Roman" w:cs="Times New Roman"/>
        </w:rPr>
        <w:t xml:space="preserve"> T&amp;D investment to achieve more motivational results and decreased turnover in the post-Brexit labour environment (Freeman, 2023</w:t>
      </w:r>
      <w:r w:rsidR="004C3742">
        <w:rPr>
          <w:rFonts w:ascii="Times New Roman" w:hAnsi="Times New Roman" w:cs="Times New Roman"/>
        </w:rPr>
        <w:t xml:space="preserve">; </w:t>
      </w:r>
      <w:r w:rsidR="004C3742" w:rsidRPr="004C3742">
        <w:rPr>
          <w:rFonts w:ascii="Times New Roman" w:hAnsi="Times New Roman" w:cs="Times New Roman"/>
        </w:rPr>
        <w:t>Dashper</w:t>
      </w:r>
      <w:r w:rsidR="004C3742">
        <w:rPr>
          <w:rFonts w:ascii="Times New Roman" w:hAnsi="Times New Roman" w:cs="Times New Roman"/>
        </w:rPr>
        <w:t xml:space="preserve">, </w:t>
      </w:r>
      <w:r w:rsidR="004C3742" w:rsidRPr="004C3742">
        <w:rPr>
          <w:rFonts w:ascii="Times New Roman" w:hAnsi="Times New Roman" w:cs="Times New Roman"/>
        </w:rPr>
        <w:t>2020</w:t>
      </w:r>
      <w:r w:rsidRPr="00F0140E">
        <w:rPr>
          <w:rFonts w:ascii="Times New Roman" w:hAnsi="Times New Roman" w:cs="Times New Roman"/>
        </w:rPr>
        <w:t>). The bodies in the industry</w:t>
      </w:r>
      <w:r w:rsidR="00072652" w:rsidRPr="00F0140E">
        <w:rPr>
          <w:rFonts w:ascii="Times New Roman" w:hAnsi="Times New Roman" w:cs="Times New Roman"/>
        </w:rPr>
        <w:t>, such as UKHospitality, will also have access to transferable results on the different</w:t>
      </w:r>
      <w:r w:rsidRPr="00F0140E">
        <w:rPr>
          <w:rFonts w:ascii="Times New Roman" w:hAnsi="Times New Roman" w:cs="Times New Roman"/>
        </w:rPr>
        <w:t xml:space="preserve"> motivational payoffs of intrinsic-oriented versus extrinsic-oriented training designs. </w:t>
      </w:r>
    </w:p>
    <w:p w14:paraId="77C021AB" w14:textId="77777777" w:rsidR="006C64F5" w:rsidRPr="00F0140E" w:rsidRDefault="00000000" w:rsidP="00387E72">
      <w:pPr>
        <w:pStyle w:val="Heading2"/>
        <w:spacing w:line="480" w:lineRule="auto"/>
      </w:pPr>
      <w:bookmarkStart w:id="5" w:name="_Toc225816470"/>
      <w:r w:rsidRPr="00F0140E">
        <w:t>1.4  Definition of Key Terms</w:t>
      </w:r>
      <w:bookmarkEnd w:id="5"/>
    </w:p>
    <w:p w14:paraId="20D8942F" w14:textId="19B27623" w:rsidR="006C64F5" w:rsidRPr="00F0140E" w:rsidRDefault="002A2477"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This inquiry revolves around three major concepts. Formal training and development can be considered </w:t>
      </w:r>
      <w:r w:rsidR="00072652" w:rsidRPr="00F0140E">
        <w:rPr>
          <w:rFonts w:ascii="Times New Roman" w:hAnsi="Times New Roman" w:cs="Times New Roman"/>
        </w:rPr>
        <w:t>structured, employer-sponsored learning activities aimed at improving employees' knowledge, skills, and competencies in relation to specific</w:t>
      </w:r>
      <w:r w:rsidRPr="00F0140E">
        <w:rPr>
          <w:rFonts w:ascii="Times New Roman" w:hAnsi="Times New Roman" w:cs="Times New Roman"/>
        </w:rPr>
        <w:t xml:space="preserve"> role expectations, as opposed to informal or incidental learning (Noe, 2020). Intrinsic motivation refers to an interest, satisfaction, and fulfilment with an activity, or even the absence of an external reward or contingency (Deci and Ryan, 2017). Extrinsic motivation is a behaviour that is stimulated and sustained after the expectation that it will attract external rewards such as remuneration, fame </w:t>
      </w:r>
      <w:r w:rsidRPr="00F0140E">
        <w:rPr>
          <w:rFonts w:ascii="Times New Roman" w:hAnsi="Times New Roman" w:cs="Times New Roman"/>
        </w:rPr>
        <w:lastRenderedPageBreak/>
        <w:t xml:space="preserve">and promotion (Chang and Teng, 2017). The affective and cognitive judgment of the overall work experience, which </w:t>
      </w:r>
      <w:r w:rsidR="00072652" w:rsidRPr="00F0140E">
        <w:rPr>
          <w:rFonts w:ascii="Times New Roman" w:hAnsi="Times New Roman" w:cs="Times New Roman"/>
        </w:rPr>
        <w:t>serves as the mediating variable in the study, is job satisfaction, defined in terms of</w:t>
      </w:r>
      <w:r w:rsidRPr="00F0140E">
        <w:rPr>
          <w:rFonts w:ascii="Times New Roman" w:hAnsi="Times New Roman" w:cs="Times New Roman"/>
        </w:rPr>
        <w:t xml:space="preserve"> task variety, supervisory quality, and perceived equity of rewards (Ali and Anwar, 2021). </w:t>
      </w:r>
    </w:p>
    <w:p w14:paraId="2FB99AAE" w14:textId="77777777" w:rsidR="006C64F5" w:rsidRPr="00F0140E" w:rsidRDefault="00000000" w:rsidP="00387E72">
      <w:pPr>
        <w:pStyle w:val="Heading2"/>
        <w:spacing w:line="480" w:lineRule="auto"/>
      </w:pPr>
      <w:bookmarkStart w:id="6" w:name="_Toc225816471"/>
      <w:r w:rsidRPr="00F0140E">
        <w:t>1.5  Research Aim</w:t>
      </w:r>
      <w:bookmarkEnd w:id="6"/>
    </w:p>
    <w:p w14:paraId="7E6FC340" w14:textId="6F80814D" w:rsidR="006C64F5" w:rsidRPr="00F0140E" w:rsidRDefault="002A2477"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This study will </w:t>
      </w:r>
      <w:r w:rsidR="009765D1" w:rsidRPr="00F0140E">
        <w:rPr>
          <w:rFonts w:ascii="Times New Roman" w:hAnsi="Times New Roman" w:cs="Times New Roman"/>
        </w:rPr>
        <w:t>critically explore how formal training and development programmes affect intrinsic and extrinsic employee motivation, and test the mediating role of job satisfaction in this relationship among frontline</w:t>
      </w:r>
      <w:r w:rsidRPr="00F0140E">
        <w:rPr>
          <w:rFonts w:ascii="Times New Roman" w:hAnsi="Times New Roman" w:cs="Times New Roman"/>
        </w:rPr>
        <w:t xml:space="preserve"> employees working in UK hotel chains and </w:t>
      </w:r>
      <w:r w:rsidR="009765D1" w:rsidRPr="00F0140E">
        <w:rPr>
          <w:rFonts w:ascii="Times New Roman" w:hAnsi="Times New Roman" w:cs="Times New Roman"/>
        </w:rPr>
        <w:t>restaurant</w:t>
      </w:r>
      <w:r w:rsidRPr="00F0140E">
        <w:rPr>
          <w:rFonts w:ascii="Times New Roman" w:hAnsi="Times New Roman" w:cs="Times New Roman"/>
        </w:rPr>
        <w:t xml:space="preserve"> groups. </w:t>
      </w:r>
    </w:p>
    <w:p w14:paraId="20A25760" w14:textId="77777777" w:rsidR="006C64F5" w:rsidRPr="00F0140E" w:rsidRDefault="00000000" w:rsidP="00387E72">
      <w:pPr>
        <w:pStyle w:val="Heading2"/>
        <w:spacing w:line="480" w:lineRule="auto"/>
      </w:pPr>
      <w:bookmarkStart w:id="7" w:name="_Toc225816472"/>
      <w:r w:rsidRPr="00F0140E">
        <w:t>1.6  Research Objectives</w:t>
      </w:r>
      <w:bookmarkEnd w:id="7"/>
    </w:p>
    <w:p w14:paraId="335B4DF2" w14:textId="6D080F3C" w:rsidR="002A2477" w:rsidRPr="00F0140E" w:rsidRDefault="002A2477" w:rsidP="00387E72">
      <w:pPr>
        <w:pStyle w:val="ListParagraph"/>
        <w:numPr>
          <w:ilvl w:val="0"/>
          <w:numId w:val="2"/>
        </w:numPr>
        <w:spacing w:after="120" w:line="480" w:lineRule="auto"/>
        <w:jc w:val="both"/>
        <w:rPr>
          <w:rFonts w:ascii="Times New Roman" w:hAnsi="Times New Roman" w:cs="Times New Roman"/>
        </w:rPr>
      </w:pPr>
      <w:r w:rsidRPr="00F0140E">
        <w:rPr>
          <w:rFonts w:ascii="Times New Roman" w:hAnsi="Times New Roman" w:cs="Times New Roman"/>
        </w:rPr>
        <w:t xml:space="preserve">Objective 1: To determine the </w:t>
      </w:r>
      <w:r w:rsidR="00072652" w:rsidRPr="00F0140E">
        <w:rPr>
          <w:rFonts w:ascii="Times New Roman" w:hAnsi="Times New Roman" w:cs="Times New Roman"/>
        </w:rPr>
        <w:t>extent</w:t>
      </w:r>
      <w:r w:rsidRPr="00F0140E">
        <w:rPr>
          <w:rFonts w:ascii="Times New Roman" w:hAnsi="Times New Roman" w:cs="Times New Roman"/>
        </w:rPr>
        <w:t xml:space="preserve"> to which attendance in formal T&amp;D programmes is predictive of intrinsic motivation among front-line UK hospitality workers. </w:t>
      </w:r>
    </w:p>
    <w:p w14:paraId="200F35DB" w14:textId="77777777" w:rsidR="002A2477" w:rsidRPr="00F0140E" w:rsidRDefault="002A2477" w:rsidP="00387E72">
      <w:pPr>
        <w:pStyle w:val="ListParagraph"/>
        <w:numPr>
          <w:ilvl w:val="0"/>
          <w:numId w:val="2"/>
        </w:numPr>
        <w:spacing w:after="120" w:line="480" w:lineRule="auto"/>
        <w:jc w:val="both"/>
        <w:rPr>
          <w:rFonts w:ascii="Times New Roman" w:hAnsi="Times New Roman" w:cs="Times New Roman"/>
        </w:rPr>
      </w:pPr>
      <w:r w:rsidRPr="00F0140E">
        <w:rPr>
          <w:rFonts w:ascii="Times New Roman" w:hAnsi="Times New Roman" w:cs="Times New Roman"/>
        </w:rPr>
        <w:t xml:space="preserve">Objective 2: To assess the correlation between participation in formal T&amp;D programmes and extrinsic motivation in the same group. </w:t>
      </w:r>
    </w:p>
    <w:p w14:paraId="0EFED1B9" w14:textId="1DC4C03A" w:rsidR="006C64F5" w:rsidRPr="00F0140E" w:rsidRDefault="002A2477" w:rsidP="00387E72">
      <w:pPr>
        <w:pStyle w:val="ListParagraph"/>
        <w:numPr>
          <w:ilvl w:val="0"/>
          <w:numId w:val="2"/>
        </w:numPr>
        <w:spacing w:after="120" w:line="480" w:lineRule="auto"/>
        <w:jc w:val="both"/>
        <w:rPr>
          <w:rFonts w:ascii="Times New Roman" w:hAnsi="Times New Roman" w:cs="Times New Roman"/>
        </w:rPr>
      </w:pPr>
      <w:r w:rsidRPr="00F0140E">
        <w:rPr>
          <w:rFonts w:ascii="Times New Roman" w:hAnsi="Times New Roman" w:cs="Times New Roman"/>
        </w:rPr>
        <w:t xml:space="preserve">Objective 3: To investigate whether job satisfaction mediates the relationship between formal T&amp;D programme participation and overall employee motivation among front-line UK hospitality employees. </w:t>
      </w:r>
    </w:p>
    <w:p w14:paraId="60C0637F" w14:textId="77777777" w:rsidR="006C64F5" w:rsidRPr="00F0140E" w:rsidRDefault="00000000" w:rsidP="00387E72">
      <w:pPr>
        <w:pStyle w:val="Heading2"/>
        <w:spacing w:line="480" w:lineRule="auto"/>
      </w:pPr>
      <w:bookmarkStart w:id="8" w:name="_Toc225816473"/>
      <w:r w:rsidRPr="00F0140E">
        <w:t>1.7  Research Questions</w:t>
      </w:r>
      <w:bookmarkEnd w:id="8"/>
    </w:p>
    <w:p w14:paraId="4FB5EF4E" w14:textId="7EBE0930" w:rsidR="006C64F5" w:rsidRPr="00F0140E" w:rsidRDefault="00000000" w:rsidP="00387E72">
      <w:pPr>
        <w:spacing w:after="120" w:line="480" w:lineRule="auto"/>
        <w:jc w:val="both"/>
        <w:rPr>
          <w:rFonts w:ascii="Times New Roman" w:hAnsi="Times New Roman" w:cs="Times New Roman"/>
          <w:b/>
          <w:bCs/>
        </w:rPr>
      </w:pPr>
      <w:r w:rsidRPr="00F0140E">
        <w:rPr>
          <w:rFonts w:ascii="Times New Roman" w:hAnsi="Times New Roman" w:cs="Times New Roman"/>
        </w:rPr>
        <w:t xml:space="preserve">Three research questions correspond directly to the three objectives above. </w:t>
      </w:r>
      <w:r w:rsidR="000472CB" w:rsidRPr="00F0140E">
        <w:rPr>
          <w:rFonts w:ascii="Times New Roman" w:hAnsi="Times New Roman" w:cs="Times New Roman"/>
          <w:b/>
          <w:bCs/>
        </w:rPr>
        <w:t xml:space="preserve"> </w:t>
      </w:r>
    </w:p>
    <w:p w14:paraId="2AC4EC9F" w14:textId="47E43E71" w:rsidR="000472CB" w:rsidRPr="00F0140E" w:rsidRDefault="000472CB" w:rsidP="00387E72">
      <w:pPr>
        <w:pStyle w:val="ListParagraph"/>
        <w:numPr>
          <w:ilvl w:val="0"/>
          <w:numId w:val="4"/>
        </w:numPr>
        <w:spacing w:after="120" w:line="480" w:lineRule="auto"/>
        <w:jc w:val="both"/>
        <w:rPr>
          <w:rFonts w:ascii="Times New Roman" w:hAnsi="Times New Roman" w:cs="Times New Roman"/>
        </w:rPr>
      </w:pPr>
      <w:r w:rsidRPr="00F0140E">
        <w:rPr>
          <w:rFonts w:ascii="Times New Roman" w:hAnsi="Times New Roman" w:cs="Times New Roman"/>
        </w:rPr>
        <w:t xml:space="preserve">RQ1: How far do formal T&amp;D programmes foretell levels of intrinsic motivation in front-line </w:t>
      </w:r>
      <w:r w:rsidR="00072652" w:rsidRPr="00F0140E">
        <w:rPr>
          <w:rFonts w:ascii="Times New Roman" w:hAnsi="Times New Roman" w:cs="Times New Roman"/>
        </w:rPr>
        <w:t>employees</w:t>
      </w:r>
      <w:r w:rsidRPr="00F0140E">
        <w:rPr>
          <w:rFonts w:ascii="Times New Roman" w:hAnsi="Times New Roman" w:cs="Times New Roman"/>
        </w:rPr>
        <w:t xml:space="preserve"> of UK hospitality? </w:t>
      </w:r>
    </w:p>
    <w:p w14:paraId="6F46C0EE" w14:textId="042117C0" w:rsidR="000472CB" w:rsidRPr="00F0140E" w:rsidRDefault="000472CB" w:rsidP="00387E72">
      <w:pPr>
        <w:pStyle w:val="ListParagraph"/>
        <w:numPr>
          <w:ilvl w:val="0"/>
          <w:numId w:val="4"/>
        </w:numPr>
        <w:spacing w:after="120" w:line="480" w:lineRule="auto"/>
        <w:jc w:val="both"/>
        <w:rPr>
          <w:rFonts w:ascii="Times New Roman" w:hAnsi="Times New Roman" w:cs="Times New Roman"/>
        </w:rPr>
      </w:pPr>
      <w:r w:rsidRPr="00F0140E">
        <w:rPr>
          <w:rFonts w:ascii="Times New Roman" w:hAnsi="Times New Roman" w:cs="Times New Roman"/>
        </w:rPr>
        <w:t xml:space="preserve">RQ2: How </w:t>
      </w:r>
      <w:r w:rsidR="00072652" w:rsidRPr="00F0140E">
        <w:rPr>
          <w:rFonts w:ascii="Times New Roman" w:hAnsi="Times New Roman" w:cs="Times New Roman"/>
        </w:rPr>
        <w:t xml:space="preserve">do </w:t>
      </w:r>
      <w:r w:rsidRPr="00F0140E">
        <w:rPr>
          <w:rFonts w:ascii="Times New Roman" w:hAnsi="Times New Roman" w:cs="Times New Roman"/>
        </w:rPr>
        <w:t xml:space="preserve">formal T&amp;D programmes impact extrinsic motivation outcomes among front-line employees of UK hotel chains and restaurant chains? </w:t>
      </w:r>
    </w:p>
    <w:p w14:paraId="11AA59F5" w14:textId="2D74391F" w:rsidR="006C64F5" w:rsidRPr="00F0140E" w:rsidRDefault="000472CB" w:rsidP="00387E72">
      <w:pPr>
        <w:pStyle w:val="ListParagraph"/>
        <w:numPr>
          <w:ilvl w:val="0"/>
          <w:numId w:val="4"/>
        </w:numPr>
        <w:spacing w:after="120" w:line="480" w:lineRule="auto"/>
        <w:jc w:val="both"/>
        <w:rPr>
          <w:rFonts w:ascii="Times New Roman" w:hAnsi="Times New Roman" w:cs="Times New Roman"/>
        </w:rPr>
      </w:pPr>
      <w:r w:rsidRPr="00F0140E">
        <w:rPr>
          <w:rFonts w:ascii="Times New Roman" w:hAnsi="Times New Roman" w:cs="Times New Roman"/>
        </w:rPr>
        <w:lastRenderedPageBreak/>
        <w:t>RQ3: Does formal participation in T&amp;D programmes mediate the relationship between formal T&amp;D programmes participation and overall employee motivation in the modern UK hospitality setting?</w:t>
      </w:r>
    </w:p>
    <w:p w14:paraId="4F49BE94" w14:textId="77777777" w:rsidR="006C64F5" w:rsidRPr="00F0140E" w:rsidRDefault="00000000" w:rsidP="00387E72">
      <w:pPr>
        <w:pStyle w:val="Heading1"/>
        <w:pBdr>
          <w:bottom w:val="single" w:sz="8" w:space="4" w:color="2E75B6"/>
        </w:pBdr>
        <w:spacing w:before="0" w:after="120"/>
        <w:jc w:val="both"/>
        <w:rPr>
          <w:rFonts w:ascii="Times New Roman" w:hAnsi="Times New Roman" w:cs="Times New Roman"/>
        </w:rPr>
      </w:pPr>
      <w:bookmarkStart w:id="9" w:name="_Toc225816474"/>
      <w:r w:rsidRPr="00F0140E">
        <w:rPr>
          <w:rFonts w:ascii="Times New Roman" w:hAnsi="Times New Roman" w:cs="Times New Roman"/>
        </w:rPr>
        <w:t>2.0  Literature Review</w:t>
      </w:r>
      <w:bookmarkEnd w:id="9"/>
    </w:p>
    <w:p w14:paraId="5B2124E8" w14:textId="77777777" w:rsidR="006C64F5" w:rsidRPr="00F0140E" w:rsidRDefault="00000000" w:rsidP="00387E72">
      <w:pPr>
        <w:pStyle w:val="Heading2"/>
        <w:spacing w:line="480" w:lineRule="auto"/>
      </w:pPr>
      <w:bookmarkStart w:id="10" w:name="_Toc225816475"/>
      <w:r w:rsidRPr="00F0140E">
        <w:t>2.1  Theoretical and Conceptual Foundations</w:t>
      </w:r>
      <w:bookmarkEnd w:id="10"/>
    </w:p>
    <w:p w14:paraId="3C228F76" w14:textId="65D48345" w:rsidR="003C7CB3" w:rsidRPr="00F0140E" w:rsidRDefault="003C7CB3" w:rsidP="003C7CB3">
      <w:pPr>
        <w:spacing w:after="120" w:line="480" w:lineRule="auto"/>
        <w:jc w:val="both"/>
        <w:rPr>
          <w:rFonts w:ascii="Times New Roman" w:hAnsi="Times New Roman" w:cs="Times New Roman"/>
        </w:rPr>
      </w:pPr>
      <w:r w:rsidRPr="00F0140E">
        <w:rPr>
          <w:rFonts w:ascii="Times New Roman" w:hAnsi="Times New Roman" w:cs="Times New Roman"/>
        </w:rPr>
        <w:t xml:space="preserve">Self-Determination Theory (SDT), the organisational adaptation of which was created by Deci and Ryan (2017), is the primary theoretical concept. The SDT </w:t>
      </w:r>
      <w:r w:rsidRPr="00F0140E">
        <w:rPr>
          <w:rFonts w:ascii="Times New Roman" w:hAnsi="Times New Roman" w:cs="Times New Roman"/>
        </w:rPr>
        <w:t>hypothesises</w:t>
      </w:r>
      <w:r w:rsidRPr="00F0140E">
        <w:rPr>
          <w:rFonts w:ascii="Times New Roman" w:hAnsi="Times New Roman" w:cs="Times New Roman"/>
        </w:rPr>
        <w:t xml:space="preserve"> that motivation sustainability is founded on three psychological needs that include autonomy, competence, and relatedness. The three that the structured T&amp;D programmes address are skill-building, developmental agency, and group training: the first </w:t>
      </w:r>
      <w:r w:rsidR="00385CDE" w:rsidRPr="00F0140E">
        <w:rPr>
          <w:rFonts w:ascii="Times New Roman" w:hAnsi="Times New Roman" w:cs="Times New Roman"/>
        </w:rPr>
        <w:t xml:space="preserve">satisfies the competence requirement, the second satisfies the autonomy requirement, and the third </w:t>
      </w:r>
      <w:r w:rsidRPr="00F0140E">
        <w:rPr>
          <w:rFonts w:ascii="Times New Roman" w:hAnsi="Times New Roman" w:cs="Times New Roman"/>
        </w:rPr>
        <w:t xml:space="preserve">satisfies the relatedness requirement (Rigby and Ryan, 2018). SDT can therefore provide theoretically coherent justifications </w:t>
      </w:r>
      <w:r w:rsidR="00385CDE" w:rsidRPr="00F0140E">
        <w:rPr>
          <w:rFonts w:ascii="Times New Roman" w:hAnsi="Times New Roman" w:cs="Times New Roman"/>
        </w:rPr>
        <w:t>for hypothesising</w:t>
      </w:r>
      <w:r w:rsidRPr="00F0140E">
        <w:rPr>
          <w:rFonts w:ascii="Times New Roman" w:hAnsi="Times New Roman" w:cs="Times New Roman"/>
        </w:rPr>
        <w:t xml:space="preserve"> that formal T&amp;D engagement is a favourable foreteller of intrinsic drive. The idea is also justified by Marinakou and Giousmpasoglou (2019)</w:t>
      </w:r>
      <w:r w:rsidRPr="00F0140E">
        <w:rPr>
          <w:rFonts w:ascii="Times New Roman" w:hAnsi="Times New Roman" w:cs="Times New Roman"/>
        </w:rPr>
        <w:t>,</w:t>
      </w:r>
      <w:r w:rsidRPr="00F0140E">
        <w:rPr>
          <w:rFonts w:ascii="Times New Roman" w:hAnsi="Times New Roman" w:cs="Times New Roman"/>
        </w:rPr>
        <w:t xml:space="preserve"> who view the structured development opportunities as one of the most potent motivational commitment drivers in a luxury hotel context in four national backgrounds.</w:t>
      </w:r>
    </w:p>
    <w:p w14:paraId="6F034E91" w14:textId="11497E64" w:rsidR="006C64F5" w:rsidRPr="00F0140E" w:rsidRDefault="003C7CB3" w:rsidP="003C7CB3">
      <w:pPr>
        <w:spacing w:after="120" w:line="480" w:lineRule="auto"/>
        <w:jc w:val="both"/>
        <w:rPr>
          <w:rFonts w:ascii="Times New Roman" w:hAnsi="Times New Roman" w:cs="Times New Roman"/>
        </w:rPr>
      </w:pPr>
      <w:r w:rsidRPr="00F0140E">
        <w:rPr>
          <w:rFonts w:ascii="Times New Roman" w:hAnsi="Times New Roman" w:cs="Times New Roman"/>
        </w:rPr>
        <w:t xml:space="preserve">However, SDT organisational applications are contested in </w:t>
      </w:r>
      <w:r w:rsidR="00385CDE" w:rsidRPr="00F0140E">
        <w:rPr>
          <w:rFonts w:ascii="Times New Roman" w:hAnsi="Times New Roman" w:cs="Times New Roman"/>
        </w:rPr>
        <w:t>ways that yield theoretical findings for</w:t>
      </w:r>
      <w:r w:rsidRPr="00F0140E">
        <w:rPr>
          <w:rFonts w:ascii="Times New Roman" w:hAnsi="Times New Roman" w:cs="Times New Roman"/>
        </w:rPr>
        <w:t xml:space="preserve"> this research. Olafsen et al. (2015) established that pay and procedural justice were independent predictors of intrinsic motivation and that these factors still remained to affect the process even when need satisfaction was taken into consideration</w:t>
      </w:r>
      <w:r w:rsidRPr="00F0140E">
        <w:rPr>
          <w:rFonts w:ascii="Times New Roman" w:hAnsi="Times New Roman" w:cs="Times New Roman"/>
        </w:rPr>
        <w:t>,</w:t>
      </w:r>
      <w:r w:rsidRPr="00F0140E">
        <w:rPr>
          <w:rFonts w:ascii="Times New Roman" w:hAnsi="Times New Roman" w:cs="Times New Roman"/>
        </w:rPr>
        <w:t xml:space="preserve"> which meant that extrinsic factors still played a role in the process and SDT was not able to explain this. It is a </w:t>
      </w:r>
      <w:r w:rsidR="00385CDE" w:rsidRPr="00F0140E">
        <w:rPr>
          <w:rFonts w:ascii="Times New Roman" w:hAnsi="Times New Roman" w:cs="Times New Roman"/>
        </w:rPr>
        <w:t>genuine theoretical dilemma, and the dual-dependent-variable format of the study, which identifies intrinsic and extrinsic motivation as dependent variables, is a no-nonsense methodological response</w:t>
      </w:r>
      <w:r w:rsidRPr="00F0140E">
        <w:rPr>
          <w:rFonts w:ascii="Times New Roman" w:hAnsi="Times New Roman" w:cs="Times New Roman"/>
        </w:rPr>
        <w:t xml:space="preserve">. The Two-Factor Theory of Herzberg also </w:t>
      </w:r>
      <w:r w:rsidRPr="00F0140E">
        <w:rPr>
          <w:rFonts w:ascii="Times New Roman" w:hAnsi="Times New Roman" w:cs="Times New Roman"/>
        </w:rPr>
        <w:t xml:space="preserve">includes a supporting lens, the difference </w:t>
      </w:r>
      <w:r w:rsidRPr="00F0140E">
        <w:rPr>
          <w:rFonts w:ascii="Times New Roman" w:hAnsi="Times New Roman" w:cs="Times New Roman"/>
        </w:rPr>
        <w:lastRenderedPageBreak/>
        <w:t>between hygiene factors and motivators, which Hinton (2019) empirically re-examined and confirmed</w:t>
      </w:r>
      <w:r w:rsidRPr="00F0140E">
        <w:rPr>
          <w:rFonts w:ascii="Times New Roman" w:hAnsi="Times New Roman" w:cs="Times New Roman"/>
        </w:rPr>
        <w:t xml:space="preserve">. The framework by Herzberg assists in </w:t>
      </w:r>
      <w:r w:rsidRPr="00F0140E">
        <w:rPr>
          <w:rFonts w:ascii="Times New Roman" w:hAnsi="Times New Roman" w:cs="Times New Roman"/>
        </w:rPr>
        <w:t>operationalising the subscale of extrinsic motivation and provides the basis for</w:t>
      </w:r>
      <w:r w:rsidRPr="00F0140E">
        <w:rPr>
          <w:rFonts w:ascii="Times New Roman" w:hAnsi="Times New Roman" w:cs="Times New Roman"/>
        </w:rPr>
        <w:t xml:space="preserve"> the conceptual distinction between intrinsic and extrinsic constructs. The use of T&amp;D as an intervention variable is particularly promising in the hospitality setting because it can be used to address the two motivational pathways (Johnson and Park, 2020).</w:t>
      </w:r>
      <w:r w:rsidRPr="00F0140E">
        <w:rPr>
          <w:rFonts w:ascii="Times New Roman" w:hAnsi="Times New Roman" w:cs="Times New Roman"/>
        </w:rPr>
        <w:t xml:space="preserve"> </w:t>
      </w:r>
    </w:p>
    <w:p w14:paraId="1E2CEF4B" w14:textId="2534BDB2" w:rsidR="009D4EFC" w:rsidRPr="00F0140E" w:rsidRDefault="009D4EFC" w:rsidP="00387E72">
      <w:pPr>
        <w:spacing w:after="120" w:line="480" w:lineRule="auto"/>
        <w:jc w:val="both"/>
        <w:rPr>
          <w:rFonts w:ascii="Times New Roman" w:hAnsi="Times New Roman" w:cs="Times New Roman"/>
        </w:rPr>
      </w:pPr>
      <w:r w:rsidRPr="00F0140E">
        <w:rPr>
          <w:rFonts w:ascii="Times New Roman" w:hAnsi="Times New Roman" w:cs="Times New Roman"/>
          <w:noProof/>
        </w:rPr>
        <w:drawing>
          <wp:inline distT="0" distB="0" distL="0" distR="0" wp14:anchorId="2E8EA962" wp14:editId="3F4D2444">
            <wp:extent cx="5101590" cy="2123629"/>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107816" cy="2126221"/>
                    </a:xfrm>
                    <a:prstGeom prst="rect">
                      <a:avLst/>
                    </a:prstGeom>
                    <a:noFill/>
                    <a:ln>
                      <a:noFill/>
                    </a:ln>
                    <a:extLst>
                      <a:ext uri="{53640926-AAD7-44D8-BBD7-CCE9431645EC}">
                        <a14:shadowObscured xmlns:a14="http://schemas.microsoft.com/office/drawing/2010/main"/>
                      </a:ext>
                    </a:extLst>
                  </pic:spPr>
                </pic:pic>
              </a:graphicData>
            </a:graphic>
          </wp:inline>
        </w:drawing>
      </w:r>
    </w:p>
    <w:p w14:paraId="6CEA06AF" w14:textId="77777777" w:rsidR="006C64F5" w:rsidRPr="00F0140E" w:rsidRDefault="006C64F5" w:rsidP="00387E72">
      <w:pPr>
        <w:spacing w:after="120" w:line="480" w:lineRule="auto"/>
        <w:jc w:val="both"/>
        <w:rPr>
          <w:rFonts w:ascii="Times New Roman" w:hAnsi="Times New Roman" w:cs="Times New Roman"/>
        </w:rPr>
      </w:pPr>
    </w:p>
    <w:p w14:paraId="2B4BB2FC"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i/>
          <w:iCs/>
          <w:color w:val="555555"/>
          <w:sz w:val="20"/>
          <w:szCs w:val="20"/>
        </w:rPr>
        <w:t>Figure 2: Conceptual Framework. Formal T&amp;D, Job Satisfaction, and Motivational Outcomes</w:t>
      </w:r>
    </w:p>
    <w:p w14:paraId="2AE55DD5" w14:textId="77777777" w:rsidR="006C64F5" w:rsidRPr="00F0140E" w:rsidRDefault="00000000" w:rsidP="00387E72">
      <w:pPr>
        <w:pStyle w:val="Heading2"/>
        <w:spacing w:line="480" w:lineRule="auto"/>
      </w:pPr>
      <w:bookmarkStart w:id="11" w:name="_Toc225816476"/>
      <w:r w:rsidRPr="00F0140E">
        <w:t>2.2  Critical Review of Existing Empirical Research</w:t>
      </w:r>
      <w:bookmarkEnd w:id="11"/>
    </w:p>
    <w:p w14:paraId="34AF0727" w14:textId="2D6DB5A2" w:rsidR="000472CB" w:rsidRPr="00F0140E" w:rsidRDefault="000472CB"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Empirical studies on T&amp;D and employee performance are vast, but methodologically dissimilar. In an early meta-analysis, Aguinis and Kraiger (2009) concluded that T&amp;D produces demonstrable individual, team, and </w:t>
      </w:r>
      <w:r w:rsidR="00072652" w:rsidRPr="00F0140E">
        <w:rPr>
          <w:rFonts w:ascii="Times New Roman" w:hAnsi="Times New Roman" w:cs="Times New Roman"/>
        </w:rPr>
        <w:t>organisational-level benefits, and, importantly, that motivation was a mediating variable rather than</w:t>
      </w:r>
      <w:r w:rsidRPr="00F0140E">
        <w:rPr>
          <w:rFonts w:ascii="Times New Roman" w:hAnsi="Times New Roman" w:cs="Times New Roman"/>
        </w:rPr>
        <w:t xml:space="preserve"> a dependent construct. Salas et al. (2012) go further to show that transfer climate is the most sensitive parameter </w:t>
      </w:r>
      <w:r w:rsidR="00072652" w:rsidRPr="00F0140E">
        <w:rPr>
          <w:rFonts w:ascii="Times New Roman" w:hAnsi="Times New Roman" w:cs="Times New Roman"/>
        </w:rPr>
        <w:t>in determining the effectiveness of training, the extent to which training is viewed as relevant, and its reinforcement</w:t>
      </w:r>
      <w:r w:rsidRPr="00F0140E">
        <w:rPr>
          <w:rFonts w:ascii="Times New Roman" w:hAnsi="Times New Roman" w:cs="Times New Roman"/>
        </w:rPr>
        <w:t xml:space="preserve"> by the manager. In the weak transfer climate, training has little motivational impact</w:t>
      </w:r>
      <w:r w:rsidR="00072652" w:rsidRPr="00F0140E">
        <w:rPr>
          <w:rFonts w:ascii="Times New Roman" w:hAnsi="Times New Roman" w:cs="Times New Roman"/>
        </w:rPr>
        <w:t xml:space="preserve">, which depends on the quality of the training content, </w:t>
      </w:r>
      <w:r w:rsidR="009765D1" w:rsidRPr="00F0140E">
        <w:rPr>
          <w:rFonts w:ascii="Times New Roman" w:hAnsi="Times New Roman" w:cs="Times New Roman"/>
        </w:rPr>
        <w:t>underscoring the need to include</w:t>
      </w:r>
      <w:r w:rsidR="00072652" w:rsidRPr="00F0140E">
        <w:rPr>
          <w:rFonts w:ascii="Times New Roman" w:hAnsi="Times New Roman" w:cs="Times New Roman"/>
        </w:rPr>
        <w:t xml:space="preserve"> </w:t>
      </w:r>
      <w:r w:rsidR="00385CDE" w:rsidRPr="00F0140E">
        <w:rPr>
          <w:rFonts w:ascii="Times New Roman" w:hAnsi="Times New Roman" w:cs="Times New Roman"/>
        </w:rPr>
        <w:t xml:space="preserve">training quality perception </w:t>
      </w:r>
      <w:r w:rsidR="00072652" w:rsidRPr="00F0140E">
        <w:rPr>
          <w:rFonts w:ascii="Times New Roman" w:hAnsi="Times New Roman" w:cs="Times New Roman"/>
        </w:rPr>
        <w:t>as a sub-construct in</w:t>
      </w:r>
      <w:r w:rsidRPr="00F0140E">
        <w:rPr>
          <w:rFonts w:ascii="Times New Roman" w:hAnsi="Times New Roman" w:cs="Times New Roman"/>
        </w:rPr>
        <w:t xml:space="preserve"> the suggested survey tool.</w:t>
      </w:r>
    </w:p>
    <w:p w14:paraId="39B239DD" w14:textId="6954EAE7" w:rsidR="000472CB" w:rsidRPr="00F0140E" w:rsidRDefault="000472CB" w:rsidP="00387E72">
      <w:pPr>
        <w:spacing w:after="120" w:line="480" w:lineRule="auto"/>
        <w:jc w:val="both"/>
        <w:rPr>
          <w:rFonts w:ascii="Times New Roman" w:hAnsi="Times New Roman" w:cs="Times New Roman"/>
        </w:rPr>
      </w:pPr>
      <w:r w:rsidRPr="00F0140E">
        <w:rPr>
          <w:rFonts w:ascii="Times New Roman" w:hAnsi="Times New Roman" w:cs="Times New Roman"/>
        </w:rPr>
        <w:lastRenderedPageBreak/>
        <w:t xml:space="preserve">The relationship between training and motivation studies </w:t>
      </w:r>
      <w:r w:rsidR="00072652" w:rsidRPr="00F0140E">
        <w:rPr>
          <w:rFonts w:ascii="Times New Roman" w:hAnsi="Times New Roman" w:cs="Times New Roman"/>
        </w:rPr>
        <w:t>indicates</w:t>
      </w:r>
      <w:r w:rsidRPr="00F0140E">
        <w:rPr>
          <w:rFonts w:ascii="Times New Roman" w:hAnsi="Times New Roman" w:cs="Times New Roman"/>
        </w:rPr>
        <w:t xml:space="preserve"> a more disputed landscape when they focus on the </w:t>
      </w:r>
      <w:r w:rsidR="009765D1" w:rsidRPr="00F0140E">
        <w:rPr>
          <w:rFonts w:ascii="Times New Roman" w:hAnsi="Times New Roman" w:cs="Times New Roman"/>
        </w:rPr>
        <w:t xml:space="preserve">two </w:t>
      </w:r>
      <w:r w:rsidR="00385CDE" w:rsidRPr="00F0140E">
        <w:rPr>
          <w:rFonts w:ascii="Times New Roman" w:hAnsi="Times New Roman" w:cs="Times New Roman"/>
        </w:rPr>
        <w:t>more directly</w:t>
      </w:r>
      <w:r w:rsidRPr="00F0140E">
        <w:rPr>
          <w:rFonts w:ascii="Times New Roman" w:hAnsi="Times New Roman" w:cs="Times New Roman"/>
        </w:rPr>
        <w:t xml:space="preserve">. Niati et al. (2021) confirmed that a one-factor construct of motivation and a non-service-sector sample were positively predicted by training and motivation, as well as career development. In their analysis of training in South Asian hospitality environments, Arwab et al. (2022) concluded that training mediated </w:t>
      </w:r>
      <w:r w:rsidR="00072652" w:rsidRPr="00F0140E">
        <w:rPr>
          <w:rFonts w:ascii="Times New Roman" w:hAnsi="Times New Roman" w:cs="Times New Roman"/>
        </w:rPr>
        <w:t>the relationship between training and task performance through</w:t>
      </w:r>
      <w:r w:rsidRPr="00F0140E">
        <w:rPr>
          <w:rFonts w:ascii="Times New Roman" w:hAnsi="Times New Roman" w:cs="Times New Roman"/>
        </w:rPr>
        <w:t xml:space="preserve"> employee engagement, whereas the UK structural environment </w:t>
      </w:r>
      <w:r w:rsidR="009765D1" w:rsidRPr="00F0140E">
        <w:rPr>
          <w:rFonts w:ascii="Times New Roman" w:hAnsi="Times New Roman" w:cs="Times New Roman"/>
        </w:rPr>
        <w:t>differs significantly</w:t>
      </w:r>
      <w:r w:rsidRPr="00F0140E">
        <w:rPr>
          <w:rFonts w:ascii="Times New Roman" w:hAnsi="Times New Roman" w:cs="Times New Roman"/>
        </w:rPr>
        <w:t xml:space="preserve">. In an Indonesian hospitality sample, Awoitau et al. (2024) </w:t>
      </w:r>
      <w:r w:rsidR="00072652" w:rsidRPr="00F0140E">
        <w:rPr>
          <w:rFonts w:ascii="Times New Roman" w:hAnsi="Times New Roman" w:cs="Times New Roman"/>
        </w:rPr>
        <w:t xml:space="preserve">found that compensation, rather than training, was the overall predictor of motivation, which may be due to cross-cultural differences or to </w:t>
      </w:r>
      <w:r w:rsidR="009765D1" w:rsidRPr="00F0140E">
        <w:rPr>
          <w:rFonts w:ascii="Times New Roman" w:hAnsi="Times New Roman" w:cs="Times New Roman"/>
        </w:rPr>
        <w:t>differences in the scales used</w:t>
      </w:r>
      <w:r w:rsidRPr="00F0140E">
        <w:rPr>
          <w:rFonts w:ascii="Times New Roman" w:hAnsi="Times New Roman" w:cs="Times New Roman"/>
        </w:rPr>
        <w:t>. The same results were obtained by Suhardi et al. (2023), who did not separate motivational types but identified independent and interactive impacts of training and motivation on productivity. All these results highlight the importance of a methodologically controlled UK-specific study.</w:t>
      </w:r>
    </w:p>
    <w:p w14:paraId="05629856" w14:textId="0AE0581C" w:rsidR="000472CB" w:rsidRPr="00F0140E" w:rsidRDefault="00072652" w:rsidP="00387E72">
      <w:pPr>
        <w:spacing w:after="120" w:line="480" w:lineRule="auto"/>
        <w:jc w:val="both"/>
        <w:rPr>
          <w:rFonts w:ascii="Times New Roman" w:hAnsi="Times New Roman" w:cs="Times New Roman"/>
        </w:rPr>
      </w:pPr>
      <w:r w:rsidRPr="00F0140E">
        <w:rPr>
          <w:rFonts w:ascii="Times New Roman" w:hAnsi="Times New Roman" w:cs="Times New Roman"/>
        </w:rPr>
        <w:t>The content and design of training are</w:t>
      </w:r>
      <w:r w:rsidR="000472CB" w:rsidRPr="00F0140E">
        <w:rPr>
          <w:rFonts w:ascii="Times New Roman" w:hAnsi="Times New Roman" w:cs="Times New Roman"/>
        </w:rPr>
        <w:t xml:space="preserve"> even more complicated. Murray and Snider (2001) </w:t>
      </w:r>
      <w:r w:rsidR="009765D1" w:rsidRPr="00F0140E">
        <w:rPr>
          <w:rFonts w:ascii="Times New Roman" w:hAnsi="Times New Roman" w:cs="Times New Roman"/>
        </w:rPr>
        <w:t xml:space="preserve">found that poorly organised training </w:t>
      </w:r>
      <w:r w:rsidR="00F0140E" w:rsidRPr="00F0140E">
        <w:rPr>
          <w:rFonts w:ascii="Times New Roman" w:hAnsi="Times New Roman" w:cs="Times New Roman"/>
        </w:rPr>
        <w:t>was frustrating and did not motivate</w:t>
      </w:r>
      <w:r w:rsidR="003C7CB3" w:rsidRPr="00F0140E">
        <w:rPr>
          <w:rFonts w:ascii="Times New Roman" w:hAnsi="Times New Roman" w:cs="Times New Roman"/>
        </w:rPr>
        <w:t>. Minor</w:t>
      </w:r>
      <w:r w:rsidR="009765D1" w:rsidRPr="00F0140E">
        <w:rPr>
          <w:rFonts w:ascii="Times New Roman" w:hAnsi="Times New Roman" w:cs="Times New Roman"/>
        </w:rPr>
        <w:t xml:space="preserve"> et al. (2024) </w:t>
      </w:r>
      <w:r w:rsidR="00FA37AB">
        <w:rPr>
          <w:rFonts w:ascii="Times New Roman" w:hAnsi="Times New Roman" w:cs="Times New Roman"/>
        </w:rPr>
        <w:t xml:space="preserve">and </w:t>
      </w:r>
      <w:r w:rsidR="00FA37AB" w:rsidRPr="00FA37AB">
        <w:rPr>
          <w:rFonts w:ascii="Times New Roman" w:hAnsi="Times New Roman" w:cs="Times New Roman"/>
        </w:rPr>
        <w:t>Rienda et al. (2024)</w:t>
      </w:r>
      <w:r w:rsidR="00FA37AB">
        <w:rPr>
          <w:rFonts w:ascii="Times New Roman" w:hAnsi="Times New Roman" w:cs="Times New Roman"/>
        </w:rPr>
        <w:t xml:space="preserve"> </w:t>
      </w:r>
      <w:r w:rsidR="009765D1" w:rsidRPr="00F0140E">
        <w:rPr>
          <w:rFonts w:ascii="Times New Roman" w:hAnsi="Times New Roman" w:cs="Times New Roman"/>
        </w:rPr>
        <w:t>found</w:t>
      </w:r>
      <w:r w:rsidR="000472CB" w:rsidRPr="00F0140E">
        <w:rPr>
          <w:rFonts w:ascii="Times New Roman" w:hAnsi="Times New Roman" w:cs="Times New Roman"/>
        </w:rPr>
        <w:t xml:space="preserve"> that digital capability development was </w:t>
      </w:r>
      <w:r w:rsidR="003C7CB3" w:rsidRPr="00F0140E">
        <w:rPr>
          <w:rFonts w:ascii="Times New Roman" w:hAnsi="Times New Roman" w:cs="Times New Roman"/>
        </w:rPr>
        <w:t>associated with greater</w:t>
      </w:r>
      <w:r w:rsidR="000472CB" w:rsidRPr="00F0140E">
        <w:rPr>
          <w:rFonts w:ascii="Times New Roman" w:hAnsi="Times New Roman" w:cs="Times New Roman"/>
        </w:rPr>
        <w:t xml:space="preserve"> staff flexibility and motivation in UK hospitality and tourism. Carlisle et al. (2021</w:t>
      </w:r>
      <w:r w:rsidR="004C3742">
        <w:rPr>
          <w:rFonts w:ascii="Times New Roman" w:hAnsi="Times New Roman" w:cs="Times New Roman"/>
        </w:rPr>
        <w:t>b</w:t>
      </w:r>
      <w:r w:rsidR="000472CB" w:rsidRPr="00F0140E">
        <w:rPr>
          <w:rFonts w:ascii="Times New Roman" w:hAnsi="Times New Roman" w:cs="Times New Roman"/>
        </w:rPr>
        <w:t xml:space="preserve">) warn that motivationally beneficial training is achieved only when </w:t>
      </w:r>
      <w:r w:rsidR="009765D1" w:rsidRPr="00F0140E">
        <w:rPr>
          <w:rFonts w:ascii="Times New Roman" w:hAnsi="Times New Roman" w:cs="Times New Roman"/>
        </w:rPr>
        <w:t>it is considered role-relevant, and Hosen et al. (2023) verify that developmental quality, rather than frequency, is the key condition for</w:t>
      </w:r>
      <w:r w:rsidR="000472CB" w:rsidRPr="00F0140E">
        <w:rPr>
          <w:rFonts w:ascii="Times New Roman" w:hAnsi="Times New Roman" w:cs="Times New Roman"/>
        </w:rPr>
        <w:t xml:space="preserve"> training to increase performance. Bhat (2023) goes further to suggest that metacognitive awareness is a moderator of training-learning correlations, so that individual-level variables can further mediate the training-motivation relationship.</w:t>
      </w:r>
    </w:p>
    <w:p w14:paraId="12AF74E9" w14:textId="26F3D552" w:rsidR="006C64F5" w:rsidRPr="00F0140E" w:rsidRDefault="000472CB"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Another aspect that needs </w:t>
      </w:r>
      <w:r w:rsidR="00072652" w:rsidRPr="00F0140E">
        <w:rPr>
          <w:rFonts w:ascii="Times New Roman" w:hAnsi="Times New Roman" w:cs="Times New Roman"/>
        </w:rPr>
        <w:t>to be mentioned</w:t>
      </w:r>
      <w:r w:rsidRPr="00F0140E">
        <w:rPr>
          <w:rFonts w:ascii="Times New Roman" w:hAnsi="Times New Roman" w:cs="Times New Roman"/>
        </w:rPr>
        <w:t xml:space="preserve"> is line-manager involvement. Hassard et al. (2024) </w:t>
      </w:r>
      <w:r w:rsidR="00072652" w:rsidRPr="00F0140E">
        <w:rPr>
          <w:rFonts w:ascii="Times New Roman" w:hAnsi="Times New Roman" w:cs="Times New Roman"/>
        </w:rPr>
        <w:t xml:space="preserve">found that workplace wellbeing training for managers generated quantifiable organisational rewards, </w:t>
      </w:r>
      <w:r w:rsidR="009765D1" w:rsidRPr="00F0140E">
        <w:rPr>
          <w:rFonts w:ascii="Times New Roman" w:hAnsi="Times New Roman" w:cs="Times New Roman"/>
        </w:rPr>
        <w:t>particularly in relation</w:t>
      </w:r>
      <w:r w:rsidRPr="00F0140E">
        <w:rPr>
          <w:rFonts w:ascii="Times New Roman" w:hAnsi="Times New Roman" w:cs="Times New Roman"/>
        </w:rPr>
        <w:t xml:space="preserve"> to the SDT dimension of relatedness. Robert and Mori (2024) </w:t>
      </w:r>
      <w:r w:rsidRPr="00F0140E">
        <w:rPr>
          <w:rFonts w:ascii="Times New Roman" w:hAnsi="Times New Roman" w:cs="Times New Roman"/>
        </w:rPr>
        <w:lastRenderedPageBreak/>
        <w:t xml:space="preserve">also </w:t>
      </w:r>
      <w:r w:rsidR="00072652" w:rsidRPr="00F0140E">
        <w:rPr>
          <w:rFonts w:ascii="Times New Roman" w:hAnsi="Times New Roman" w:cs="Times New Roman"/>
        </w:rPr>
        <w:t>show that systematic training needs assessment significantly enhances motivational outcomes, suggesting that the T&amp;D design process has motivational effects</w:t>
      </w:r>
      <w:r w:rsidRPr="00F0140E">
        <w:rPr>
          <w:rFonts w:ascii="Times New Roman" w:hAnsi="Times New Roman" w:cs="Times New Roman"/>
        </w:rPr>
        <w:t xml:space="preserve"> regardless of what is taught. The overall implications of these findings are that the training-motivation relationship is more </w:t>
      </w:r>
      <w:r w:rsidR="009765D1" w:rsidRPr="00F0140E">
        <w:rPr>
          <w:rFonts w:ascii="Times New Roman" w:hAnsi="Times New Roman" w:cs="Times New Roman"/>
        </w:rPr>
        <w:t xml:space="preserve">complex and multi-layered than that </w:t>
      </w:r>
      <w:r w:rsidRPr="00F0140E">
        <w:rPr>
          <w:rFonts w:ascii="Times New Roman" w:hAnsi="Times New Roman" w:cs="Times New Roman"/>
        </w:rPr>
        <w:t>investigated in the available UK hospitality literature</w:t>
      </w:r>
      <w:r w:rsidR="00501473">
        <w:rPr>
          <w:rFonts w:ascii="Times New Roman" w:hAnsi="Times New Roman" w:cs="Times New Roman"/>
        </w:rPr>
        <w:t xml:space="preserve"> (</w:t>
      </w:r>
      <w:r w:rsidR="00501473" w:rsidRPr="00501473">
        <w:rPr>
          <w:rFonts w:ascii="Times New Roman" w:hAnsi="Times New Roman" w:cs="Times New Roman"/>
        </w:rPr>
        <w:t>Franzoni et al.</w:t>
      </w:r>
      <w:r w:rsidR="00501473">
        <w:rPr>
          <w:rFonts w:ascii="Times New Roman" w:hAnsi="Times New Roman" w:cs="Times New Roman"/>
        </w:rPr>
        <w:t xml:space="preserve">, </w:t>
      </w:r>
      <w:r w:rsidR="00501473" w:rsidRPr="00501473">
        <w:rPr>
          <w:rFonts w:ascii="Times New Roman" w:hAnsi="Times New Roman" w:cs="Times New Roman"/>
        </w:rPr>
        <w:t>2021)</w:t>
      </w:r>
      <w:r w:rsidRPr="00F0140E">
        <w:rPr>
          <w:rFonts w:ascii="Times New Roman" w:hAnsi="Times New Roman" w:cs="Times New Roman"/>
        </w:rPr>
        <w:t xml:space="preserve">. </w:t>
      </w:r>
    </w:p>
    <w:p w14:paraId="7024BD52"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b/>
          <w:bCs/>
          <w:i/>
          <w:iCs/>
          <w:color w:val="333333"/>
          <w:sz w:val="20"/>
          <w:szCs w:val="20"/>
        </w:rPr>
        <w:t>Table 1: Contrasting Scholarly Positions on the Training-Motivation Relationship</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2400"/>
        <w:gridCol w:w="3826"/>
      </w:tblGrid>
      <w:tr w:rsidR="006C64F5" w:rsidRPr="00F0140E" w14:paraId="68283F2B" w14:textId="77777777">
        <w:tc>
          <w:tcPr>
            <w:tcW w:w="2800" w:type="dxa"/>
            <w:tcBorders>
              <w:top w:val="single" w:sz="4" w:space="0" w:color="D9D9D9"/>
              <w:left w:val="single" w:sz="4" w:space="0" w:color="D9D9D9"/>
              <w:bottom w:val="single" w:sz="4" w:space="0" w:color="D9D9D9"/>
              <w:right w:val="single" w:sz="4" w:space="0" w:color="D9D9D9"/>
            </w:tcBorders>
            <w:shd w:val="clear" w:color="auto" w:fill="BDD7EE"/>
            <w:tcMar>
              <w:top w:w="80" w:type="dxa"/>
              <w:left w:w="120" w:type="dxa"/>
              <w:bottom w:w="80" w:type="dxa"/>
              <w:right w:w="120" w:type="dxa"/>
            </w:tcMar>
          </w:tcPr>
          <w:p w14:paraId="4C7FF936"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b/>
                <w:bCs/>
              </w:rPr>
              <w:t>Scholarly Position</w:t>
            </w:r>
          </w:p>
        </w:tc>
        <w:tc>
          <w:tcPr>
            <w:tcW w:w="2400" w:type="dxa"/>
            <w:tcBorders>
              <w:top w:val="single" w:sz="4" w:space="0" w:color="D9D9D9"/>
              <w:left w:val="single" w:sz="4" w:space="0" w:color="D9D9D9"/>
              <w:bottom w:val="single" w:sz="4" w:space="0" w:color="D9D9D9"/>
              <w:right w:val="single" w:sz="4" w:space="0" w:color="D9D9D9"/>
            </w:tcBorders>
            <w:shd w:val="clear" w:color="auto" w:fill="BDD7EE"/>
            <w:tcMar>
              <w:top w:w="80" w:type="dxa"/>
              <w:left w:w="120" w:type="dxa"/>
              <w:bottom w:w="80" w:type="dxa"/>
              <w:right w:w="120" w:type="dxa"/>
            </w:tcMar>
          </w:tcPr>
          <w:p w14:paraId="6488615C"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b/>
                <w:bCs/>
              </w:rPr>
              <w:t>Representative Evidence</w:t>
            </w:r>
          </w:p>
        </w:tc>
        <w:tc>
          <w:tcPr>
            <w:tcW w:w="3826" w:type="dxa"/>
            <w:tcBorders>
              <w:top w:val="single" w:sz="4" w:space="0" w:color="D9D9D9"/>
              <w:left w:val="single" w:sz="4" w:space="0" w:color="D9D9D9"/>
              <w:bottom w:val="single" w:sz="4" w:space="0" w:color="D9D9D9"/>
              <w:right w:val="single" w:sz="4" w:space="0" w:color="D9D9D9"/>
            </w:tcBorders>
            <w:shd w:val="clear" w:color="auto" w:fill="BDD7EE"/>
            <w:tcMar>
              <w:top w:w="80" w:type="dxa"/>
              <w:left w:w="120" w:type="dxa"/>
              <w:bottom w:w="80" w:type="dxa"/>
              <w:right w:w="120" w:type="dxa"/>
            </w:tcMar>
          </w:tcPr>
          <w:p w14:paraId="5F0BF0F8"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b/>
                <w:bCs/>
              </w:rPr>
              <w:t>Critical Limitation</w:t>
            </w:r>
          </w:p>
        </w:tc>
      </w:tr>
      <w:tr w:rsidR="006C64F5" w:rsidRPr="00F0140E" w14:paraId="15ACEF0B" w14:textId="77777777">
        <w:tc>
          <w:tcPr>
            <w:tcW w:w="280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6B0C5618"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Training directly predicts intrinsic motivation via competence need satisfaction</w:t>
            </w:r>
          </w:p>
        </w:tc>
        <w:tc>
          <w:tcPr>
            <w:tcW w:w="240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534FD220"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Niati et al. (2021); Rigby and Ryan (2018)</w:t>
            </w:r>
          </w:p>
        </w:tc>
        <w:tc>
          <w:tcPr>
            <w:tcW w:w="3826"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383CF5C2"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Samples non-UK; motivation measured as single undifferentiated construct</w:t>
            </w:r>
          </w:p>
        </w:tc>
      </w:tr>
      <w:tr w:rsidR="006C64F5" w:rsidRPr="00F0140E" w14:paraId="6910FE50" w14:textId="77777777">
        <w:tc>
          <w:tcPr>
            <w:tcW w:w="2800"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265B2B20"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Extrinsic factors independently outweigh training as motivation predictors</w:t>
            </w:r>
          </w:p>
        </w:tc>
        <w:tc>
          <w:tcPr>
            <w:tcW w:w="2400"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129231F6"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Awoitau et al. (2024); Olafsen et al. (2015)</w:t>
            </w:r>
          </w:p>
        </w:tc>
        <w:tc>
          <w:tcPr>
            <w:tcW w:w="3826"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0D935AD9"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Cross-national variation unexplained; instruments not equivalent across studies</w:t>
            </w:r>
          </w:p>
        </w:tc>
      </w:tr>
      <w:tr w:rsidR="006C64F5" w:rsidRPr="00F0140E" w14:paraId="788A01B6" w14:textId="77777777">
        <w:tc>
          <w:tcPr>
            <w:tcW w:w="280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4BF927D7"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Training effect is contingent on perceived quality and transfer climate</w:t>
            </w:r>
          </w:p>
        </w:tc>
        <w:tc>
          <w:tcPr>
            <w:tcW w:w="240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307A48B6"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Salas et al. (2012); Bhat (2023)</w:t>
            </w:r>
          </w:p>
        </w:tc>
        <w:tc>
          <w:tcPr>
            <w:tcW w:w="3826"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5E442D48"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Transfer climate and metacognition rarely operationalised as measured variables</w:t>
            </w:r>
          </w:p>
        </w:tc>
      </w:tr>
      <w:tr w:rsidR="006C64F5" w:rsidRPr="00F0140E" w14:paraId="2501DE05" w14:textId="77777777">
        <w:tc>
          <w:tcPr>
            <w:tcW w:w="2800"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6170AC29"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 xml:space="preserve">Digital and soft skills training addresses </w:t>
            </w:r>
            <w:r w:rsidRPr="00F0140E">
              <w:rPr>
                <w:rFonts w:ascii="Times New Roman" w:hAnsi="Times New Roman" w:cs="Times New Roman"/>
              </w:rPr>
              <w:lastRenderedPageBreak/>
              <w:t>competence needs and improves motivation</w:t>
            </w:r>
          </w:p>
        </w:tc>
        <w:tc>
          <w:tcPr>
            <w:tcW w:w="2400"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3A898347" w14:textId="23E41005"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lastRenderedPageBreak/>
              <w:t>Minor et al. (2024); Carlisle et al. (2021</w:t>
            </w:r>
            <w:r w:rsidR="004C3742">
              <w:rPr>
                <w:rFonts w:ascii="Times New Roman" w:hAnsi="Times New Roman" w:cs="Times New Roman"/>
              </w:rPr>
              <w:t>a</w:t>
            </w:r>
            <w:r w:rsidRPr="00F0140E">
              <w:rPr>
                <w:rFonts w:ascii="Times New Roman" w:hAnsi="Times New Roman" w:cs="Times New Roman"/>
              </w:rPr>
              <w:t>)</w:t>
            </w:r>
          </w:p>
        </w:tc>
        <w:tc>
          <w:tcPr>
            <w:tcW w:w="3826"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487E013A"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Benefits conditional on perceived role relevance of training content</w:t>
            </w:r>
          </w:p>
        </w:tc>
      </w:tr>
      <w:tr w:rsidR="006C64F5" w:rsidRPr="00F0140E" w14:paraId="79E25636" w14:textId="77777777">
        <w:tc>
          <w:tcPr>
            <w:tcW w:w="280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53AF3863"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Line manager training amplifies motivational returns for front-line staff</w:t>
            </w:r>
          </w:p>
        </w:tc>
        <w:tc>
          <w:tcPr>
            <w:tcW w:w="240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04130E40"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Hassard et al. (2024); Robert and Mori (2024)</w:t>
            </w:r>
          </w:p>
        </w:tc>
        <w:tc>
          <w:tcPr>
            <w:tcW w:w="3826"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6A167062" w14:textId="77777777" w:rsidR="006C64F5" w:rsidRPr="00F0140E" w:rsidRDefault="00000000" w:rsidP="00387E72">
            <w:pPr>
              <w:spacing w:line="480" w:lineRule="auto"/>
              <w:rPr>
                <w:rFonts w:ascii="Times New Roman" w:hAnsi="Times New Roman" w:cs="Times New Roman"/>
              </w:rPr>
            </w:pPr>
            <w:r w:rsidRPr="00F0140E">
              <w:rPr>
                <w:rFonts w:ascii="Times New Roman" w:hAnsi="Times New Roman" w:cs="Times New Roman"/>
              </w:rPr>
              <w:t>Manager-level training studied in isolation from front-line motivational outcomes</w:t>
            </w:r>
          </w:p>
        </w:tc>
      </w:tr>
    </w:tbl>
    <w:p w14:paraId="7B12440F" w14:textId="77777777" w:rsidR="006C64F5" w:rsidRPr="00F0140E" w:rsidRDefault="006C64F5" w:rsidP="00387E72">
      <w:pPr>
        <w:spacing w:after="120" w:line="480" w:lineRule="auto"/>
        <w:jc w:val="both"/>
        <w:rPr>
          <w:rFonts w:ascii="Times New Roman" w:hAnsi="Times New Roman" w:cs="Times New Roman"/>
        </w:rPr>
      </w:pPr>
    </w:p>
    <w:p w14:paraId="06C9E9C4" w14:textId="77777777" w:rsidR="006C64F5" w:rsidRPr="00F0140E" w:rsidRDefault="00000000" w:rsidP="00387E72">
      <w:pPr>
        <w:pStyle w:val="Heading2"/>
        <w:spacing w:line="480" w:lineRule="auto"/>
      </w:pPr>
      <w:bookmarkStart w:id="12" w:name="_Toc225816477"/>
      <w:r w:rsidRPr="00F0140E">
        <w:t>2.3  Contextual Review: The UK Hospitality Sector</w:t>
      </w:r>
      <w:bookmarkEnd w:id="12"/>
    </w:p>
    <w:p w14:paraId="2833D768" w14:textId="0B33506C" w:rsidR="00491E0D"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 available literature on training and motivation in the UK hospitality </w:t>
      </w:r>
      <w:r w:rsidR="00072652" w:rsidRPr="00F0140E">
        <w:rPr>
          <w:rFonts w:ascii="Times New Roman" w:hAnsi="Times New Roman" w:cs="Times New Roman"/>
        </w:rPr>
        <w:t xml:space="preserve">industry </w:t>
      </w:r>
      <w:r w:rsidRPr="00F0140E">
        <w:rPr>
          <w:rFonts w:ascii="Times New Roman" w:hAnsi="Times New Roman" w:cs="Times New Roman"/>
        </w:rPr>
        <w:t xml:space="preserve">is thinner and methodologically </w:t>
      </w:r>
      <w:r w:rsidR="009765D1" w:rsidRPr="00F0140E">
        <w:rPr>
          <w:rFonts w:ascii="Times New Roman" w:hAnsi="Times New Roman" w:cs="Times New Roman"/>
        </w:rPr>
        <w:t xml:space="preserve">more constrained than the general management literature </w:t>
      </w:r>
      <w:r w:rsidRPr="00F0140E">
        <w:rPr>
          <w:rFonts w:ascii="Times New Roman" w:hAnsi="Times New Roman" w:cs="Times New Roman"/>
        </w:rPr>
        <w:t xml:space="preserve">suggests. Waqanimaravu and Arasanmi (2020) did not find any negative relationship between training and </w:t>
      </w:r>
      <w:r w:rsidR="009765D1" w:rsidRPr="00F0140E">
        <w:rPr>
          <w:rFonts w:ascii="Times New Roman" w:hAnsi="Times New Roman" w:cs="Times New Roman"/>
        </w:rPr>
        <w:t>service quality</w:t>
      </w:r>
      <w:r w:rsidR="00385CDE" w:rsidRPr="00F0140E">
        <w:rPr>
          <w:rFonts w:ascii="Times New Roman" w:hAnsi="Times New Roman" w:cs="Times New Roman"/>
        </w:rPr>
        <w:t>. Still, they observed</w:t>
      </w:r>
      <w:r w:rsidR="009765D1" w:rsidRPr="00F0140E">
        <w:rPr>
          <w:rFonts w:ascii="Times New Roman" w:hAnsi="Times New Roman" w:cs="Times New Roman"/>
        </w:rPr>
        <w:t xml:space="preserve"> that informal on-the-job teaching was more prevalent than</w:t>
      </w:r>
      <w:r w:rsidRPr="00F0140E">
        <w:rPr>
          <w:rFonts w:ascii="Times New Roman" w:hAnsi="Times New Roman" w:cs="Times New Roman"/>
        </w:rPr>
        <w:t xml:space="preserve"> formal T&amp;D programmes in most operators. This implies that the survey tool should clearly differentiate between formal and informal learning </w:t>
      </w:r>
      <w:r w:rsidR="00072652" w:rsidRPr="00F0140E">
        <w:rPr>
          <w:rFonts w:ascii="Times New Roman" w:hAnsi="Times New Roman" w:cs="Times New Roman"/>
        </w:rPr>
        <w:t>to achieve</w:t>
      </w:r>
      <w:r w:rsidRPr="00F0140E">
        <w:rPr>
          <w:rFonts w:ascii="Times New Roman" w:hAnsi="Times New Roman" w:cs="Times New Roman"/>
        </w:rPr>
        <w:t xml:space="preserve"> construct validity. Bigger brand chains like Marriott and Whitbread have more established training programmes than independent operators</w:t>
      </w:r>
      <w:r w:rsidR="004C3742">
        <w:rPr>
          <w:rFonts w:ascii="Times New Roman" w:hAnsi="Times New Roman" w:cs="Times New Roman"/>
        </w:rPr>
        <w:t>, a finding</w:t>
      </w:r>
      <w:r w:rsidRPr="00F0140E">
        <w:rPr>
          <w:rFonts w:ascii="Times New Roman" w:hAnsi="Times New Roman" w:cs="Times New Roman"/>
        </w:rPr>
        <w:t xml:space="preserve"> supported by Gupta and Sharma (2025)</w:t>
      </w:r>
      <w:r w:rsidR="004C3742">
        <w:rPr>
          <w:rFonts w:ascii="Times New Roman" w:hAnsi="Times New Roman" w:cs="Times New Roman"/>
        </w:rPr>
        <w:t xml:space="preserve"> and </w:t>
      </w:r>
      <w:r w:rsidR="004C3742" w:rsidRPr="004C3742">
        <w:rPr>
          <w:rFonts w:ascii="Times New Roman" w:hAnsi="Times New Roman" w:cs="Times New Roman"/>
        </w:rPr>
        <w:t>Ali et al. (2020)</w:t>
      </w:r>
      <w:r w:rsidR="00072652" w:rsidRPr="00F0140E">
        <w:rPr>
          <w:rFonts w:ascii="Times New Roman" w:hAnsi="Times New Roman" w:cs="Times New Roman"/>
        </w:rPr>
        <w:t>,</w:t>
      </w:r>
      <w:r w:rsidRPr="00F0140E">
        <w:rPr>
          <w:rFonts w:ascii="Times New Roman" w:hAnsi="Times New Roman" w:cs="Times New Roman"/>
        </w:rPr>
        <w:t xml:space="preserve"> who find that brand-aligned properties invariably fare better on training investment scales than independents.</w:t>
      </w:r>
    </w:p>
    <w:p w14:paraId="69EF23A0" w14:textId="7BFC2DFF" w:rsidR="00491E0D"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One of the few studies with a specific UK hospitality worker population, Kotera et al. (2018) </w:t>
      </w:r>
      <w:r w:rsidR="009765D1" w:rsidRPr="00F0140E">
        <w:rPr>
          <w:rFonts w:ascii="Times New Roman" w:hAnsi="Times New Roman" w:cs="Times New Roman"/>
        </w:rPr>
        <w:t xml:space="preserve">found that extrinsic factors, especially job insecurity and low wages, accounted for most motivational profiles, with intrinsic motivation frail and susceptible to </w:t>
      </w:r>
      <w:r w:rsidRPr="00F0140E">
        <w:rPr>
          <w:rFonts w:ascii="Times New Roman" w:hAnsi="Times New Roman" w:cs="Times New Roman"/>
        </w:rPr>
        <w:t>managerial behaviour. Most importantly, T&amp;D engagement was not to be used as a variable</w:t>
      </w:r>
      <w:r w:rsidR="00072652" w:rsidRPr="00F0140E">
        <w:rPr>
          <w:rFonts w:ascii="Times New Roman" w:hAnsi="Times New Roman" w:cs="Times New Roman"/>
        </w:rPr>
        <w:t xml:space="preserve">, and one could not question whether structured training would mediate the </w:t>
      </w:r>
      <w:r w:rsidR="009765D1" w:rsidRPr="00F0140E">
        <w:rPr>
          <w:rFonts w:ascii="Times New Roman" w:hAnsi="Times New Roman" w:cs="Times New Roman"/>
        </w:rPr>
        <w:t>observed motivational profile</w:t>
      </w:r>
      <w:r w:rsidRPr="00F0140E">
        <w:rPr>
          <w:rFonts w:ascii="Times New Roman" w:hAnsi="Times New Roman" w:cs="Times New Roman"/>
        </w:rPr>
        <w:t xml:space="preserve">. Camilleri et al. (2023) </w:t>
      </w:r>
      <w:r w:rsidR="00072652" w:rsidRPr="00F0140E">
        <w:rPr>
          <w:rFonts w:ascii="Times New Roman" w:hAnsi="Times New Roman" w:cs="Times New Roman"/>
        </w:rPr>
        <w:t>found that visible organisational investment in employee development was significantly related to enhanced commitment and engagement, suggesting that the motivational cue of training investment may have an equivalent impact to</w:t>
      </w:r>
      <w:r w:rsidRPr="00F0140E">
        <w:rPr>
          <w:rFonts w:ascii="Times New Roman" w:hAnsi="Times New Roman" w:cs="Times New Roman"/>
        </w:rPr>
        <w:t xml:space="preserve"> the content of the learning. This is supported by Nazriah et al. (2025), who observe that hospitality staff who feel </w:t>
      </w:r>
      <w:r w:rsidR="009765D1" w:rsidRPr="00F0140E">
        <w:rPr>
          <w:rFonts w:ascii="Times New Roman" w:hAnsi="Times New Roman" w:cs="Times New Roman"/>
        </w:rPr>
        <w:t>the organisation has seriously invested in their growth report significantly higher motivation and lower</w:t>
      </w:r>
      <w:r w:rsidRPr="00F0140E">
        <w:rPr>
          <w:rFonts w:ascii="Times New Roman" w:hAnsi="Times New Roman" w:cs="Times New Roman"/>
        </w:rPr>
        <w:t xml:space="preserve"> turnover intention.</w:t>
      </w:r>
    </w:p>
    <w:p w14:paraId="47D3DC81" w14:textId="6A8B77FD" w:rsidR="00491E0D"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 retention literature provides a rather indirect yet </w:t>
      </w:r>
      <w:r w:rsidR="00072652" w:rsidRPr="00F0140E">
        <w:rPr>
          <w:rFonts w:ascii="Times New Roman" w:hAnsi="Times New Roman" w:cs="Times New Roman"/>
        </w:rPr>
        <w:t>strong argument for</w:t>
      </w:r>
      <w:r w:rsidRPr="00F0140E">
        <w:rPr>
          <w:rFonts w:ascii="Times New Roman" w:hAnsi="Times New Roman" w:cs="Times New Roman"/>
        </w:rPr>
        <w:t xml:space="preserve"> </w:t>
      </w:r>
      <w:r w:rsidR="009765D1" w:rsidRPr="00F0140E">
        <w:rPr>
          <w:rFonts w:ascii="Times New Roman" w:hAnsi="Times New Roman" w:cs="Times New Roman"/>
        </w:rPr>
        <w:t>investigating</w:t>
      </w:r>
      <w:r w:rsidRPr="00F0140E">
        <w:rPr>
          <w:rFonts w:ascii="Times New Roman" w:hAnsi="Times New Roman" w:cs="Times New Roman"/>
        </w:rPr>
        <w:t xml:space="preserve"> motivation as a T&amp;D outcome. Bokde (2025) </w:t>
      </w:r>
      <w:r w:rsidR="00501473">
        <w:rPr>
          <w:rFonts w:ascii="Times New Roman" w:hAnsi="Times New Roman" w:cs="Times New Roman"/>
        </w:rPr>
        <w:t xml:space="preserve">and </w:t>
      </w:r>
      <w:r w:rsidR="00501473" w:rsidRPr="00501473">
        <w:rPr>
          <w:rFonts w:ascii="Times New Roman" w:hAnsi="Times New Roman" w:cs="Times New Roman"/>
        </w:rPr>
        <w:t>Deery and Jago (2015)</w:t>
      </w:r>
      <w:r w:rsidR="00501473">
        <w:rPr>
          <w:rFonts w:ascii="Times New Roman" w:hAnsi="Times New Roman" w:cs="Times New Roman"/>
        </w:rPr>
        <w:t xml:space="preserve"> provide</w:t>
      </w:r>
      <w:r w:rsidR="009765D1" w:rsidRPr="00F0140E">
        <w:rPr>
          <w:rFonts w:ascii="Times New Roman" w:hAnsi="Times New Roman" w:cs="Times New Roman"/>
        </w:rPr>
        <w:t xml:space="preserve"> more recent evidence that structured T&amp;D programmes have a significant relationship with turnover intention, which is lower in hospitality, </w:t>
      </w:r>
      <w:r w:rsidR="00E821B3" w:rsidRPr="00F0140E">
        <w:rPr>
          <w:rFonts w:ascii="Times New Roman" w:hAnsi="Times New Roman" w:cs="Times New Roman"/>
        </w:rPr>
        <w:t>and that this</w:t>
      </w:r>
      <w:r w:rsidR="009765D1" w:rsidRPr="00F0140E">
        <w:rPr>
          <w:rFonts w:ascii="Times New Roman" w:hAnsi="Times New Roman" w:cs="Times New Roman"/>
        </w:rPr>
        <w:t xml:space="preserve"> mediation is not limited</w:t>
      </w:r>
      <w:r w:rsidR="00072652" w:rsidRPr="00F0140E">
        <w:rPr>
          <w:rFonts w:ascii="Times New Roman" w:hAnsi="Times New Roman" w:cs="Times New Roman"/>
        </w:rPr>
        <w:t xml:space="preserve"> to</w:t>
      </w:r>
      <w:r w:rsidRPr="00F0140E">
        <w:rPr>
          <w:rFonts w:ascii="Times New Roman" w:hAnsi="Times New Roman" w:cs="Times New Roman"/>
        </w:rPr>
        <w:t xml:space="preserve"> motivation. Sandy (2025) and Singh (2025) also make the connection between training and desirable outcomes without disaggregating motivational pathways. In all these studies</w:t>
      </w:r>
      <w:r w:rsidR="00072652" w:rsidRPr="00F0140E">
        <w:rPr>
          <w:rFonts w:ascii="Times New Roman" w:hAnsi="Times New Roman" w:cs="Times New Roman"/>
        </w:rPr>
        <w:t xml:space="preserve">, the motivational process </w:t>
      </w:r>
      <w:r w:rsidR="009765D1" w:rsidRPr="00F0140E">
        <w:rPr>
          <w:rFonts w:ascii="Times New Roman" w:hAnsi="Times New Roman" w:cs="Times New Roman"/>
        </w:rPr>
        <w:t>through</w:t>
      </w:r>
      <w:r w:rsidR="00072652" w:rsidRPr="00F0140E">
        <w:rPr>
          <w:rFonts w:ascii="Times New Roman" w:hAnsi="Times New Roman" w:cs="Times New Roman"/>
        </w:rPr>
        <w:t xml:space="preserve"> which training has its effects has not been measured or even theorised</w:t>
      </w:r>
      <w:r w:rsidRPr="00F0140E">
        <w:rPr>
          <w:rFonts w:ascii="Times New Roman" w:hAnsi="Times New Roman" w:cs="Times New Roman"/>
        </w:rPr>
        <w:t xml:space="preserve">. The present study </w:t>
      </w:r>
      <w:r w:rsidR="00072652" w:rsidRPr="00F0140E">
        <w:rPr>
          <w:rFonts w:ascii="Times New Roman" w:hAnsi="Times New Roman" w:cs="Times New Roman"/>
        </w:rPr>
        <w:t xml:space="preserve">aims to </w:t>
      </w:r>
      <w:r w:rsidR="00F257F3" w:rsidRPr="00F0140E">
        <w:rPr>
          <w:rFonts w:ascii="Times New Roman" w:hAnsi="Times New Roman" w:cs="Times New Roman"/>
        </w:rPr>
        <w:t>shed light on</w:t>
      </w:r>
      <w:r w:rsidRPr="00F0140E">
        <w:rPr>
          <w:rFonts w:ascii="Times New Roman" w:hAnsi="Times New Roman" w:cs="Times New Roman"/>
        </w:rPr>
        <w:t xml:space="preserve"> this black box.</w:t>
      </w:r>
    </w:p>
    <w:p w14:paraId="46C86776" w14:textId="1A525BA7" w:rsidR="00AE7E7D" w:rsidRPr="00F0140E" w:rsidRDefault="00385CDE" w:rsidP="00387E72">
      <w:pPr>
        <w:spacing w:after="120" w:line="480" w:lineRule="auto"/>
        <w:jc w:val="both"/>
        <w:rPr>
          <w:rFonts w:ascii="Times New Roman" w:hAnsi="Times New Roman" w:cs="Times New Roman"/>
        </w:rPr>
      </w:pPr>
      <w:r w:rsidRPr="00F0140E">
        <w:rPr>
          <w:rFonts w:ascii="Times New Roman" w:hAnsi="Times New Roman" w:cs="Times New Roman"/>
        </w:rPr>
        <w:t>Post-Brexit skills shortages augment these gaps</w:t>
      </w:r>
      <w:r w:rsidR="00491E0D" w:rsidRPr="00F0140E">
        <w:rPr>
          <w:rFonts w:ascii="Times New Roman" w:hAnsi="Times New Roman" w:cs="Times New Roman"/>
        </w:rPr>
        <w:t xml:space="preserve">. According to Deb and Li (2024), hospitality is one of the industries </w:t>
      </w:r>
      <w:r w:rsidR="00F257F3" w:rsidRPr="00F0140E">
        <w:rPr>
          <w:rFonts w:ascii="Times New Roman" w:hAnsi="Times New Roman" w:cs="Times New Roman"/>
        </w:rPr>
        <w:t xml:space="preserve">most vulnerable to competence gaps due to a decrease in </w:t>
      </w:r>
      <w:r w:rsidR="00491E0D" w:rsidRPr="00F0140E">
        <w:rPr>
          <w:rFonts w:ascii="Times New Roman" w:hAnsi="Times New Roman" w:cs="Times New Roman"/>
        </w:rPr>
        <w:t xml:space="preserve">labour supply in the EU. In a meta-analysis of leadership and service performance in hotels and tourism, Zhang et al. (2025) </w:t>
      </w:r>
      <w:r w:rsidR="00F257F3" w:rsidRPr="00F0140E">
        <w:rPr>
          <w:rFonts w:ascii="Times New Roman" w:hAnsi="Times New Roman" w:cs="Times New Roman"/>
        </w:rPr>
        <w:t>determined</w:t>
      </w:r>
      <w:r w:rsidR="00491E0D" w:rsidRPr="00F0140E">
        <w:rPr>
          <w:rFonts w:ascii="Times New Roman" w:hAnsi="Times New Roman" w:cs="Times New Roman"/>
        </w:rPr>
        <w:t xml:space="preserve"> that the perceived quality of interpersonal support in the course of training is a better predictor of the results as compared to the magnitude of training alone, which supports the role of perceived training quality as a sub-construct in the survey tool. </w:t>
      </w:r>
    </w:p>
    <w:p w14:paraId="1135F13D" w14:textId="77777777" w:rsidR="00AE7E7D" w:rsidRPr="00F0140E" w:rsidRDefault="00AE7E7D" w:rsidP="00387E72">
      <w:pPr>
        <w:pStyle w:val="Heading2"/>
        <w:spacing w:line="480" w:lineRule="auto"/>
      </w:pPr>
      <w:bookmarkStart w:id="13" w:name="_Toc225816478"/>
      <w:r w:rsidRPr="00F0140E">
        <w:t>2.4 Identification of the Research Gap and Hypotheses</w:t>
      </w:r>
      <w:bookmarkEnd w:id="13"/>
    </w:p>
    <w:p w14:paraId="55401BF6" w14:textId="014C0EB5" w:rsidR="006C64F5"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There is a lack of quantitative studies that have measured formal T&amp;D participation as an independent variable, decomposed intrinsic and extrinsic motivation into distinct dependent variables, and examined job satisfaction as a mediating pathway in a UK hotel and restaurant sample in post-Brexit conditions. The inability to disaggregate motivational dimensions (Kotera et al., 2018), the use of non-UK samples (Awoitau et al., 2024; Hamid et al., 2023</w:t>
      </w:r>
      <w:r w:rsidR="00501473">
        <w:rPr>
          <w:rFonts w:ascii="Times New Roman" w:hAnsi="Times New Roman" w:cs="Times New Roman"/>
        </w:rPr>
        <w:t xml:space="preserve">, </w:t>
      </w:r>
      <w:r w:rsidR="00501473" w:rsidRPr="00501473">
        <w:rPr>
          <w:rFonts w:ascii="Times New Roman" w:hAnsi="Times New Roman" w:cs="Times New Roman"/>
        </w:rPr>
        <w:t>Dilmi et al.</w:t>
      </w:r>
      <w:r w:rsidR="00501473">
        <w:rPr>
          <w:rFonts w:ascii="Times New Roman" w:hAnsi="Times New Roman" w:cs="Times New Roman"/>
        </w:rPr>
        <w:t xml:space="preserve">, </w:t>
      </w:r>
      <w:r w:rsidR="00501473" w:rsidRPr="00501473">
        <w:rPr>
          <w:rFonts w:ascii="Times New Roman" w:hAnsi="Times New Roman" w:cs="Times New Roman"/>
        </w:rPr>
        <w:t>2025)</w:t>
      </w:r>
      <w:r w:rsidRPr="00F0140E">
        <w:rPr>
          <w:rFonts w:ascii="Times New Roman" w:hAnsi="Times New Roman" w:cs="Times New Roman"/>
        </w:rPr>
        <w:t>)</w:t>
      </w:r>
      <w:r w:rsidR="009765D1" w:rsidRPr="00F0140E">
        <w:rPr>
          <w:rFonts w:ascii="Times New Roman" w:hAnsi="Times New Roman" w:cs="Times New Roman"/>
        </w:rPr>
        <w:t>,</w:t>
      </w:r>
      <w:r w:rsidRPr="00F0140E">
        <w:rPr>
          <w:rFonts w:ascii="Times New Roman" w:hAnsi="Times New Roman" w:cs="Times New Roman"/>
        </w:rPr>
        <w:t xml:space="preserve"> and the fact that existing studies tend to represent how motivation is measured (performance or retention outcomes) </w:t>
      </w:r>
      <w:r w:rsidR="00F257F3" w:rsidRPr="00F0140E">
        <w:rPr>
          <w:rFonts w:ascii="Times New Roman" w:hAnsi="Times New Roman" w:cs="Times New Roman"/>
        </w:rPr>
        <w:t>result</w:t>
      </w:r>
      <w:r w:rsidRPr="00F0140E">
        <w:rPr>
          <w:rFonts w:ascii="Times New Roman" w:hAnsi="Times New Roman" w:cs="Times New Roman"/>
        </w:rPr>
        <w:t xml:space="preserve"> in an incomplete and misaligned evidence base (Bokde, 2025; Sandy, 2025). This gap will be addressed through the proposed study that will apply a reliable, multi-dimensional instrument to a cross-sector UK hospitality sample and test three directional hypotheses based on SDT and the literature review. A methodological precedent is </w:t>
      </w:r>
      <w:r w:rsidR="00F257F3" w:rsidRPr="00F0140E">
        <w:rPr>
          <w:rFonts w:ascii="Times New Roman" w:hAnsi="Times New Roman" w:cs="Times New Roman"/>
        </w:rPr>
        <w:t>provided by Chin et al. (2023), who show that the use of structured questionnaire instruments can yield</w:t>
      </w:r>
      <w:r w:rsidRPr="00F0140E">
        <w:rPr>
          <w:rFonts w:ascii="Times New Roman" w:hAnsi="Times New Roman" w:cs="Times New Roman"/>
        </w:rPr>
        <w:t xml:space="preserve"> statistically testable relationships between development investment and employee outcomes in a hospitality setting. </w:t>
      </w:r>
    </w:p>
    <w:p w14:paraId="177D999E"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b/>
          <w:bCs/>
        </w:rPr>
        <w:t xml:space="preserve">H1: </w:t>
      </w:r>
      <w:r w:rsidRPr="00F0140E">
        <w:rPr>
          <w:rFonts w:ascii="Times New Roman" w:hAnsi="Times New Roman" w:cs="Times New Roman"/>
        </w:rPr>
        <w:t>Formal T&amp;D programme participation is positively associated with intrinsic motivation among front-line UK hospitality employees.</w:t>
      </w:r>
    </w:p>
    <w:p w14:paraId="487AEF6E"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b/>
          <w:bCs/>
        </w:rPr>
        <w:t xml:space="preserve">H2: </w:t>
      </w:r>
      <w:r w:rsidRPr="00F0140E">
        <w:rPr>
          <w:rFonts w:ascii="Times New Roman" w:hAnsi="Times New Roman" w:cs="Times New Roman"/>
        </w:rPr>
        <w:t>Formal T&amp;D programme participation is positively associated with extrinsic motivation among front-line UK hospitality employees.</w:t>
      </w:r>
    </w:p>
    <w:p w14:paraId="2F402F2C" w14:textId="0456F04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b/>
          <w:bCs/>
        </w:rPr>
        <w:t xml:space="preserve">H3: </w:t>
      </w:r>
      <w:r w:rsidRPr="00F0140E">
        <w:rPr>
          <w:rFonts w:ascii="Times New Roman" w:hAnsi="Times New Roman" w:cs="Times New Roman"/>
        </w:rPr>
        <w:t xml:space="preserve">Job satisfaction mediates the relationship between </w:t>
      </w:r>
      <w:r w:rsidR="009765D1" w:rsidRPr="00F0140E">
        <w:rPr>
          <w:rFonts w:ascii="Times New Roman" w:hAnsi="Times New Roman" w:cs="Times New Roman"/>
        </w:rPr>
        <w:t>participation in formal T&amp;D programmes and overall employee motivation among frontline</w:t>
      </w:r>
      <w:r w:rsidRPr="00F0140E">
        <w:rPr>
          <w:rFonts w:ascii="Times New Roman" w:hAnsi="Times New Roman" w:cs="Times New Roman"/>
        </w:rPr>
        <w:t xml:space="preserve"> UK hospitality employees.</w:t>
      </w:r>
    </w:p>
    <w:p w14:paraId="4C5E6727"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rPr>
        <w:br w:type="page"/>
      </w:r>
    </w:p>
    <w:p w14:paraId="5CA81789" w14:textId="77777777" w:rsidR="006C64F5" w:rsidRPr="00F0140E" w:rsidRDefault="00000000" w:rsidP="00387E72">
      <w:pPr>
        <w:pStyle w:val="Heading1"/>
        <w:pBdr>
          <w:bottom w:val="single" w:sz="8" w:space="4" w:color="2E75B6"/>
        </w:pBdr>
        <w:spacing w:before="0" w:after="120"/>
        <w:jc w:val="both"/>
        <w:rPr>
          <w:rFonts w:ascii="Times New Roman" w:hAnsi="Times New Roman" w:cs="Times New Roman"/>
        </w:rPr>
      </w:pPr>
      <w:bookmarkStart w:id="14" w:name="_Toc225816479"/>
      <w:r w:rsidRPr="00F0140E">
        <w:rPr>
          <w:rFonts w:ascii="Times New Roman" w:hAnsi="Times New Roman" w:cs="Times New Roman"/>
        </w:rPr>
        <w:t>3.0  Research Methodology</w:t>
      </w:r>
      <w:bookmarkEnd w:id="14"/>
    </w:p>
    <w:p w14:paraId="379BD0D7" w14:textId="63CA760D" w:rsidR="006C64F5"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The methodological design of the study is formed in the frame of the Research Onion framework</w:t>
      </w:r>
      <w:r w:rsidR="009765D1" w:rsidRPr="00F0140E">
        <w:rPr>
          <w:rFonts w:ascii="Times New Roman" w:hAnsi="Times New Roman" w:cs="Times New Roman"/>
        </w:rPr>
        <w:t>, expressed by Saunders et al. (2023), that arranges the methodological decision-making process based on the basic philosophical assumptions, up to data collection and analysis methods, into a logical,</w:t>
      </w:r>
      <w:r w:rsidRPr="00F0140E">
        <w:rPr>
          <w:rFonts w:ascii="Times New Roman" w:hAnsi="Times New Roman" w:cs="Times New Roman"/>
        </w:rPr>
        <w:t xml:space="preserve"> internally consistent structure. The layers have been addressed and justified </w:t>
      </w:r>
      <w:r w:rsidR="009765D1" w:rsidRPr="00F0140E">
        <w:rPr>
          <w:rFonts w:ascii="Times New Roman" w:hAnsi="Times New Roman" w:cs="Times New Roman"/>
        </w:rPr>
        <w:t>in accordance with the research questions outlined</w:t>
      </w:r>
      <w:r w:rsidRPr="00F0140E">
        <w:rPr>
          <w:rFonts w:ascii="Times New Roman" w:hAnsi="Times New Roman" w:cs="Times New Roman"/>
        </w:rPr>
        <w:t xml:space="preserve"> in Section 1.7. Figure 3 is an annotated Research Onion</w:t>
      </w:r>
      <w:r w:rsidR="009765D1" w:rsidRPr="00F0140E">
        <w:rPr>
          <w:rFonts w:ascii="Times New Roman" w:hAnsi="Times New Roman" w:cs="Times New Roman"/>
        </w:rPr>
        <w:t xml:space="preserve">, with the position </w:t>
      </w:r>
      <w:r w:rsidRPr="00F0140E">
        <w:rPr>
          <w:rFonts w:ascii="Times New Roman" w:hAnsi="Times New Roman" w:cs="Times New Roman"/>
        </w:rPr>
        <w:t xml:space="preserve">selected and marked at each level. </w:t>
      </w:r>
    </w:p>
    <w:p w14:paraId="382B96E0" w14:textId="53D5C945" w:rsidR="004665BE" w:rsidRPr="00F0140E" w:rsidRDefault="004665BE" w:rsidP="00F0140E">
      <w:pPr>
        <w:spacing w:after="120" w:line="480" w:lineRule="auto"/>
        <w:jc w:val="center"/>
        <w:rPr>
          <w:rFonts w:ascii="Times New Roman" w:hAnsi="Times New Roman" w:cs="Times New Roman"/>
        </w:rPr>
      </w:pPr>
      <w:r w:rsidRPr="00F0140E">
        <w:rPr>
          <w:rFonts w:ascii="Times New Roman" w:hAnsi="Times New Roman" w:cs="Times New Roman"/>
          <w:noProof/>
        </w:rPr>
        <w:drawing>
          <wp:inline distT="0" distB="0" distL="0" distR="0" wp14:anchorId="66A6BC44" wp14:editId="540E1424">
            <wp:extent cx="4982300" cy="4166706"/>
            <wp:effectExtent l="0" t="0" r="889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011209" cy="4190883"/>
                    </a:xfrm>
                    <a:prstGeom prst="rect">
                      <a:avLst/>
                    </a:prstGeom>
                    <a:noFill/>
                    <a:ln>
                      <a:noFill/>
                    </a:ln>
                    <a:extLst>
                      <a:ext uri="{53640926-AAD7-44D8-BBD7-CCE9431645EC}">
                        <a14:shadowObscured xmlns:a14="http://schemas.microsoft.com/office/drawing/2010/main"/>
                      </a:ext>
                    </a:extLst>
                  </pic:spPr>
                </pic:pic>
              </a:graphicData>
            </a:graphic>
          </wp:inline>
        </w:drawing>
      </w:r>
    </w:p>
    <w:p w14:paraId="30D1CE76"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i/>
          <w:iCs/>
          <w:color w:val="555555"/>
          <w:sz w:val="20"/>
          <w:szCs w:val="20"/>
        </w:rPr>
        <w:t>Figure 3: Research Onion. Methodological Architecture of the Proposed Study (adapted from Saunders, Lewis and Thornhill, 2023)</w:t>
      </w:r>
    </w:p>
    <w:p w14:paraId="6A346C6E" w14:textId="77777777" w:rsidR="006C64F5" w:rsidRPr="00F0140E" w:rsidRDefault="00000000" w:rsidP="00387E72">
      <w:pPr>
        <w:pStyle w:val="Heading2"/>
        <w:spacing w:line="480" w:lineRule="auto"/>
      </w:pPr>
      <w:bookmarkStart w:id="15" w:name="_Toc225816480"/>
      <w:r w:rsidRPr="00F0140E">
        <w:t>3.1  Research Philosophy</w:t>
      </w:r>
      <w:bookmarkEnd w:id="15"/>
    </w:p>
    <w:p w14:paraId="04B6BEF8" w14:textId="5EE187E8" w:rsidR="00AE7E7D"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The research is based on a positivist epistemological standpoint</w:t>
      </w:r>
      <w:r w:rsidR="009765D1" w:rsidRPr="00F0140E">
        <w:rPr>
          <w:rFonts w:ascii="Times New Roman" w:hAnsi="Times New Roman" w:cs="Times New Roman"/>
        </w:rPr>
        <w:t>, according to which the social world can be studied objectively using empirical methods, and knowledge is best produced by testing hypothetical relationships against</w:t>
      </w:r>
      <w:r w:rsidRPr="00F0140E">
        <w:rPr>
          <w:rFonts w:ascii="Times New Roman" w:hAnsi="Times New Roman" w:cs="Times New Roman"/>
        </w:rPr>
        <w:t xml:space="preserve"> data (Park et al., 2020). This is suitable</w:t>
      </w:r>
      <w:r w:rsidR="009765D1" w:rsidRPr="00F0140E">
        <w:rPr>
          <w:rFonts w:ascii="Times New Roman" w:hAnsi="Times New Roman" w:cs="Times New Roman"/>
        </w:rPr>
        <w:t xml:space="preserve">, as the research questions involve measuring directional relationships among operationally defined constructs </w:t>
      </w:r>
      <w:r w:rsidRPr="00F0140E">
        <w:rPr>
          <w:rFonts w:ascii="Times New Roman" w:hAnsi="Times New Roman" w:cs="Times New Roman"/>
        </w:rPr>
        <w:t xml:space="preserve">using a standardised survey and inferential statistics. Interpretivism was discarded as </w:t>
      </w:r>
      <w:r w:rsidR="009765D1" w:rsidRPr="00F0140E">
        <w:rPr>
          <w:rFonts w:ascii="Times New Roman" w:hAnsi="Times New Roman" w:cs="Times New Roman"/>
        </w:rPr>
        <w:t>incommensurable with a deductive hypothesis-testing plan</w:t>
      </w:r>
      <w:r w:rsidRPr="00F0140E">
        <w:rPr>
          <w:rFonts w:ascii="Times New Roman" w:hAnsi="Times New Roman" w:cs="Times New Roman"/>
        </w:rPr>
        <w:t xml:space="preserve">. Pragmatism had also been </w:t>
      </w:r>
      <w:r w:rsidR="009765D1" w:rsidRPr="00F0140E">
        <w:rPr>
          <w:rFonts w:ascii="Times New Roman" w:hAnsi="Times New Roman" w:cs="Times New Roman"/>
        </w:rPr>
        <w:t>set aside, as</w:t>
      </w:r>
      <w:r w:rsidRPr="00F0140E">
        <w:rPr>
          <w:rFonts w:ascii="Times New Roman" w:hAnsi="Times New Roman" w:cs="Times New Roman"/>
        </w:rPr>
        <w:t xml:space="preserve"> </w:t>
      </w:r>
      <w:r w:rsidR="009765D1" w:rsidRPr="00F0140E">
        <w:rPr>
          <w:rFonts w:ascii="Times New Roman" w:hAnsi="Times New Roman" w:cs="Times New Roman"/>
        </w:rPr>
        <w:t>the research questions do not entail methodological pluralism</w:t>
      </w:r>
      <w:r w:rsidRPr="00F0140E">
        <w:rPr>
          <w:rFonts w:ascii="Times New Roman" w:hAnsi="Times New Roman" w:cs="Times New Roman"/>
        </w:rPr>
        <w:t xml:space="preserve">; only one quantitative design is needed. </w:t>
      </w:r>
    </w:p>
    <w:p w14:paraId="71C8DAE0" w14:textId="77777777" w:rsidR="00AE7E7D" w:rsidRPr="00F0140E" w:rsidRDefault="00AE7E7D" w:rsidP="00387E72">
      <w:pPr>
        <w:pStyle w:val="Heading2"/>
        <w:spacing w:line="480" w:lineRule="auto"/>
      </w:pPr>
      <w:bookmarkStart w:id="16" w:name="_Toc225816481"/>
      <w:r w:rsidRPr="00F0140E">
        <w:t>3.2 Research Approach</w:t>
      </w:r>
      <w:bookmarkEnd w:id="16"/>
    </w:p>
    <w:p w14:paraId="4181B8B7" w14:textId="7D59DE51" w:rsidR="00AE7E7D"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 approach used is deductive, which conforms to positivism. SDT (Deci and Ryan, 2017) and the arguments formulated in Section 2 before data collection cause the derivation of directional hypotheses, which will be tested with the help of SPSS analysis to find out whether the data will prove or reject each hypothesis. An inductive method was abandoned since the research is not aimed at developing a new theory; the SDT framework and training efficacy literature are rich enough to establish a theoretical base that would justify hypothesis testing. </w:t>
      </w:r>
    </w:p>
    <w:p w14:paraId="28980957" w14:textId="77777777" w:rsidR="00AE7E7D" w:rsidRPr="00F0140E" w:rsidRDefault="00AE7E7D" w:rsidP="00387E72">
      <w:pPr>
        <w:pStyle w:val="Heading2"/>
        <w:spacing w:line="480" w:lineRule="auto"/>
      </w:pPr>
      <w:bookmarkStart w:id="17" w:name="_Toc225816482"/>
      <w:r w:rsidRPr="00F0140E">
        <w:t>3.3 Methodological Choice and Research Strategy</w:t>
      </w:r>
      <w:bookmarkEnd w:id="17"/>
    </w:p>
    <w:p w14:paraId="6BAB25AB" w14:textId="7018FD30" w:rsidR="00AE7E7D"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Quantitative survey approach will be followed in this study. Quantitative research is suitable </w:t>
      </w:r>
      <w:r w:rsidR="00F257F3" w:rsidRPr="00F0140E">
        <w:rPr>
          <w:rFonts w:ascii="Times New Roman" w:hAnsi="Times New Roman" w:cs="Times New Roman"/>
        </w:rPr>
        <w:t xml:space="preserve">when the researcher is interested in gauging the strength, direction, and significance of relationships between variables within a sample </w:t>
      </w:r>
      <w:r w:rsidRPr="00F0140E">
        <w:rPr>
          <w:rFonts w:ascii="Times New Roman" w:hAnsi="Times New Roman" w:cs="Times New Roman"/>
        </w:rPr>
        <w:t xml:space="preserve">that can be generalised (Field, 2018). A structured questionnaire enables systematic, standardised assessment of a geographically dispersed hospitality workforce. The research design is cross-sectional, which is a limitation of the study mentioned in Section 3.9 but is also explained by the resources available to a student-led proposal and by similar studies in the UK hospitality motivation literature (Kotera et al., 2018; Camilleri et al., 2023). </w:t>
      </w:r>
    </w:p>
    <w:p w14:paraId="1FD113E0" w14:textId="77777777" w:rsidR="00AE7E7D" w:rsidRPr="00F0140E" w:rsidRDefault="00AE7E7D" w:rsidP="00387E72">
      <w:pPr>
        <w:pStyle w:val="Heading2"/>
        <w:spacing w:line="480" w:lineRule="auto"/>
      </w:pPr>
      <w:bookmarkStart w:id="18" w:name="_Toc225816483"/>
      <w:r w:rsidRPr="00F0140E">
        <w:t>3.4 Critical Evaluation of the Methodology</w:t>
      </w:r>
      <w:bookmarkEnd w:id="18"/>
    </w:p>
    <w:p w14:paraId="32F42A81" w14:textId="2E21D64D" w:rsidR="00AE7E7D"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 quantitative survey allows </w:t>
      </w:r>
      <w:r w:rsidR="003C7CB3" w:rsidRPr="00F0140E">
        <w:rPr>
          <w:rFonts w:ascii="Times New Roman" w:hAnsi="Times New Roman" w:cs="Times New Roman"/>
        </w:rPr>
        <w:t>data collection in a standardised form, direct hypothesis testing, and comparison</w:t>
      </w:r>
      <w:r w:rsidR="00F257F3" w:rsidRPr="00F0140E">
        <w:rPr>
          <w:rFonts w:ascii="Times New Roman" w:hAnsi="Times New Roman" w:cs="Times New Roman"/>
        </w:rPr>
        <w:t xml:space="preserve"> with existing research using</w:t>
      </w:r>
      <w:r w:rsidRPr="00F0140E">
        <w:rPr>
          <w:rFonts w:ascii="Times New Roman" w:hAnsi="Times New Roman" w:cs="Times New Roman"/>
        </w:rPr>
        <w:t xml:space="preserve"> the same measures (Saunders et al., 2023). Its major weakness is common method bias (CMB): when independent and dependent variables are self-reported at the same time, it can exaggerate the correlation (Diamantidis and Chatzoglou, 2019). This </w:t>
      </w:r>
      <w:r w:rsidR="00F257F3" w:rsidRPr="00F0140E">
        <w:rPr>
          <w:rFonts w:ascii="Times New Roman" w:hAnsi="Times New Roman" w:cs="Times New Roman"/>
        </w:rPr>
        <w:t>is alleviated by conducting anonymous administration, reversing the order of items, and introducing a temporal distance between sections of the survey</w:t>
      </w:r>
      <w:r w:rsidRPr="00F0140E">
        <w:rPr>
          <w:rFonts w:ascii="Times New Roman" w:hAnsi="Times New Roman" w:cs="Times New Roman"/>
        </w:rPr>
        <w:t xml:space="preserve">. Semi-structured interviews were also </w:t>
      </w:r>
      <w:r w:rsidR="00F257F3" w:rsidRPr="00F0140E">
        <w:rPr>
          <w:rFonts w:ascii="Times New Roman" w:hAnsi="Times New Roman" w:cs="Times New Roman"/>
        </w:rPr>
        <w:t>considered but rejected because narrative data would not provide the required sample size for regression analysis</w:t>
      </w:r>
      <w:r w:rsidRPr="00F0140E">
        <w:rPr>
          <w:rFonts w:ascii="Times New Roman" w:hAnsi="Times New Roman" w:cs="Times New Roman"/>
        </w:rPr>
        <w:t xml:space="preserve">. </w:t>
      </w:r>
    </w:p>
    <w:p w14:paraId="5C0F5E32" w14:textId="77777777" w:rsidR="00AE7E7D" w:rsidRPr="00F0140E" w:rsidRDefault="00AE7E7D" w:rsidP="00387E72">
      <w:pPr>
        <w:pStyle w:val="Heading2"/>
        <w:spacing w:line="480" w:lineRule="auto"/>
      </w:pPr>
      <w:bookmarkStart w:id="19" w:name="_Toc225816484"/>
      <w:r w:rsidRPr="00F0140E">
        <w:t>3.5 Data Collection Methods</w:t>
      </w:r>
      <w:bookmarkEnd w:id="19"/>
    </w:p>
    <w:p w14:paraId="549D7B01" w14:textId="3849E4C8" w:rsidR="00AE7E7D" w:rsidRPr="00F0140E" w:rsidRDefault="00491E0D"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A structured online questionnaire delivered using Qualtrics will include five sections, namely demographic profile, formal T&amp;D participation modified according to Noe (2020), intrinsic motivation based on the Work Extrinsic and Intrinsic Motivation Scale(Olafsen et al., 2015), extrinsic motivation based on the same scale, and job satisfaction based on changes made in using the Hadaitana and Iqbal (2023) questions. Every Likert scale </w:t>
      </w:r>
      <w:r w:rsidR="00F257F3" w:rsidRPr="00F0140E">
        <w:rPr>
          <w:rFonts w:ascii="Times New Roman" w:hAnsi="Times New Roman" w:cs="Times New Roman"/>
        </w:rPr>
        <w:t>ranges from 1</w:t>
      </w:r>
      <w:r w:rsidRPr="00F0140E">
        <w:rPr>
          <w:rFonts w:ascii="Times New Roman" w:hAnsi="Times New Roman" w:cs="Times New Roman"/>
        </w:rPr>
        <w:t xml:space="preserve"> (Strongly Disagree) to 5 (Strongly Agree). In Week 6, a pilot </w:t>
      </w:r>
      <w:r w:rsidR="00F257F3" w:rsidRPr="00F0140E">
        <w:rPr>
          <w:rFonts w:ascii="Times New Roman" w:hAnsi="Times New Roman" w:cs="Times New Roman"/>
        </w:rPr>
        <w:t>study of 15 hospitality workers will be conducted</w:t>
      </w:r>
      <w:r w:rsidRPr="00F0140E">
        <w:rPr>
          <w:rFonts w:ascii="Times New Roman" w:hAnsi="Times New Roman" w:cs="Times New Roman"/>
        </w:rPr>
        <w:t xml:space="preserve"> to determine </w:t>
      </w:r>
      <w:r w:rsidR="00F257F3" w:rsidRPr="00F0140E">
        <w:rPr>
          <w:rFonts w:ascii="Times New Roman" w:hAnsi="Times New Roman" w:cs="Times New Roman"/>
        </w:rPr>
        <w:t>clarity levels, completion time</w:t>
      </w:r>
      <w:r w:rsidRPr="00F0140E">
        <w:rPr>
          <w:rFonts w:ascii="Times New Roman" w:hAnsi="Times New Roman" w:cs="Times New Roman"/>
        </w:rPr>
        <w:t xml:space="preserve">, and reliability. </w:t>
      </w:r>
    </w:p>
    <w:p w14:paraId="3884C335" w14:textId="77777777" w:rsidR="00AE7E7D" w:rsidRPr="00F0140E" w:rsidRDefault="00AE7E7D" w:rsidP="00387E72">
      <w:pPr>
        <w:pStyle w:val="Heading2"/>
        <w:spacing w:line="480" w:lineRule="auto"/>
      </w:pPr>
      <w:bookmarkStart w:id="20" w:name="_Toc225816485"/>
      <w:r w:rsidRPr="00F0140E">
        <w:t>3.6 Sampling Strategy and Target Population</w:t>
      </w:r>
      <w:bookmarkEnd w:id="20"/>
    </w:p>
    <w:p w14:paraId="1509F2EC" w14:textId="4444F76F" w:rsidR="003C7CB3" w:rsidRPr="00F0140E" w:rsidRDefault="003C7CB3" w:rsidP="003C7CB3">
      <w:pPr>
        <w:spacing w:after="120" w:line="480" w:lineRule="auto"/>
        <w:jc w:val="both"/>
        <w:rPr>
          <w:rFonts w:ascii="Times New Roman" w:hAnsi="Times New Roman" w:cs="Times New Roman"/>
        </w:rPr>
      </w:pPr>
      <w:r w:rsidRPr="00F0140E">
        <w:rPr>
          <w:rFonts w:ascii="Times New Roman" w:hAnsi="Times New Roman" w:cs="Times New Roman"/>
        </w:rPr>
        <w:t>The target population is frontline staff in operational departments, including housekeeping, food and beverage, bar operations, and reception, of hotel chains or branded restaurant chains in the UK</w:t>
      </w:r>
      <w:r w:rsidR="00FA37AB">
        <w:rPr>
          <w:rFonts w:ascii="Times New Roman" w:hAnsi="Times New Roman" w:cs="Times New Roman"/>
        </w:rPr>
        <w:t xml:space="preserve"> (</w:t>
      </w:r>
      <w:r w:rsidR="00FA37AB" w:rsidRPr="00FA37AB">
        <w:rPr>
          <w:rFonts w:ascii="Times New Roman" w:hAnsi="Times New Roman" w:cs="Times New Roman"/>
        </w:rPr>
        <w:t>Ijabah and Amrullah</w:t>
      </w:r>
      <w:r w:rsidR="00FA37AB">
        <w:rPr>
          <w:rFonts w:ascii="Times New Roman" w:hAnsi="Times New Roman" w:cs="Times New Roman"/>
        </w:rPr>
        <w:t xml:space="preserve">, </w:t>
      </w:r>
      <w:r w:rsidR="00FA37AB" w:rsidRPr="00FA37AB">
        <w:rPr>
          <w:rFonts w:ascii="Times New Roman" w:hAnsi="Times New Roman" w:cs="Times New Roman"/>
        </w:rPr>
        <w:t>2023)</w:t>
      </w:r>
      <w:r w:rsidRPr="00F0140E">
        <w:rPr>
          <w:rFonts w:ascii="Times New Roman" w:hAnsi="Times New Roman" w:cs="Times New Roman"/>
        </w:rPr>
        <w:t xml:space="preserve">. The sampling is non-probability, purposive-convenience, which </w:t>
      </w:r>
      <w:r w:rsidRPr="00F0140E">
        <w:rPr>
          <w:rFonts w:ascii="Times New Roman" w:hAnsi="Times New Roman" w:cs="Times New Roman"/>
        </w:rPr>
        <w:t>aligns with the constraints</w:t>
      </w:r>
      <w:r w:rsidRPr="00F0140E">
        <w:rPr>
          <w:rFonts w:ascii="Times New Roman" w:hAnsi="Times New Roman" w:cs="Times New Roman"/>
        </w:rPr>
        <w:t xml:space="preserve"> of student-led research. </w:t>
      </w:r>
      <w:r w:rsidR="00FA37AB">
        <w:rPr>
          <w:rFonts w:ascii="Times New Roman" w:hAnsi="Times New Roman" w:cs="Times New Roman"/>
        </w:rPr>
        <w:t>Participants will be identified through HR intermediaries, LinkedIn networks, and snowball referrals, and the target organisations will be Whitbread, Mitchells &amp;</w:t>
      </w:r>
      <w:r w:rsidRPr="00F0140E">
        <w:rPr>
          <w:rFonts w:ascii="Times New Roman" w:hAnsi="Times New Roman" w:cs="Times New Roman"/>
        </w:rPr>
        <w:t xml:space="preserve"> Butlers, Hilton UK, and Marriott International UK.</w:t>
      </w:r>
    </w:p>
    <w:p w14:paraId="6A97F182" w14:textId="00119EFD" w:rsidR="00AE7E7D" w:rsidRPr="00F0140E" w:rsidRDefault="003C7CB3" w:rsidP="003C7CB3">
      <w:pPr>
        <w:spacing w:after="120" w:line="480" w:lineRule="auto"/>
        <w:jc w:val="both"/>
        <w:rPr>
          <w:rFonts w:ascii="Times New Roman" w:hAnsi="Times New Roman" w:cs="Times New Roman"/>
        </w:rPr>
      </w:pPr>
      <w:r w:rsidRPr="00F0140E">
        <w:rPr>
          <w:rFonts w:ascii="Times New Roman" w:hAnsi="Times New Roman" w:cs="Times New Roman"/>
        </w:rPr>
        <w:t xml:space="preserve">The sample will consist of n = 200 valid responses, which is at least the </w:t>
      </w:r>
      <w:r w:rsidRPr="00F0140E">
        <w:rPr>
          <w:rFonts w:ascii="Times New Roman" w:hAnsi="Times New Roman" w:cs="Times New Roman"/>
        </w:rPr>
        <w:t>minimum 20:1 case-to-variable ratio required to apply multiple linear regression at alpha = 0.05 (Field, 2018), and will have sufficient protection</w:t>
      </w:r>
      <w:r w:rsidRPr="00F0140E">
        <w:rPr>
          <w:rFonts w:ascii="Times New Roman" w:hAnsi="Times New Roman" w:cs="Times New Roman"/>
        </w:rPr>
        <w:t xml:space="preserve"> against post-hoc exclusion and attrition in online surveys.</w:t>
      </w:r>
      <w:r w:rsidRPr="00F0140E">
        <w:rPr>
          <w:rFonts w:ascii="Times New Roman" w:hAnsi="Times New Roman" w:cs="Times New Roman"/>
        </w:rPr>
        <w:t xml:space="preserve"> </w:t>
      </w:r>
    </w:p>
    <w:p w14:paraId="37DF2A88"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b/>
          <w:bCs/>
          <w:i/>
          <w:iCs/>
          <w:color w:val="333333"/>
          <w:sz w:val="20"/>
          <w:szCs w:val="20"/>
        </w:rPr>
        <w:t>Table 2: Sampling Inclusion and Exclusion Criteria</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35"/>
        <w:gridCol w:w="3690"/>
        <w:gridCol w:w="3901"/>
      </w:tblGrid>
      <w:tr w:rsidR="006C64F5" w:rsidRPr="00F0140E" w14:paraId="0436822B" w14:textId="77777777" w:rsidTr="00E821B3">
        <w:tc>
          <w:tcPr>
            <w:tcW w:w="1435" w:type="dxa"/>
            <w:tcBorders>
              <w:top w:val="single" w:sz="4" w:space="0" w:color="D9D9D9"/>
              <w:left w:val="single" w:sz="4" w:space="0" w:color="D9D9D9"/>
              <w:bottom w:val="single" w:sz="4" w:space="0" w:color="D9D9D9"/>
              <w:right w:val="single" w:sz="4" w:space="0" w:color="D9D9D9"/>
            </w:tcBorders>
            <w:shd w:val="clear" w:color="auto" w:fill="BDD7EE"/>
            <w:tcMar>
              <w:top w:w="80" w:type="dxa"/>
              <w:left w:w="120" w:type="dxa"/>
              <w:bottom w:w="80" w:type="dxa"/>
              <w:right w:w="120" w:type="dxa"/>
            </w:tcMar>
          </w:tcPr>
          <w:p w14:paraId="076F75FB"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b/>
                <w:bCs/>
              </w:rPr>
              <w:t>Criterion</w:t>
            </w:r>
          </w:p>
        </w:tc>
        <w:tc>
          <w:tcPr>
            <w:tcW w:w="3690" w:type="dxa"/>
            <w:tcBorders>
              <w:top w:val="single" w:sz="4" w:space="0" w:color="D9D9D9"/>
              <w:left w:val="single" w:sz="4" w:space="0" w:color="D9D9D9"/>
              <w:bottom w:val="single" w:sz="4" w:space="0" w:color="D9D9D9"/>
              <w:right w:val="single" w:sz="4" w:space="0" w:color="D9D9D9"/>
            </w:tcBorders>
            <w:shd w:val="clear" w:color="auto" w:fill="BDD7EE"/>
            <w:tcMar>
              <w:top w:w="80" w:type="dxa"/>
              <w:left w:w="120" w:type="dxa"/>
              <w:bottom w:w="80" w:type="dxa"/>
              <w:right w:w="120" w:type="dxa"/>
            </w:tcMar>
          </w:tcPr>
          <w:p w14:paraId="5A0DD81A"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b/>
                <w:bCs/>
              </w:rPr>
              <w:t>Inclusion</w:t>
            </w:r>
          </w:p>
        </w:tc>
        <w:tc>
          <w:tcPr>
            <w:tcW w:w="3901" w:type="dxa"/>
            <w:tcBorders>
              <w:top w:val="single" w:sz="4" w:space="0" w:color="D9D9D9"/>
              <w:left w:val="single" w:sz="4" w:space="0" w:color="D9D9D9"/>
              <w:bottom w:val="single" w:sz="4" w:space="0" w:color="D9D9D9"/>
              <w:right w:val="single" w:sz="4" w:space="0" w:color="D9D9D9"/>
            </w:tcBorders>
            <w:shd w:val="clear" w:color="auto" w:fill="BDD7EE"/>
            <w:tcMar>
              <w:top w:w="80" w:type="dxa"/>
              <w:left w:w="120" w:type="dxa"/>
              <w:bottom w:w="80" w:type="dxa"/>
              <w:right w:w="120" w:type="dxa"/>
            </w:tcMar>
          </w:tcPr>
          <w:p w14:paraId="602846F1"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b/>
                <w:bCs/>
              </w:rPr>
              <w:t>Exclusion</w:t>
            </w:r>
          </w:p>
        </w:tc>
      </w:tr>
      <w:tr w:rsidR="006C64F5" w:rsidRPr="00F0140E" w14:paraId="234B5F09" w14:textId="77777777" w:rsidTr="00E821B3">
        <w:tc>
          <w:tcPr>
            <w:tcW w:w="1435"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3A2C4D57"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Sector</w:t>
            </w:r>
          </w:p>
        </w:tc>
        <w:tc>
          <w:tcPr>
            <w:tcW w:w="369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509FD267"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UK hotel chain or branded restaurant group</w:t>
            </w:r>
          </w:p>
        </w:tc>
        <w:tc>
          <w:tcPr>
            <w:tcW w:w="3901"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1E57A46B"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Non-hospitality sector; independent unbranded operators</w:t>
            </w:r>
          </w:p>
        </w:tc>
      </w:tr>
      <w:tr w:rsidR="006C64F5" w:rsidRPr="00F0140E" w14:paraId="60E99AAE" w14:textId="77777777" w:rsidTr="00E821B3">
        <w:tc>
          <w:tcPr>
            <w:tcW w:w="1435"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1D899EA9"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Role type</w:t>
            </w:r>
          </w:p>
        </w:tc>
        <w:tc>
          <w:tcPr>
            <w:tcW w:w="3690"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43986A53"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Front-line operational staff in any department</w:t>
            </w:r>
          </w:p>
        </w:tc>
        <w:tc>
          <w:tcPr>
            <w:tcW w:w="3901"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4933BD15"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Senior management; corporate or head-office roles</w:t>
            </w:r>
          </w:p>
        </w:tc>
      </w:tr>
      <w:tr w:rsidR="006C64F5" w:rsidRPr="00F0140E" w14:paraId="094734A5" w14:textId="77777777" w:rsidTr="00E821B3">
        <w:tc>
          <w:tcPr>
            <w:tcW w:w="1435"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7CDFED0F"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Tenure</w:t>
            </w:r>
          </w:p>
        </w:tc>
        <w:tc>
          <w:tcPr>
            <w:tcW w:w="369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35964F36"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Minimum 3 months with current employer</w:t>
            </w:r>
          </w:p>
        </w:tc>
        <w:tc>
          <w:tcPr>
            <w:tcW w:w="3901"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6269A0B5"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Fewer than 3 months (insufficient T&amp;D exposure)</w:t>
            </w:r>
          </w:p>
        </w:tc>
      </w:tr>
      <w:tr w:rsidR="006C64F5" w:rsidRPr="00F0140E" w14:paraId="667C0FFF" w14:textId="77777777" w:rsidTr="00E821B3">
        <w:tc>
          <w:tcPr>
            <w:tcW w:w="1435"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0BBB5F35"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T&amp;D experience</w:t>
            </w:r>
          </w:p>
        </w:tc>
        <w:tc>
          <w:tcPr>
            <w:tcW w:w="3690"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2E402FC0" w14:textId="13A25A7C"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 xml:space="preserve">Attended at least one formal T&amp;D programme in </w:t>
            </w:r>
            <w:r w:rsidR="00F257F3" w:rsidRPr="00F0140E">
              <w:rPr>
                <w:rFonts w:ascii="Times New Roman" w:hAnsi="Times New Roman" w:cs="Times New Roman"/>
              </w:rPr>
              <w:t xml:space="preserve">the </w:t>
            </w:r>
            <w:r w:rsidRPr="00F0140E">
              <w:rPr>
                <w:rFonts w:ascii="Times New Roman" w:hAnsi="Times New Roman" w:cs="Times New Roman"/>
              </w:rPr>
              <w:t>current role</w:t>
            </w:r>
          </w:p>
        </w:tc>
        <w:tc>
          <w:tcPr>
            <w:tcW w:w="3901"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6F7494C4"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No formal T&amp;D experience in current role</w:t>
            </w:r>
          </w:p>
        </w:tc>
      </w:tr>
      <w:tr w:rsidR="006C64F5" w:rsidRPr="00F0140E" w14:paraId="6A322A08" w14:textId="77777777" w:rsidTr="00E821B3">
        <w:tc>
          <w:tcPr>
            <w:tcW w:w="1435"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407E9FF3"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Age</w:t>
            </w:r>
          </w:p>
        </w:tc>
        <w:tc>
          <w:tcPr>
            <w:tcW w:w="3690"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54CAFFD9"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18 years or over</w:t>
            </w:r>
          </w:p>
        </w:tc>
        <w:tc>
          <w:tcPr>
            <w:tcW w:w="3901" w:type="dxa"/>
            <w:tcBorders>
              <w:top w:val="single" w:sz="4" w:space="0" w:color="D9D9D9"/>
              <w:left w:val="single" w:sz="4" w:space="0" w:color="D9D9D9"/>
              <w:bottom w:val="single" w:sz="4" w:space="0" w:color="D9D9D9"/>
              <w:right w:val="single" w:sz="4" w:space="0" w:color="D9D9D9"/>
            </w:tcBorders>
            <w:tcMar>
              <w:top w:w="80" w:type="dxa"/>
              <w:left w:w="120" w:type="dxa"/>
              <w:bottom w:w="80" w:type="dxa"/>
              <w:right w:w="120" w:type="dxa"/>
            </w:tcMar>
          </w:tcPr>
          <w:p w14:paraId="0AC6081E"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Under 18 years</w:t>
            </w:r>
          </w:p>
        </w:tc>
      </w:tr>
      <w:tr w:rsidR="006C64F5" w:rsidRPr="00F0140E" w14:paraId="61284B31" w14:textId="77777777" w:rsidTr="00E821B3">
        <w:tc>
          <w:tcPr>
            <w:tcW w:w="1435"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21836B85"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Location</w:t>
            </w:r>
          </w:p>
        </w:tc>
        <w:tc>
          <w:tcPr>
            <w:tcW w:w="3690"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49C09566"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Currently employed in a UK-based hospitality operation</w:t>
            </w:r>
          </w:p>
        </w:tc>
        <w:tc>
          <w:tcPr>
            <w:tcW w:w="3901" w:type="dxa"/>
            <w:tcBorders>
              <w:top w:val="single" w:sz="4" w:space="0" w:color="D9D9D9"/>
              <w:left w:val="single" w:sz="4" w:space="0" w:color="D9D9D9"/>
              <w:bottom w:val="single" w:sz="4" w:space="0" w:color="D9D9D9"/>
              <w:right w:val="single" w:sz="4" w:space="0" w:color="D9D9D9"/>
            </w:tcBorders>
            <w:shd w:val="clear" w:color="auto" w:fill="F2F2F2"/>
            <w:tcMar>
              <w:top w:w="80" w:type="dxa"/>
              <w:left w:w="120" w:type="dxa"/>
              <w:bottom w:w="80" w:type="dxa"/>
              <w:right w:w="120" w:type="dxa"/>
            </w:tcMar>
          </w:tcPr>
          <w:p w14:paraId="7C3039DA" w14:textId="77777777" w:rsidR="006C64F5" w:rsidRPr="00F0140E" w:rsidRDefault="00000000" w:rsidP="00387E72">
            <w:pPr>
              <w:spacing w:line="480" w:lineRule="auto"/>
              <w:jc w:val="both"/>
              <w:rPr>
                <w:rFonts w:ascii="Times New Roman" w:hAnsi="Times New Roman" w:cs="Times New Roman"/>
              </w:rPr>
            </w:pPr>
            <w:r w:rsidRPr="00F0140E">
              <w:rPr>
                <w:rFonts w:ascii="Times New Roman" w:hAnsi="Times New Roman" w:cs="Times New Roman"/>
              </w:rPr>
              <w:t>Employed outside the United Kingdom</w:t>
            </w:r>
          </w:p>
        </w:tc>
      </w:tr>
    </w:tbl>
    <w:p w14:paraId="61D97F53" w14:textId="77777777" w:rsidR="006C64F5" w:rsidRPr="00F0140E" w:rsidRDefault="006C64F5" w:rsidP="00387E72">
      <w:pPr>
        <w:spacing w:after="120" w:line="480" w:lineRule="auto"/>
        <w:jc w:val="both"/>
        <w:rPr>
          <w:rFonts w:ascii="Times New Roman" w:hAnsi="Times New Roman" w:cs="Times New Roman"/>
        </w:rPr>
      </w:pPr>
    </w:p>
    <w:p w14:paraId="6FF67BE6" w14:textId="765A86FC" w:rsidR="006C64F5" w:rsidRPr="00F0140E" w:rsidRDefault="00000000" w:rsidP="00387E72">
      <w:pPr>
        <w:pStyle w:val="Heading2"/>
        <w:spacing w:line="480" w:lineRule="auto"/>
      </w:pPr>
      <w:bookmarkStart w:id="21" w:name="_Toc225816486"/>
      <w:r w:rsidRPr="00F0140E">
        <w:t>3.7 Data Analysis Plan</w:t>
      </w:r>
      <w:bookmarkEnd w:id="21"/>
    </w:p>
    <w:p w14:paraId="5DFC2435" w14:textId="61085402" w:rsidR="006C64F5" w:rsidRPr="00F0140E" w:rsidRDefault="003C7CB3"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 entire quantitative analysis will be performed using IBM SPSS Statistics (Version 27). The analysis will be performed in five consecutive phases, each </w:t>
      </w:r>
      <w:r w:rsidRPr="00F0140E">
        <w:rPr>
          <w:rFonts w:ascii="Times New Roman" w:hAnsi="Times New Roman" w:cs="Times New Roman"/>
        </w:rPr>
        <w:t xml:space="preserve">based on the </w:t>
      </w:r>
      <w:r w:rsidRPr="00F0140E">
        <w:rPr>
          <w:rFonts w:ascii="Times New Roman" w:hAnsi="Times New Roman" w:cs="Times New Roman"/>
        </w:rPr>
        <w:t xml:space="preserve">deliverables of the previous phase. This type of sequencing guarantees that the quality of the data is verified prior to the inferential testing and that the assumptions of any statistical test considered in the paper are carefully researched and the findings </w:t>
      </w:r>
      <w:r w:rsidRPr="00F0140E">
        <w:rPr>
          <w:rFonts w:ascii="Times New Roman" w:hAnsi="Times New Roman" w:cs="Times New Roman"/>
        </w:rPr>
        <w:t>analysed</w:t>
      </w:r>
      <w:r w:rsidRPr="00F0140E">
        <w:rPr>
          <w:rFonts w:ascii="Times New Roman" w:hAnsi="Times New Roman" w:cs="Times New Roman"/>
        </w:rPr>
        <w:t xml:space="preserve"> before the interpretation (Field, 2018). Figure 4 shows the general sequential flow of the intended analysis.</w:t>
      </w:r>
      <w:r w:rsidRPr="00F0140E">
        <w:rPr>
          <w:rFonts w:ascii="Times New Roman" w:hAnsi="Times New Roman" w:cs="Times New Roman"/>
        </w:rPr>
        <w:t xml:space="preserve"> </w:t>
      </w:r>
    </w:p>
    <w:p w14:paraId="17FB2D2F" w14:textId="5A9D828E" w:rsidR="000104C9" w:rsidRPr="00F0140E" w:rsidRDefault="000104C9" w:rsidP="00387E72">
      <w:pPr>
        <w:spacing w:after="120" w:line="480" w:lineRule="auto"/>
        <w:jc w:val="both"/>
        <w:rPr>
          <w:rFonts w:ascii="Times New Roman" w:hAnsi="Times New Roman" w:cs="Times New Roman"/>
        </w:rPr>
      </w:pPr>
      <w:r w:rsidRPr="00F0140E">
        <w:rPr>
          <w:rFonts w:ascii="Times New Roman" w:hAnsi="Times New Roman" w:cs="Times New Roman"/>
          <w:noProof/>
        </w:rPr>
        <w:drawing>
          <wp:inline distT="0" distB="0" distL="0" distR="0" wp14:anchorId="5253A716" wp14:editId="24616974">
            <wp:extent cx="5843905" cy="2872409"/>
            <wp:effectExtent l="0" t="0" r="444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871190" cy="2885820"/>
                    </a:xfrm>
                    <a:prstGeom prst="rect">
                      <a:avLst/>
                    </a:prstGeom>
                    <a:noFill/>
                    <a:ln>
                      <a:noFill/>
                    </a:ln>
                    <a:extLst>
                      <a:ext uri="{53640926-AAD7-44D8-BBD7-CCE9431645EC}">
                        <a14:shadowObscured xmlns:a14="http://schemas.microsoft.com/office/drawing/2010/main"/>
                      </a:ext>
                    </a:extLst>
                  </pic:spPr>
                </pic:pic>
              </a:graphicData>
            </a:graphic>
          </wp:inline>
        </w:drawing>
      </w:r>
    </w:p>
    <w:p w14:paraId="39C9D003"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i/>
          <w:iCs/>
          <w:color w:val="555555"/>
          <w:sz w:val="20"/>
          <w:szCs w:val="20"/>
        </w:rPr>
        <w:t>Figure 4: Data Analysis Sequential Process Flow. Five-Stage SPSS Analysis Plan</w:t>
      </w:r>
    </w:p>
    <w:p w14:paraId="73FB8308" w14:textId="5F88FB73" w:rsidR="006C64F5" w:rsidRPr="00F0140E" w:rsidRDefault="008C27FC"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Stage 1 Data will be screened </w:t>
      </w:r>
      <w:r w:rsidR="00F257F3" w:rsidRPr="00F0140E">
        <w:rPr>
          <w:rFonts w:ascii="Times New Roman" w:hAnsi="Times New Roman" w:cs="Times New Roman"/>
        </w:rPr>
        <w:t>for missing records, for item non-response rates over 10 per cent, and for normality using the Kolmogorov-Smirnov test; outliers will be identified using z-scores</w:t>
      </w:r>
      <w:r w:rsidRPr="00F0140E">
        <w:rPr>
          <w:rFonts w:ascii="Times New Roman" w:hAnsi="Times New Roman" w:cs="Times New Roman"/>
        </w:rPr>
        <w:t xml:space="preserve"> outside the three standard deviations. Stage 2 will involve descriptive statistics </w:t>
      </w:r>
      <w:r w:rsidR="00F257F3" w:rsidRPr="00F0140E">
        <w:rPr>
          <w:rFonts w:ascii="Times New Roman" w:hAnsi="Times New Roman" w:cs="Times New Roman"/>
        </w:rPr>
        <w:t xml:space="preserve">to describe the sample demographics and establish the </w:t>
      </w:r>
      <w:r w:rsidRPr="00F0140E">
        <w:rPr>
          <w:rFonts w:ascii="Times New Roman" w:hAnsi="Times New Roman" w:cs="Times New Roman"/>
        </w:rPr>
        <w:t xml:space="preserve">distributional characteristics of all variables on the scale. Stage 3 Cronbach’s Alpha will be calculated </w:t>
      </w:r>
      <w:r w:rsidR="00F257F3" w:rsidRPr="00F0140E">
        <w:rPr>
          <w:rFonts w:ascii="Times New Roman" w:hAnsi="Times New Roman" w:cs="Times New Roman"/>
        </w:rPr>
        <w:t>for each subscale at alpha = 0.70, according to Field (2018); subscales with lower values will be analysed at</w:t>
      </w:r>
      <w:r w:rsidRPr="00F0140E">
        <w:rPr>
          <w:rFonts w:ascii="Times New Roman" w:hAnsi="Times New Roman" w:cs="Times New Roman"/>
        </w:rPr>
        <w:t xml:space="preserve"> the item level, and then another regression will be performed. Stage 4 will include </w:t>
      </w:r>
      <w:r w:rsidR="00F257F3" w:rsidRPr="00F0140E">
        <w:rPr>
          <w:rFonts w:ascii="Times New Roman" w:hAnsi="Times New Roman" w:cs="Times New Roman"/>
        </w:rPr>
        <w:t>Pearson correlation matrix analysis to test bivariate relationships and confirm the three conditions for mediating</w:t>
      </w:r>
      <w:r w:rsidRPr="00F0140E">
        <w:rPr>
          <w:rFonts w:ascii="Times New Roman" w:hAnsi="Times New Roman" w:cs="Times New Roman"/>
        </w:rPr>
        <w:t xml:space="preserve"> analysis. Stage 5 will involve testing H1, H2, and H3 with a three-step mediation process by Baron and Kenny, cited in Spicer (2005), that will involve two multiple linear regression models to test H1, H2, and H3</w:t>
      </w:r>
      <w:r w:rsidR="00F257F3" w:rsidRPr="00F0140E">
        <w:rPr>
          <w:rFonts w:ascii="Times New Roman" w:hAnsi="Times New Roman" w:cs="Times New Roman"/>
        </w:rPr>
        <w:t>,</w:t>
      </w:r>
      <w:r w:rsidRPr="00F0140E">
        <w:rPr>
          <w:rFonts w:ascii="Times New Roman" w:hAnsi="Times New Roman" w:cs="Times New Roman"/>
        </w:rPr>
        <w:t xml:space="preserve"> comparing standardised beta coefficients of T</w:t>
      </w:r>
      <w:r w:rsidR="00F257F3" w:rsidRPr="00F0140E">
        <w:rPr>
          <w:rFonts w:ascii="Times New Roman" w:hAnsi="Times New Roman" w:cs="Times New Roman"/>
        </w:rPr>
        <w:t>&amp;</w:t>
      </w:r>
      <w:r w:rsidRPr="00F0140E">
        <w:rPr>
          <w:rFonts w:ascii="Times New Roman" w:hAnsi="Times New Roman" w:cs="Times New Roman"/>
        </w:rPr>
        <w:t xml:space="preserve">D participation on motivational outcomes with and without job satisfaction as mediation. Tolerance and VIF statistics will be reported along the way to ensure the elimination of the detrimental multicollinearity. </w:t>
      </w:r>
    </w:p>
    <w:p w14:paraId="12DEB07C" w14:textId="77777777" w:rsidR="006C64F5" w:rsidRPr="00F0140E" w:rsidRDefault="00000000" w:rsidP="00387E72">
      <w:pPr>
        <w:pStyle w:val="Heading2"/>
        <w:spacing w:line="480" w:lineRule="auto"/>
      </w:pPr>
      <w:bookmarkStart w:id="22" w:name="_Toc225816487"/>
      <w:r w:rsidRPr="00F0140E">
        <w:t>3.8  Ethical Considerations</w:t>
      </w:r>
      <w:bookmarkEnd w:id="22"/>
    </w:p>
    <w:p w14:paraId="1EAF9A15" w14:textId="7265EA07" w:rsidR="00375FEA" w:rsidRPr="00F0140E" w:rsidRDefault="008C27FC"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 research will adhere to all the requirements of the British Psychological Society (BPS, 2021), the UK General Data Protection Regulation, and the Data Protection Act 2018 (GOV.UK, 2018). Each participant will be supplied with a Participant Information Sheet which is the opening page of the Qualtrics survey that will explain the purpose of the research, voluntary nature of participation, the estimated time of completion which is twelve minutes, the opportunity to withdraw, data destruction process and the destruction process of data, and the fact that there will be no employment related consequences of participating or not participating. The digital informed consent will consist of a tick-box </w:t>
      </w:r>
      <w:r w:rsidR="00F257F3" w:rsidRPr="00F0140E">
        <w:rPr>
          <w:rFonts w:ascii="Times New Roman" w:hAnsi="Times New Roman" w:cs="Times New Roman"/>
        </w:rPr>
        <w:t xml:space="preserve">stating that the questionnaire will be shown and that </w:t>
      </w:r>
      <w:r w:rsidRPr="00F0140E">
        <w:rPr>
          <w:rFonts w:ascii="Times New Roman" w:hAnsi="Times New Roman" w:cs="Times New Roman"/>
        </w:rPr>
        <w:t xml:space="preserve">no data will be collected without express permission. The subjects will be </w:t>
      </w:r>
      <w:r w:rsidR="00F257F3" w:rsidRPr="00F0140E">
        <w:rPr>
          <w:rFonts w:ascii="Times New Roman" w:hAnsi="Times New Roman" w:cs="Times New Roman"/>
        </w:rPr>
        <w:t xml:space="preserve">informed that they have the absolute right to </w:t>
      </w:r>
      <w:r w:rsidR="003C7CB3" w:rsidRPr="00F0140E">
        <w:rPr>
          <w:rFonts w:ascii="Times New Roman" w:hAnsi="Times New Roman" w:cs="Times New Roman"/>
        </w:rPr>
        <w:t>withdraw from the study</w:t>
      </w:r>
      <w:r w:rsidR="00F257F3" w:rsidRPr="00F0140E">
        <w:rPr>
          <w:rFonts w:ascii="Times New Roman" w:hAnsi="Times New Roman" w:cs="Times New Roman"/>
        </w:rPr>
        <w:t xml:space="preserve"> at any time, with no explanation and no penalty</w:t>
      </w:r>
      <w:r w:rsidR="009765D1" w:rsidRPr="00F0140E">
        <w:rPr>
          <w:rFonts w:ascii="Times New Roman" w:hAnsi="Times New Roman" w:cs="Times New Roman"/>
        </w:rPr>
        <w:t>. Still, the</w:t>
      </w:r>
      <w:r w:rsidR="00F257F3" w:rsidRPr="00F0140E">
        <w:rPr>
          <w:rFonts w:ascii="Times New Roman" w:hAnsi="Times New Roman" w:cs="Times New Roman"/>
        </w:rPr>
        <w:t xml:space="preserve"> fully anonymous nature of the study will render it impossible to withdraw after completion, as</w:t>
      </w:r>
      <w:r w:rsidRPr="00F0140E">
        <w:rPr>
          <w:rFonts w:ascii="Times New Roman" w:hAnsi="Times New Roman" w:cs="Times New Roman"/>
        </w:rPr>
        <w:t xml:space="preserve"> disclosed openly in the PIS. </w:t>
      </w:r>
      <w:r w:rsidR="00F0140E" w:rsidRPr="00F0140E">
        <w:rPr>
          <w:rFonts w:ascii="Times New Roman" w:hAnsi="Times New Roman" w:cs="Times New Roman"/>
        </w:rPr>
        <w:t xml:space="preserve">The questionnaire will be grounded on the philosophy of complete anonymity: no names, no employee identification numbers, no workplace address will be gathered; the collection of IP addresses will be disabled in Qualtrics; and the answers will be </w:t>
      </w:r>
      <w:r w:rsidR="00F0140E" w:rsidRPr="00F0140E">
        <w:rPr>
          <w:rFonts w:ascii="Times New Roman" w:hAnsi="Times New Roman" w:cs="Times New Roman"/>
        </w:rPr>
        <w:t xml:space="preserve">analysed at the aggregate level </w:t>
      </w:r>
      <w:r w:rsidR="00F0140E" w:rsidRPr="00F0140E">
        <w:rPr>
          <w:rFonts w:ascii="Times New Roman" w:hAnsi="Times New Roman" w:cs="Times New Roman"/>
        </w:rPr>
        <w:t xml:space="preserve">only. All data will be stored in a </w:t>
      </w:r>
      <w:r w:rsidR="00F0140E" w:rsidRPr="00F0140E">
        <w:rPr>
          <w:rFonts w:ascii="Times New Roman" w:hAnsi="Times New Roman" w:cs="Times New Roman"/>
        </w:rPr>
        <w:t>password-encrypted and secured university server, only accessible to the named researcher, and that will be accessible up to a maximum of 5 years after the thesis is handed in,</w:t>
      </w:r>
      <w:r w:rsidR="00F0140E" w:rsidRPr="00F0140E">
        <w:rPr>
          <w:rFonts w:ascii="Times New Roman" w:hAnsi="Times New Roman" w:cs="Times New Roman"/>
        </w:rPr>
        <w:t xml:space="preserve"> and will be permanently destroyed. The researcher will not face any serious risk of direct harm</w:t>
      </w:r>
      <w:r w:rsidR="00F0140E" w:rsidRPr="00F0140E">
        <w:rPr>
          <w:rFonts w:ascii="Times New Roman" w:hAnsi="Times New Roman" w:cs="Times New Roman"/>
        </w:rPr>
        <w:t>,</w:t>
      </w:r>
      <w:r w:rsidR="00F0140E" w:rsidRPr="00F0140E">
        <w:rPr>
          <w:rFonts w:ascii="Times New Roman" w:hAnsi="Times New Roman" w:cs="Times New Roman"/>
        </w:rPr>
        <w:t xml:space="preserve"> as all data will be collected via the internet, and no personal </w:t>
      </w:r>
      <w:r w:rsidR="00F0140E" w:rsidRPr="00F0140E">
        <w:rPr>
          <w:rFonts w:ascii="Times New Roman" w:hAnsi="Times New Roman" w:cs="Times New Roman"/>
        </w:rPr>
        <w:t xml:space="preserve">contact with the participants will be made except through </w:t>
      </w:r>
      <w:r w:rsidR="00F0140E" w:rsidRPr="00F0140E">
        <w:rPr>
          <w:rFonts w:ascii="Times New Roman" w:hAnsi="Times New Roman" w:cs="Times New Roman"/>
        </w:rPr>
        <w:t>the official university mail of the researcher.</w:t>
      </w:r>
    </w:p>
    <w:p w14:paraId="6C91FCDE" w14:textId="77777777" w:rsidR="00375FEA" w:rsidRPr="00F0140E" w:rsidRDefault="00375FEA" w:rsidP="00387E72">
      <w:pPr>
        <w:pStyle w:val="Heading2"/>
        <w:spacing w:line="480" w:lineRule="auto"/>
      </w:pPr>
      <w:bookmarkStart w:id="23" w:name="_Toc225816488"/>
      <w:r w:rsidRPr="00F0140E">
        <w:t>3.9 Limitations of the Study</w:t>
      </w:r>
      <w:bookmarkEnd w:id="23"/>
    </w:p>
    <w:p w14:paraId="64B92227" w14:textId="03B8BF7C" w:rsidR="006C64F5" w:rsidRPr="00F0140E" w:rsidRDefault="00F0140E" w:rsidP="00387E72">
      <w:pPr>
        <w:spacing w:after="120" w:line="480" w:lineRule="auto"/>
        <w:jc w:val="both"/>
        <w:rPr>
          <w:rFonts w:ascii="Times New Roman" w:hAnsi="Times New Roman" w:cs="Times New Roman"/>
        </w:rPr>
      </w:pPr>
      <w:r w:rsidRPr="00F0140E">
        <w:rPr>
          <w:rFonts w:ascii="Times New Roman" w:hAnsi="Times New Roman" w:cs="Times New Roman"/>
        </w:rPr>
        <w:t>There are three substantive limitations recognised in the current study. First, a cross-sectional design captures data at one time</w:t>
      </w:r>
      <w:r w:rsidRPr="00F0140E">
        <w:rPr>
          <w:rFonts w:ascii="Times New Roman" w:hAnsi="Times New Roman" w:cs="Times New Roman"/>
        </w:rPr>
        <w:t>;</w:t>
      </w:r>
      <w:r w:rsidRPr="00F0140E">
        <w:rPr>
          <w:rFonts w:ascii="Times New Roman" w:hAnsi="Times New Roman" w:cs="Times New Roman"/>
        </w:rPr>
        <w:t xml:space="preserve"> it cannot be concluded that statistical associations are causally directed. The correlations that were observed between the participation of T&amp;D and motivational outcomes may be partly attributed to the presence of motivational dispositions prior to the training period and not </w:t>
      </w:r>
      <w:r w:rsidRPr="00F0140E">
        <w:rPr>
          <w:rFonts w:ascii="Times New Roman" w:hAnsi="Times New Roman" w:cs="Times New Roman"/>
        </w:rPr>
        <w:t>a result</w:t>
      </w:r>
      <w:r w:rsidRPr="00F0140E">
        <w:rPr>
          <w:rFonts w:ascii="Times New Roman" w:hAnsi="Times New Roman" w:cs="Times New Roman"/>
        </w:rPr>
        <w:t xml:space="preserve"> of training. </w:t>
      </w:r>
      <w:r w:rsidRPr="00F0140E">
        <w:rPr>
          <w:rFonts w:ascii="Times New Roman" w:hAnsi="Times New Roman" w:cs="Times New Roman"/>
        </w:rPr>
        <w:t>A longitudinal</w:t>
      </w:r>
      <w:r w:rsidRPr="00F0140E">
        <w:rPr>
          <w:rFonts w:ascii="Times New Roman" w:hAnsi="Times New Roman" w:cs="Times New Roman"/>
        </w:rPr>
        <w:t xml:space="preserve"> panel design would provide better causal inference, but this proposal has resource and time </w:t>
      </w:r>
      <w:r w:rsidRPr="00F0140E">
        <w:rPr>
          <w:rFonts w:ascii="Times New Roman" w:hAnsi="Times New Roman" w:cs="Times New Roman"/>
        </w:rPr>
        <w:t>constraints</w:t>
      </w:r>
      <w:r w:rsidRPr="00F0140E">
        <w:rPr>
          <w:rFonts w:ascii="Times New Roman" w:hAnsi="Times New Roman" w:cs="Times New Roman"/>
        </w:rPr>
        <w:t xml:space="preserve">. Second, non-probability sampling does not allow generalisation. It is likely that the purposive convenience sample will not be representative enough of workers in small operators and seasonal businesses, but potentially will over-represent workers in large and HR-active organisations. The findings should be interpreted as indicative of what is happening with the sampled population but not </w:t>
      </w:r>
      <w:r w:rsidRPr="00F0140E">
        <w:rPr>
          <w:rFonts w:ascii="Times New Roman" w:hAnsi="Times New Roman" w:cs="Times New Roman"/>
        </w:rPr>
        <w:t>with the entire</w:t>
      </w:r>
      <w:r w:rsidRPr="00F0140E">
        <w:rPr>
          <w:rFonts w:ascii="Times New Roman" w:hAnsi="Times New Roman" w:cs="Times New Roman"/>
        </w:rPr>
        <w:t xml:space="preserve"> hospitality labour force in the UK (Saunders et al., 2023). Third, self-report designs that use a single-instrument, single-occasion design are vulnerable to common-method bias. Though the procedure remedies will be used as indicated in Section 3.4, this risk will not be eradicated, and correlational findings will have to be considered with utmost care (Diamantidis and Chatzoglou, 2019).</w:t>
      </w:r>
      <w:r w:rsidRPr="00F0140E">
        <w:rPr>
          <w:rFonts w:ascii="Times New Roman" w:hAnsi="Times New Roman" w:cs="Times New Roman"/>
        </w:rPr>
        <w:t xml:space="preserve"> </w:t>
      </w:r>
      <w:r w:rsidR="008C27FC" w:rsidRPr="00F0140E">
        <w:rPr>
          <w:rFonts w:ascii="Times New Roman" w:hAnsi="Times New Roman" w:cs="Times New Roman"/>
        </w:rPr>
        <w:t xml:space="preserve"> </w:t>
      </w:r>
    </w:p>
    <w:p w14:paraId="2D602E1A"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rPr>
        <w:br w:type="page"/>
      </w:r>
    </w:p>
    <w:p w14:paraId="5DD55F8E" w14:textId="77777777" w:rsidR="006C64F5" w:rsidRPr="00F0140E" w:rsidRDefault="00000000" w:rsidP="00387E72">
      <w:pPr>
        <w:pStyle w:val="Heading1"/>
        <w:pBdr>
          <w:bottom w:val="single" w:sz="8" w:space="4" w:color="2E75B6"/>
        </w:pBdr>
        <w:spacing w:before="0" w:after="120"/>
        <w:jc w:val="both"/>
        <w:rPr>
          <w:rFonts w:ascii="Times New Roman" w:hAnsi="Times New Roman" w:cs="Times New Roman"/>
        </w:rPr>
      </w:pPr>
      <w:bookmarkStart w:id="24" w:name="_Toc225816489"/>
      <w:r w:rsidRPr="00F0140E">
        <w:rPr>
          <w:rFonts w:ascii="Times New Roman" w:hAnsi="Times New Roman" w:cs="Times New Roman"/>
        </w:rPr>
        <w:t>4.0  Outcomes and Timetable</w:t>
      </w:r>
      <w:bookmarkEnd w:id="24"/>
    </w:p>
    <w:p w14:paraId="5DBFA8B2" w14:textId="77777777" w:rsidR="006C64F5" w:rsidRPr="00F0140E" w:rsidRDefault="00000000" w:rsidP="00387E72">
      <w:pPr>
        <w:pStyle w:val="Heading2"/>
        <w:spacing w:line="480" w:lineRule="auto"/>
      </w:pPr>
      <w:bookmarkStart w:id="25" w:name="_Toc225816490"/>
      <w:r w:rsidRPr="00F0140E">
        <w:t>4.1  Expected Outcomes and Contribution</w:t>
      </w:r>
      <w:bookmarkEnd w:id="25"/>
    </w:p>
    <w:p w14:paraId="14F4B09F" w14:textId="75E72988" w:rsidR="008C27FC" w:rsidRPr="00F0140E" w:rsidRDefault="00E370C6" w:rsidP="00387E72">
      <w:pPr>
        <w:spacing w:after="120" w:line="480" w:lineRule="auto"/>
        <w:jc w:val="both"/>
        <w:rPr>
          <w:rFonts w:ascii="Times New Roman" w:hAnsi="Times New Roman" w:cs="Times New Roman"/>
        </w:rPr>
      </w:pPr>
      <w:r w:rsidRPr="00F0140E">
        <w:rPr>
          <w:rFonts w:ascii="Times New Roman" w:hAnsi="Times New Roman" w:cs="Times New Roman"/>
        </w:rPr>
        <w:t>The proposed study will produce original quantitative data to help fill the specific gap identified in Section 2.4. It will further empirically apply SDT to the UK hospitality setting by testing the hypothesis that competence-need satisfaction induced by structured T&amp;D is predictive of intrinsic motivation</w:t>
      </w:r>
      <w:r w:rsidR="009765D1" w:rsidRPr="00F0140E">
        <w:rPr>
          <w:rFonts w:ascii="Times New Roman" w:hAnsi="Times New Roman" w:cs="Times New Roman"/>
        </w:rPr>
        <w:t>. Extrinsic</w:t>
      </w:r>
      <w:r w:rsidRPr="00F0140E">
        <w:rPr>
          <w:rFonts w:ascii="Times New Roman" w:hAnsi="Times New Roman" w:cs="Times New Roman"/>
        </w:rPr>
        <w:t xml:space="preserve"> motivational outcomes are also dependent on the formal training investment. The mediation test will </w:t>
      </w:r>
      <w:r w:rsidR="00F257F3" w:rsidRPr="00F0140E">
        <w:rPr>
          <w:rFonts w:ascii="Times New Roman" w:hAnsi="Times New Roman" w:cs="Times New Roman"/>
        </w:rPr>
        <w:t>provide an initial, direct empirical test of job satisfaction as a process through which training participation can be translated into motivational consequences within a UK hospitality sample</w:t>
      </w:r>
      <w:r w:rsidRPr="00F0140E">
        <w:rPr>
          <w:rFonts w:ascii="Times New Roman" w:hAnsi="Times New Roman" w:cs="Times New Roman"/>
        </w:rPr>
        <w:t xml:space="preserve">. This is a direct response to the need to examine SDT research specifically in sectors and to hypothesis testing, as proposed by McAnally and Hagger (2024) and Rigby and Ryan (2018). The validated survey instrument </w:t>
      </w:r>
      <w:r w:rsidR="00F257F3" w:rsidRPr="00F0140E">
        <w:rPr>
          <w:rFonts w:ascii="Times New Roman" w:hAnsi="Times New Roman" w:cs="Times New Roman"/>
        </w:rPr>
        <w:t>developed for this study will also serve as a replicable measurement tool for future comparative studies across various national settings in the hospitality sector</w:t>
      </w:r>
      <w:r w:rsidRPr="00F0140E">
        <w:rPr>
          <w:rFonts w:ascii="Times New Roman" w:hAnsi="Times New Roman" w:cs="Times New Roman"/>
        </w:rPr>
        <w:t xml:space="preserve">. </w:t>
      </w:r>
    </w:p>
    <w:p w14:paraId="49B1B339" w14:textId="05C79814" w:rsidR="006C64F5" w:rsidRPr="00F0140E" w:rsidRDefault="00E370C6" w:rsidP="00387E72">
      <w:pPr>
        <w:spacing w:after="120" w:line="480" w:lineRule="auto"/>
        <w:jc w:val="both"/>
        <w:rPr>
          <w:rFonts w:ascii="Times New Roman" w:hAnsi="Times New Roman" w:cs="Times New Roman"/>
        </w:rPr>
      </w:pPr>
      <w:r w:rsidRPr="00F0140E">
        <w:rPr>
          <w:rFonts w:ascii="Times New Roman" w:hAnsi="Times New Roman" w:cs="Times New Roman"/>
        </w:rPr>
        <w:t xml:space="preserve">The evidence on the differences in </w:t>
      </w:r>
      <w:r w:rsidR="00F257F3" w:rsidRPr="00F0140E">
        <w:rPr>
          <w:rFonts w:ascii="Times New Roman" w:hAnsi="Times New Roman" w:cs="Times New Roman"/>
        </w:rPr>
        <w:t>the motivational impacts of formal T&amp;D across the intrinsic and extrinsic dimensions will enable HR practitioners in hospitality organisations in the UK to plan training programmes to achieve a specific</w:t>
      </w:r>
      <w:r w:rsidRPr="00F0140E">
        <w:rPr>
          <w:rFonts w:ascii="Times New Roman" w:hAnsi="Times New Roman" w:cs="Times New Roman"/>
        </w:rPr>
        <w:t xml:space="preserve"> level of motivational impact. If H1 is supported, the results will support investing in autonomy-enhancing, competence-building training as an intrinsic motivation-enhancing strategy. </w:t>
      </w:r>
      <w:r w:rsidR="00F257F3" w:rsidRPr="00F0140E">
        <w:rPr>
          <w:rFonts w:ascii="Times New Roman" w:hAnsi="Times New Roman" w:cs="Times New Roman"/>
        </w:rPr>
        <w:t>If H2 is shown to be valid, the results will demonstrate that T&amp;D can be utilised as an addition to, rather than a replacement for</w:t>
      </w:r>
      <w:r w:rsidRPr="00F0140E">
        <w:rPr>
          <w:rFonts w:ascii="Times New Roman" w:hAnsi="Times New Roman" w:cs="Times New Roman"/>
        </w:rPr>
        <w:t xml:space="preserve">, extrinsic reward systems. </w:t>
      </w:r>
      <w:r w:rsidR="003C7CB3" w:rsidRPr="00F0140E">
        <w:rPr>
          <w:rFonts w:ascii="Times New Roman" w:hAnsi="Times New Roman" w:cs="Times New Roman"/>
        </w:rPr>
        <w:t xml:space="preserve">If H3 is validated, HR practitioners will </w:t>
      </w:r>
      <w:r w:rsidR="00F257F3" w:rsidRPr="00F0140E">
        <w:rPr>
          <w:rFonts w:ascii="Times New Roman" w:hAnsi="Times New Roman" w:cs="Times New Roman"/>
        </w:rPr>
        <w:t>see that enhancing job satisfaction through organised investment in development is a productive route to greater motivational benefits and direct consequences, including decreased turnover and the strategic upskilling agenda,</w:t>
      </w:r>
      <w:r w:rsidRPr="00F0140E">
        <w:rPr>
          <w:rFonts w:ascii="Times New Roman" w:hAnsi="Times New Roman" w:cs="Times New Roman"/>
        </w:rPr>
        <w:t xml:space="preserve"> as emphasised by Congna and Saad (2025). </w:t>
      </w:r>
    </w:p>
    <w:p w14:paraId="6353FB3A" w14:textId="77777777" w:rsidR="00585ADD" w:rsidRPr="00F0140E" w:rsidRDefault="00585ADD" w:rsidP="00387E72">
      <w:pPr>
        <w:spacing w:after="120" w:line="480" w:lineRule="auto"/>
        <w:jc w:val="both"/>
        <w:rPr>
          <w:rFonts w:ascii="Times New Roman" w:hAnsi="Times New Roman" w:cs="Times New Roman"/>
          <w:b/>
          <w:bCs/>
          <w:i/>
          <w:iCs/>
          <w:color w:val="2E75B6"/>
        </w:rPr>
      </w:pPr>
      <w:r w:rsidRPr="00F0140E">
        <w:rPr>
          <w:rFonts w:ascii="Times New Roman" w:hAnsi="Times New Roman" w:cs="Times New Roman"/>
        </w:rPr>
        <w:br w:type="page"/>
      </w:r>
    </w:p>
    <w:p w14:paraId="578C7F2B" w14:textId="77777777" w:rsidR="00585ADD" w:rsidRPr="00F0140E" w:rsidRDefault="00585ADD" w:rsidP="00387E72">
      <w:pPr>
        <w:pStyle w:val="Heading2"/>
        <w:spacing w:line="480" w:lineRule="auto"/>
        <w:sectPr w:rsidR="00585ADD" w:rsidRPr="00F0140E" w:rsidSect="003271A5">
          <w:footerReference w:type="default" r:id="rId12"/>
          <w:pgSz w:w="11906" w:h="16838"/>
          <w:pgMar w:top="1440" w:right="1440" w:bottom="1440" w:left="1440" w:header="708" w:footer="708" w:gutter="0"/>
          <w:cols w:space="720"/>
          <w:docGrid w:linePitch="360"/>
        </w:sectPr>
      </w:pPr>
    </w:p>
    <w:p w14:paraId="41357549" w14:textId="0B6957A5" w:rsidR="006C64F5" w:rsidRPr="00F0140E" w:rsidRDefault="00000000" w:rsidP="006868DA">
      <w:pPr>
        <w:pStyle w:val="Heading2"/>
        <w:spacing w:line="276" w:lineRule="auto"/>
      </w:pPr>
      <w:bookmarkStart w:id="26" w:name="_Toc225816491"/>
      <w:r w:rsidRPr="00F0140E">
        <w:t>4.2  Gantt Chart and Timeline Narrative</w:t>
      </w:r>
      <w:bookmarkEnd w:id="26"/>
    </w:p>
    <w:tbl>
      <w:tblPr>
        <w:tblStyle w:val="TableGrid"/>
        <w:tblW w:w="14229" w:type="dxa"/>
        <w:tblLayout w:type="fixed"/>
        <w:tblLook w:val="04A0" w:firstRow="1" w:lastRow="0" w:firstColumn="1" w:lastColumn="0" w:noHBand="0" w:noVBand="1"/>
      </w:tblPr>
      <w:tblGrid>
        <w:gridCol w:w="3654"/>
        <w:gridCol w:w="443"/>
        <w:gridCol w:w="444"/>
        <w:gridCol w:w="444"/>
        <w:gridCol w:w="443"/>
        <w:gridCol w:w="444"/>
        <w:gridCol w:w="444"/>
        <w:gridCol w:w="443"/>
        <w:gridCol w:w="444"/>
        <w:gridCol w:w="444"/>
        <w:gridCol w:w="444"/>
        <w:gridCol w:w="443"/>
        <w:gridCol w:w="444"/>
        <w:gridCol w:w="444"/>
        <w:gridCol w:w="443"/>
        <w:gridCol w:w="444"/>
        <w:gridCol w:w="444"/>
        <w:gridCol w:w="444"/>
        <w:gridCol w:w="443"/>
        <w:gridCol w:w="444"/>
        <w:gridCol w:w="444"/>
        <w:gridCol w:w="443"/>
        <w:gridCol w:w="444"/>
        <w:gridCol w:w="444"/>
        <w:gridCol w:w="370"/>
      </w:tblGrid>
      <w:tr w:rsidR="009135F6" w:rsidRPr="00F0140E" w14:paraId="2E6FACA6" w14:textId="77777777" w:rsidTr="009135F6">
        <w:trPr>
          <w:trHeight w:val="332"/>
        </w:trPr>
        <w:tc>
          <w:tcPr>
            <w:tcW w:w="3654" w:type="dxa"/>
            <w:hideMark/>
          </w:tcPr>
          <w:p w14:paraId="10548276"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Phase / Activity</w:t>
            </w:r>
          </w:p>
        </w:tc>
        <w:tc>
          <w:tcPr>
            <w:tcW w:w="443" w:type="dxa"/>
            <w:hideMark/>
          </w:tcPr>
          <w:p w14:paraId="151D9813"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w:t>
            </w:r>
          </w:p>
        </w:tc>
        <w:tc>
          <w:tcPr>
            <w:tcW w:w="444" w:type="dxa"/>
            <w:hideMark/>
          </w:tcPr>
          <w:p w14:paraId="2B5FD504"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W2</w:t>
            </w:r>
          </w:p>
        </w:tc>
        <w:tc>
          <w:tcPr>
            <w:tcW w:w="444" w:type="dxa"/>
            <w:hideMark/>
          </w:tcPr>
          <w:p w14:paraId="167BB234"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W3</w:t>
            </w:r>
          </w:p>
        </w:tc>
        <w:tc>
          <w:tcPr>
            <w:tcW w:w="443" w:type="dxa"/>
            <w:hideMark/>
          </w:tcPr>
          <w:p w14:paraId="22702DC3"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W4</w:t>
            </w:r>
          </w:p>
        </w:tc>
        <w:tc>
          <w:tcPr>
            <w:tcW w:w="444" w:type="dxa"/>
            <w:hideMark/>
          </w:tcPr>
          <w:p w14:paraId="44986682"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W5</w:t>
            </w:r>
          </w:p>
        </w:tc>
        <w:tc>
          <w:tcPr>
            <w:tcW w:w="444" w:type="dxa"/>
            <w:hideMark/>
          </w:tcPr>
          <w:p w14:paraId="25A16CCF"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W6</w:t>
            </w:r>
          </w:p>
        </w:tc>
        <w:tc>
          <w:tcPr>
            <w:tcW w:w="443" w:type="dxa"/>
            <w:hideMark/>
          </w:tcPr>
          <w:p w14:paraId="3CD80409"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W7</w:t>
            </w:r>
          </w:p>
        </w:tc>
        <w:tc>
          <w:tcPr>
            <w:tcW w:w="444" w:type="dxa"/>
            <w:hideMark/>
          </w:tcPr>
          <w:p w14:paraId="461FA802"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W8</w:t>
            </w:r>
          </w:p>
        </w:tc>
        <w:tc>
          <w:tcPr>
            <w:tcW w:w="444" w:type="dxa"/>
            <w:hideMark/>
          </w:tcPr>
          <w:p w14:paraId="477D2D4B"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W9</w:t>
            </w:r>
          </w:p>
        </w:tc>
        <w:tc>
          <w:tcPr>
            <w:tcW w:w="444" w:type="dxa"/>
            <w:hideMark/>
          </w:tcPr>
          <w:p w14:paraId="283F648C"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W10</w:t>
            </w:r>
          </w:p>
        </w:tc>
        <w:tc>
          <w:tcPr>
            <w:tcW w:w="443" w:type="dxa"/>
            <w:hideMark/>
          </w:tcPr>
          <w:p w14:paraId="23012195"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W11</w:t>
            </w:r>
          </w:p>
        </w:tc>
        <w:tc>
          <w:tcPr>
            <w:tcW w:w="444" w:type="dxa"/>
            <w:hideMark/>
          </w:tcPr>
          <w:p w14:paraId="7D7218FB"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W12</w:t>
            </w:r>
          </w:p>
        </w:tc>
        <w:tc>
          <w:tcPr>
            <w:tcW w:w="444" w:type="dxa"/>
            <w:hideMark/>
          </w:tcPr>
          <w:p w14:paraId="1D355CCE"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W13</w:t>
            </w:r>
          </w:p>
        </w:tc>
        <w:tc>
          <w:tcPr>
            <w:tcW w:w="443" w:type="dxa"/>
            <w:hideMark/>
          </w:tcPr>
          <w:p w14:paraId="23361BFC"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W14</w:t>
            </w:r>
          </w:p>
        </w:tc>
        <w:tc>
          <w:tcPr>
            <w:tcW w:w="444" w:type="dxa"/>
            <w:hideMark/>
          </w:tcPr>
          <w:p w14:paraId="6DDC6185"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W15</w:t>
            </w:r>
          </w:p>
        </w:tc>
        <w:tc>
          <w:tcPr>
            <w:tcW w:w="444" w:type="dxa"/>
            <w:hideMark/>
          </w:tcPr>
          <w:p w14:paraId="3A961664"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W16</w:t>
            </w:r>
          </w:p>
        </w:tc>
        <w:tc>
          <w:tcPr>
            <w:tcW w:w="444" w:type="dxa"/>
            <w:hideMark/>
          </w:tcPr>
          <w:p w14:paraId="2AE5C389"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W17</w:t>
            </w:r>
          </w:p>
        </w:tc>
        <w:tc>
          <w:tcPr>
            <w:tcW w:w="443" w:type="dxa"/>
            <w:hideMark/>
          </w:tcPr>
          <w:p w14:paraId="4B8B2401"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W18</w:t>
            </w:r>
          </w:p>
        </w:tc>
        <w:tc>
          <w:tcPr>
            <w:tcW w:w="444" w:type="dxa"/>
            <w:hideMark/>
          </w:tcPr>
          <w:p w14:paraId="33F10DE9"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W19</w:t>
            </w:r>
          </w:p>
        </w:tc>
        <w:tc>
          <w:tcPr>
            <w:tcW w:w="444" w:type="dxa"/>
            <w:hideMark/>
          </w:tcPr>
          <w:p w14:paraId="41AF6B6D"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W20</w:t>
            </w:r>
          </w:p>
        </w:tc>
        <w:tc>
          <w:tcPr>
            <w:tcW w:w="443" w:type="dxa"/>
            <w:hideMark/>
          </w:tcPr>
          <w:p w14:paraId="01B90EE4"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W21</w:t>
            </w:r>
          </w:p>
        </w:tc>
        <w:tc>
          <w:tcPr>
            <w:tcW w:w="444" w:type="dxa"/>
            <w:hideMark/>
          </w:tcPr>
          <w:p w14:paraId="337CEF96"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W22</w:t>
            </w:r>
          </w:p>
        </w:tc>
        <w:tc>
          <w:tcPr>
            <w:tcW w:w="444" w:type="dxa"/>
            <w:hideMark/>
          </w:tcPr>
          <w:p w14:paraId="5B000E28"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W23</w:t>
            </w:r>
          </w:p>
        </w:tc>
        <w:tc>
          <w:tcPr>
            <w:tcW w:w="370" w:type="dxa"/>
            <w:hideMark/>
          </w:tcPr>
          <w:p w14:paraId="2C2BFC02" w14:textId="77777777" w:rsidR="00585ADD" w:rsidRPr="00F0140E" w:rsidRDefault="00585ADD" w:rsidP="006868DA">
            <w:pPr>
              <w:spacing w:line="276" w:lineRule="auto"/>
              <w:jc w:val="both"/>
              <w:rPr>
                <w:rFonts w:ascii="Times New Roman" w:hAnsi="Times New Roman" w:cs="Times New Roman"/>
                <w:b/>
                <w:bCs/>
                <w:sz w:val="22"/>
                <w:szCs w:val="22"/>
              </w:rPr>
            </w:pPr>
            <w:r w:rsidRPr="00F0140E">
              <w:rPr>
                <w:rFonts w:ascii="Times New Roman" w:hAnsi="Times New Roman" w:cs="Times New Roman"/>
                <w:b/>
                <w:bCs/>
                <w:sz w:val="22"/>
                <w:szCs w:val="22"/>
              </w:rPr>
              <w:t>W24</w:t>
            </w:r>
          </w:p>
        </w:tc>
      </w:tr>
      <w:tr w:rsidR="009135F6" w:rsidRPr="00F0140E" w14:paraId="196A6FD6" w14:textId="77777777" w:rsidTr="009135F6">
        <w:trPr>
          <w:trHeight w:val="332"/>
        </w:trPr>
        <w:tc>
          <w:tcPr>
            <w:tcW w:w="3654" w:type="dxa"/>
            <w:hideMark/>
          </w:tcPr>
          <w:p w14:paraId="0D3F2091"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Literature Review Finalisation</w:t>
            </w:r>
          </w:p>
        </w:tc>
        <w:tc>
          <w:tcPr>
            <w:tcW w:w="443" w:type="dxa"/>
            <w:shd w:val="clear" w:color="auto" w:fill="D9F2D0" w:themeFill="accent6" w:themeFillTint="33"/>
          </w:tcPr>
          <w:p w14:paraId="49D1205C" w14:textId="3F3D9C0D"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76D34069" w14:textId="731D1F10"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215AF7EE" w14:textId="2ED316C4"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9E61BA3"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BBEFC3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8DE355F"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FB27F9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DD583E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332B3E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B2C5D30"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FFFE416"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6DE152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0DF62D8"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4DFF03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E0EDEC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B850A5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9EAEFEB"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502E05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A644403"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39216F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1687961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A96999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E8F4BDD"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4A5E297D"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5138AB22" w14:textId="77777777" w:rsidTr="009135F6">
        <w:trPr>
          <w:trHeight w:val="332"/>
        </w:trPr>
        <w:tc>
          <w:tcPr>
            <w:tcW w:w="3654" w:type="dxa"/>
            <w:hideMark/>
          </w:tcPr>
          <w:p w14:paraId="23512CE6"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Ethics Application Submission</w:t>
            </w:r>
          </w:p>
        </w:tc>
        <w:tc>
          <w:tcPr>
            <w:tcW w:w="443" w:type="dxa"/>
          </w:tcPr>
          <w:p w14:paraId="7C344A5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D1412A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061CECBC" w14:textId="399886A6"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1EB2AE3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7D1ECC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B75CA70"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50E4085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7211A1E"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BF3DE4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5A3C494"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6B939B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AE89E36"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90A714E"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0A9A88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7B44D03"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AFB6ED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AD80698"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4C81E2E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DEB01D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BB2CFAE"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05D604A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E7C53B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2A4EC1A"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0C0259B8"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63968907" w14:textId="77777777" w:rsidTr="009135F6">
        <w:trPr>
          <w:trHeight w:val="332"/>
        </w:trPr>
        <w:tc>
          <w:tcPr>
            <w:tcW w:w="3654" w:type="dxa"/>
            <w:hideMark/>
          </w:tcPr>
          <w:p w14:paraId="060A062C"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Survey Instrument Development</w:t>
            </w:r>
          </w:p>
        </w:tc>
        <w:tc>
          <w:tcPr>
            <w:tcW w:w="443" w:type="dxa"/>
          </w:tcPr>
          <w:p w14:paraId="499B6D7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AC38A3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6A9ADA04" w14:textId="366ED5A2"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D9F2D0" w:themeFill="accent6" w:themeFillTint="33"/>
          </w:tcPr>
          <w:p w14:paraId="51AAAA76" w14:textId="1F12FC89"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1B5A56FF" w14:textId="5EB34961"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73C83E37" w14:textId="2B7265AC"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6407AC0E"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5607A7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146F7D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A9F511F"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1CF7CD7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991C802"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8B2F202"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23FB052E"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002700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88FBC5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D3937B0"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071A2BD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211775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31CAF22"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E77735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7915942"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E19DB5E"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71018D4C"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58497113" w14:textId="77777777" w:rsidTr="009135F6">
        <w:trPr>
          <w:trHeight w:val="332"/>
        </w:trPr>
        <w:tc>
          <w:tcPr>
            <w:tcW w:w="3654" w:type="dxa"/>
            <w:hideMark/>
          </w:tcPr>
          <w:p w14:paraId="2113CB74"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Pilot Testing (n = 15)</w:t>
            </w:r>
          </w:p>
        </w:tc>
        <w:tc>
          <w:tcPr>
            <w:tcW w:w="443" w:type="dxa"/>
          </w:tcPr>
          <w:p w14:paraId="0F70E8E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9A4800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6D03B4D"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6D7FB9A2"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80172B0"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4A99A713" w14:textId="73B8EB58"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CAEDFB" w:themeFill="accent4" w:themeFillTint="33"/>
          </w:tcPr>
          <w:p w14:paraId="03AB5547" w14:textId="550674BA"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EF3424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543AF6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0AD1967"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0BB4381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BD9BD7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B46C9DA"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5BA67D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B2E17F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25ABFD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E7D8147"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1FD55E2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789E472"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00DC0EE"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0AAF4A4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1C2054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B521D96"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6845C953"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01572C94" w14:textId="77777777" w:rsidTr="009135F6">
        <w:trPr>
          <w:trHeight w:val="332"/>
        </w:trPr>
        <w:tc>
          <w:tcPr>
            <w:tcW w:w="3654" w:type="dxa"/>
            <w:hideMark/>
          </w:tcPr>
          <w:p w14:paraId="1483C118"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Ethics Approval Period</w:t>
            </w:r>
          </w:p>
        </w:tc>
        <w:tc>
          <w:tcPr>
            <w:tcW w:w="443" w:type="dxa"/>
          </w:tcPr>
          <w:p w14:paraId="1D936B5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B8AD116"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7840DF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D9F2D0" w:themeFill="accent6" w:themeFillTint="33"/>
          </w:tcPr>
          <w:p w14:paraId="00186F76" w14:textId="05D2CB0F"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4478B438" w14:textId="54C0DC5D"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65A6A494" w14:textId="0AF0D8FB"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D9F2D0" w:themeFill="accent6" w:themeFillTint="33"/>
          </w:tcPr>
          <w:p w14:paraId="4504C03F" w14:textId="18297EC4"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24FFBB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1796D1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A5B90C8"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45CE18AE"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E95A4C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DDE35EA"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0C7158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0915C0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384EBD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D58426B"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5DF8B5E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96706C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07BF268"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5E0F721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199F04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9A44FB3"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0F9279CB"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2527A791" w14:textId="77777777" w:rsidTr="009135F6">
        <w:trPr>
          <w:trHeight w:val="332"/>
        </w:trPr>
        <w:tc>
          <w:tcPr>
            <w:tcW w:w="3654" w:type="dxa"/>
            <w:hideMark/>
          </w:tcPr>
          <w:p w14:paraId="0855D65A"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Primary Data Collection (target n = 200)</w:t>
            </w:r>
          </w:p>
        </w:tc>
        <w:tc>
          <w:tcPr>
            <w:tcW w:w="443" w:type="dxa"/>
          </w:tcPr>
          <w:p w14:paraId="600CF11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B8A061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9196758"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4E9E688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E1C901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8D0405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0840DA6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3B06FC2E" w14:textId="0CB86D7B"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16053FFD" w14:textId="7740D1AA"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62748721" w14:textId="141EA8DD"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CAEDFB" w:themeFill="accent4" w:themeFillTint="33"/>
          </w:tcPr>
          <w:p w14:paraId="2B70DC00" w14:textId="735161B7"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23B4ABC4" w14:textId="4D66943A"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652E47C8" w14:textId="02C4A7D0"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B84ABB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BBD0A3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E3E8FD0"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1200DAE"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55B9B45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04919B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F6B8733"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B2E789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0D4C9C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E4E2652"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5720ECC2"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15FE3C37" w14:textId="77777777" w:rsidTr="009135F6">
        <w:trPr>
          <w:trHeight w:val="332"/>
        </w:trPr>
        <w:tc>
          <w:tcPr>
            <w:tcW w:w="3654" w:type="dxa"/>
            <w:hideMark/>
          </w:tcPr>
          <w:p w14:paraId="7D543E63"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Data Cleaning and SPSS Preparation</w:t>
            </w:r>
          </w:p>
        </w:tc>
        <w:tc>
          <w:tcPr>
            <w:tcW w:w="443" w:type="dxa"/>
          </w:tcPr>
          <w:p w14:paraId="23EA5E9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13AAB3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2C7C601"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50410F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80BD6A2"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935C4EA"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5ED02A76"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2F9C87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38C174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066ED44"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67A93320"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11B424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6DCA1D44" w14:textId="067583D5"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D9F2D0" w:themeFill="accent6" w:themeFillTint="33"/>
          </w:tcPr>
          <w:p w14:paraId="7DD1AF7D" w14:textId="101EBE41"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70463CED" w14:textId="1A4CD1F1"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19C4D4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44E70E4"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004DC69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2C7D70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79141C0"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6A941D9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F3F341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6BD5BB3"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6973AE9A"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2724B9BD" w14:textId="77777777" w:rsidTr="009135F6">
        <w:trPr>
          <w:trHeight w:val="332"/>
        </w:trPr>
        <w:tc>
          <w:tcPr>
            <w:tcW w:w="3654" w:type="dxa"/>
            <w:hideMark/>
          </w:tcPr>
          <w:p w14:paraId="5558BD88"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Descriptive Statistics and Reliability Analysis</w:t>
            </w:r>
          </w:p>
        </w:tc>
        <w:tc>
          <w:tcPr>
            <w:tcW w:w="443" w:type="dxa"/>
          </w:tcPr>
          <w:p w14:paraId="486BE30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DF218A0"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BA7A71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69C1E5A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E94692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E93A297"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0D13A0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5ABB06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69A35B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50B2AA3"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86F6670"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4B9AB82"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1F56562"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E3F1B32"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160328A8" w14:textId="28E65A59"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123B7732" w14:textId="654F290A"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E587B8E"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388A783"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C8F3DE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E45D32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57C2670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7F6FB5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91602BE"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1C73F257"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43B52B98" w14:textId="77777777" w:rsidTr="009135F6">
        <w:trPr>
          <w:trHeight w:val="332"/>
        </w:trPr>
        <w:tc>
          <w:tcPr>
            <w:tcW w:w="3654" w:type="dxa"/>
            <w:hideMark/>
          </w:tcPr>
          <w:p w14:paraId="46F66219"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Correlation and Regression Analysis</w:t>
            </w:r>
          </w:p>
        </w:tc>
        <w:tc>
          <w:tcPr>
            <w:tcW w:w="443" w:type="dxa"/>
          </w:tcPr>
          <w:p w14:paraId="751E3C22"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3F5E980"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C0BA4CC"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55BE030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586B9A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C8CDF2F"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535AEBC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21546F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54FE7EA"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580DDB7"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BC689E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AA617C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0EAD648"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6C2B495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3A98FD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2B00AB23" w14:textId="781A8764"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53B22ABE" w14:textId="2653CE35"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D9F2D0" w:themeFill="accent6" w:themeFillTint="33"/>
          </w:tcPr>
          <w:p w14:paraId="751E8A5F" w14:textId="2824C985"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FAF4610"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21FAED9"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4483AF4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AE7CE66"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9E5DAD8"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02098EBA"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66BE68DE" w14:textId="77777777" w:rsidTr="009135F6">
        <w:trPr>
          <w:trHeight w:val="332"/>
        </w:trPr>
        <w:tc>
          <w:tcPr>
            <w:tcW w:w="3654" w:type="dxa"/>
            <w:hideMark/>
          </w:tcPr>
          <w:p w14:paraId="18563EA4"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Findings and Discussion Write-up</w:t>
            </w:r>
          </w:p>
        </w:tc>
        <w:tc>
          <w:tcPr>
            <w:tcW w:w="443" w:type="dxa"/>
          </w:tcPr>
          <w:p w14:paraId="3FADCA9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941880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320C3C7A"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1A78D62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8BD95F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C2E730E"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6D00A983"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D74071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740EAF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08348B2"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1788A06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F7EF4D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748409B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0875861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FA5639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6EA65C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94F7FE7"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CAEDFB" w:themeFill="accent4" w:themeFillTint="33"/>
          </w:tcPr>
          <w:p w14:paraId="49EA7704" w14:textId="60A8559D"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42E4B3D6" w14:textId="78188B63"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CAEDFB" w:themeFill="accent4" w:themeFillTint="33"/>
          </w:tcPr>
          <w:p w14:paraId="5AD3FB59" w14:textId="343BE04C"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CAEDFB" w:themeFill="accent4" w:themeFillTint="33"/>
          </w:tcPr>
          <w:p w14:paraId="115E60AC" w14:textId="2CC8F3C0"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CAF6A1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085083C"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2A99BB97"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5BF9795C" w14:textId="77777777" w:rsidTr="009135F6">
        <w:trPr>
          <w:trHeight w:val="332"/>
        </w:trPr>
        <w:tc>
          <w:tcPr>
            <w:tcW w:w="3654" w:type="dxa"/>
            <w:hideMark/>
          </w:tcPr>
          <w:p w14:paraId="31CA04C2"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Full Draft Proofreading and Formatting</w:t>
            </w:r>
          </w:p>
        </w:tc>
        <w:tc>
          <w:tcPr>
            <w:tcW w:w="443" w:type="dxa"/>
          </w:tcPr>
          <w:p w14:paraId="2E2566D6"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BE6E9D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4A5F5F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3DD9A6D3"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1E1B8E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B8058DB"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75DD8D9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F8DD75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F8BC7D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07ED17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1C36587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6BED64DD"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D435322"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6AD8FD5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217AEE96"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041FA22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4C9D35DE"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tcPr>
          <w:p w14:paraId="4628753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1925AA9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tcPr>
          <w:p w14:paraId="550DC34F"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shd w:val="clear" w:color="auto" w:fill="D9F2D0" w:themeFill="accent6" w:themeFillTint="33"/>
          </w:tcPr>
          <w:p w14:paraId="0C0A9BD9" w14:textId="7481C88B"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0E0987C3" w14:textId="789E85D9" w:rsidR="00585ADD" w:rsidRPr="00F0140E" w:rsidRDefault="00585ADD" w:rsidP="006868DA">
            <w:pPr>
              <w:spacing w:line="276" w:lineRule="auto"/>
              <w:jc w:val="both"/>
              <w:rPr>
                <w:rFonts w:ascii="Times New Roman" w:hAnsi="Times New Roman" w:cs="Times New Roman"/>
                <w:sz w:val="22"/>
                <w:szCs w:val="22"/>
              </w:rPr>
            </w:pPr>
          </w:p>
        </w:tc>
        <w:tc>
          <w:tcPr>
            <w:tcW w:w="444" w:type="dxa"/>
            <w:shd w:val="clear" w:color="auto" w:fill="D9F2D0" w:themeFill="accent6" w:themeFillTint="33"/>
          </w:tcPr>
          <w:p w14:paraId="1EA9F299" w14:textId="34E96398" w:rsidR="00585ADD" w:rsidRPr="00F0140E" w:rsidRDefault="00585ADD" w:rsidP="006868DA">
            <w:pPr>
              <w:spacing w:line="276" w:lineRule="auto"/>
              <w:jc w:val="both"/>
              <w:rPr>
                <w:rFonts w:ascii="Times New Roman" w:hAnsi="Times New Roman" w:cs="Times New Roman"/>
                <w:sz w:val="22"/>
                <w:szCs w:val="22"/>
              </w:rPr>
            </w:pPr>
          </w:p>
        </w:tc>
        <w:tc>
          <w:tcPr>
            <w:tcW w:w="370" w:type="dxa"/>
            <w:hideMark/>
          </w:tcPr>
          <w:p w14:paraId="78CC983E" w14:textId="77777777" w:rsidR="00585ADD" w:rsidRPr="00F0140E" w:rsidRDefault="00585ADD" w:rsidP="006868DA">
            <w:pPr>
              <w:spacing w:line="276" w:lineRule="auto"/>
              <w:jc w:val="both"/>
              <w:rPr>
                <w:rFonts w:ascii="Times New Roman" w:hAnsi="Times New Roman" w:cs="Times New Roman"/>
                <w:sz w:val="22"/>
                <w:szCs w:val="22"/>
              </w:rPr>
            </w:pPr>
          </w:p>
        </w:tc>
      </w:tr>
      <w:tr w:rsidR="009135F6" w:rsidRPr="00F0140E" w14:paraId="029A48E5" w14:textId="77777777" w:rsidTr="009135F6">
        <w:trPr>
          <w:trHeight w:val="332"/>
        </w:trPr>
        <w:tc>
          <w:tcPr>
            <w:tcW w:w="3654" w:type="dxa"/>
            <w:hideMark/>
          </w:tcPr>
          <w:p w14:paraId="0CB19B90" w14:textId="77777777" w:rsidR="00585ADD" w:rsidRPr="00F0140E" w:rsidRDefault="00585ADD" w:rsidP="006868DA">
            <w:pPr>
              <w:spacing w:line="276" w:lineRule="auto"/>
              <w:jc w:val="both"/>
              <w:rPr>
                <w:rFonts w:ascii="Times New Roman" w:hAnsi="Times New Roman" w:cs="Times New Roman"/>
                <w:sz w:val="22"/>
                <w:szCs w:val="22"/>
              </w:rPr>
            </w:pPr>
            <w:r w:rsidRPr="00F0140E">
              <w:rPr>
                <w:rFonts w:ascii="Times New Roman" w:hAnsi="Times New Roman" w:cs="Times New Roman"/>
                <w:sz w:val="22"/>
                <w:szCs w:val="22"/>
              </w:rPr>
              <w:t>Final Submission</w:t>
            </w:r>
          </w:p>
        </w:tc>
        <w:tc>
          <w:tcPr>
            <w:tcW w:w="443" w:type="dxa"/>
            <w:hideMark/>
          </w:tcPr>
          <w:p w14:paraId="14A98E53"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47C5C3A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08F055D6"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hideMark/>
          </w:tcPr>
          <w:p w14:paraId="071996A3"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7BB49EE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5B415D95"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hideMark/>
          </w:tcPr>
          <w:p w14:paraId="75B01097"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7E796D88"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136C0434"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31E9F3DE"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hideMark/>
          </w:tcPr>
          <w:p w14:paraId="773D4F3B"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0615847F"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0288AB92"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hideMark/>
          </w:tcPr>
          <w:p w14:paraId="502AB2B1"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1116020E"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14597DB9"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4838E33F"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hideMark/>
          </w:tcPr>
          <w:p w14:paraId="4972B4D6"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5090647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4E6BD4B8" w14:textId="77777777" w:rsidR="00585ADD" w:rsidRPr="00F0140E" w:rsidRDefault="00585ADD" w:rsidP="006868DA">
            <w:pPr>
              <w:spacing w:line="276" w:lineRule="auto"/>
              <w:jc w:val="both"/>
              <w:rPr>
                <w:rFonts w:ascii="Times New Roman" w:hAnsi="Times New Roman" w:cs="Times New Roman"/>
                <w:sz w:val="22"/>
                <w:szCs w:val="22"/>
              </w:rPr>
            </w:pPr>
          </w:p>
        </w:tc>
        <w:tc>
          <w:tcPr>
            <w:tcW w:w="443" w:type="dxa"/>
            <w:hideMark/>
          </w:tcPr>
          <w:p w14:paraId="19CC715C"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53259A15" w14:textId="77777777" w:rsidR="00585ADD" w:rsidRPr="00F0140E" w:rsidRDefault="00585ADD" w:rsidP="006868DA">
            <w:pPr>
              <w:spacing w:line="276" w:lineRule="auto"/>
              <w:jc w:val="both"/>
              <w:rPr>
                <w:rFonts w:ascii="Times New Roman" w:hAnsi="Times New Roman" w:cs="Times New Roman"/>
                <w:sz w:val="22"/>
                <w:szCs w:val="22"/>
              </w:rPr>
            </w:pPr>
          </w:p>
        </w:tc>
        <w:tc>
          <w:tcPr>
            <w:tcW w:w="444" w:type="dxa"/>
            <w:hideMark/>
          </w:tcPr>
          <w:p w14:paraId="6494F24A" w14:textId="77777777" w:rsidR="00585ADD" w:rsidRPr="00F0140E" w:rsidRDefault="00585ADD" w:rsidP="006868DA">
            <w:pPr>
              <w:spacing w:line="276" w:lineRule="auto"/>
              <w:jc w:val="both"/>
              <w:rPr>
                <w:rFonts w:ascii="Times New Roman" w:hAnsi="Times New Roman" w:cs="Times New Roman"/>
                <w:sz w:val="22"/>
                <w:szCs w:val="22"/>
              </w:rPr>
            </w:pPr>
          </w:p>
        </w:tc>
        <w:tc>
          <w:tcPr>
            <w:tcW w:w="370" w:type="dxa"/>
            <w:shd w:val="clear" w:color="auto" w:fill="F2CEED" w:themeFill="accent5" w:themeFillTint="33"/>
            <w:hideMark/>
          </w:tcPr>
          <w:p w14:paraId="411FF8D8" w14:textId="233AD5BD" w:rsidR="00585ADD" w:rsidRPr="00F0140E" w:rsidRDefault="00585ADD" w:rsidP="006868DA">
            <w:pPr>
              <w:spacing w:line="276" w:lineRule="auto"/>
              <w:jc w:val="both"/>
              <w:rPr>
                <w:rFonts w:ascii="Times New Roman" w:hAnsi="Times New Roman" w:cs="Times New Roman"/>
                <w:sz w:val="22"/>
                <w:szCs w:val="22"/>
              </w:rPr>
            </w:pPr>
          </w:p>
        </w:tc>
      </w:tr>
    </w:tbl>
    <w:p w14:paraId="15BC36E5" w14:textId="77777777" w:rsidR="00EC1A05" w:rsidRPr="00F0140E" w:rsidRDefault="00585ADD" w:rsidP="006868DA">
      <w:pPr>
        <w:spacing w:after="120" w:line="276" w:lineRule="auto"/>
        <w:jc w:val="both"/>
        <w:rPr>
          <w:rFonts w:ascii="Times New Roman" w:hAnsi="Times New Roman" w:cs="Times New Roman"/>
          <w:i/>
          <w:iCs/>
          <w:color w:val="555555"/>
          <w:sz w:val="20"/>
          <w:szCs w:val="20"/>
        </w:rPr>
      </w:pPr>
      <w:r w:rsidRPr="00F0140E">
        <w:rPr>
          <w:rFonts w:ascii="Times New Roman" w:hAnsi="Times New Roman" w:cs="Times New Roman"/>
          <w:i/>
          <w:iCs/>
          <w:color w:val="555555"/>
          <w:sz w:val="20"/>
          <w:szCs w:val="20"/>
        </w:rPr>
        <w:t>Table 5: Research Gantt Chart. 24-Week Timeline with Phase Dependencie</w:t>
      </w:r>
      <w:r w:rsidR="006868DA" w:rsidRPr="00F0140E">
        <w:rPr>
          <w:rFonts w:ascii="Times New Roman" w:hAnsi="Times New Roman" w:cs="Times New Roman"/>
          <w:i/>
          <w:iCs/>
          <w:color w:val="555555"/>
          <w:sz w:val="20"/>
          <w:szCs w:val="20"/>
        </w:rPr>
        <w:t>s</w:t>
      </w:r>
    </w:p>
    <w:p w14:paraId="4499CA3E" w14:textId="77777777" w:rsidR="006868DA" w:rsidRPr="00F0140E" w:rsidRDefault="006868DA" w:rsidP="006868DA">
      <w:pPr>
        <w:spacing w:after="120" w:line="276" w:lineRule="auto"/>
        <w:jc w:val="both"/>
        <w:rPr>
          <w:rFonts w:ascii="Times New Roman" w:hAnsi="Times New Roman" w:cs="Times New Roman"/>
          <w:i/>
          <w:iCs/>
          <w:color w:val="555555"/>
          <w:sz w:val="20"/>
          <w:szCs w:val="20"/>
        </w:rPr>
      </w:pPr>
    </w:p>
    <w:p w14:paraId="56AA831D" w14:textId="77777777" w:rsidR="006868DA" w:rsidRPr="00F0140E" w:rsidRDefault="006868DA" w:rsidP="006868DA">
      <w:pPr>
        <w:spacing w:after="120" w:line="276" w:lineRule="auto"/>
        <w:jc w:val="both"/>
        <w:rPr>
          <w:rFonts w:ascii="Times New Roman" w:hAnsi="Times New Roman" w:cs="Times New Roman"/>
          <w:i/>
          <w:iCs/>
          <w:color w:val="555555"/>
          <w:sz w:val="20"/>
          <w:szCs w:val="20"/>
        </w:rPr>
      </w:pPr>
    </w:p>
    <w:p w14:paraId="10FC0B25" w14:textId="1091D511" w:rsidR="006868DA" w:rsidRPr="00F0140E" w:rsidRDefault="006868DA" w:rsidP="006868DA">
      <w:pPr>
        <w:sectPr w:rsidR="006868DA" w:rsidRPr="00F0140E" w:rsidSect="00585ADD">
          <w:pgSz w:w="16838" w:h="11906" w:orient="landscape"/>
          <w:pgMar w:top="1440" w:right="1440" w:bottom="1440" w:left="1440" w:header="706" w:footer="706" w:gutter="0"/>
          <w:cols w:space="720"/>
          <w:docGrid w:linePitch="360"/>
        </w:sectPr>
      </w:pPr>
      <w:r w:rsidRPr="00F0140E">
        <w:rPr>
          <w:b/>
          <w:bCs/>
        </w:rPr>
        <w:t>Word Count Declaration: 4775</w:t>
      </w:r>
    </w:p>
    <w:p w14:paraId="5AC4B020" w14:textId="71D9D7C8" w:rsidR="006C64F5" w:rsidRPr="00F0140E" w:rsidRDefault="006C64F5" w:rsidP="00387E72">
      <w:pPr>
        <w:spacing w:after="120" w:line="480" w:lineRule="auto"/>
        <w:jc w:val="both"/>
        <w:rPr>
          <w:rFonts w:ascii="Times New Roman" w:hAnsi="Times New Roman" w:cs="Times New Roman"/>
        </w:rPr>
      </w:pPr>
    </w:p>
    <w:p w14:paraId="46A59CE2" w14:textId="77777777" w:rsidR="006C64F5" w:rsidRPr="00F0140E" w:rsidRDefault="00000000" w:rsidP="00387E72">
      <w:pPr>
        <w:pStyle w:val="Heading1"/>
        <w:pBdr>
          <w:bottom w:val="single" w:sz="8" w:space="4" w:color="2E75B6"/>
        </w:pBdr>
        <w:spacing w:before="0" w:after="120"/>
        <w:jc w:val="both"/>
        <w:rPr>
          <w:rFonts w:ascii="Times New Roman" w:hAnsi="Times New Roman" w:cs="Times New Roman"/>
        </w:rPr>
      </w:pPr>
      <w:bookmarkStart w:id="27" w:name="_Toc225816492"/>
      <w:r w:rsidRPr="00F0140E">
        <w:rPr>
          <w:rFonts w:ascii="Times New Roman" w:hAnsi="Times New Roman" w:cs="Times New Roman"/>
        </w:rPr>
        <w:t>Reference List</w:t>
      </w:r>
      <w:bookmarkEnd w:id="27"/>
    </w:p>
    <w:p w14:paraId="347932FA"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Aguinis, H. and Kraiger, K. (2009). Benefits of Training and Development for Individuals and Teams, Organizations, and Society. </w:t>
      </w:r>
      <w:r>
        <w:rPr>
          <w:i/>
          <w:iCs/>
        </w:rPr>
        <w:t>Annual Review of Psychology</w:t>
      </w:r>
      <w:r>
        <w:t>, 60(1), pp.451–474. doi:https://doi.org/10.1146/annurev.psych.60.110707.163505.</w:t>
      </w:r>
    </w:p>
    <w:p w14:paraId="28A56468"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Ali, B.J. and Anwar, G. (2021). </w:t>
      </w:r>
      <w:r>
        <w:rPr>
          <w:i/>
          <w:iCs/>
        </w:rPr>
        <w:t>An Empirical Study of Employees’ Motivation and Its Influence Job Satisfaction</w:t>
      </w:r>
      <w:r>
        <w:t>. [online] papers.ssrn.com. Available at: https://ssrn.com/abstract=3822723.</w:t>
      </w:r>
    </w:p>
    <w:p w14:paraId="6C09BD79"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Ali, S., Peters, L.D., Khan, I.U., Ali, W. and Saif, N. (2020). Organizational Learning and Hotel Performance: The Role of Capabilities’ Hierarchy. </w:t>
      </w:r>
      <w:r>
        <w:rPr>
          <w:i/>
          <w:iCs/>
        </w:rPr>
        <w:t>International Journal of Hospitality Management</w:t>
      </w:r>
      <w:r>
        <w:t>, 85, p.102349. doi:https://doi.org/10.1016/j.ijhm.2019.102349.</w:t>
      </w:r>
    </w:p>
    <w:p w14:paraId="4CB6C70A"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Arwab, M., Adil, M., Mohd and Ali, M. (2022). Task performance and training of employees: the mediating role of employee engagement in the tourism and hospitality industry. </w:t>
      </w:r>
      <w:r>
        <w:rPr>
          <w:i/>
          <w:iCs/>
        </w:rPr>
        <w:t>European Journal of Training and Development</w:t>
      </w:r>
      <w:r>
        <w:t>, 47(9), pp.900–920. doi:https://doi.org/10.1108/ejtd-01-2022-0008.</w:t>
      </w:r>
    </w:p>
    <w:p w14:paraId="1AFE9CAF"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Awoitau, R., Noch, M.Y. and Khotimah, K. (2024). The Influence of Motivation, Training and Compensation on Employee Performance. </w:t>
      </w:r>
      <w:r>
        <w:rPr>
          <w:i/>
          <w:iCs/>
        </w:rPr>
        <w:t>Advances in Human Resource Management Research</w:t>
      </w:r>
      <w:r>
        <w:t>, 2(3), pp.153–165. doi:https://doi.org/10.60079/ahrmr.v2i3.376.</w:t>
      </w:r>
    </w:p>
    <w:p w14:paraId="34CD9514"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Bhat, Z.H. (2023). Evaluating training effectiveness in India: Exploring the relationship between training components, metacognition and learning outcomes. </w:t>
      </w:r>
      <w:r>
        <w:rPr>
          <w:i/>
          <w:iCs/>
        </w:rPr>
        <w:t>International Journal of Training and Development</w:t>
      </w:r>
      <w:r>
        <w:t>. doi:https://doi.org/10.1111/ijtd.12311.</w:t>
      </w:r>
    </w:p>
    <w:p w14:paraId="4DDD0040"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Bokde, N.S. (2025). Analyzing the Effect of Training and Development on Employee Loyalty and Retention in the Hospitality Sector. </w:t>
      </w:r>
      <w:r>
        <w:rPr>
          <w:i/>
          <w:iCs/>
        </w:rPr>
        <w:t>Journal of Information Systems Engineering &amp; Management</w:t>
      </w:r>
      <w:r>
        <w:t>, 10(53s), pp.1024–1035. doi:https://doi.org/10.52783/jisem.v10i53s.11177.</w:t>
      </w:r>
    </w:p>
    <w:p w14:paraId="325F64E0"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BPS (2021). </w:t>
      </w:r>
      <w:r>
        <w:rPr>
          <w:i/>
          <w:iCs/>
        </w:rPr>
        <w:t>BPS code of human research ethics</w:t>
      </w:r>
      <w:r>
        <w:t>. [online] The British Psychological Society. Available at: https://www.bps.org.uk/guideline/bps-code-human-research-ethics.</w:t>
      </w:r>
    </w:p>
    <w:p w14:paraId="10ADC61C"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Camilleri, M.A., Troise, C. and Morrison, A.M. (2023). Motivations and commitment to work in the hospitality industry: investigating employee psychology and responsible organizational behaviors. </w:t>
      </w:r>
      <w:r>
        <w:rPr>
          <w:i/>
          <w:iCs/>
        </w:rPr>
        <w:t>Tourism Review</w:t>
      </w:r>
      <w:r>
        <w:t>. doi:https://doi.org/10.1108/tr-12-2022-0611.</w:t>
      </w:r>
    </w:p>
    <w:p w14:paraId="7595E6C0"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Carlisle, S., Ivanov, S. and Dijkmans, C. (2021). The digital skills divide: evidence from the European tourism industry. </w:t>
      </w:r>
      <w:r>
        <w:rPr>
          <w:i/>
          <w:iCs/>
        </w:rPr>
        <w:t>Journal of Tourism Futures</w:t>
      </w:r>
      <w:r>
        <w:t>, 9(2), pp.240–266. doi:https://doi.org/10.1108/jtf-07-2020-0114.</w:t>
      </w:r>
    </w:p>
    <w:p w14:paraId="12C25800"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Carlisle, S., Zaki, K., Ahmed, M., Dixey, L. and McLoughlin, E. (2021). The imperative to address sustainability skills gaps in tourism in Wales. </w:t>
      </w:r>
      <w:r>
        <w:rPr>
          <w:i/>
          <w:iCs/>
        </w:rPr>
        <w:t>Sustainability (Switzerland)</w:t>
      </w:r>
      <w:r>
        <w:t>, [online] 13(3), pp.1–19. doi:https://doi.org/10.3390/su13031161.</w:t>
      </w:r>
    </w:p>
    <w:p w14:paraId="44B6C267"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Chang, J.-H. and Teng, C.-C. (2017). Intrinsic or extrinsic motivations for hospitality employees’ creativity: The moderating role of organization-level regulatory focus. </w:t>
      </w:r>
      <w:r>
        <w:rPr>
          <w:i/>
          <w:iCs/>
        </w:rPr>
        <w:t>International Journal of Hospitality Management</w:t>
      </w:r>
      <w:r>
        <w:t>, 60, pp.133–141. doi:https://doi.org/10.1016/j.ijhm.2016.10.003.</w:t>
      </w:r>
    </w:p>
    <w:p w14:paraId="324CD16B"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Chin, Y.S., Mohamad, A.A. and Lo, M.C. (2023). Sustainable Human Resource Management Practices in Achieving Employees’ Sustainable Performance: Evidence in the Hospitality Sector. </w:t>
      </w:r>
      <w:r>
        <w:rPr>
          <w:i/>
          <w:iCs/>
        </w:rPr>
        <w:t>Enlightening tourism</w:t>
      </w:r>
      <w:r>
        <w:t>, 13(2), pp.106–137. doi:https://doi.org/10.33776/et.v13i2.7691.</w:t>
      </w:r>
    </w:p>
    <w:p w14:paraId="480AD435"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Congna, H. and Saad, N. (2025). The impact of human capital on employment quality: a scoping review. </w:t>
      </w:r>
      <w:r>
        <w:rPr>
          <w:i/>
          <w:iCs/>
        </w:rPr>
        <w:t>Cogent Education</w:t>
      </w:r>
      <w:r>
        <w:t>, 12(1). doi:https://doi.org/10.1080/2331186x.2025.2552352.</w:t>
      </w:r>
    </w:p>
    <w:p w14:paraId="627BC307"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Dashper, K. (2020). Mentoring for gender equality: Supporting female leaders in the hospitality industry. </w:t>
      </w:r>
      <w:r>
        <w:rPr>
          <w:i/>
          <w:iCs/>
        </w:rPr>
        <w:t>International Journal of Hospitality Management</w:t>
      </w:r>
      <w:r>
        <w:t>, 88(88), p.102397. doi:https://doi.org/10.1016/j.ijhm.2019.102397.</w:t>
      </w:r>
    </w:p>
    <w:p w14:paraId="40F5D236"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Deb, P. and Li, G. (2024). Upskilling the UK Workforce. </w:t>
      </w:r>
      <w:r>
        <w:rPr>
          <w:i/>
          <w:iCs/>
        </w:rPr>
        <w:t>Selected Issues Papers</w:t>
      </w:r>
      <w:r>
        <w:t>, 2024(030), pp.1–1. doi:https://doi.org/10.5089/9798400283741.018.</w:t>
      </w:r>
    </w:p>
    <w:p w14:paraId="318E4652"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Deci, E.L. and Ryan, R.M. (2017). Self-Determination theory in work organizations: The state of a science. </w:t>
      </w:r>
      <w:r>
        <w:rPr>
          <w:i/>
          <w:iCs/>
        </w:rPr>
        <w:t>Annual Review of Organizational Psychology and Organizational Behavior</w:t>
      </w:r>
      <w:r>
        <w:t>, 4(1), pp.19–43. doi:https://doi.org/10.1146/annurev-orgpsych-032516-113108.</w:t>
      </w:r>
    </w:p>
    <w:p w14:paraId="3A2C966D"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Deery, M. and Jago, L. (2015). Revisiting Talent management, work-life Balance and Retention Strategies. </w:t>
      </w:r>
      <w:r>
        <w:rPr>
          <w:i/>
          <w:iCs/>
        </w:rPr>
        <w:t>International Journal of Contemporary Hospitality Management</w:t>
      </w:r>
      <w:r>
        <w:t>, 27(3), pp.453–472.</w:t>
      </w:r>
    </w:p>
    <w:p w14:paraId="5B9396E2"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Diamantidis, A.D. and Chatzoglou, P. (2019). Factors Affecting Employee performance: an Empirical Approach. </w:t>
      </w:r>
      <w:r>
        <w:rPr>
          <w:i/>
          <w:iCs/>
        </w:rPr>
        <w:t>International Journal of Productivity and Performance Management</w:t>
      </w:r>
      <w:r>
        <w:t>, 68(1), pp.171–193.</w:t>
      </w:r>
    </w:p>
    <w:p w14:paraId="48103A49"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Dilmi, K.A., Sannasgala, S., Weerarathna, R., Rathnayake, N., Pitipanaarachchi, S.M., Dushmanthi, N. and Rajapakse, V. (2025). How effective are incentives in driving green behavior? Analyzing monetary and non-monetary incentives in the hospitality industry. </w:t>
      </w:r>
      <w:r>
        <w:rPr>
          <w:i/>
          <w:iCs/>
        </w:rPr>
        <w:t>Cogent Business &amp; Management</w:t>
      </w:r>
      <w:r>
        <w:t>, 12(1). doi:https://doi.org/10.1080/23311975.2025.2524043.</w:t>
      </w:r>
    </w:p>
    <w:p w14:paraId="3198E8B9"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Economic Insight (2019). </w:t>
      </w:r>
      <w:r>
        <w:rPr>
          <w:i/>
          <w:iCs/>
        </w:rPr>
        <w:t>Hospitality and Tourism workforce landscape A research report mapping the sector workforce landscape for the Department for Digital, Culture, Media and Sport Hospitality and Tourism workforce landscape |</w:t>
      </w:r>
      <w:r>
        <w:t>. [online] Available at: https://assets.publishing.service.gov.uk/government/uploads/system/uploads/attachment_data/file/827952/Hospitality_and_Tourism_Workforce_Landscape.pdf.</w:t>
      </w:r>
    </w:p>
    <w:p w14:paraId="5224D1C1"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Field, A.P. (2018). </w:t>
      </w:r>
      <w:r>
        <w:rPr>
          <w:i/>
          <w:iCs/>
        </w:rPr>
        <w:t>Discovering statistics using IBM SPSS statistics</w:t>
      </w:r>
      <w:r>
        <w:t>. 5th ed. Los Angeles: Sage Publications.</w:t>
      </w:r>
    </w:p>
    <w:p w14:paraId="698FBD11"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Franzoni, S., Sarwar, H. and Ishaq, M.I. (2021). The Mediating Role of HRM in the Relationship between CSR and Performance in the Hospitality Industry. </w:t>
      </w:r>
      <w:r>
        <w:rPr>
          <w:i/>
          <w:iCs/>
        </w:rPr>
        <w:t>Sustainability</w:t>
      </w:r>
      <w:r>
        <w:t>, 13(24), p.13699. doi:https://doi.org/10.3390/su132413699.</w:t>
      </w:r>
    </w:p>
    <w:p w14:paraId="4A551ADA"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Freeman, D. (2023). </w:t>
      </w:r>
      <w:r>
        <w:rPr>
          <w:i/>
          <w:iCs/>
        </w:rPr>
        <w:t>Labour market overview, UK - Office for National Statistics</w:t>
      </w:r>
      <w:r>
        <w:t>. [online] www.ons.gov.uk. Available at: https://www.ons.gov.uk/employmentandlabourmarket/peopleinwork/employmentandemployeetypes/bulletins/uklabourmarket/november2023.</w:t>
      </w:r>
    </w:p>
    <w:p w14:paraId="3DF409B1"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GOV.UK (2018). </w:t>
      </w:r>
      <w:r>
        <w:rPr>
          <w:i/>
          <w:iCs/>
        </w:rPr>
        <w:t>Data Protection Act 2018</w:t>
      </w:r>
      <w:r>
        <w:t>. [online] legislation.gov.uk. Available at: https://www.legislation.gov.uk/ukpga/2018/12/contents.</w:t>
      </w:r>
    </w:p>
    <w:p w14:paraId="5624A5BD"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Gupta, P. and Sharma, Dr.N. (2025). Impact of training on Hotel Employees. </w:t>
      </w:r>
      <w:r>
        <w:rPr>
          <w:i/>
          <w:iCs/>
        </w:rPr>
        <w:t>International Journal For Multidisciplinary Research</w:t>
      </w:r>
      <w:r>
        <w:t>, [online] 7(2). doi:https://doi.org/10.36948/ijfmr.2025.v07i02.40657.</w:t>
      </w:r>
    </w:p>
    <w:p w14:paraId="56F726B7"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Hadaitana, D. and Iqbal, M.A. (2023). The Effect Of Training And Development on Employee Performance With Mediation of Employee Satisfaction. </w:t>
      </w:r>
      <w:r>
        <w:rPr>
          <w:i/>
          <w:iCs/>
        </w:rPr>
        <w:t>International Journal of Advanced Multidisciplinary</w:t>
      </w:r>
      <w:r>
        <w:t>, [online] 1(4), pp.436–447. doi:https://doi.org/10.38035/ijam.v1i4.161.</w:t>
      </w:r>
    </w:p>
    <w:p w14:paraId="62951943"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Hamid, N., Riyadi, S., Munizu, M., Usmia, S. and Ali, H. (2023). The Effect of Employee Training, Organizational Commitment and Self Efficacy on Employee Performance in the Hospitality Industry. </w:t>
      </w:r>
      <w:r>
        <w:rPr>
          <w:i/>
          <w:iCs/>
        </w:rPr>
        <w:t>JEMSI (Jurnal Ekonomi, Manajemen, dan Akuntansi)</w:t>
      </w:r>
      <w:r>
        <w:t>, [online] 9(3), pp.692–696. doi:https://doi.org/10.35870/jemsi.v9i3.1122.</w:t>
      </w:r>
    </w:p>
    <w:p w14:paraId="0CF716EE"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Hassard, J., Dulal-Arthur, T., Bourke, J., Wishart, M., Roper, S., Belt, V., Leka, S., Pahl, N., Bartle, C., Thomson, L. and Blake, H. (2024). The relationship between line manager training in mental health and organisational outcomes. </w:t>
      </w:r>
      <w:r>
        <w:rPr>
          <w:i/>
          <w:iCs/>
        </w:rPr>
        <w:t>PloS one</w:t>
      </w:r>
      <w:r>
        <w:t>, 19(7), pp.e0306065–e0306065. doi:https://doi.org/10.1371/journal.pone.0306065.</w:t>
      </w:r>
    </w:p>
    <w:p w14:paraId="7E375809"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Hinton, B.L. (2019). An Empirical Investigation of the Herzberg Methodology and two-factor Theory. </w:t>
      </w:r>
      <w:r>
        <w:rPr>
          <w:i/>
          <w:iCs/>
        </w:rPr>
        <w:t>Organizational Behavior and Human Performance</w:t>
      </w:r>
      <w:r>
        <w:t>, 3(3), pp.286–309.</w:t>
      </w:r>
    </w:p>
    <w:p w14:paraId="2C395E96"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Hosen, S., Hamzah, S.R., Arif Ismail, I., NoormiAlias, S., Faiq Abd Aziz, M. and Rahman, M.M. (2023). Training &amp; development, career development, and organizational commitment as the predictor of work performance. </w:t>
      </w:r>
      <w:r>
        <w:rPr>
          <w:i/>
          <w:iCs/>
        </w:rPr>
        <w:t>Heliyon</w:t>
      </w:r>
      <w:r>
        <w:t>, 10(1), p.e23903.</w:t>
      </w:r>
    </w:p>
    <w:p w14:paraId="2FEE6A26"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Ijabah, N. and Amrullah, Q.L. (2023). Need Analysis of English Tourism: The Evidence from The Employees of Tourism Industry. </w:t>
      </w:r>
      <w:r>
        <w:rPr>
          <w:i/>
          <w:iCs/>
        </w:rPr>
        <w:t>ACITYA Journal of Teaching &amp; Education</w:t>
      </w:r>
      <w:r>
        <w:t>, 5(2), pp.214–226. doi:https://doi.org/10.30650/ajte.v5i2.3590.</w:t>
      </w:r>
    </w:p>
    <w:p w14:paraId="6B65023A"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Johnson, K.R. and Park, S. (2020). Mindfulness training for tourism and hospitality frontline employees. </w:t>
      </w:r>
      <w:r>
        <w:rPr>
          <w:i/>
          <w:iCs/>
        </w:rPr>
        <w:t>Industrial and Commercial Training</w:t>
      </w:r>
      <w:r>
        <w:t>, 52(3), pp.185–193. doi:https://doi.org/10.1108/ict-10-2019-0095.</w:t>
      </w:r>
    </w:p>
    <w:p w14:paraId="1D135B77"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Kotera, Y., Adhikari, P. and Van Gordon, W. (2018). Motivation Types and Mental Health of UK Hospitality Workers. </w:t>
      </w:r>
      <w:r>
        <w:rPr>
          <w:i/>
          <w:iCs/>
        </w:rPr>
        <w:t>International Journal of Mental Health and Addiction</w:t>
      </w:r>
      <w:r>
        <w:t>, [online] 16(3), pp.751–763. doi:https://doi.org/10.1007/s11469-018-9874-z.</w:t>
      </w:r>
    </w:p>
    <w:p w14:paraId="0AA8A965"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Marinakou, E. and Giousmpasoglou, C. (2019). Talent management and retention strategies in luxury hotels: evidence from four countries. </w:t>
      </w:r>
      <w:r>
        <w:rPr>
          <w:i/>
          <w:iCs/>
        </w:rPr>
        <w:t>International Journal of Contemporary Hospitality Management</w:t>
      </w:r>
      <w:r>
        <w:t>, 31(10), pp.3855–3878. doi:https://doi.org/10.1108/ijchm-10-2018-0862.</w:t>
      </w:r>
    </w:p>
    <w:p w14:paraId="03772DE9"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McAnally, K. and Hagger, M.S. (2024). Self-Determination Theory and Workplace Outcomes: A Conceptual Review and Future Research Directions. </w:t>
      </w:r>
      <w:r>
        <w:rPr>
          <w:i/>
          <w:iCs/>
        </w:rPr>
        <w:t>Behavioral sciences</w:t>
      </w:r>
      <w:r>
        <w:t>, 14(6), pp.1–20. doi:https://doi.org/10.3390/bs14060428.</w:t>
      </w:r>
    </w:p>
    <w:p w14:paraId="0E28E930"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Minor, K., McLoughlin, E. and Carlisle, S. (2024). The Digital Skills Gap – Is it Time to Rethink the Needs of Tourism and Hospitality Organizations in the UK? </w:t>
      </w:r>
      <w:r>
        <w:rPr>
          <w:i/>
          <w:iCs/>
        </w:rPr>
        <w:t>Journal of Hospitality &amp; Tourism Education</w:t>
      </w:r>
      <w:r>
        <w:t>, pp.1–12.</w:t>
      </w:r>
    </w:p>
    <w:p w14:paraId="528689FD"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Murray, J.L. and Snider, B.R. (2001). Effects of experience-based grouping on processes and outcomes of employee training. </w:t>
      </w:r>
      <w:r>
        <w:rPr>
          <w:i/>
          <w:iCs/>
        </w:rPr>
        <w:t>Human Resource Development International</w:t>
      </w:r>
      <w:r>
        <w:t>, 4(1), pp.87–105. doi:https://doi.org/10.1080/13678860121900.</w:t>
      </w:r>
    </w:p>
    <w:p w14:paraId="0E68878E"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Nazriah, W., Mohd, I. and Patah, A. (2025). Crafting Excellence: Insights in Talent Development in the Hospitality Industry. </w:t>
      </w:r>
      <w:r>
        <w:rPr>
          <w:i/>
          <w:iCs/>
        </w:rPr>
        <w:t>International Journal of Research and Innovation in Social Science</w:t>
      </w:r>
      <w:r>
        <w:t>, VIII(XII), pp.2932–2941. doi:https://doi.org/10.47772/ijriss.2024.8120244.</w:t>
      </w:r>
    </w:p>
    <w:p w14:paraId="35B70D60"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Niati, D.R., Siregar, Z.M.E. and Prayoga, Y. (2021). The Effect of Training on Work Performance and Career Development: the Role of Motivation as Intervening Variable. </w:t>
      </w:r>
      <w:r>
        <w:rPr>
          <w:i/>
          <w:iCs/>
        </w:rPr>
        <w:t>Budapest International Research and Critics Institute (BIRCI-Journal): Humanities and Social Sciences</w:t>
      </w:r>
      <w:r>
        <w:t>, 4(2), pp.2385–2393. doi:https://doi.org/10.33258/birci.v4i2.1940.</w:t>
      </w:r>
    </w:p>
    <w:p w14:paraId="00A3BD8C"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Noe, R.A. (2020). </w:t>
      </w:r>
      <w:r>
        <w:rPr>
          <w:i/>
          <w:iCs/>
        </w:rPr>
        <w:t>Employee Training and Development</w:t>
      </w:r>
      <w:r>
        <w:t>. 9th ed. New York, NY: McGraw-Hill Education.</w:t>
      </w:r>
    </w:p>
    <w:p w14:paraId="24AB6041"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Olafsen, A.H., Halvari, H., Forest, J. and Deci, E.L. (2015). Show them the money? The role of pay, managerial need support, and justice in a self-determination theory model of intrinsic work motivation. </w:t>
      </w:r>
      <w:r>
        <w:rPr>
          <w:i/>
          <w:iCs/>
        </w:rPr>
        <w:t>Scandinavian Journal of Psychology</w:t>
      </w:r>
      <w:r>
        <w:t>, 56(4), pp.447–457. doi:https://doi.org/10.1111/sjop.12211.</w:t>
      </w:r>
    </w:p>
    <w:p w14:paraId="5D986086"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Park, Y.S., Konge, L. and Artino, A.R. (2020). The Positivism Paradigm of Research. </w:t>
      </w:r>
      <w:r>
        <w:rPr>
          <w:i/>
          <w:iCs/>
        </w:rPr>
        <w:t>Academic Medicine</w:t>
      </w:r>
      <w:r>
        <w:t>, [online] 95(5), pp.690–694. doi:https://doi.org/10.1097/ACM.0000000000003093.</w:t>
      </w:r>
    </w:p>
    <w:p w14:paraId="5A156119"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Rienda, L., Ruiz-Fernández, L. and Andreu, R. (2024). Soft skills in the tourism industry of the future: a comparison between Italy and Spain. </w:t>
      </w:r>
      <w:r>
        <w:rPr>
          <w:i/>
          <w:iCs/>
        </w:rPr>
        <w:t>Journal of tourism futures</w:t>
      </w:r>
      <w:r>
        <w:t>. doi:https://doi.org/10.1108/jtf-07-2023-0165.</w:t>
      </w:r>
    </w:p>
    <w:p w14:paraId="013AF3BF"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Rigby, C.S. and Ryan, R.M. (2018). Self-Determination theory in human resource development: New directions and practical considerations. </w:t>
      </w:r>
      <w:r>
        <w:rPr>
          <w:i/>
          <w:iCs/>
        </w:rPr>
        <w:t>Advances in Developing Human Resources</w:t>
      </w:r>
      <w:r>
        <w:t>, [online] 20(2), pp.133–147. doi:https://doi.org/10.1177/1523422318756954.</w:t>
      </w:r>
    </w:p>
    <w:p w14:paraId="4DA59CEF"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Robert, N. and Mori, N. (2024). Effects of training needs assessment in enhancing employees’ skills and firm performance. </w:t>
      </w:r>
      <w:r>
        <w:rPr>
          <w:i/>
          <w:iCs/>
        </w:rPr>
        <w:t>Journal of work-applied management</w:t>
      </w:r>
      <w:r>
        <w:t>, 17(1). doi:https://doi.org/10.1108/jwam-05-2023-0046.</w:t>
      </w:r>
    </w:p>
    <w:p w14:paraId="65825FA7"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Salas, E., Tannenbaum, S.I., Kraiger, K. and Smith-Jentsch, K.A. (2012). The science of training and development in organizations: What matters in practice. </w:t>
      </w:r>
      <w:r>
        <w:rPr>
          <w:i/>
          <w:iCs/>
        </w:rPr>
        <w:t>Psychological Science in the Public Interest</w:t>
      </w:r>
      <w:r>
        <w:t>, 13(2), pp.74–101. doi:https://doi.org/10.1177/1529100612436661.</w:t>
      </w:r>
    </w:p>
    <w:p w14:paraId="559C8560"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Sandy, M.Y. (2025). Linking Employee Training And Development To Enhanced Customer Satisfaction In Hotels. </w:t>
      </w:r>
      <w:r>
        <w:rPr>
          <w:i/>
          <w:iCs/>
        </w:rPr>
        <w:t>Journal of International Multidisciplinary Research</w:t>
      </w:r>
      <w:r>
        <w:t>, [online] 3(1), pp.56–70. doi:https://doi.org/10.62504/jimr1151.</w:t>
      </w:r>
    </w:p>
    <w:p w14:paraId="7F669E85"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Saunders, M., Lewis, P. and Thornhill, A. (2023). </w:t>
      </w:r>
      <w:r>
        <w:rPr>
          <w:i/>
          <w:iCs/>
        </w:rPr>
        <w:t>Research Methods for Business Students</w:t>
      </w:r>
      <w:r>
        <w:t>. 9th ed. Pearson Higher Ed.</w:t>
      </w:r>
    </w:p>
    <w:p w14:paraId="1EDC58DE"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Singh, S. (2025). Reseach on the effects of Training and Development on employees performance in Indian Hotels. </w:t>
      </w:r>
      <w:r>
        <w:rPr>
          <w:i/>
          <w:iCs/>
        </w:rPr>
        <w:t>International Journal For Multidisciplinary Research</w:t>
      </w:r>
      <w:r>
        <w:t>, 7(2). doi:https://doi.org/10.36948/ijfmr.2025.v07i02.41179.</w:t>
      </w:r>
    </w:p>
    <w:p w14:paraId="0649FC91"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Spicer, J. (2005). </w:t>
      </w:r>
      <w:r>
        <w:rPr>
          <w:i/>
          <w:iCs/>
        </w:rPr>
        <w:t>Making sense of multivariate data analysis</w:t>
      </w:r>
      <w:r>
        <w:t>. Thousand Oaks ; London ; New Delhi: Sage.</w:t>
      </w:r>
    </w:p>
    <w:p w14:paraId="25B25FDA"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Suhardi, A.R., Oktari, S.D. and Budiawan, A. (2023). The Influence of Training Programs and Motivation on Employee Work Productivity. </w:t>
      </w:r>
      <w:r>
        <w:rPr>
          <w:i/>
          <w:iCs/>
        </w:rPr>
        <w:t>International Journal of Science and Society</w:t>
      </w:r>
      <w:r>
        <w:t>, 5(4), pp.887–896. doi:https://doi.org/10.54783/ijsoc.v5i4.876.</w:t>
      </w:r>
    </w:p>
    <w:p w14:paraId="6299E013"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Tiwasing, P. (2021). Brexit and Skill shortages: an Empirical Analysis of UK SMEs. </w:t>
      </w:r>
      <w:r>
        <w:rPr>
          <w:i/>
          <w:iCs/>
        </w:rPr>
        <w:t>Economics and Business Letters</w:t>
      </w:r>
      <w:r>
        <w:t>, [online] 10(1), pp.9–15. doi:https://doi.org/10.17811/ebl.10.1.2021.9-15.</w:t>
      </w:r>
    </w:p>
    <w:p w14:paraId="6C3A1502"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UK Hospitality (2023). </w:t>
      </w:r>
      <w:r>
        <w:rPr>
          <w:i/>
          <w:iCs/>
        </w:rPr>
        <w:t>Worker shortages - UKHospitality</w:t>
      </w:r>
      <w:r>
        <w:t>. [online] UKHospitality. Available at: https://www.ukhospitality.org.uk/campaigns/workforce/.</w:t>
      </w:r>
    </w:p>
    <w:p w14:paraId="0B44E145"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Waqanimaravu, M. and Arasanmi, C.N. (2020). Employee training and service quality in the hospitality industry. </w:t>
      </w:r>
      <w:r>
        <w:rPr>
          <w:i/>
          <w:iCs/>
        </w:rPr>
        <w:t>Journal of Foodservice Business Research</w:t>
      </w:r>
      <w:r>
        <w:t>, 23(3), pp.216–227. doi:https://doi.org/10.1080/15378020.2020.1724850.</w:t>
      </w:r>
    </w:p>
    <w:p w14:paraId="6C82CB23" w14:textId="77777777" w:rsidR="00D402B6" w:rsidRDefault="00D402B6" w:rsidP="00D402B6">
      <w:pPr>
        <w:pStyle w:val="NormalWeb"/>
        <w:numPr>
          <w:ilvl w:val="0"/>
          <w:numId w:val="7"/>
        </w:numPr>
        <w:spacing w:before="0" w:beforeAutospacing="0" w:after="240" w:afterAutospacing="0" w:line="360" w:lineRule="auto"/>
        <w:ind w:left="360"/>
        <w:jc w:val="both"/>
      </w:pPr>
      <w:r>
        <w:t xml:space="preserve">Zhang, R., Yin, K., Dong, N., Sheldon, O., Cui, G. and Zhang, Z. (2025). A meta-analysis of leadership and service performance in the hotel and tourism industry. </w:t>
      </w:r>
      <w:r>
        <w:rPr>
          <w:i/>
          <w:iCs/>
        </w:rPr>
        <w:t>International Journal of Contemporary Hospitality Management</w:t>
      </w:r>
      <w:r>
        <w:t>. doi:https://doi.org/10.1108/ijchm-06-2024-0918.</w:t>
      </w:r>
    </w:p>
    <w:p w14:paraId="70B6BBF3" w14:textId="77777777" w:rsidR="006C64F5" w:rsidRPr="00F0140E" w:rsidRDefault="00000000" w:rsidP="00D402B6">
      <w:r w:rsidRPr="00F0140E">
        <w:br w:type="page"/>
      </w:r>
    </w:p>
    <w:p w14:paraId="2D5556EF" w14:textId="77777777" w:rsidR="006C64F5" w:rsidRPr="00F0140E" w:rsidRDefault="00000000" w:rsidP="00387E72">
      <w:pPr>
        <w:pStyle w:val="Heading1"/>
        <w:pBdr>
          <w:bottom w:val="single" w:sz="8" w:space="4" w:color="2E75B6"/>
        </w:pBdr>
        <w:spacing w:before="0" w:after="120"/>
        <w:jc w:val="both"/>
        <w:rPr>
          <w:rFonts w:ascii="Times New Roman" w:hAnsi="Times New Roman" w:cs="Times New Roman"/>
        </w:rPr>
      </w:pPr>
      <w:bookmarkStart w:id="28" w:name="_Toc225816493"/>
      <w:r w:rsidRPr="00F0140E">
        <w:rPr>
          <w:rFonts w:ascii="Times New Roman" w:hAnsi="Times New Roman" w:cs="Times New Roman"/>
        </w:rPr>
        <w:t>Appendices</w:t>
      </w:r>
      <w:bookmarkEnd w:id="28"/>
    </w:p>
    <w:p w14:paraId="3DF4D9D4" w14:textId="77777777" w:rsidR="006C64F5" w:rsidRPr="00F0140E" w:rsidRDefault="00000000" w:rsidP="00387E72">
      <w:pPr>
        <w:pStyle w:val="Heading2"/>
        <w:spacing w:line="480" w:lineRule="auto"/>
      </w:pPr>
      <w:bookmarkStart w:id="29" w:name="_Toc225816494"/>
      <w:r w:rsidRPr="00F0140E">
        <w:t>Appendix A: Survey Questionnaire. Indicative Structure</w:t>
      </w:r>
      <w:bookmarkEnd w:id="29"/>
    </w:p>
    <w:p w14:paraId="10D28EDA"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b/>
          <w:bCs/>
          <w:i/>
          <w:iCs/>
          <w:color w:val="333333"/>
          <w:sz w:val="20"/>
          <w:szCs w:val="20"/>
        </w:rPr>
        <w:t>Table A1: Survey Instrument Structure</w:t>
      </w:r>
    </w:p>
    <w:tbl>
      <w:tblPr>
        <w:tblStyle w:val="PlainTable1"/>
        <w:tblW w:w="9026" w:type="dxa"/>
        <w:tblLook w:val="04A0" w:firstRow="1" w:lastRow="0" w:firstColumn="1" w:lastColumn="0" w:noHBand="0" w:noVBand="1"/>
      </w:tblPr>
      <w:tblGrid>
        <w:gridCol w:w="700"/>
        <w:gridCol w:w="2400"/>
        <w:gridCol w:w="1100"/>
        <w:gridCol w:w="2200"/>
        <w:gridCol w:w="2626"/>
      </w:tblGrid>
      <w:tr w:rsidR="006C64F5" w:rsidRPr="00F0140E" w14:paraId="7407C9E8" w14:textId="77777777" w:rsidTr="007F21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0" w:type="dxa"/>
          </w:tcPr>
          <w:p w14:paraId="78BEF44B"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Sec.</w:t>
            </w:r>
          </w:p>
        </w:tc>
        <w:tc>
          <w:tcPr>
            <w:tcW w:w="2400" w:type="dxa"/>
          </w:tcPr>
          <w:p w14:paraId="50AEDCCD" w14:textId="77777777" w:rsidR="006C64F5" w:rsidRPr="00F0140E" w:rsidRDefault="00000000" w:rsidP="00387E72">
            <w:pPr>
              <w:spacing w:after="120"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Theme</w:t>
            </w:r>
          </w:p>
        </w:tc>
        <w:tc>
          <w:tcPr>
            <w:tcW w:w="1100" w:type="dxa"/>
          </w:tcPr>
          <w:p w14:paraId="5F59928A" w14:textId="77777777" w:rsidR="006C64F5" w:rsidRPr="00F0140E" w:rsidRDefault="00000000" w:rsidP="00387E72">
            <w:pPr>
              <w:spacing w:after="120"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Items</w:t>
            </w:r>
          </w:p>
        </w:tc>
        <w:tc>
          <w:tcPr>
            <w:tcW w:w="2200" w:type="dxa"/>
          </w:tcPr>
          <w:p w14:paraId="0A57B1D2" w14:textId="77777777" w:rsidR="006C64F5" w:rsidRPr="00F0140E" w:rsidRDefault="00000000" w:rsidP="00387E72">
            <w:pPr>
              <w:spacing w:after="120"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Scale Type</w:t>
            </w:r>
          </w:p>
        </w:tc>
        <w:tc>
          <w:tcPr>
            <w:tcW w:w="2626" w:type="dxa"/>
          </w:tcPr>
          <w:p w14:paraId="614D782A" w14:textId="77777777" w:rsidR="006C64F5" w:rsidRPr="00F0140E" w:rsidRDefault="00000000" w:rsidP="00387E72">
            <w:pPr>
              <w:spacing w:after="120"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Validated Source</w:t>
            </w:r>
          </w:p>
        </w:tc>
      </w:tr>
      <w:tr w:rsidR="006C64F5" w:rsidRPr="00F0140E" w14:paraId="31B30178" w14:textId="77777777" w:rsidTr="007F21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0" w:type="dxa"/>
          </w:tcPr>
          <w:p w14:paraId="69D9C3A3"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A</w:t>
            </w:r>
          </w:p>
        </w:tc>
        <w:tc>
          <w:tcPr>
            <w:tcW w:w="2400" w:type="dxa"/>
          </w:tcPr>
          <w:p w14:paraId="623335E1"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Demographic Profile (role, tenure, employer, contract type)</w:t>
            </w:r>
          </w:p>
        </w:tc>
        <w:tc>
          <w:tcPr>
            <w:tcW w:w="1100" w:type="dxa"/>
          </w:tcPr>
          <w:p w14:paraId="61A6E7A1"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5</w:t>
            </w:r>
          </w:p>
        </w:tc>
        <w:tc>
          <w:tcPr>
            <w:tcW w:w="2200" w:type="dxa"/>
          </w:tcPr>
          <w:p w14:paraId="5B110518"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Categorical / Nominal</w:t>
            </w:r>
          </w:p>
        </w:tc>
        <w:tc>
          <w:tcPr>
            <w:tcW w:w="2626" w:type="dxa"/>
          </w:tcPr>
          <w:p w14:paraId="36FD625B"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Researcher-designed</w:t>
            </w:r>
          </w:p>
        </w:tc>
      </w:tr>
      <w:tr w:rsidR="006C64F5" w:rsidRPr="00F0140E" w14:paraId="11C74C51" w14:textId="77777777" w:rsidTr="007F213E">
        <w:tc>
          <w:tcPr>
            <w:cnfStyle w:val="001000000000" w:firstRow="0" w:lastRow="0" w:firstColumn="1" w:lastColumn="0" w:oddVBand="0" w:evenVBand="0" w:oddHBand="0" w:evenHBand="0" w:firstRowFirstColumn="0" w:firstRowLastColumn="0" w:lastRowFirstColumn="0" w:lastRowLastColumn="0"/>
            <w:tcW w:w="700" w:type="dxa"/>
          </w:tcPr>
          <w:p w14:paraId="3B4C2C37"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B</w:t>
            </w:r>
          </w:p>
        </w:tc>
        <w:tc>
          <w:tcPr>
            <w:tcW w:w="2400" w:type="dxa"/>
          </w:tcPr>
          <w:p w14:paraId="744908BA"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Formal T&amp;D Participation (frequency, quality, content type, perceived relevance)</w:t>
            </w:r>
          </w:p>
        </w:tc>
        <w:tc>
          <w:tcPr>
            <w:tcW w:w="1100" w:type="dxa"/>
          </w:tcPr>
          <w:p w14:paraId="30E0C41A"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8</w:t>
            </w:r>
          </w:p>
        </w:tc>
        <w:tc>
          <w:tcPr>
            <w:tcW w:w="2200" w:type="dxa"/>
          </w:tcPr>
          <w:p w14:paraId="39CFEF17"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5-point Likert (1 = SD to 5 = SA)</w:t>
            </w:r>
          </w:p>
        </w:tc>
        <w:tc>
          <w:tcPr>
            <w:tcW w:w="2626" w:type="dxa"/>
          </w:tcPr>
          <w:p w14:paraId="7914106E"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Adapted from Noe (2020)</w:t>
            </w:r>
          </w:p>
        </w:tc>
      </w:tr>
      <w:tr w:rsidR="006C64F5" w:rsidRPr="00F0140E" w14:paraId="0CD3C59B" w14:textId="77777777" w:rsidTr="007F21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0" w:type="dxa"/>
          </w:tcPr>
          <w:p w14:paraId="25C778BF"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C</w:t>
            </w:r>
          </w:p>
        </w:tc>
        <w:tc>
          <w:tcPr>
            <w:tcW w:w="2400" w:type="dxa"/>
          </w:tcPr>
          <w:p w14:paraId="70700F80"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Intrinsic Motivation (autonomy, mastery, purpose alignment)</w:t>
            </w:r>
          </w:p>
        </w:tc>
        <w:tc>
          <w:tcPr>
            <w:tcW w:w="1100" w:type="dxa"/>
          </w:tcPr>
          <w:p w14:paraId="160F92B8"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6</w:t>
            </w:r>
          </w:p>
        </w:tc>
        <w:tc>
          <w:tcPr>
            <w:tcW w:w="2200" w:type="dxa"/>
          </w:tcPr>
          <w:p w14:paraId="6E7C6200"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5-point Likert (1 = SD to 5 = SA)</w:t>
            </w:r>
          </w:p>
        </w:tc>
        <w:tc>
          <w:tcPr>
            <w:tcW w:w="2626" w:type="dxa"/>
          </w:tcPr>
          <w:p w14:paraId="34C88CF1"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Olafsen et al. (2015), WEIM Scale</w:t>
            </w:r>
          </w:p>
        </w:tc>
      </w:tr>
      <w:tr w:rsidR="006C64F5" w:rsidRPr="00F0140E" w14:paraId="144DD098" w14:textId="77777777" w:rsidTr="007F213E">
        <w:tc>
          <w:tcPr>
            <w:cnfStyle w:val="001000000000" w:firstRow="0" w:lastRow="0" w:firstColumn="1" w:lastColumn="0" w:oddVBand="0" w:evenVBand="0" w:oddHBand="0" w:evenHBand="0" w:firstRowFirstColumn="0" w:firstRowLastColumn="0" w:lastRowFirstColumn="0" w:lastRowLastColumn="0"/>
            <w:tcW w:w="700" w:type="dxa"/>
          </w:tcPr>
          <w:p w14:paraId="33508CCC"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D</w:t>
            </w:r>
          </w:p>
        </w:tc>
        <w:tc>
          <w:tcPr>
            <w:tcW w:w="2400" w:type="dxa"/>
          </w:tcPr>
          <w:p w14:paraId="34363E82"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Extrinsic Motivation (pay satisfaction, recognition, promotion clarity)</w:t>
            </w:r>
          </w:p>
        </w:tc>
        <w:tc>
          <w:tcPr>
            <w:tcW w:w="1100" w:type="dxa"/>
          </w:tcPr>
          <w:p w14:paraId="2008D73F"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6</w:t>
            </w:r>
          </w:p>
        </w:tc>
        <w:tc>
          <w:tcPr>
            <w:tcW w:w="2200" w:type="dxa"/>
          </w:tcPr>
          <w:p w14:paraId="0E365372"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5-point Likert (1 = SD to 5 = SA)</w:t>
            </w:r>
          </w:p>
        </w:tc>
        <w:tc>
          <w:tcPr>
            <w:tcW w:w="2626" w:type="dxa"/>
          </w:tcPr>
          <w:p w14:paraId="552C01CC"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Olafsen et al. (2015), WEIM Scale</w:t>
            </w:r>
          </w:p>
        </w:tc>
      </w:tr>
      <w:tr w:rsidR="006C64F5" w:rsidRPr="00F0140E" w14:paraId="6F34A7BA" w14:textId="77777777" w:rsidTr="007F21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0" w:type="dxa"/>
          </w:tcPr>
          <w:p w14:paraId="084816C3"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E</w:t>
            </w:r>
          </w:p>
        </w:tc>
        <w:tc>
          <w:tcPr>
            <w:tcW w:w="2400" w:type="dxa"/>
          </w:tcPr>
          <w:p w14:paraId="509DEB84"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Job Satisfaction (affective and cognitive evaluation of overall work experience)</w:t>
            </w:r>
          </w:p>
        </w:tc>
        <w:tc>
          <w:tcPr>
            <w:tcW w:w="1100" w:type="dxa"/>
          </w:tcPr>
          <w:p w14:paraId="5560F507"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5</w:t>
            </w:r>
          </w:p>
        </w:tc>
        <w:tc>
          <w:tcPr>
            <w:tcW w:w="2200" w:type="dxa"/>
          </w:tcPr>
          <w:p w14:paraId="03A4F1BA"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5-point Likert (1 = SD to 5 = SA)</w:t>
            </w:r>
          </w:p>
        </w:tc>
        <w:tc>
          <w:tcPr>
            <w:tcW w:w="2626" w:type="dxa"/>
          </w:tcPr>
          <w:p w14:paraId="69DA1A6D"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Adapted from Hadaitana and Iqbal (2023)</w:t>
            </w:r>
          </w:p>
        </w:tc>
      </w:tr>
    </w:tbl>
    <w:p w14:paraId="5301BCC7" w14:textId="77777777" w:rsidR="006C64F5" w:rsidRPr="00F0140E" w:rsidRDefault="00000000" w:rsidP="00387E72">
      <w:pPr>
        <w:pStyle w:val="Heading2"/>
        <w:spacing w:line="480" w:lineRule="auto"/>
      </w:pPr>
      <w:bookmarkStart w:id="30" w:name="_Toc225816495"/>
      <w:r w:rsidRPr="00F0140E">
        <w:t>Appendix B: Variable Operationalisation Table</w:t>
      </w:r>
      <w:bookmarkEnd w:id="30"/>
    </w:p>
    <w:p w14:paraId="0693A9EB"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b/>
          <w:bCs/>
          <w:i/>
          <w:iCs/>
          <w:color w:val="333333"/>
          <w:sz w:val="20"/>
          <w:szCs w:val="20"/>
        </w:rPr>
        <w:t>Table B1: Operationalisation of Study Variables</w:t>
      </w:r>
    </w:p>
    <w:tbl>
      <w:tblPr>
        <w:tblStyle w:val="PlainTable1"/>
        <w:tblW w:w="9026" w:type="dxa"/>
        <w:tblLook w:val="04A0" w:firstRow="1" w:lastRow="0" w:firstColumn="1" w:lastColumn="0" w:noHBand="0" w:noVBand="1"/>
      </w:tblPr>
      <w:tblGrid>
        <w:gridCol w:w="1800"/>
        <w:gridCol w:w="1400"/>
        <w:gridCol w:w="2700"/>
        <w:gridCol w:w="1400"/>
        <w:gridCol w:w="1726"/>
      </w:tblGrid>
      <w:tr w:rsidR="006C64F5" w:rsidRPr="00F0140E" w14:paraId="6689D1E2" w14:textId="77777777" w:rsidTr="007F21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69EA3E3D"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Variable</w:t>
            </w:r>
          </w:p>
        </w:tc>
        <w:tc>
          <w:tcPr>
            <w:tcW w:w="1400" w:type="dxa"/>
          </w:tcPr>
          <w:p w14:paraId="5A6287E5" w14:textId="77777777" w:rsidR="006C64F5" w:rsidRPr="00F0140E" w:rsidRDefault="00000000" w:rsidP="00387E72">
            <w:pPr>
              <w:spacing w:after="120"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Role in Study</w:t>
            </w:r>
          </w:p>
        </w:tc>
        <w:tc>
          <w:tcPr>
            <w:tcW w:w="2700" w:type="dxa"/>
          </w:tcPr>
          <w:p w14:paraId="11043EF3" w14:textId="77777777" w:rsidR="006C64F5" w:rsidRPr="00F0140E" w:rsidRDefault="00000000" w:rsidP="00387E72">
            <w:pPr>
              <w:spacing w:after="120"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Operationalisation</w:t>
            </w:r>
          </w:p>
        </w:tc>
        <w:tc>
          <w:tcPr>
            <w:tcW w:w="1400" w:type="dxa"/>
          </w:tcPr>
          <w:p w14:paraId="6AEFB330" w14:textId="77777777" w:rsidR="006C64F5" w:rsidRPr="00F0140E" w:rsidRDefault="00000000" w:rsidP="00387E72">
            <w:pPr>
              <w:spacing w:after="120"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Scale</w:t>
            </w:r>
          </w:p>
        </w:tc>
        <w:tc>
          <w:tcPr>
            <w:tcW w:w="1726" w:type="dxa"/>
          </w:tcPr>
          <w:p w14:paraId="08BA1A26" w14:textId="77777777" w:rsidR="006C64F5" w:rsidRPr="00F0140E" w:rsidRDefault="00000000" w:rsidP="00387E72">
            <w:pPr>
              <w:spacing w:after="120"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Hypothesis</w:t>
            </w:r>
          </w:p>
        </w:tc>
      </w:tr>
      <w:tr w:rsidR="006C64F5" w:rsidRPr="00F0140E" w14:paraId="48C58328" w14:textId="77777777" w:rsidTr="007F21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045C024"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Formal T&amp;D Participation</w:t>
            </w:r>
          </w:p>
        </w:tc>
        <w:tc>
          <w:tcPr>
            <w:tcW w:w="1400" w:type="dxa"/>
          </w:tcPr>
          <w:p w14:paraId="1EE8F448"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Independent Variable</w:t>
            </w:r>
          </w:p>
        </w:tc>
        <w:tc>
          <w:tcPr>
            <w:tcW w:w="2700" w:type="dxa"/>
          </w:tcPr>
          <w:p w14:paraId="69F02168"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Mean composite score across 8 items: training frequency, perceived quality, content type, and role relevance</w:t>
            </w:r>
          </w:p>
        </w:tc>
        <w:tc>
          <w:tcPr>
            <w:tcW w:w="1400" w:type="dxa"/>
          </w:tcPr>
          <w:p w14:paraId="3C3E75E9"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Interval (Likert)</w:t>
            </w:r>
          </w:p>
        </w:tc>
        <w:tc>
          <w:tcPr>
            <w:tcW w:w="1726" w:type="dxa"/>
          </w:tcPr>
          <w:p w14:paraId="433E5166"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H1, H2, H3</w:t>
            </w:r>
          </w:p>
        </w:tc>
      </w:tr>
      <w:tr w:rsidR="006C64F5" w:rsidRPr="00F0140E" w14:paraId="2AC65F22" w14:textId="77777777" w:rsidTr="007F213E">
        <w:tc>
          <w:tcPr>
            <w:cnfStyle w:val="001000000000" w:firstRow="0" w:lastRow="0" w:firstColumn="1" w:lastColumn="0" w:oddVBand="0" w:evenVBand="0" w:oddHBand="0" w:evenHBand="0" w:firstRowFirstColumn="0" w:firstRowLastColumn="0" w:lastRowFirstColumn="0" w:lastRowLastColumn="0"/>
            <w:tcW w:w="1800" w:type="dxa"/>
          </w:tcPr>
          <w:p w14:paraId="5C456BD9"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Intrinsic Motivation</w:t>
            </w:r>
          </w:p>
        </w:tc>
        <w:tc>
          <w:tcPr>
            <w:tcW w:w="1400" w:type="dxa"/>
          </w:tcPr>
          <w:p w14:paraId="6E474742"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Dependent Variable 1</w:t>
            </w:r>
          </w:p>
        </w:tc>
        <w:tc>
          <w:tcPr>
            <w:tcW w:w="2700" w:type="dxa"/>
          </w:tcPr>
          <w:p w14:paraId="3F85B09A"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Mean composite score across 6 items: autonomy perception, sense of mastery, and personal purpose alignment</w:t>
            </w:r>
          </w:p>
        </w:tc>
        <w:tc>
          <w:tcPr>
            <w:tcW w:w="1400" w:type="dxa"/>
          </w:tcPr>
          <w:p w14:paraId="06D4E714"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Interval (Likert)</w:t>
            </w:r>
          </w:p>
        </w:tc>
        <w:tc>
          <w:tcPr>
            <w:tcW w:w="1726" w:type="dxa"/>
          </w:tcPr>
          <w:p w14:paraId="30B1A9A8"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H1</w:t>
            </w:r>
          </w:p>
        </w:tc>
      </w:tr>
      <w:tr w:rsidR="006C64F5" w:rsidRPr="00F0140E" w14:paraId="13EC26C5" w14:textId="77777777" w:rsidTr="007F21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173C71AC"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Extrinsic Motivation</w:t>
            </w:r>
          </w:p>
        </w:tc>
        <w:tc>
          <w:tcPr>
            <w:tcW w:w="1400" w:type="dxa"/>
          </w:tcPr>
          <w:p w14:paraId="04E1908E"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Dependent Variable 2</w:t>
            </w:r>
          </w:p>
        </w:tc>
        <w:tc>
          <w:tcPr>
            <w:tcW w:w="2700" w:type="dxa"/>
          </w:tcPr>
          <w:p w14:paraId="5C734C7C"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Mean composite score across 6 items: pay satisfaction, recognition frequency, and promotion pathway clarity</w:t>
            </w:r>
          </w:p>
        </w:tc>
        <w:tc>
          <w:tcPr>
            <w:tcW w:w="1400" w:type="dxa"/>
          </w:tcPr>
          <w:p w14:paraId="4E4A1407"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Interval (Likert)</w:t>
            </w:r>
          </w:p>
        </w:tc>
        <w:tc>
          <w:tcPr>
            <w:tcW w:w="1726" w:type="dxa"/>
          </w:tcPr>
          <w:p w14:paraId="0AEF285D" w14:textId="77777777" w:rsidR="006C64F5" w:rsidRPr="00F0140E" w:rsidRDefault="00000000" w:rsidP="00387E72">
            <w:pPr>
              <w:spacing w:after="120"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H2</w:t>
            </w:r>
          </w:p>
        </w:tc>
      </w:tr>
      <w:tr w:rsidR="006C64F5" w:rsidRPr="00E821B3" w14:paraId="05FBA886" w14:textId="77777777" w:rsidTr="007F213E">
        <w:tc>
          <w:tcPr>
            <w:cnfStyle w:val="001000000000" w:firstRow="0" w:lastRow="0" w:firstColumn="1" w:lastColumn="0" w:oddVBand="0" w:evenVBand="0" w:oddHBand="0" w:evenHBand="0" w:firstRowFirstColumn="0" w:firstRowLastColumn="0" w:lastRowFirstColumn="0" w:lastRowLastColumn="0"/>
            <w:tcW w:w="1800" w:type="dxa"/>
          </w:tcPr>
          <w:p w14:paraId="659802C5" w14:textId="77777777" w:rsidR="006C64F5" w:rsidRPr="00F0140E" w:rsidRDefault="00000000" w:rsidP="00387E72">
            <w:pPr>
              <w:spacing w:after="120" w:line="480" w:lineRule="auto"/>
              <w:jc w:val="both"/>
              <w:rPr>
                <w:rFonts w:ascii="Times New Roman" w:hAnsi="Times New Roman" w:cs="Times New Roman"/>
              </w:rPr>
            </w:pPr>
            <w:r w:rsidRPr="00F0140E">
              <w:rPr>
                <w:rFonts w:ascii="Times New Roman" w:hAnsi="Times New Roman" w:cs="Times New Roman"/>
                <w:sz w:val="20"/>
                <w:szCs w:val="20"/>
              </w:rPr>
              <w:t>Job Satisfaction</w:t>
            </w:r>
          </w:p>
        </w:tc>
        <w:tc>
          <w:tcPr>
            <w:tcW w:w="1400" w:type="dxa"/>
          </w:tcPr>
          <w:p w14:paraId="13AF2A0B"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Mediating Variable</w:t>
            </w:r>
          </w:p>
        </w:tc>
        <w:tc>
          <w:tcPr>
            <w:tcW w:w="2700" w:type="dxa"/>
          </w:tcPr>
          <w:p w14:paraId="41EC9FBE"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Mean composite score across 5 items: affective and cognitive evaluation of role, supervision quality, and reward equity</w:t>
            </w:r>
          </w:p>
        </w:tc>
        <w:tc>
          <w:tcPr>
            <w:tcW w:w="1400" w:type="dxa"/>
          </w:tcPr>
          <w:p w14:paraId="2DB91B42" w14:textId="77777777" w:rsidR="006C64F5" w:rsidRPr="00F0140E"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Interval (Likert)</w:t>
            </w:r>
          </w:p>
        </w:tc>
        <w:tc>
          <w:tcPr>
            <w:tcW w:w="1726" w:type="dxa"/>
          </w:tcPr>
          <w:p w14:paraId="315787A6" w14:textId="77777777" w:rsidR="006C64F5" w:rsidRPr="00E821B3" w:rsidRDefault="00000000" w:rsidP="00387E72">
            <w:pPr>
              <w:spacing w:after="120"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0140E">
              <w:rPr>
                <w:rFonts w:ascii="Times New Roman" w:hAnsi="Times New Roman" w:cs="Times New Roman"/>
                <w:sz w:val="20"/>
                <w:szCs w:val="20"/>
              </w:rPr>
              <w:t>H3</w:t>
            </w:r>
          </w:p>
        </w:tc>
      </w:tr>
    </w:tbl>
    <w:p w14:paraId="227CDF85" w14:textId="77777777" w:rsidR="0061587A" w:rsidRPr="00E821B3" w:rsidRDefault="0061587A" w:rsidP="00387E72">
      <w:pPr>
        <w:spacing w:after="120" w:line="480" w:lineRule="auto"/>
        <w:jc w:val="both"/>
        <w:rPr>
          <w:rFonts w:ascii="Times New Roman" w:hAnsi="Times New Roman" w:cs="Times New Roman"/>
        </w:rPr>
      </w:pPr>
    </w:p>
    <w:sectPr w:rsidR="0061587A" w:rsidRPr="00E821B3" w:rsidSect="00EC1A05">
      <w:pgSz w:w="11906" w:h="16838"/>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9B85D" w14:textId="77777777" w:rsidR="00407728" w:rsidRDefault="00407728">
      <w:r>
        <w:separator/>
      </w:r>
    </w:p>
  </w:endnote>
  <w:endnote w:type="continuationSeparator" w:id="0">
    <w:p w14:paraId="23DBB6A3" w14:textId="77777777" w:rsidR="00407728" w:rsidRDefault="004077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A7D70" w14:textId="77777777" w:rsidR="006C64F5" w:rsidRDefault="00000000">
    <w:pPr>
      <w:jc w:val="center"/>
    </w:pPr>
    <w:r>
      <w:rPr>
        <w:color w:val="888888"/>
        <w:sz w:val="20"/>
        <w:szCs w:val="20"/>
      </w:rPr>
      <w:t xml:space="preserve">Page </w:t>
    </w:r>
    <w:r>
      <w:rPr>
        <w:color w:val="888888"/>
        <w:sz w:val="20"/>
        <w:szCs w:val="20"/>
      </w:rPr>
      <w:fldChar w:fldCharType="begin"/>
    </w:r>
    <w:r>
      <w:rPr>
        <w:color w:val="888888"/>
        <w:sz w:val="20"/>
        <w:szCs w:val="20"/>
      </w:rPr>
      <w:instrText>PAGE</w:instrText>
    </w:r>
    <w:r>
      <w:rPr>
        <w:color w:val="888888"/>
        <w:sz w:val="20"/>
        <w:szCs w:val="20"/>
      </w:rPr>
      <w:fldChar w:fldCharType="separate"/>
    </w:r>
    <w:r w:rsidR="00266211">
      <w:rPr>
        <w:noProof/>
        <w:color w:val="888888"/>
        <w:sz w:val="20"/>
        <w:szCs w:val="20"/>
      </w:rPr>
      <w:t>1</w:t>
    </w:r>
    <w:r>
      <w:rPr>
        <w:color w:val="888888"/>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393F8" w14:textId="77777777" w:rsidR="00407728" w:rsidRDefault="00407728">
      <w:r>
        <w:separator/>
      </w:r>
    </w:p>
  </w:footnote>
  <w:footnote w:type="continuationSeparator" w:id="0">
    <w:p w14:paraId="44755040" w14:textId="77777777" w:rsidR="00407728" w:rsidRDefault="004077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B6C5F"/>
    <w:multiLevelType w:val="hybridMultilevel"/>
    <w:tmpl w:val="95C059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C01804"/>
    <w:multiLevelType w:val="hybridMultilevel"/>
    <w:tmpl w:val="0F3E1B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F259D4"/>
    <w:multiLevelType w:val="hybridMultilevel"/>
    <w:tmpl w:val="A678D7EC"/>
    <w:lvl w:ilvl="0" w:tplc="199242E6">
      <w:start w:val="1"/>
      <w:numFmt w:val="bullet"/>
      <w:lvlText w:val="●"/>
      <w:lvlJc w:val="left"/>
      <w:pPr>
        <w:ind w:left="720" w:hanging="360"/>
      </w:pPr>
    </w:lvl>
    <w:lvl w:ilvl="1" w:tplc="EED4F290">
      <w:start w:val="1"/>
      <w:numFmt w:val="bullet"/>
      <w:lvlText w:val="○"/>
      <w:lvlJc w:val="left"/>
      <w:pPr>
        <w:ind w:left="1440" w:hanging="360"/>
      </w:pPr>
    </w:lvl>
    <w:lvl w:ilvl="2" w:tplc="01CAE0A0">
      <w:start w:val="1"/>
      <w:numFmt w:val="bullet"/>
      <w:lvlText w:val="■"/>
      <w:lvlJc w:val="left"/>
      <w:pPr>
        <w:ind w:left="2160" w:hanging="360"/>
      </w:pPr>
    </w:lvl>
    <w:lvl w:ilvl="3" w:tplc="D6FAF3C8">
      <w:start w:val="1"/>
      <w:numFmt w:val="bullet"/>
      <w:lvlText w:val="●"/>
      <w:lvlJc w:val="left"/>
      <w:pPr>
        <w:ind w:left="2880" w:hanging="360"/>
      </w:pPr>
    </w:lvl>
    <w:lvl w:ilvl="4" w:tplc="02F6DCDE">
      <w:start w:val="1"/>
      <w:numFmt w:val="bullet"/>
      <w:lvlText w:val="○"/>
      <w:lvlJc w:val="left"/>
      <w:pPr>
        <w:ind w:left="3600" w:hanging="360"/>
      </w:pPr>
    </w:lvl>
    <w:lvl w:ilvl="5" w:tplc="AA0E5726">
      <w:start w:val="1"/>
      <w:numFmt w:val="bullet"/>
      <w:lvlText w:val="■"/>
      <w:lvlJc w:val="left"/>
      <w:pPr>
        <w:ind w:left="4320" w:hanging="360"/>
      </w:pPr>
    </w:lvl>
    <w:lvl w:ilvl="6" w:tplc="D05835F4">
      <w:start w:val="1"/>
      <w:numFmt w:val="bullet"/>
      <w:lvlText w:val="●"/>
      <w:lvlJc w:val="left"/>
      <w:pPr>
        <w:ind w:left="5040" w:hanging="360"/>
      </w:pPr>
    </w:lvl>
    <w:lvl w:ilvl="7" w:tplc="5352C954">
      <w:start w:val="1"/>
      <w:numFmt w:val="bullet"/>
      <w:lvlText w:val="●"/>
      <w:lvlJc w:val="left"/>
      <w:pPr>
        <w:ind w:left="5760" w:hanging="360"/>
      </w:pPr>
    </w:lvl>
    <w:lvl w:ilvl="8" w:tplc="2C7AD138">
      <w:start w:val="1"/>
      <w:numFmt w:val="bullet"/>
      <w:lvlText w:val="●"/>
      <w:lvlJc w:val="left"/>
      <w:pPr>
        <w:ind w:left="6480" w:hanging="360"/>
      </w:pPr>
    </w:lvl>
  </w:abstractNum>
  <w:abstractNum w:abstractNumId="3" w15:restartNumberingAfterBreak="0">
    <w:nsid w:val="449A0C4B"/>
    <w:multiLevelType w:val="hybridMultilevel"/>
    <w:tmpl w:val="89F4D0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107133"/>
    <w:multiLevelType w:val="hybridMultilevel"/>
    <w:tmpl w:val="F140A4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6D86D85"/>
    <w:multiLevelType w:val="hybridMultilevel"/>
    <w:tmpl w:val="97AC17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A12561D"/>
    <w:multiLevelType w:val="hybridMultilevel"/>
    <w:tmpl w:val="FCB09716"/>
    <w:lvl w:ilvl="0" w:tplc="04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8527317">
    <w:abstractNumId w:val="2"/>
    <w:lvlOverride w:ilvl="0">
      <w:startOverride w:val="1"/>
    </w:lvlOverride>
  </w:num>
  <w:num w:numId="2" w16cid:durableId="1747149091">
    <w:abstractNumId w:val="5"/>
  </w:num>
  <w:num w:numId="3" w16cid:durableId="2111658577">
    <w:abstractNumId w:val="1"/>
  </w:num>
  <w:num w:numId="4" w16cid:durableId="581717018">
    <w:abstractNumId w:val="4"/>
  </w:num>
  <w:num w:numId="5" w16cid:durableId="1789396836">
    <w:abstractNumId w:val="3"/>
  </w:num>
  <w:num w:numId="6" w16cid:durableId="529223104">
    <w:abstractNumId w:val="0"/>
  </w:num>
  <w:num w:numId="7" w16cid:durableId="14446860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4F5"/>
    <w:rsid w:val="00005981"/>
    <w:rsid w:val="000104C9"/>
    <w:rsid w:val="000472CB"/>
    <w:rsid w:val="00072652"/>
    <w:rsid w:val="000A078C"/>
    <w:rsid w:val="000C6DA9"/>
    <w:rsid w:val="001D5A90"/>
    <w:rsid w:val="00266211"/>
    <w:rsid w:val="00295890"/>
    <w:rsid w:val="002A2477"/>
    <w:rsid w:val="003271A5"/>
    <w:rsid w:val="00356779"/>
    <w:rsid w:val="00375FEA"/>
    <w:rsid w:val="00385CDE"/>
    <w:rsid w:val="00387E72"/>
    <w:rsid w:val="003C2AF2"/>
    <w:rsid w:val="003C7CB3"/>
    <w:rsid w:val="00407728"/>
    <w:rsid w:val="004665BE"/>
    <w:rsid w:val="00491E0D"/>
    <w:rsid w:val="004C3742"/>
    <w:rsid w:val="00501473"/>
    <w:rsid w:val="00585ADD"/>
    <w:rsid w:val="00604160"/>
    <w:rsid w:val="0061587A"/>
    <w:rsid w:val="006868DA"/>
    <w:rsid w:val="00686E71"/>
    <w:rsid w:val="006C64F5"/>
    <w:rsid w:val="007F213E"/>
    <w:rsid w:val="00851C64"/>
    <w:rsid w:val="00862F5E"/>
    <w:rsid w:val="008C27FC"/>
    <w:rsid w:val="009135F6"/>
    <w:rsid w:val="009765D1"/>
    <w:rsid w:val="009A330B"/>
    <w:rsid w:val="009D4EFC"/>
    <w:rsid w:val="009E367D"/>
    <w:rsid w:val="00A85AAC"/>
    <w:rsid w:val="00AE7E7D"/>
    <w:rsid w:val="00BB34DA"/>
    <w:rsid w:val="00C25165"/>
    <w:rsid w:val="00C54B69"/>
    <w:rsid w:val="00D402B6"/>
    <w:rsid w:val="00D850EB"/>
    <w:rsid w:val="00D8742B"/>
    <w:rsid w:val="00D91D1F"/>
    <w:rsid w:val="00E370C6"/>
    <w:rsid w:val="00E66DE9"/>
    <w:rsid w:val="00E72BD5"/>
    <w:rsid w:val="00E807EE"/>
    <w:rsid w:val="00E821B3"/>
    <w:rsid w:val="00EC1A05"/>
    <w:rsid w:val="00F0140E"/>
    <w:rsid w:val="00F257F3"/>
    <w:rsid w:val="00F518D2"/>
    <w:rsid w:val="00FA37AB"/>
    <w:rsid w:val="00FB74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9AF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000000"/>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E821B3"/>
    <w:pPr>
      <w:pBdr>
        <w:top w:val="single" w:sz="4" w:space="1" w:color="auto" w:shadow="1"/>
        <w:left w:val="single" w:sz="4" w:space="4" w:color="auto" w:shadow="1"/>
        <w:bottom w:val="single" w:sz="4" w:space="1" w:color="auto" w:shadow="1"/>
        <w:right w:val="single" w:sz="4" w:space="4" w:color="auto" w:shadow="1"/>
      </w:pBdr>
      <w:spacing w:before="400" w:after="200" w:line="480" w:lineRule="auto"/>
      <w:outlineLvl w:val="0"/>
    </w:pPr>
    <w:rPr>
      <w:b/>
      <w:bCs/>
      <w:color w:val="1F3864"/>
      <w:sz w:val="28"/>
      <w:szCs w:val="28"/>
    </w:rPr>
  </w:style>
  <w:style w:type="paragraph" w:styleId="Heading2">
    <w:name w:val="heading 2"/>
    <w:uiPriority w:val="9"/>
    <w:unhideWhenUsed/>
    <w:qFormat/>
    <w:rsid w:val="00E821B3"/>
    <w:pPr>
      <w:spacing w:after="120" w:line="360" w:lineRule="auto"/>
      <w:jc w:val="both"/>
      <w:outlineLvl w:val="1"/>
    </w:pPr>
    <w:rPr>
      <w:rFonts w:ascii="Times New Roman" w:hAnsi="Times New Roman" w:cs="Times New Roman"/>
      <w:b/>
      <w:bCs/>
      <w:i/>
      <w:iCs/>
      <w:color w:val="000000" w:themeColor="text1"/>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C54B69"/>
    <w:pPr>
      <w:tabs>
        <w:tab w:val="center" w:pos="4680"/>
        <w:tab w:val="right" w:pos="9360"/>
      </w:tabs>
    </w:pPr>
  </w:style>
  <w:style w:type="character" w:customStyle="1" w:styleId="HeaderChar">
    <w:name w:val="Header Char"/>
    <w:basedOn w:val="DefaultParagraphFont"/>
    <w:link w:val="Header"/>
    <w:uiPriority w:val="99"/>
    <w:rsid w:val="00C54B69"/>
  </w:style>
  <w:style w:type="paragraph" w:styleId="Footer">
    <w:name w:val="footer"/>
    <w:basedOn w:val="Normal"/>
    <w:link w:val="FooterChar"/>
    <w:uiPriority w:val="99"/>
    <w:unhideWhenUsed/>
    <w:rsid w:val="00C54B69"/>
    <w:pPr>
      <w:tabs>
        <w:tab w:val="center" w:pos="4680"/>
        <w:tab w:val="right" w:pos="9360"/>
      </w:tabs>
    </w:pPr>
  </w:style>
  <w:style w:type="character" w:customStyle="1" w:styleId="FooterChar">
    <w:name w:val="Footer Char"/>
    <w:basedOn w:val="DefaultParagraphFont"/>
    <w:link w:val="Footer"/>
    <w:uiPriority w:val="99"/>
    <w:rsid w:val="00C54B69"/>
  </w:style>
  <w:style w:type="table" w:styleId="TableGrid">
    <w:name w:val="Table Grid"/>
    <w:basedOn w:val="TableNormal"/>
    <w:uiPriority w:val="39"/>
    <w:rsid w:val="009135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F213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D402B6"/>
    <w:pPr>
      <w:spacing w:before="100" w:beforeAutospacing="1" w:after="100" w:afterAutospacing="1"/>
    </w:pPr>
    <w:rPr>
      <w:rFonts w:ascii="Times New Roman" w:eastAsia="Times New Roman" w:hAnsi="Times New Roman" w:cs="Times New Roman"/>
      <w:color w:val="auto"/>
    </w:rPr>
  </w:style>
  <w:style w:type="paragraph" w:styleId="TOCHeading">
    <w:name w:val="TOC Heading"/>
    <w:basedOn w:val="Heading1"/>
    <w:next w:val="Normal"/>
    <w:uiPriority w:val="39"/>
    <w:unhideWhenUsed/>
    <w:qFormat/>
    <w:rsid w:val="009A330B"/>
    <w:pPr>
      <w:keepNext/>
      <w:keepLines/>
      <w:pBdr>
        <w:top w:val="none" w:sz="0" w:space="0" w:color="auto"/>
        <w:left w:val="none" w:sz="0" w:space="0" w:color="auto"/>
        <w:bottom w:val="none" w:sz="0" w:space="0" w:color="auto"/>
        <w:right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9A330B"/>
    <w:pPr>
      <w:spacing w:after="100"/>
    </w:pPr>
  </w:style>
  <w:style w:type="paragraph" w:styleId="TOC2">
    <w:name w:val="toc 2"/>
    <w:basedOn w:val="Normal"/>
    <w:next w:val="Normal"/>
    <w:autoRedefine/>
    <w:uiPriority w:val="39"/>
    <w:unhideWhenUsed/>
    <w:rsid w:val="009A330B"/>
    <w:pPr>
      <w:spacing w:after="100"/>
      <w:ind w:left="240"/>
    </w:pPr>
  </w:style>
  <w:style w:type="character" w:styleId="FollowedHyperlink">
    <w:name w:val="FollowedHyperlink"/>
    <w:basedOn w:val="DefaultParagraphFont"/>
    <w:uiPriority w:val="99"/>
    <w:semiHidden/>
    <w:unhideWhenUsed/>
    <w:rsid w:val="004C374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5320">
      <w:bodyDiv w:val="1"/>
      <w:marLeft w:val="0"/>
      <w:marRight w:val="0"/>
      <w:marTop w:val="0"/>
      <w:marBottom w:val="0"/>
      <w:divBdr>
        <w:top w:val="none" w:sz="0" w:space="0" w:color="auto"/>
        <w:left w:val="none" w:sz="0" w:space="0" w:color="auto"/>
        <w:bottom w:val="none" w:sz="0" w:space="0" w:color="auto"/>
        <w:right w:val="none" w:sz="0" w:space="0" w:color="auto"/>
      </w:divBdr>
    </w:div>
    <w:div w:id="235014902">
      <w:bodyDiv w:val="1"/>
      <w:marLeft w:val="0"/>
      <w:marRight w:val="0"/>
      <w:marTop w:val="0"/>
      <w:marBottom w:val="0"/>
      <w:divBdr>
        <w:top w:val="none" w:sz="0" w:space="0" w:color="auto"/>
        <w:left w:val="none" w:sz="0" w:space="0" w:color="auto"/>
        <w:bottom w:val="none" w:sz="0" w:space="0" w:color="auto"/>
        <w:right w:val="none" w:sz="0" w:space="0" w:color="auto"/>
      </w:divBdr>
      <w:divsChild>
        <w:div w:id="1874688499">
          <w:marLeft w:val="0"/>
          <w:marRight w:val="0"/>
          <w:marTop w:val="0"/>
          <w:marBottom w:val="0"/>
          <w:divBdr>
            <w:top w:val="none" w:sz="0" w:space="0" w:color="auto"/>
            <w:left w:val="none" w:sz="0" w:space="0" w:color="auto"/>
            <w:bottom w:val="none" w:sz="0" w:space="0" w:color="auto"/>
            <w:right w:val="none" w:sz="0" w:space="0" w:color="auto"/>
          </w:divBdr>
        </w:div>
      </w:divsChild>
    </w:div>
    <w:div w:id="368844727">
      <w:bodyDiv w:val="1"/>
      <w:marLeft w:val="0"/>
      <w:marRight w:val="0"/>
      <w:marTop w:val="0"/>
      <w:marBottom w:val="0"/>
      <w:divBdr>
        <w:top w:val="none" w:sz="0" w:space="0" w:color="auto"/>
        <w:left w:val="none" w:sz="0" w:space="0" w:color="auto"/>
        <w:bottom w:val="none" w:sz="0" w:space="0" w:color="auto"/>
        <w:right w:val="none" w:sz="0" w:space="0" w:color="auto"/>
      </w:divBdr>
      <w:divsChild>
        <w:div w:id="1559824880">
          <w:marLeft w:val="0"/>
          <w:marRight w:val="0"/>
          <w:marTop w:val="0"/>
          <w:marBottom w:val="0"/>
          <w:divBdr>
            <w:top w:val="none" w:sz="0" w:space="0" w:color="auto"/>
            <w:left w:val="none" w:sz="0" w:space="0" w:color="auto"/>
            <w:bottom w:val="none" w:sz="0" w:space="0" w:color="auto"/>
            <w:right w:val="none" w:sz="0" w:space="0" w:color="auto"/>
          </w:divBdr>
          <w:divsChild>
            <w:div w:id="284524">
              <w:marLeft w:val="0"/>
              <w:marRight w:val="0"/>
              <w:marTop w:val="0"/>
              <w:marBottom w:val="0"/>
              <w:divBdr>
                <w:top w:val="none" w:sz="0" w:space="0" w:color="auto"/>
                <w:left w:val="none" w:sz="0" w:space="0" w:color="auto"/>
                <w:bottom w:val="none" w:sz="0" w:space="0" w:color="auto"/>
                <w:right w:val="none" w:sz="0" w:space="0" w:color="auto"/>
              </w:divBdr>
            </w:div>
          </w:divsChild>
        </w:div>
        <w:div w:id="895363091">
          <w:marLeft w:val="0"/>
          <w:marRight w:val="0"/>
          <w:marTop w:val="0"/>
          <w:marBottom w:val="0"/>
          <w:divBdr>
            <w:top w:val="none" w:sz="0" w:space="0" w:color="auto"/>
            <w:left w:val="none" w:sz="0" w:space="0" w:color="auto"/>
            <w:bottom w:val="none" w:sz="0" w:space="0" w:color="auto"/>
            <w:right w:val="none" w:sz="0" w:space="0" w:color="auto"/>
          </w:divBdr>
          <w:divsChild>
            <w:div w:id="1425758366">
              <w:marLeft w:val="0"/>
              <w:marRight w:val="0"/>
              <w:marTop w:val="0"/>
              <w:marBottom w:val="0"/>
              <w:divBdr>
                <w:top w:val="none" w:sz="0" w:space="0" w:color="auto"/>
                <w:left w:val="none" w:sz="0" w:space="0" w:color="auto"/>
                <w:bottom w:val="none" w:sz="0" w:space="0" w:color="auto"/>
                <w:right w:val="none" w:sz="0" w:space="0" w:color="auto"/>
              </w:divBdr>
            </w:div>
          </w:divsChild>
        </w:div>
        <w:div w:id="932514377">
          <w:marLeft w:val="0"/>
          <w:marRight w:val="0"/>
          <w:marTop w:val="0"/>
          <w:marBottom w:val="0"/>
          <w:divBdr>
            <w:top w:val="none" w:sz="0" w:space="0" w:color="auto"/>
            <w:left w:val="none" w:sz="0" w:space="0" w:color="auto"/>
            <w:bottom w:val="none" w:sz="0" w:space="0" w:color="auto"/>
            <w:right w:val="none" w:sz="0" w:space="0" w:color="auto"/>
          </w:divBdr>
          <w:divsChild>
            <w:div w:id="1653363836">
              <w:marLeft w:val="0"/>
              <w:marRight w:val="0"/>
              <w:marTop w:val="0"/>
              <w:marBottom w:val="0"/>
              <w:divBdr>
                <w:top w:val="none" w:sz="0" w:space="0" w:color="auto"/>
                <w:left w:val="none" w:sz="0" w:space="0" w:color="auto"/>
                <w:bottom w:val="none" w:sz="0" w:space="0" w:color="auto"/>
                <w:right w:val="none" w:sz="0" w:space="0" w:color="auto"/>
              </w:divBdr>
            </w:div>
          </w:divsChild>
        </w:div>
        <w:div w:id="217592192">
          <w:marLeft w:val="0"/>
          <w:marRight w:val="0"/>
          <w:marTop w:val="0"/>
          <w:marBottom w:val="0"/>
          <w:divBdr>
            <w:top w:val="none" w:sz="0" w:space="0" w:color="auto"/>
            <w:left w:val="none" w:sz="0" w:space="0" w:color="auto"/>
            <w:bottom w:val="none" w:sz="0" w:space="0" w:color="auto"/>
            <w:right w:val="none" w:sz="0" w:space="0" w:color="auto"/>
          </w:divBdr>
          <w:divsChild>
            <w:div w:id="494614869">
              <w:marLeft w:val="0"/>
              <w:marRight w:val="0"/>
              <w:marTop w:val="0"/>
              <w:marBottom w:val="0"/>
              <w:divBdr>
                <w:top w:val="none" w:sz="0" w:space="0" w:color="auto"/>
                <w:left w:val="none" w:sz="0" w:space="0" w:color="auto"/>
                <w:bottom w:val="none" w:sz="0" w:space="0" w:color="auto"/>
                <w:right w:val="none" w:sz="0" w:space="0" w:color="auto"/>
              </w:divBdr>
            </w:div>
          </w:divsChild>
        </w:div>
        <w:div w:id="885336550">
          <w:marLeft w:val="0"/>
          <w:marRight w:val="0"/>
          <w:marTop w:val="0"/>
          <w:marBottom w:val="0"/>
          <w:divBdr>
            <w:top w:val="none" w:sz="0" w:space="0" w:color="auto"/>
            <w:left w:val="none" w:sz="0" w:space="0" w:color="auto"/>
            <w:bottom w:val="none" w:sz="0" w:space="0" w:color="auto"/>
            <w:right w:val="none" w:sz="0" w:space="0" w:color="auto"/>
          </w:divBdr>
          <w:divsChild>
            <w:div w:id="453642272">
              <w:marLeft w:val="0"/>
              <w:marRight w:val="0"/>
              <w:marTop w:val="0"/>
              <w:marBottom w:val="0"/>
              <w:divBdr>
                <w:top w:val="none" w:sz="0" w:space="0" w:color="auto"/>
                <w:left w:val="none" w:sz="0" w:space="0" w:color="auto"/>
                <w:bottom w:val="none" w:sz="0" w:space="0" w:color="auto"/>
                <w:right w:val="none" w:sz="0" w:space="0" w:color="auto"/>
              </w:divBdr>
            </w:div>
          </w:divsChild>
        </w:div>
        <w:div w:id="466513566">
          <w:marLeft w:val="0"/>
          <w:marRight w:val="0"/>
          <w:marTop w:val="0"/>
          <w:marBottom w:val="0"/>
          <w:divBdr>
            <w:top w:val="none" w:sz="0" w:space="0" w:color="auto"/>
            <w:left w:val="none" w:sz="0" w:space="0" w:color="auto"/>
            <w:bottom w:val="none" w:sz="0" w:space="0" w:color="auto"/>
            <w:right w:val="none" w:sz="0" w:space="0" w:color="auto"/>
          </w:divBdr>
          <w:divsChild>
            <w:div w:id="1836997279">
              <w:marLeft w:val="0"/>
              <w:marRight w:val="0"/>
              <w:marTop w:val="0"/>
              <w:marBottom w:val="0"/>
              <w:divBdr>
                <w:top w:val="none" w:sz="0" w:space="0" w:color="auto"/>
                <w:left w:val="none" w:sz="0" w:space="0" w:color="auto"/>
                <w:bottom w:val="none" w:sz="0" w:space="0" w:color="auto"/>
                <w:right w:val="none" w:sz="0" w:space="0" w:color="auto"/>
              </w:divBdr>
            </w:div>
          </w:divsChild>
        </w:div>
        <w:div w:id="388187258">
          <w:marLeft w:val="0"/>
          <w:marRight w:val="0"/>
          <w:marTop w:val="0"/>
          <w:marBottom w:val="0"/>
          <w:divBdr>
            <w:top w:val="none" w:sz="0" w:space="0" w:color="auto"/>
            <w:left w:val="none" w:sz="0" w:space="0" w:color="auto"/>
            <w:bottom w:val="none" w:sz="0" w:space="0" w:color="auto"/>
            <w:right w:val="none" w:sz="0" w:space="0" w:color="auto"/>
          </w:divBdr>
          <w:divsChild>
            <w:div w:id="1138647321">
              <w:marLeft w:val="0"/>
              <w:marRight w:val="0"/>
              <w:marTop w:val="0"/>
              <w:marBottom w:val="0"/>
              <w:divBdr>
                <w:top w:val="none" w:sz="0" w:space="0" w:color="auto"/>
                <w:left w:val="none" w:sz="0" w:space="0" w:color="auto"/>
                <w:bottom w:val="none" w:sz="0" w:space="0" w:color="auto"/>
                <w:right w:val="none" w:sz="0" w:space="0" w:color="auto"/>
              </w:divBdr>
            </w:div>
          </w:divsChild>
        </w:div>
        <w:div w:id="1335575020">
          <w:marLeft w:val="0"/>
          <w:marRight w:val="0"/>
          <w:marTop w:val="0"/>
          <w:marBottom w:val="0"/>
          <w:divBdr>
            <w:top w:val="none" w:sz="0" w:space="0" w:color="auto"/>
            <w:left w:val="none" w:sz="0" w:space="0" w:color="auto"/>
            <w:bottom w:val="none" w:sz="0" w:space="0" w:color="auto"/>
            <w:right w:val="none" w:sz="0" w:space="0" w:color="auto"/>
          </w:divBdr>
          <w:divsChild>
            <w:div w:id="105739931">
              <w:marLeft w:val="0"/>
              <w:marRight w:val="0"/>
              <w:marTop w:val="0"/>
              <w:marBottom w:val="0"/>
              <w:divBdr>
                <w:top w:val="none" w:sz="0" w:space="0" w:color="auto"/>
                <w:left w:val="none" w:sz="0" w:space="0" w:color="auto"/>
                <w:bottom w:val="none" w:sz="0" w:space="0" w:color="auto"/>
                <w:right w:val="none" w:sz="0" w:space="0" w:color="auto"/>
              </w:divBdr>
            </w:div>
          </w:divsChild>
        </w:div>
        <w:div w:id="322441847">
          <w:marLeft w:val="0"/>
          <w:marRight w:val="0"/>
          <w:marTop w:val="0"/>
          <w:marBottom w:val="0"/>
          <w:divBdr>
            <w:top w:val="none" w:sz="0" w:space="0" w:color="auto"/>
            <w:left w:val="none" w:sz="0" w:space="0" w:color="auto"/>
            <w:bottom w:val="none" w:sz="0" w:space="0" w:color="auto"/>
            <w:right w:val="none" w:sz="0" w:space="0" w:color="auto"/>
          </w:divBdr>
          <w:divsChild>
            <w:div w:id="510878080">
              <w:marLeft w:val="0"/>
              <w:marRight w:val="0"/>
              <w:marTop w:val="0"/>
              <w:marBottom w:val="0"/>
              <w:divBdr>
                <w:top w:val="none" w:sz="0" w:space="0" w:color="auto"/>
                <w:left w:val="none" w:sz="0" w:space="0" w:color="auto"/>
                <w:bottom w:val="none" w:sz="0" w:space="0" w:color="auto"/>
                <w:right w:val="none" w:sz="0" w:space="0" w:color="auto"/>
              </w:divBdr>
            </w:div>
          </w:divsChild>
        </w:div>
        <w:div w:id="755397952">
          <w:marLeft w:val="0"/>
          <w:marRight w:val="0"/>
          <w:marTop w:val="0"/>
          <w:marBottom w:val="0"/>
          <w:divBdr>
            <w:top w:val="none" w:sz="0" w:space="0" w:color="auto"/>
            <w:left w:val="none" w:sz="0" w:space="0" w:color="auto"/>
            <w:bottom w:val="none" w:sz="0" w:space="0" w:color="auto"/>
            <w:right w:val="none" w:sz="0" w:space="0" w:color="auto"/>
          </w:divBdr>
          <w:divsChild>
            <w:div w:id="1795558195">
              <w:marLeft w:val="0"/>
              <w:marRight w:val="0"/>
              <w:marTop w:val="0"/>
              <w:marBottom w:val="0"/>
              <w:divBdr>
                <w:top w:val="none" w:sz="0" w:space="0" w:color="auto"/>
                <w:left w:val="none" w:sz="0" w:space="0" w:color="auto"/>
                <w:bottom w:val="none" w:sz="0" w:space="0" w:color="auto"/>
                <w:right w:val="none" w:sz="0" w:space="0" w:color="auto"/>
              </w:divBdr>
            </w:div>
          </w:divsChild>
        </w:div>
        <w:div w:id="1943493966">
          <w:marLeft w:val="0"/>
          <w:marRight w:val="0"/>
          <w:marTop w:val="0"/>
          <w:marBottom w:val="0"/>
          <w:divBdr>
            <w:top w:val="none" w:sz="0" w:space="0" w:color="auto"/>
            <w:left w:val="none" w:sz="0" w:space="0" w:color="auto"/>
            <w:bottom w:val="none" w:sz="0" w:space="0" w:color="auto"/>
            <w:right w:val="none" w:sz="0" w:space="0" w:color="auto"/>
          </w:divBdr>
          <w:divsChild>
            <w:div w:id="1356269458">
              <w:marLeft w:val="0"/>
              <w:marRight w:val="0"/>
              <w:marTop w:val="0"/>
              <w:marBottom w:val="0"/>
              <w:divBdr>
                <w:top w:val="none" w:sz="0" w:space="0" w:color="auto"/>
                <w:left w:val="none" w:sz="0" w:space="0" w:color="auto"/>
                <w:bottom w:val="none" w:sz="0" w:space="0" w:color="auto"/>
                <w:right w:val="none" w:sz="0" w:space="0" w:color="auto"/>
              </w:divBdr>
            </w:div>
          </w:divsChild>
        </w:div>
        <w:div w:id="1804035159">
          <w:marLeft w:val="0"/>
          <w:marRight w:val="0"/>
          <w:marTop w:val="0"/>
          <w:marBottom w:val="0"/>
          <w:divBdr>
            <w:top w:val="none" w:sz="0" w:space="0" w:color="auto"/>
            <w:left w:val="none" w:sz="0" w:space="0" w:color="auto"/>
            <w:bottom w:val="none" w:sz="0" w:space="0" w:color="auto"/>
            <w:right w:val="none" w:sz="0" w:space="0" w:color="auto"/>
          </w:divBdr>
          <w:divsChild>
            <w:div w:id="291639336">
              <w:marLeft w:val="0"/>
              <w:marRight w:val="0"/>
              <w:marTop w:val="0"/>
              <w:marBottom w:val="0"/>
              <w:divBdr>
                <w:top w:val="none" w:sz="0" w:space="0" w:color="auto"/>
                <w:left w:val="none" w:sz="0" w:space="0" w:color="auto"/>
                <w:bottom w:val="none" w:sz="0" w:space="0" w:color="auto"/>
                <w:right w:val="none" w:sz="0" w:space="0" w:color="auto"/>
              </w:divBdr>
            </w:div>
          </w:divsChild>
        </w:div>
        <w:div w:id="1969629041">
          <w:marLeft w:val="0"/>
          <w:marRight w:val="0"/>
          <w:marTop w:val="0"/>
          <w:marBottom w:val="0"/>
          <w:divBdr>
            <w:top w:val="none" w:sz="0" w:space="0" w:color="auto"/>
            <w:left w:val="none" w:sz="0" w:space="0" w:color="auto"/>
            <w:bottom w:val="none" w:sz="0" w:space="0" w:color="auto"/>
            <w:right w:val="none" w:sz="0" w:space="0" w:color="auto"/>
          </w:divBdr>
          <w:divsChild>
            <w:div w:id="198662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210726">
      <w:bodyDiv w:val="1"/>
      <w:marLeft w:val="0"/>
      <w:marRight w:val="0"/>
      <w:marTop w:val="0"/>
      <w:marBottom w:val="0"/>
      <w:divBdr>
        <w:top w:val="none" w:sz="0" w:space="0" w:color="auto"/>
        <w:left w:val="none" w:sz="0" w:space="0" w:color="auto"/>
        <w:bottom w:val="none" w:sz="0" w:space="0" w:color="auto"/>
        <w:right w:val="none" w:sz="0" w:space="0" w:color="auto"/>
      </w:divBdr>
    </w:div>
    <w:div w:id="472916322">
      <w:bodyDiv w:val="1"/>
      <w:marLeft w:val="0"/>
      <w:marRight w:val="0"/>
      <w:marTop w:val="0"/>
      <w:marBottom w:val="0"/>
      <w:divBdr>
        <w:top w:val="none" w:sz="0" w:space="0" w:color="auto"/>
        <w:left w:val="none" w:sz="0" w:space="0" w:color="auto"/>
        <w:bottom w:val="none" w:sz="0" w:space="0" w:color="auto"/>
        <w:right w:val="none" w:sz="0" w:space="0" w:color="auto"/>
      </w:divBdr>
      <w:divsChild>
        <w:div w:id="2124566513">
          <w:marLeft w:val="0"/>
          <w:marRight w:val="0"/>
          <w:marTop w:val="0"/>
          <w:marBottom w:val="0"/>
          <w:divBdr>
            <w:top w:val="none" w:sz="0" w:space="0" w:color="auto"/>
            <w:left w:val="none" w:sz="0" w:space="0" w:color="auto"/>
            <w:bottom w:val="none" w:sz="0" w:space="0" w:color="auto"/>
            <w:right w:val="none" w:sz="0" w:space="0" w:color="auto"/>
          </w:divBdr>
          <w:divsChild>
            <w:div w:id="456799789">
              <w:marLeft w:val="0"/>
              <w:marRight w:val="0"/>
              <w:marTop w:val="0"/>
              <w:marBottom w:val="0"/>
              <w:divBdr>
                <w:top w:val="none" w:sz="0" w:space="0" w:color="auto"/>
                <w:left w:val="none" w:sz="0" w:space="0" w:color="auto"/>
                <w:bottom w:val="none" w:sz="0" w:space="0" w:color="auto"/>
                <w:right w:val="none" w:sz="0" w:space="0" w:color="auto"/>
              </w:divBdr>
            </w:div>
          </w:divsChild>
        </w:div>
        <w:div w:id="2031056774">
          <w:marLeft w:val="0"/>
          <w:marRight w:val="0"/>
          <w:marTop w:val="0"/>
          <w:marBottom w:val="0"/>
          <w:divBdr>
            <w:top w:val="none" w:sz="0" w:space="0" w:color="auto"/>
            <w:left w:val="none" w:sz="0" w:space="0" w:color="auto"/>
            <w:bottom w:val="none" w:sz="0" w:space="0" w:color="auto"/>
            <w:right w:val="none" w:sz="0" w:space="0" w:color="auto"/>
          </w:divBdr>
          <w:divsChild>
            <w:div w:id="1736466068">
              <w:marLeft w:val="0"/>
              <w:marRight w:val="0"/>
              <w:marTop w:val="0"/>
              <w:marBottom w:val="0"/>
              <w:divBdr>
                <w:top w:val="none" w:sz="0" w:space="0" w:color="auto"/>
                <w:left w:val="none" w:sz="0" w:space="0" w:color="auto"/>
                <w:bottom w:val="none" w:sz="0" w:space="0" w:color="auto"/>
                <w:right w:val="none" w:sz="0" w:space="0" w:color="auto"/>
              </w:divBdr>
            </w:div>
          </w:divsChild>
        </w:div>
        <w:div w:id="1950890692">
          <w:marLeft w:val="0"/>
          <w:marRight w:val="0"/>
          <w:marTop w:val="0"/>
          <w:marBottom w:val="0"/>
          <w:divBdr>
            <w:top w:val="none" w:sz="0" w:space="0" w:color="auto"/>
            <w:left w:val="none" w:sz="0" w:space="0" w:color="auto"/>
            <w:bottom w:val="none" w:sz="0" w:space="0" w:color="auto"/>
            <w:right w:val="none" w:sz="0" w:space="0" w:color="auto"/>
          </w:divBdr>
          <w:divsChild>
            <w:div w:id="1953049429">
              <w:marLeft w:val="0"/>
              <w:marRight w:val="0"/>
              <w:marTop w:val="0"/>
              <w:marBottom w:val="0"/>
              <w:divBdr>
                <w:top w:val="none" w:sz="0" w:space="0" w:color="auto"/>
                <w:left w:val="none" w:sz="0" w:space="0" w:color="auto"/>
                <w:bottom w:val="none" w:sz="0" w:space="0" w:color="auto"/>
                <w:right w:val="none" w:sz="0" w:space="0" w:color="auto"/>
              </w:divBdr>
            </w:div>
          </w:divsChild>
        </w:div>
        <w:div w:id="2118258781">
          <w:marLeft w:val="0"/>
          <w:marRight w:val="0"/>
          <w:marTop w:val="0"/>
          <w:marBottom w:val="0"/>
          <w:divBdr>
            <w:top w:val="none" w:sz="0" w:space="0" w:color="auto"/>
            <w:left w:val="none" w:sz="0" w:space="0" w:color="auto"/>
            <w:bottom w:val="none" w:sz="0" w:space="0" w:color="auto"/>
            <w:right w:val="none" w:sz="0" w:space="0" w:color="auto"/>
          </w:divBdr>
          <w:divsChild>
            <w:div w:id="275066453">
              <w:marLeft w:val="0"/>
              <w:marRight w:val="0"/>
              <w:marTop w:val="0"/>
              <w:marBottom w:val="0"/>
              <w:divBdr>
                <w:top w:val="none" w:sz="0" w:space="0" w:color="auto"/>
                <w:left w:val="none" w:sz="0" w:space="0" w:color="auto"/>
                <w:bottom w:val="none" w:sz="0" w:space="0" w:color="auto"/>
                <w:right w:val="none" w:sz="0" w:space="0" w:color="auto"/>
              </w:divBdr>
            </w:div>
          </w:divsChild>
        </w:div>
        <w:div w:id="1749571771">
          <w:marLeft w:val="0"/>
          <w:marRight w:val="0"/>
          <w:marTop w:val="0"/>
          <w:marBottom w:val="0"/>
          <w:divBdr>
            <w:top w:val="none" w:sz="0" w:space="0" w:color="auto"/>
            <w:left w:val="none" w:sz="0" w:space="0" w:color="auto"/>
            <w:bottom w:val="none" w:sz="0" w:space="0" w:color="auto"/>
            <w:right w:val="none" w:sz="0" w:space="0" w:color="auto"/>
          </w:divBdr>
          <w:divsChild>
            <w:div w:id="1309434993">
              <w:marLeft w:val="0"/>
              <w:marRight w:val="0"/>
              <w:marTop w:val="0"/>
              <w:marBottom w:val="0"/>
              <w:divBdr>
                <w:top w:val="none" w:sz="0" w:space="0" w:color="auto"/>
                <w:left w:val="none" w:sz="0" w:space="0" w:color="auto"/>
                <w:bottom w:val="none" w:sz="0" w:space="0" w:color="auto"/>
                <w:right w:val="none" w:sz="0" w:space="0" w:color="auto"/>
              </w:divBdr>
            </w:div>
          </w:divsChild>
        </w:div>
        <w:div w:id="2138179662">
          <w:marLeft w:val="0"/>
          <w:marRight w:val="0"/>
          <w:marTop w:val="0"/>
          <w:marBottom w:val="0"/>
          <w:divBdr>
            <w:top w:val="none" w:sz="0" w:space="0" w:color="auto"/>
            <w:left w:val="none" w:sz="0" w:space="0" w:color="auto"/>
            <w:bottom w:val="none" w:sz="0" w:space="0" w:color="auto"/>
            <w:right w:val="none" w:sz="0" w:space="0" w:color="auto"/>
          </w:divBdr>
          <w:divsChild>
            <w:div w:id="394010336">
              <w:marLeft w:val="0"/>
              <w:marRight w:val="0"/>
              <w:marTop w:val="0"/>
              <w:marBottom w:val="0"/>
              <w:divBdr>
                <w:top w:val="none" w:sz="0" w:space="0" w:color="auto"/>
                <w:left w:val="none" w:sz="0" w:space="0" w:color="auto"/>
                <w:bottom w:val="none" w:sz="0" w:space="0" w:color="auto"/>
                <w:right w:val="none" w:sz="0" w:space="0" w:color="auto"/>
              </w:divBdr>
            </w:div>
          </w:divsChild>
        </w:div>
        <w:div w:id="895507730">
          <w:marLeft w:val="0"/>
          <w:marRight w:val="0"/>
          <w:marTop w:val="0"/>
          <w:marBottom w:val="0"/>
          <w:divBdr>
            <w:top w:val="none" w:sz="0" w:space="0" w:color="auto"/>
            <w:left w:val="none" w:sz="0" w:space="0" w:color="auto"/>
            <w:bottom w:val="none" w:sz="0" w:space="0" w:color="auto"/>
            <w:right w:val="none" w:sz="0" w:space="0" w:color="auto"/>
          </w:divBdr>
          <w:divsChild>
            <w:div w:id="602617177">
              <w:marLeft w:val="0"/>
              <w:marRight w:val="0"/>
              <w:marTop w:val="0"/>
              <w:marBottom w:val="0"/>
              <w:divBdr>
                <w:top w:val="none" w:sz="0" w:space="0" w:color="auto"/>
                <w:left w:val="none" w:sz="0" w:space="0" w:color="auto"/>
                <w:bottom w:val="none" w:sz="0" w:space="0" w:color="auto"/>
                <w:right w:val="none" w:sz="0" w:space="0" w:color="auto"/>
              </w:divBdr>
            </w:div>
          </w:divsChild>
        </w:div>
        <w:div w:id="1409770989">
          <w:marLeft w:val="0"/>
          <w:marRight w:val="0"/>
          <w:marTop w:val="0"/>
          <w:marBottom w:val="0"/>
          <w:divBdr>
            <w:top w:val="none" w:sz="0" w:space="0" w:color="auto"/>
            <w:left w:val="none" w:sz="0" w:space="0" w:color="auto"/>
            <w:bottom w:val="none" w:sz="0" w:space="0" w:color="auto"/>
            <w:right w:val="none" w:sz="0" w:space="0" w:color="auto"/>
          </w:divBdr>
          <w:divsChild>
            <w:div w:id="632708542">
              <w:marLeft w:val="0"/>
              <w:marRight w:val="0"/>
              <w:marTop w:val="0"/>
              <w:marBottom w:val="0"/>
              <w:divBdr>
                <w:top w:val="none" w:sz="0" w:space="0" w:color="auto"/>
                <w:left w:val="none" w:sz="0" w:space="0" w:color="auto"/>
                <w:bottom w:val="none" w:sz="0" w:space="0" w:color="auto"/>
                <w:right w:val="none" w:sz="0" w:space="0" w:color="auto"/>
              </w:divBdr>
            </w:div>
          </w:divsChild>
        </w:div>
        <w:div w:id="1341859978">
          <w:marLeft w:val="0"/>
          <w:marRight w:val="0"/>
          <w:marTop w:val="0"/>
          <w:marBottom w:val="0"/>
          <w:divBdr>
            <w:top w:val="none" w:sz="0" w:space="0" w:color="auto"/>
            <w:left w:val="none" w:sz="0" w:space="0" w:color="auto"/>
            <w:bottom w:val="none" w:sz="0" w:space="0" w:color="auto"/>
            <w:right w:val="none" w:sz="0" w:space="0" w:color="auto"/>
          </w:divBdr>
          <w:divsChild>
            <w:div w:id="1437022828">
              <w:marLeft w:val="0"/>
              <w:marRight w:val="0"/>
              <w:marTop w:val="0"/>
              <w:marBottom w:val="0"/>
              <w:divBdr>
                <w:top w:val="none" w:sz="0" w:space="0" w:color="auto"/>
                <w:left w:val="none" w:sz="0" w:space="0" w:color="auto"/>
                <w:bottom w:val="none" w:sz="0" w:space="0" w:color="auto"/>
                <w:right w:val="none" w:sz="0" w:space="0" w:color="auto"/>
              </w:divBdr>
            </w:div>
          </w:divsChild>
        </w:div>
        <w:div w:id="677733533">
          <w:marLeft w:val="0"/>
          <w:marRight w:val="0"/>
          <w:marTop w:val="0"/>
          <w:marBottom w:val="0"/>
          <w:divBdr>
            <w:top w:val="none" w:sz="0" w:space="0" w:color="auto"/>
            <w:left w:val="none" w:sz="0" w:space="0" w:color="auto"/>
            <w:bottom w:val="none" w:sz="0" w:space="0" w:color="auto"/>
            <w:right w:val="none" w:sz="0" w:space="0" w:color="auto"/>
          </w:divBdr>
          <w:divsChild>
            <w:div w:id="1355569496">
              <w:marLeft w:val="0"/>
              <w:marRight w:val="0"/>
              <w:marTop w:val="0"/>
              <w:marBottom w:val="0"/>
              <w:divBdr>
                <w:top w:val="none" w:sz="0" w:space="0" w:color="auto"/>
                <w:left w:val="none" w:sz="0" w:space="0" w:color="auto"/>
                <w:bottom w:val="none" w:sz="0" w:space="0" w:color="auto"/>
                <w:right w:val="none" w:sz="0" w:space="0" w:color="auto"/>
              </w:divBdr>
            </w:div>
          </w:divsChild>
        </w:div>
        <w:div w:id="1590852596">
          <w:marLeft w:val="0"/>
          <w:marRight w:val="0"/>
          <w:marTop w:val="0"/>
          <w:marBottom w:val="0"/>
          <w:divBdr>
            <w:top w:val="none" w:sz="0" w:space="0" w:color="auto"/>
            <w:left w:val="none" w:sz="0" w:space="0" w:color="auto"/>
            <w:bottom w:val="none" w:sz="0" w:space="0" w:color="auto"/>
            <w:right w:val="none" w:sz="0" w:space="0" w:color="auto"/>
          </w:divBdr>
          <w:divsChild>
            <w:div w:id="11680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818581">
      <w:bodyDiv w:val="1"/>
      <w:marLeft w:val="0"/>
      <w:marRight w:val="0"/>
      <w:marTop w:val="0"/>
      <w:marBottom w:val="0"/>
      <w:divBdr>
        <w:top w:val="none" w:sz="0" w:space="0" w:color="auto"/>
        <w:left w:val="none" w:sz="0" w:space="0" w:color="auto"/>
        <w:bottom w:val="none" w:sz="0" w:space="0" w:color="auto"/>
        <w:right w:val="none" w:sz="0" w:space="0" w:color="auto"/>
      </w:divBdr>
      <w:divsChild>
        <w:div w:id="883641478">
          <w:marLeft w:val="0"/>
          <w:marRight w:val="0"/>
          <w:marTop w:val="0"/>
          <w:marBottom w:val="0"/>
          <w:divBdr>
            <w:top w:val="none" w:sz="0" w:space="0" w:color="auto"/>
            <w:left w:val="none" w:sz="0" w:space="0" w:color="auto"/>
            <w:bottom w:val="none" w:sz="0" w:space="0" w:color="auto"/>
            <w:right w:val="none" w:sz="0" w:space="0" w:color="auto"/>
          </w:divBdr>
        </w:div>
      </w:divsChild>
    </w:div>
    <w:div w:id="1159620069">
      <w:bodyDiv w:val="1"/>
      <w:marLeft w:val="0"/>
      <w:marRight w:val="0"/>
      <w:marTop w:val="0"/>
      <w:marBottom w:val="0"/>
      <w:divBdr>
        <w:top w:val="none" w:sz="0" w:space="0" w:color="auto"/>
        <w:left w:val="none" w:sz="0" w:space="0" w:color="auto"/>
        <w:bottom w:val="none" w:sz="0" w:space="0" w:color="auto"/>
        <w:right w:val="none" w:sz="0" w:space="0" w:color="auto"/>
      </w:divBdr>
    </w:div>
    <w:div w:id="1762137621">
      <w:bodyDiv w:val="1"/>
      <w:marLeft w:val="0"/>
      <w:marRight w:val="0"/>
      <w:marTop w:val="0"/>
      <w:marBottom w:val="0"/>
      <w:divBdr>
        <w:top w:val="none" w:sz="0" w:space="0" w:color="auto"/>
        <w:left w:val="none" w:sz="0" w:space="0" w:color="auto"/>
        <w:bottom w:val="none" w:sz="0" w:space="0" w:color="auto"/>
        <w:right w:val="none" w:sz="0" w:space="0" w:color="auto"/>
      </w:divBdr>
      <w:divsChild>
        <w:div w:id="15191934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6965</Words>
  <Characters>44163</Characters>
  <Application>Microsoft Office Word</Application>
  <DocSecurity>0</DocSecurity>
  <Lines>1104</Lines>
  <Paragraphs>473</Paragraphs>
  <ScaleCrop>false</ScaleCrop>
  <Company/>
  <LinksUpToDate>false</LinksUpToDate>
  <CharactersWithSpaces>50655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2026-03-30T20:41:00Z</dcterms:created>
  <dcterms:modified xsi:type="dcterms:W3CDTF">2026-03-30T20:41:00Z</dcterms:modified>
</cp:coreProperties>
</file>