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221A" w:rsidRPr="00FA4E33" w:rsidRDefault="00FA4E33">
      <w:pPr>
        <w:rPr>
          <w:rFonts w:ascii="Perpetua Titling MT" w:hAnsi="Perpetua Titling MT"/>
          <w:b/>
        </w:rPr>
      </w:pPr>
      <w:r w:rsidRPr="00FA4E33">
        <w:rPr>
          <w:rFonts w:ascii="Perpetua Titling MT" w:hAnsi="Perpetua Titling MT"/>
          <w:b/>
        </w:rPr>
        <w:t xml:space="preserve">Critical comments on </w:t>
      </w:r>
      <w:r w:rsidR="001E1D1B" w:rsidRPr="00FA4E33">
        <w:rPr>
          <w:rFonts w:ascii="Perpetua Titling MT" w:hAnsi="Perpetua Titling MT"/>
          <w:b/>
        </w:rPr>
        <w:t>Ann</w:t>
      </w:r>
      <w:r w:rsidR="00E3221A" w:rsidRPr="00FA4E33">
        <w:rPr>
          <w:rFonts w:ascii="Perpetua Titling MT" w:hAnsi="Perpetua Titling MT"/>
          <w:b/>
        </w:rPr>
        <w:t xml:space="preserve"> Radcliffe, </w:t>
      </w:r>
      <w:r w:rsidR="00E3221A" w:rsidRPr="00FA4E33">
        <w:rPr>
          <w:rFonts w:ascii="Perpetua Titling MT" w:hAnsi="Perpetua Titling MT"/>
          <w:b/>
          <w:i/>
        </w:rPr>
        <w:t>The Italian</w:t>
      </w:r>
      <w:r w:rsidR="00E53508" w:rsidRPr="00FA4E33">
        <w:rPr>
          <w:rFonts w:ascii="Perpetua Titling MT" w:hAnsi="Perpetua Titling MT"/>
          <w:b/>
        </w:rPr>
        <w:t xml:space="preserve">: </w:t>
      </w:r>
      <w:r w:rsidR="00E53508" w:rsidRPr="00FA4E33">
        <w:rPr>
          <w:rFonts w:ascii="Perpetua Titling MT" w:hAnsi="Perpetua Titling MT"/>
          <w:b/>
          <w:i/>
        </w:rPr>
        <w:t>Or, the Confessional of the Black Penitents. A</w:t>
      </w:r>
      <w:r w:rsidR="00E53508" w:rsidRPr="00FA4E33">
        <w:rPr>
          <w:rFonts w:ascii="Perpetua Titling MT" w:hAnsi="Perpetua Titling MT"/>
          <w:b/>
        </w:rPr>
        <w:t xml:space="preserve"> </w:t>
      </w:r>
      <w:r w:rsidR="00E53508" w:rsidRPr="00FA4E33">
        <w:rPr>
          <w:rFonts w:ascii="Perpetua Titling MT" w:hAnsi="Perpetua Titling MT"/>
          <w:b/>
          <w:i/>
        </w:rPr>
        <w:t>Romance</w:t>
      </w:r>
      <w:r w:rsidR="00E3221A" w:rsidRPr="00FA4E33">
        <w:rPr>
          <w:rFonts w:ascii="Perpetua Titling MT" w:hAnsi="Perpetua Titling MT"/>
          <w:b/>
        </w:rPr>
        <w:t xml:space="preserve"> (1796):</w:t>
      </w:r>
    </w:p>
    <w:p w:rsidR="00E53508" w:rsidRDefault="00E53508">
      <w:pPr>
        <w:rPr>
          <w:rFonts w:ascii="Garamond" w:hAnsi="Garamond"/>
          <w:b/>
        </w:rPr>
      </w:pPr>
    </w:p>
    <w:p w:rsidR="00FA4E33" w:rsidRPr="00FA4E33" w:rsidRDefault="00FA4E33">
      <w:pPr>
        <w:rPr>
          <w:rFonts w:ascii="Garamond" w:hAnsi="Garamond"/>
          <w:b/>
        </w:rPr>
      </w:pPr>
    </w:p>
    <w:p w:rsidR="00E53508" w:rsidRPr="00FA4E33" w:rsidRDefault="00E53508">
      <w:pPr>
        <w:rPr>
          <w:rFonts w:ascii="Garamond" w:hAnsi="Garamond"/>
          <w:b/>
        </w:rPr>
      </w:pPr>
      <w:r w:rsidRPr="00FA4E33">
        <w:rPr>
          <w:rFonts w:ascii="Garamond" w:hAnsi="Garamond"/>
          <w:b/>
        </w:rPr>
        <w:t xml:space="preserve">From Frederick Garber’s ‘Introduction’ to the </w:t>
      </w:r>
      <w:smartTag w:uri="urn:schemas-microsoft-com:office:smarttags" w:element="place">
        <w:smartTag w:uri="urn:schemas-microsoft-com:office:smarttags" w:element="City">
          <w:r w:rsidRPr="00FA4E33">
            <w:rPr>
              <w:rFonts w:ascii="Garamond" w:hAnsi="Garamond"/>
              <w:b/>
            </w:rPr>
            <w:t>Oxford</w:t>
          </w:r>
        </w:smartTag>
      </w:smartTag>
      <w:r w:rsidRPr="00FA4E33">
        <w:rPr>
          <w:rFonts w:ascii="Garamond" w:hAnsi="Garamond"/>
          <w:b/>
        </w:rPr>
        <w:t xml:space="preserve"> World’s Classics edition of the novel (Oxford; New York, </w:t>
      </w:r>
      <w:proofErr w:type="gramStart"/>
      <w:r w:rsidRPr="00FA4E33">
        <w:rPr>
          <w:rFonts w:ascii="Garamond" w:hAnsi="Garamond"/>
          <w:b/>
        </w:rPr>
        <w:t>etc :</w:t>
      </w:r>
      <w:proofErr w:type="gramEnd"/>
      <w:r w:rsidRPr="00FA4E33">
        <w:rPr>
          <w:rFonts w:ascii="Garamond" w:hAnsi="Garamond"/>
          <w:b/>
        </w:rPr>
        <w:t xml:space="preserve"> Oxford University Press, 1981)</w:t>
      </w:r>
    </w:p>
    <w:p w:rsidR="00E3221A" w:rsidRPr="00FA4E33" w:rsidRDefault="00E3221A">
      <w:pPr>
        <w:rPr>
          <w:rFonts w:ascii="Garamond" w:hAnsi="Garamond"/>
          <w:b/>
        </w:rPr>
      </w:pPr>
    </w:p>
    <w:p w:rsidR="00E3221A" w:rsidRPr="00FA4E33" w:rsidRDefault="00E3221A">
      <w:pPr>
        <w:rPr>
          <w:rFonts w:ascii="Garamond" w:hAnsi="Garamond"/>
        </w:rPr>
      </w:pPr>
      <w:r w:rsidRPr="00FA4E33">
        <w:rPr>
          <w:rFonts w:ascii="Garamond" w:hAnsi="Garamond"/>
        </w:rPr>
        <w:t xml:space="preserve">‘Some of [Radcliffe’s] popularity, and certainly much of her genius, rested in her ability to blend various themes and modes of eighteenth-century literature into a distinctive style. It would be a mistake to think of her books primarily as terror fiction, though they have a good deal of the potentially ghastly in them. More accurately, they are basically novels of sensibility with heroes and heroines straight out of the tradition of [Samuel] Richardson, </w:t>
      </w:r>
      <w:r w:rsidR="00C7624B" w:rsidRPr="00FA4E33">
        <w:rPr>
          <w:rFonts w:ascii="Garamond" w:hAnsi="Garamond"/>
        </w:rPr>
        <w:t xml:space="preserve">[Antoine François, the </w:t>
      </w:r>
      <w:proofErr w:type="spellStart"/>
      <w:r w:rsidR="00C7624B" w:rsidRPr="00FA4E33">
        <w:rPr>
          <w:rFonts w:ascii="Garamond" w:hAnsi="Garamond"/>
        </w:rPr>
        <w:t>Abbé</w:t>
      </w:r>
      <w:proofErr w:type="spellEnd"/>
      <w:r w:rsidR="00C7624B" w:rsidRPr="00FA4E33">
        <w:rPr>
          <w:rFonts w:ascii="Garamond" w:hAnsi="Garamond"/>
        </w:rPr>
        <w:t xml:space="preserve">] </w:t>
      </w:r>
      <w:proofErr w:type="spellStart"/>
      <w:r w:rsidRPr="00FA4E33">
        <w:rPr>
          <w:rFonts w:ascii="Garamond" w:hAnsi="Garamond"/>
        </w:rPr>
        <w:t>Prévost</w:t>
      </w:r>
      <w:proofErr w:type="spellEnd"/>
      <w:r w:rsidRPr="00FA4E33">
        <w:rPr>
          <w:rFonts w:ascii="Garamond" w:hAnsi="Garamond"/>
        </w:rPr>
        <w:t>, and especially [</w:t>
      </w:r>
      <w:r w:rsidR="00E53508" w:rsidRPr="00FA4E33">
        <w:rPr>
          <w:rFonts w:ascii="Garamond" w:hAnsi="Garamond"/>
        </w:rPr>
        <w:t>Jean-</w:t>
      </w:r>
      <w:r w:rsidRPr="00FA4E33">
        <w:rPr>
          <w:rFonts w:ascii="Garamond" w:hAnsi="Garamond"/>
        </w:rPr>
        <w:t>Jacques] Rousseau. …</w:t>
      </w:r>
      <w:r w:rsidR="00E53508" w:rsidRPr="00FA4E33">
        <w:rPr>
          <w:rFonts w:ascii="Garamond" w:hAnsi="Garamond"/>
        </w:rPr>
        <w:t xml:space="preserve">Mrs Radcliffe’s novels demonstrate her wide reading in the popular literature of the eighteenth century, not only in sentimental fiction but in novels of terror like Walpole’s, the poetry of landscape like Thompson’s, and a wide variety of </w:t>
      </w:r>
      <w:proofErr w:type="spellStart"/>
      <w:r w:rsidR="00E53508" w:rsidRPr="00FA4E33">
        <w:rPr>
          <w:rFonts w:ascii="Garamond" w:hAnsi="Garamond"/>
        </w:rPr>
        <w:t>melancholics</w:t>
      </w:r>
      <w:proofErr w:type="spellEnd"/>
      <w:r w:rsidR="00E53508" w:rsidRPr="00FA4E33">
        <w:rPr>
          <w:rFonts w:ascii="Garamond" w:hAnsi="Garamond"/>
        </w:rPr>
        <w:t xml:space="preserve"> like Young and the elegiac Gray. </w:t>
      </w:r>
      <w:proofErr w:type="gramStart"/>
      <w:r w:rsidR="00E53508" w:rsidRPr="00FA4E33">
        <w:rPr>
          <w:rFonts w:ascii="Garamond" w:hAnsi="Garamond"/>
        </w:rPr>
        <w:t>Most of all, though, she read Shakespeare, echoes of whom appear regularly in all of her work.</w:t>
      </w:r>
      <w:proofErr w:type="gramEnd"/>
    </w:p>
    <w:p w:rsidR="00E53508" w:rsidRPr="00FA4E33" w:rsidRDefault="00E53508">
      <w:pPr>
        <w:rPr>
          <w:rFonts w:ascii="Garamond" w:hAnsi="Garamond"/>
        </w:rPr>
      </w:pPr>
    </w:p>
    <w:p w:rsidR="00E53508" w:rsidRDefault="00E53508">
      <w:pPr>
        <w:rPr>
          <w:rFonts w:ascii="Garamond" w:hAnsi="Garamond"/>
        </w:rPr>
      </w:pPr>
    </w:p>
    <w:p w:rsidR="00FA4E33" w:rsidRPr="00FA4E33" w:rsidRDefault="00FA4E33">
      <w:pPr>
        <w:rPr>
          <w:rFonts w:ascii="Garamond" w:hAnsi="Garamond"/>
        </w:rPr>
      </w:pPr>
    </w:p>
    <w:p w:rsidR="00E53508" w:rsidRPr="00FA4E33" w:rsidRDefault="00E53508">
      <w:pPr>
        <w:rPr>
          <w:rFonts w:ascii="Garamond" w:hAnsi="Garamond"/>
          <w:b/>
        </w:rPr>
      </w:pPr>
      <w:r w:rsidRPr="00FA4E33">
        <w:rPr>
          <w:rFonts w:ascii="Garamond" w:hAnsi="Garamond"/>
          <w:b/>
        </w:rPr>
        <w:t xml:space="preserve">James Beattie, ‘On Fable and Romance’, in </w:t>
      </w:r>
      <w:r w:rsidRPr="00FA4E33">
        <w:rPr>
          <w:rFonts w:ascii="Garamond" w:hAnsi="Garamond"/>
          <w:b/>
          <w:i/>
        </w:rPr>
        <w:t>Dissertations Moral and Political</w:t>
      </w:r>
      <w:r w:rsidRPr="00FA4E33">
        <w:rPr>
          <w:rFonts w:ascii="Garamond" w:hAnsi="Garamond"/>
          <w:b/>
        </w:rPr>
        <w:t xml:space="preserve"> (</w:t>
      </w:r>
      <w:smartTag w:uri="urn:schemas-microsoft-com:office:smarttags" w:element="City">
        <w:r w:rsidRPr="00FA4E33">
          <w:rPr>
            <w:rFonts w:ascii="Garamond" w:hAnsi="Garamond"/>
            <w:b/>
          </w:rPr>
          <w:t>London</w:t>
        </w:r>
      </w:smartTag>
      <w:r w:rsidRPr="00FA4E33">
        <w:rPr>
          <w:rFonts w:ascii="Garamond" w:hAnsi="Garamond"/>
          <w:b/>
        </w:rPr>
        <w:t xml:space="preserve"> and </w:t>
      </w:r>
      <w:smartTag w:uri="urn:schemas-microsoft-com:office:smarttags" w:element="City">
        <w:smartTag w:uri="urn:schemas-microsoft-com:office:smarttags" w:element="place">
          <w:r w:rsidRPr="00FA4E33">
            <w:rPr>
              <w:rFonts w:ascii="Garamond" w:hAnsi="Garamond"/>
              <w:b/>
            </w:rPr>
            <w:t>Edinburgh</w:t>
          </w:r>
        </w:smartTag>
      </w:smartTag>
      <w:r w:rsidRPr="00FA4E33">
        <w:rPr>
          <w:rFonts w:ascii="Garamond" w:hAnsi="Garamond"/>
          <w:b/>
        </w:rPr>
        <w:t>, 1793), pp. 573-4:</w:t>
      </w:r>
    </w:p>
    <w:p w:rsidR="00E53508" w:rsidRPr="00FA4E33" w:rsidRDefault="00E53508">
      <w:pPr>
        <w:rPr>
          <w:rFonts w:ascii="Garamond" w:hAnsi="Garamond"/>
        </w:rPr>
      </w:pPr>
    </w:p>
    <w:p w:rsidR="00E53508" w:rsidRPr="00FA4E33" w:rsidRDefault="00E53508">
      <w:pPr>
        <w:rPr>
          <w:rFonts w:ascii="Garamond" w:hAnsi="Garamond"/>
        </w:rPr>
      </w:pPr>
      <w:r w:rsidRPr="00FA4E33">
        <w:rPr>
          <w:rFonts w:ascii="Garamond" w:hAnsi="Garamond"/>
        </w:rPr>
        <w:t>‘Romances are a dangerous recreation…and tend to corrupt the heart, and stimulate the passions. A habit of reading them breeds a dislike to history, and all the substantial parts of knowledge; withdraws the attention from nature and truth; and fills the mind with extravagant thoughts, and too often with criminal propensities’.</w:t>
      </w:r>
    </w:p>
    <w:p w:rsidR="00E53508" w:rsidRPr="00FA4E33" w:rsidRDefault="00E53508">
      <w:pPr>
        <w:rPr>
          <w:rFonts w:ascii="Garamond" w:hAnsi="Garamond"/>
        </w:rPr>
      </w:pPr>
      <w:r w:rsidRPr="00FA4E33">
        <w:rPr>
          <w:rFonts w:ascii="Garamond" w:hAnsi="Garamond"/>
        </w:rPr>
        <w:t xml:space="preserve">(Cited by E.J. </w:t>
      </w:r>
      <w:proofErr w:type="spellStart"/>
      <w:r w:rsidRPr="00FA4E33">
        <w:rPr>
          <w:rFonts w:ascii="Garamond" w:hAnsi="Garamond"/>
        </w:rPr>
        <w:t>Clery</w:t>
      </w:r>
      <w:proofErr w:type="spellEnd"/>
      <w:r w:rsidRPr="00FA4E33">
        <w:rPr>
          <w:rFonts w:ascii="Garamond" w:hAnsi="Garamond"/>
        </w:rPr>
        <w:t xml:space="preserve">, </w:t>
      </w:r>
      <w:r w:rsidR="00F0319D" w:rsidRPr="00FA4E33">
        <w:rPr>
          <w:rFonts w:ascii="Garamond" w:hAnsi="Garamond"/>
          <w:i/>
        </w:rPr>
        <w:t>The Rise of Supernatural F</w:t>
      </w:r>
      <w:r w:rsidRPr="00FA4E33">
        <w:rPr>
          <w:rFonts w:ascii="Garamond" w:hAnsi="Garamond"/>
          <w:i/>
        </w:rPr>
        <w:t>iction, 1762-1800</w:t>
      </w:r>
      <w:r w:rsidRPr="00FA4E33">
        <w:rPr>
          <w:rFonts w:ascii="Garamond" w:hAnsi="Garamond"/>
        </w:rPr>
        <w:t xml:space="preserve"> (Cambridge: University of Cambridge Press, </w:t>
      </w:r>
      <w:r w:rsidR="00F0319D" w:rsidRPr="00FA4E33">
        <w:rPr>
          <w:rFonts w:ascii="Garamond" w:hAnsi="Garamond"/>
        </w:rPr>
        <w:t>1995), p.115)</w:t>
      </w:r>
    </w:p>
    <w:p w:rsidR="00166113" w:rsidRPr="00FA4E33" w:rsidRDefault="00166113">
      <w:pPr>
        <w:rPr>
          <w:rFonts w:ascii="Garamond" w:hAnsi="Garamond"/>
        </w:rPr>
      </w:pPr>
    </w:p>
    <w:p w:rsidR="00166113" w:rsidRDefault="00166113">
      <w:pPr>
        <w:rPr>
          <w:rFonts w:ascii="Garamond" w:hAnsi="Garamond"/>
        </w:rPr>
      </w:pPr>
    </w:p>
    <w:p w:rsidR="00FA4E33" w:rsidRPr="00FA4E33" w:rsidRDefault="00FA4E33">
      <w:pPr>
        <w:rPr>
          <w:rFonts w:ascii="Garamond" w:hAnsi="Garamond"/>
        </w:rPr>
      </w:pPr>
    </w:p>
    <w:p w:rsidR="00F0319D" w:rsidRPr="00FA4E33" w:rsidRDefault="00166113">
      <w:pPr>
        <w:rPr>
          <w:rFonts w:ascii="Garamond" w:hAnsi="Garamond"/>
          <w:b/>
        </w:rPr>
      </w:pPr>
      <w:r w:rsidRPr="00FA4E33">
        <w:rPr>
          <w:rFonts w:ascii="Garamond" w:hAnsi="Garamond"/>
          <w:b/>
        </w:rPr>
        <w:t xml:space="preserve">From E.J. </w:t>
      </w:r>
      <w:proofErr w:type="spellStart"/>
      <w:r w:rsidRPr="00FA4E33">
        <w:rPr>
          <w:rFonts w:ascii="Garamond" w:hAnsi="Garamond"/>
          <w:b/>
        </w:rPr>
        <w:t>Clery</w:t>
      </w:r>
      <w:proofErr w:type="spellEnd"/>
      <w:r w:rsidRPr="00FA4E33">
        <w:rPr>
          <w:rFonts w:ascii="Garamond" w:hAnsi="Garamond"/>
          <w:b/>
        </w:rPr>
        <w:t xml:space="preserve">, </w:t>
      </w:r>
      <w:proofErr w:type="gramStart"/>
      <w:r w:rsidRPr="00FA4E33">
        <w:rPr>
          <w:rFonts w:ascii="Garamond" w:hAnsi="Garamond"/>
          <w:b/>
          <w:i/>
        </w:rPr>
        <w:t>The</w:t>
      </w:r>
      <w:proofErr w:type="gramEnd"/>
      <w:r w:rsidRPr="00FA4E33">
        <w:rPr>
          <w:rFonts w:ascii="Garamond" w:hAnsi="Garamond"/>
          <w:b/>
          <w:i/>
        </w:rPr>
        <w:t xml:space="preserve"> Rise of Supernatural Fiction, 1762-1800</w:t>
      </w:r>
      <w:r w:rsidRPr="00FA4E33">
        <w:rPr>
          <w:rFonts w:ascii="Garamond" w:hAnsi="Garamond"/>
          <w:b/>
        </w:rPr>
        <w:t xml:space="preserve"> (Cambridge: University of Cambridge Press, 1995):</w:t>
      </w:r>
    </w:p>
    <w:p w:rsidR="00B303E6" w:rsidRPr="00FA4E33" w:rsidRDefault="00B303E6">
      <w:pPr>
        <w:rPr>
          <w:rFonts w:ascii="Garamond" w:hAnsi="Garamond"/>
          <w:b/>
        </w:rPr>
      </w:pPr>
    </w:p>
    <w:p w:rsidR="00B303E6" w:rsidRPr="00FA4E33" w:rsidRDefault="00B303E6">
      <w:pPr>
        <w:rPr>
          <w:rFonts w:ascii="Garamond" w:hAnsi="Garamond"/>
        </w:rPr>
      </w:pPr>
      <w:r w:rsidRPr="00FA4E33">
        <w:rPr>
          <w:rFonts w:ascii="Garamond" w:hAnsi="Garamond"/>
        </w:rPr>
        <w:t xml:space="preserve">‘…in another way the lessons of </w:t>
      </w:r>
      <w:smartTag w:uri="urn:schemas-microsoft-com:office:smarttags" w:element="City">
        <w:smartTag w:uri="urn:schemas-microsoft-com:office:smarttags" w:element="place">
          <w:r w:rsidRPr="00FA4E33">
            <w:rPr>
              <w:rFonts w:ascii="Garamond" w:hAnsi="Garamond"/>
            </w:rPr>
            <w:t>Providence</w:t>
          </w:r>
        </w:smartTag>
      </w:smartTag>
      <w:r w:rsidRPr="00FA4E33">
        <w:rPr>
          <w:rFonts w:ascii="Garamond" w:hAnsi="Garamond"/>
        </w:rPr>
        <w:t xml:space="preserve"> found an ideal vehicle in gothic fictions where invisible agency constitutes a key mystery to be resolved. The narrative sees one metaphysical logic of causality, one form of pan-determinism, superstition, replaced by another, theodicy [explanation of the world and of events in </w:t>
      </w:r>
      <w:proofErr w:type="gramStart"/>
      <w:r w:rsidRPr="00FA4E33">
        <w:rPr>
          <w:rFonts w:ascii="Garamond" w:hAnsi="Garamond"/>
        </w:rPr>
        <w:t>term’s</w:t>
      </w:r>
      <w:proofErr w:type="gramEnd"/>
      <w:r w:rsidRPr="00FA4E33">
        <w:rPr>
          <w:rFonts w:ascii="Garamond" w:hAnsi="Garamond"/>
        </w:rPr>
        <w:t xml:space="preserve"> of God’s ordering]. The bizarre coincidences that are produced to explain the supernatural are not just a technical convenience…but evidence of a higher supernaturalism that ensures every ‘accident’ has its rightful place in the scheme of Divine Justice. </w:t>
      </w:r>
      <w:r w:rsidR="00C07FDF" w:rsidRPr="00FA4E33">
        <w:rPr>
          <w:rFonts w:ascii="Garamond" w:hAnsi="Garamond"/>
        </w:rPr>
        <w:t xml:space="preserve">Genealogy, above all, is the hidden structuring principle of the plot that must finally be brought to light. Fortuitous contact with strangers or strange places gives rise to a multitude of blood connections.’(p.112) ….‘Prosaic chance is discovered to be no less of an illusion than the suggestions of superstition; it is the other main causality of the </w:t>
      </w:r>
      <w:proofErr w:type="spellStart"/>
      <w:r w:rsidR="00C07FDF" w:rsidRPr="00FA4E33">
        <w:rPr>
          <w:rFonts w:ascii="Garamond" w:hAnsi="Garamond"/>
        </w:rPr>
        <w:t>novels.The</w:t>
      </w:r>
      <w:proofErr w:type="spellEnd"/>
      <w:r w:rsidR="00C07FDF" w:rsidRPr="00FA4E33">
        <w:rPr>
          <w:rFonts w:ascii="Garamond" w:hAnsi="Garamond"/>
        </w:rPr>
        <w:t xml:space="preserve"> endings, far from being the confirmation of a common-sense, disenchanted reality, reveal the world to be a transparent medium of divinity; material existence is suffused with religion.’ </w:t>
      </w:r>
      <w:proofErr w:type="gramStart"/>
      <w:r w:rsidR="00C07FDF" w:rsidRPr="00FA4E33">
        <w:rPr>
          <w:rFonts w:ascii="Garamond" w:hAnsi="Garamond"/>
        </w:rPr>
        <w:t>(p.113).</w:t>
      </w:r>
      <w:proofErr w:type="gramEnd"/>
    </w:p>
    <w:p w:rsidR="00C07FDF" w:rsidRPr="00FA4E33" w:rsidRDefault="00C07FDF">
      <w:pPr>
        <w:rPr>
          <w:rFonts w:ascii="Garamond" w:hAnsi="Garamond"/>
        </w:rPr>
      </w:pPr>
    </w:p>
    <w:p w:rsidR="00F0319D" w:rsidRPr="00FA4E33" w:rsidRDefault="00FA4E33">
      <w:pPr>
        <w:rPr>
          <w:rFonts w:ascii="Garamond" w:hAnsi="Garamond"/>
        </w:rPr>
      </w:pPr>
      <w:r w:rsidRPr="00FA4E33">
        <w:rPr>
          <w:rFonts w:ascii="Garamond" w:hAnsi="Garamond"/>
        </w:rPr>
        <w:lastRenderedPageBreak/>
        <w:t xml:space="preserve"> </w:t>
      </w:r>
      <w:r w:rsidR="00F0319D" w:rsidRPr="00FA4E33">
        <w:rPr>
          <w:rFonts w:ascii="Garamond" w:hAnsi="Garamond"/>
        </w:rPr>
        <w:t xml:space="preserve">‘In the novels of Radcliffe and others of her school, supernatural suggestions are typically formed in the heroine’s imagination like the imprint of the arbitrary excesses of patriarchy. They bring into effect a passing denaturalisation of ‘natural’ authority. But there are other moments when, instead of </w:t>
      </w:r>
      <w:r w:rsidR="00F0319D" w:rsidRPr="00FA4E33">
        <w:rPr>
          <w:rFonts w:ascii="Garamond" w:hAnsi="Garamond"/>
          <w:i/>
        </w:rPr>
        <w:t>manifesting</w:t>
      </w:r>
      <w:r w:rsidR="00F0319D" w:rsidRPr="00FA4E33">
        <w:rPr>
          <w:rFonts w:ascii="Garamond" w:hAnsi="Garamond"/>
        </w:rPr>
        <w:t xml:space="preserve"> authority, invisible forces, concealed from the gaze of the tyrant, seem capable of eluding and thwarting him, forming a kind of alliance with the embattled heroine. In </w:t>
      </w:r>
      <w:r w:rsidR="00994222" w:rsidRPr="00FA4E33">
        <w:rPr>
          <w:rFonts w:ascii="Garamond" w:hAnsi="Garamond"/>
        </w:rPr>
        <w:t xml:space="preserve">[Radcliffe’s] </w:t>
      </w:r>
      <w:r w:rsidR="00F0319D" w:rsidRPr="00FA4E33">
        <w:rPr>
          <w:rFonts w:ascii="Garamond" w:hAnsi="Garamond"/>
          <w:i/>
        </w:rPr>
        <w:t xml:space="preserve">The Mysteries of </w:t>
      </w:r>
      <w:proofErr w:type="spellStart"/>
      <w:r w:rsidR="00F0319D" w:rsidRPr="00FA4E33">
        <w:rPr>
          <w:rFonts w:ascii="Garamond" w:hAnsi="Garamond"/>
          <w:i/>
        </w:rPr>
        <w:t>Udolpho</w:t>
      </w:r>
      <w:proofErr w:type="spellEnd"/>
      <w:r w:rsidR="00F0319D" w:rsidRPr="00FA4E33">
        <w:rPr>
          <w:rFonts w:ascii="Garamond" w:hAnsi="Garamond"/>
          <w:i/>
        </w:rPr>
        <w:t xml:space="preserve"> </w:t>
      </w:r>
      <w:r w:rsidR="00F0319D" w:rsidRPr="00FA4E33">
        <w:rPr>
          <w:rFonts w:ascii="Garamond" w:hAnsi="Garamond"/>
        </w:rPr>
        <w:t xml:space="preserve">the dictates of </w:t>
      </w:r>
      <w:proofErr w:type="spellStart"/>
      <w:r w:rsidR="00F0319D" w:rsidRPr="00FA4E33">
        <w:rPr>
          <w:rFonts w:ascii="Garamond" w:hAnsi="Garamond"/>
        </w:rPr>
        <w:t>Montoni</w:t>
      </w:r>
      <w:proofErr w:type="spellEnd"/>
      <w:r w:rsidR="00F0319D" w:rsidRPr="00FA4E33">
        <w:rPr>
          <w:rFonts w:ascii="Garamond" w:hAnsi="Garamond"/>
        </w:rPr>
        <w:t xml:space="preserve"> are exposed to doubt and ridicule by a ghostly echoing voice. Radcliffe reused the device for the Inquisition scenes of </w:t>
      </w:r>
      <w:r w:rsidR="00F0319D" w:rsidRPr="00FA4E33">
        <w:rPr>
          <w:rFonts w:ascii="Garamond" w:hAnsi="Garamond"/>
          <w:i/>
        </w:rPr>
        <w:t>The Italian</w:t>
      </w:r>
      <w:r w:rsidR="00F0319D" w:rsidRPr="00FA4E33">
        <w:rPr>
          <w:rFonts w:ascii="Garamond" w:hAnsi="Garamond"/>
        </w:rPr>
        <w:t>, in which an unknown and unseen interrogator interrupts the trial of the hero, and undermines the protocol of the court: ‘“Who is come amongst us?” said the vicar general, in the voice of a person, who means to inspire in others the awe he himself suffers’ [</w:t>
      </w:r>
      <w:r w:rsidR="00F0319D" w:rsidRPr="00FA4E33">
        <w:rPr>
          <w:rFonts w:ascii="Garamond" w:hAnsi="Garamond"/>
          <w:i/>
        </w:rPr>
        <w:t xml:space="preserve">The Italian, </w:t>
      </w:r>
      <w:r w:rsidR="00F0319D" w:rsidRPr="00FA4E33">
        <w:rPr>
          <w:rFonts w:ascii="Garamond" w:hAnsi="Garamond"/>
        </w:rPr>
        <w:t>p.316]…</w:t>
      </w:r>
    </w:p>
    <w:p w:rsidR="00FA4E33" w:rsidRDefault="00FA4E33">
      <w:pPr>
        <w:rPr>
          <w:rFonts w:ascii="Garamond" w:hAnsi="Garamond"/>
        </w:rPr>
      </w:pPr>
    </w:p>
    <w:p w:rsidR="00F0319D" w:rsidRPr="00FA4E33" w:rsidRDefault="00F0319D">
      <w:pPr>
        <w:rPr>
          <w:rFonts w:ascii="Garamond" w:hAnsi="Garamond"/>
        </w:rPr>
      </w:pPr>
      <w:r w:rsidRPr="00FA4E33">
        <w:rPr>
          <w:rFonts w:ascii="Garamond" w:hAnsi="Garamond"/>
        </w:rPr>
        <w:t>…In Gothic fictions, smugglers and bandits opportunistically inhabit spaces haunted by the</w:t>
      </w:r>
      <w:r w:rsidR="00166113" w:rsidRPr="00FA4E33">
        <w:rPr>
          <w:rFonts w:ascii="Garamond" w:hAnsi="Garamond"/>
        </w:rPr>
        <w:t xml:space="preserve"> rumoured crimes of patriarchy: the deserted wing of the castle, the ancestral crypt. Like spectres they are of necessity creatures of the night and they exploit this kinship by using popular superstition as a cover for their illegitimate activities’</w:t>
      </w:r>
      <w:r w:rsidR="00743966" w:rsidRPr="00FA4E33">
        <w:rPr>
          <w:rFonts w:ascii="Garamond" w:hAnsi="Garamond"/>
        </w:rPr>
        <w:t xml:space="preserve"> </w:t>
      </w:r>
      <w:r w:rsidR="00166113" w:rsidRPr="00FA4E33">
        <w:rPr>
          <w:rFonts w:ascii="Garamond" w:hAnsi="Garamond"/>
        </w:rPr>
        <w:t>(pp.133-34).</w:t>
      </w:r>
    </w:p>
    <w:p w:rsidR="00C07FDF" w:rsidRDefault="00C07FDF">
      <w:pPr>
        <w:rPr>
          <w:rFonts w:ascii="Garamond" w:hAnsi="Garamond"/>
        </w:rPr>
      </w:pPr>
    </w:p>
    <w:p w:rsidR="00FA4E33" w:rsidRPr="00FA4E33" w:rsidRDefault="00FA4E33">
      <w:pPr>
        <w:rPr>
          <w:rFonts w:ascii="Garamond" w:hAnsi="Garamond"/>
        </w:rPr>
      </w:pPr>
    </w:p>
    <w:p w:rsidR="00347D4C" w:rsidRPr="00FA4E33" w:rsidRDefault="00C07FDF">
      <w:pPr>
        <w:rPr>
          <w:rFonts w:ascii="Garamond" w:hAnsi="Garamond"/>
        </w:rPr>
      </w:pPr>
      <w:r w:rsidRPr="00FA4E33">
        <w:rPr>
          <w:rFonts w:ascii="Garamond" w:hAnsi="Garamond"/>
        </w:rPr>
        <w:t xml:space="preserve">‘As every devotee of Gothic knows, smugglers or banditti and imprisoned wives or relations are the two most fertile sources of superstitious delusion. When supposed phantoms are detected so are systems of lawlessness and cruelty which secretly coexist with the ‘natural’ economies of legitimate profit-making, or of familial affection and duty. Roger </w:t>
      </w:r>
      <w:proofErr w:type="spellStart"/>
      <w:r w:rsidRPr="00FA4E33">
        <w:rPr>
          <w:rFonts w:ascii="Garamond" w:hAnsi="Garamond"/>
        </w:rPr>
        <w:t>Caillois</w:t>
      </w:r>
      <w:proofErr w:type="spellEnd"/>
      <w:r w:rsidRPr="00FA4E33">
        <w:rPr>
          <w:rFonts w:ascii="Garamond" w:hAnsi="Garamond"/>
        </w:rPr>
        <w:t xml:space="preserve"> called the fantastic “an irruption of the inadmissible within the changeless everyday legality.” This irruption will occur equally in the case of those so-called ‘crimes against nature’ concealed under the appearance of the fantastic. The supernatural seems to act here as a phenomenological symptom. Its truth is experiential. </w:t>
      </w:r>
      <w:r w:rsidR="00347D4C" w:rsidRPr="00FA4E33">
        <w:rPr>
          <w:rFonts w:ascii="Garamond" w:hAnsi="Garamond"/>
        </w:rPr>
        <w:t>It attests to the existence of realities which cannot be admitted within the realm of the ‘natural’.</w:t>
      </w:r>
    </w:p>
    <w:p w:rsidR="00C07FDF" w:rsidRPr="00FA4E33" w:rsidRDefault="00347D4C">
      <w:pPr>
        <w:rPr>
          <w:rFonts w:ascii="Garamond" w:hAnsi="Garamond"/>
        </w:rPr>
      </w:pPr>
      <w:r w:rsidRPr="00FA4E33">
        <w:rPr>
          <w:rFonts w:ascii="Garamond" w:hAnsi="Garamond"/>
        </w:rPr>
        <w:t xml:space="preserve">    Critics wanting to emphasise the escapist function of Gothic fiction have regularly claimed that the exotic settings naturalise and distance transgression; the criminal excesses which are native to the era of barbarism and to Roman Catholic southern </w:t>
      </w:r>
      <w:smartTag w:uri="urn:schemas-microsoft-com:office:smarttags" w:element="place">
        <w:r w:rsidRPr="00FA4E33">
          <w:rPr>
            <w:rFonts w:ascii="Garamond" w:hAnsi="Garamond"/>
          </w:rPr>
          <w:t>Europe</w:t>
        </w:r>
      </w:smartTag>
      <w:r w:rsidRPr="00FA4E33">
        <w:rPr>
          <w:rFonts w:ascii="Garamond" w:hAnsi="Garamond"/>
        </w:rPr>
        <w:t xml:space="preserve"> could, they say, be regarded with smugness by a bourgeois British audience. This may have been so but, given the importance of identification with the fantasising heroine in the mode of the ‘explained supernatural’, there is also the reverse possibility that such fictions might encourage an experience of estranged recognition, a capacity to see the everyday in another, less complacent light. In other words, that they might cause readers, in particular young women, to apply ‘illegitimate’ methods of interpretation to reality just as contemporary opponents of romance feared.’ (p.114)</w:t>
      </w:r>
    </w:p>
    <w:p w:rsidR="00FA4E33" w:rsidRDefault="00FA4E33">
      <w:pPr>
        <w:rPr>
          <w:rFonts w:ascii="Garamond" w:hAnsi="Garamond"/>
        </w:rPr>
      </w:pPr>
    </w:p>
    <w:p w:rsidR="00166113" w:rsidRDefault="00166113">
      <w:pPr>
        <w:rPr>
          <w:rFonts w:ascii="Garamond" w:hAnsi="Garamond"/>
        </w:rPr>
      </w:pPr>
      <w:r w:rsidRPr="00FA4E33">
        <w:rPr>
          <w:rFonts w:ascii="Garamond" w:hAnsi="Garamond"/>
        </w:rPr>
        <w:t>….</w:t>
      </w:r>
    </w:p>
    <w:p w:rsidR="00FA4E33" w:rsidRPr="00FA4E33" w:rsidRDefault="00FA4E33">
      <w:pPr>
        <w:rPr>
          <w:rFonts w:ascii="Garamond" w:hAnsi="Garamond"/>
        </w:rPr>
      </w:pPr>
    </w:p>
    <w:p w:rsidR="00166113" w:rsidRPr="00FA4E33" w:rsidRDefault="00166113">
      <w:pPr>
        <w:rPr>
          <w:rFonts w:ascii="Garamond" w:hAnsi="Garamond"/>
        </w:rPr>
      </w:pPr>
      <w:r w:rsidRPr="00FA4E33">
        <w:rPr>
          <w:rFonts w:ascii="Garamond" w:hAnsi="Garamond"/>
        </w:rPr>
        <w:t>…The link has often been made between the popular ghost fiction of the 1790s and the French Revolution [of 1789], both by contemporaries</w:t>
      </w:r>
      <w:r w:rsidR="00E42BAB" w:rsidRPr="00FA4E33">
        <w:rPr>
          <w:rFonts w:ascii="Garamond" w:hAnsi="Garamond"/>
        </w:rPr>
        <w:t xml:space="preserve"> and by twentieth-century critics; the coincidence of the outbreak of the Terror [which followed the Revolution in </w:t>
      </w:r>
      <w:smartTag w:uri="urn:schemas-microsoft-com:office:smarttags" w:element="country-region">
        <w:smartTag w:uri="urn:schemas-microsoft-com:office:smarttags" w:element="place">
          <w:r w:rsidR="00E42BAB" w:rsidRPr="00FA4E33">
            <w:rPr>
              <w:rFonts w:ascii="Garamond" w:hAnsi="Garamond"/>
            </w:rPr>
            <w:t>France</w:t>
          </w:r>
        </w:smartTag>
      </w:smartTag>
      <w:r w:rsidR="00E42BAB" w:rsidRPr="00FA4E33">
        <w:rPr>
          <w:rFonts w:ascii="Garamond" w:hAnsi="Garamond"/>
        </w:rPr>
        <w:t>] and the explosion of demand for terror fiction is too striking to ignore. …As we will see, the creeping democratisation of the republic of letters represented by the success of the popular novel was not unrelated to the threat of political democracy in the eyes of British anti-Jacobins [</w:t>
      </w:r>
      <w:proofErr w:type="spellStart"/>
      <w:r w:rsidR="00E42BAB" w:rsidRPr="00FA4E33">
        <w:rPr>
          <w:rFonts w:ascii="Garamond" w:hAnsi="Garamond"/>
        </w:rPr>
        <w:t>ie</w:t>
      </w:r>
      <w:proofErr w:type="spellEnd"/>
      <w:r w:rsidR="00E42BAB" w:rsidRPr="00FA4E33">
        <w:rPr>
          <w:rFonts w:ascii="Garamond" w:hAnsi="Garamond"/>
        </w:rPr>
        <w:t xml:space="preserve">. Britons who opposed the French Revolution and all that it stood for]. </w:t>
      </w:r>
      <w:proofErr w:type="gramStart"/>
      <w:r w:rsidR="00E42BAB" w:rsidRPr="00FA4E33">
        <w:rPr>
          <w:rFonts w:ascii="Garamond" w:hAnsi="Garamond"/>
        </w:rPr>
        <w:t>(p.134).</w:t>
      </w:r>
      <w:proofErr w:type="gramEnd"/>
    </w:p>
    <w:p w:rsidR="00743966" w:rsidRDefault="00743966">
      <w:pPr>
        <w:rPr>
          <w:rFonts w:ascii="Garamond" w:hAnsi="Garamond"/>
        </w:rPr>
      </w:pPr>
    </w:p>
    <w:p w:rsidR="00FA4E33" w:rsidRDefault="00FA4E33">
      <w:pPr>
        <w:rPr>
          <w:rFonts w:ascii="Garamond" w:hAnsi="Garamond"/>
        </w:rPr>
      </w:pPr>
    </w:p>
    <w:p w:rsidR="00FA4E33" w:rsidRPr="00FA4E33" w:rsidRDefault="00FA4E33">
      <w:pPr>
        <w:rPr>
          <w:rFonts w:ascii="Garamond" w:hAnsi="Garamond"/>
        </w:rPr>
      </w:pPr>
    </w:p>
    <w:p w:rsidR="00743966" w:rsidRPr="00FA4E33" w:rsidRDefault="00FA4E33">
      <w:pPr>
        <w:rPr>
          <w:rFonts w:ascii="Garamond" w:hAnsi="Garamond"/>
          <w:b/>
        </w:rPr>
      </w:pPr>
      <w:r>
        <w:rPr>
          <w:rFonts w:ascii="Garamond" w:hAnsi="Garamond"/>
          <w:b/>
        </w:rPr>
        <w:br w:type="page"/>
      </w:r>
      <w:r w:rsidR="00743966" w:rsidRPr="00FA4E33">
        <w:rPr>
          <w:rFonts w:ascii="Garamond" w:hAnsi="Garamond"/>
          <w:b/>
        </w:rPr>
        <w:lastRenderedPageBreak/>
        <w:t xml:space="preserve">Robert Miles, ‘Anne Radcliffe and Matthew Lewis’, in </w:t>
      </w:r>
      <w:proofErr w:type="gramStart"/>
      <w:r w:rsidR="00743966" w:rsidRPr="00FA4E33">
        <w:rPr>
          <w:rFonts w:ascii="Garamond" w:hAnsi="Garamond"/>
          <w:b/>
          <w:i/>
        </w:rPr>
        <w:t>A</w:t>
      </w:r>
      <w:proofErr w:type="gramEnd"/>
      <w:r w:rsidR="00743966" w:rsidRPr="00FA4E33">
        <w:rPr>
          <w:rFonts w:ascii="Garamond" w:hAnsi="Garamond"/>
          <w:b/>
          <w:i/>
        </w:rPr>
        <w:t xml:space="preserve"> Companion to the Gothic</w:t>
      </w:r>
      <w:r w:rsidR="00743966" w:rsidRPr="00FA4E33">
        <w:rPr>
          <w:rFonts w:ascii="Garamond" w:hAnsi="Garamond"/>
          <w:b/>
        </w:rPr>
        <w:t>, ed. by David Punter (</w:t>
      </w:r>
      <w:smartTag w:uri="urn:schemas-microsoft-com:office:smarttags" w:element="City">
        <w:r w:rsidR="00743966" w:rsidRPr="00FA4E33">
          <w:rPr>
            <w:rFonts w:ascii="Garamond" w:hAnsi="Garamond"/>
            <w:b/>
          </w:rPr>
          <w:t>Oxford</w:t>
        </w:r>
      </w:smartTag>
      <w:r w:rsidR="00743966" w:rsidRPr="00FA4E33">
        <w:rPr>
          <w:rFonts w:ascii="Garamond" w:hAnsi="Garamond"/>
          <w:b/>
        </w:rPr>
        <w:t xml:space="preserve">; </w:t>
      </w:r>
      <w:smartTag w:uri="urn:schemas-microsoft-com:office:smarttags" w:element="place">
        <w:smartTag w:uri="urn:schemas-microsoft-com:office:smarttags" w:element="City">
          <w:r w:rsidR="00743966" w:rsidRPr="00FA4E33">
            <w:rPr>
              <w:rFonts w:ascii="Garamond" w:hAnsi="Garamond"/>
              <w:b/>
            </w:rPr>
            <w:t>Malden</w:t>
          </w:r>
        </w:smartTag>
        <w:r w:rsidR="00743966" w:rsidRPr="00FA4E33">
          <w:rPr>
            <w:rFonts w:ascii="Garamond" w:hAnsi="Garamond"/>
            <w:b/>
          </w:rPr>
          <w:t xml:space="preserve">, </w:t>
        </w:r>
        <w:smartTag w:uri="urn:schemas-microsoft-com:office:smarttags" w:element="State">
          <w:r w:rsidR="00743966" w:rsidRPr="00FA4E33">
            <w:rPr>
              <w:rFonts w:ascii="Garamond" w:hAnsi="Garamond"/>
              <w:b/>
            </w:rPr>
            <w:t>MA</w:t>
          </w:r>
        </w:smartTag>
      </w:smartTag>
      <w:r w:rsidR="00743966" w:rsidRPr="00FA4E33">
        <w:rPr>
          <w:rFonts w:ascii="Garamond" w:hAnsi="Garamond"/>
          <w:b/>
        </w:rPr>
        <w:t>: Blackwell, 2000):</w:t>
      </w:r>
    </w:p>
    <w:p w:rsidR="00743966" w:rsidRDefault="00743966">
      <w:pPr>
        <w:rPr>
          <w:rFonts w:ascii="Garamond" w:hAnsi="Garamond"/>
        </w:rPr>
      </w:pPr>
    </w:p>
    <w:p w:rsidR="00FA4E33" w:rsidRPr="00FA4E33" w:rsidRDefault="00FA4E33">
      <w:pPr>
        <w:rPr>
          <w:rFonts w:ascii="Garamond" w:hAnsi="Garamond"/>
        </w:rPr>
      </w:pPr>
    </w:p>
    <w:p w:rsidR="00743966" w:rsidRDefault="00743966">
      <w:pPr>
        <w:rPr>
          <w:rFonts w:ascii="Garamond" w:hAnsi="Garamond"/>
        </w:rPr>
      </w:pPr>
      <w:r w:rsidRPr="00FA4E33">
        <w:rPr>
          <w:rFonts w:ascii="Garamond" w:hAnsi="Garamond"/>
        </w:rPr>
        <w:t xml:space="preserve">‘Female Gothic’ and ‘male Gothic’ have emerged as convenient tags for identifying the differing schools of Radcliffe and [Matthew] Lewis. Ellen Moers coined the term ‘female Gothic’, by which she meant the historically novel fact that in the late eighteenth century one found, for the first time, a genre written by women for women (Moers, 1977). </w:t>
      </w:r>
      <w:r w:rsidRPr="00FA4E33">
        <w:rPr>
          <w:rFonts w:ascii="Garamond" w:hAnsi="Garamond"/>
          <w:u w:val="single"/>
        </w:rPr>
        <w:t xml:space="preserve">Subsequent critics have codified the female Gothic plot as an orphaned heroine in search of an absent mother, pursued by a feudal (patriarchal) father or his substitute, with the whole affair monitored by an impeccable but ineffectual suitor. This may be the female Gothic plot, but it is also the ur-Radcliffe plot [that is, the archetypal Radcliffe plot), as a perusal of her </w:t>
      </w:r>
      <w:proofErr w:type="spellStart"/>
      <w:proofErr w:type="gramStart"/>
      <w:r w:rsidRPr="00FA4E33">
        <w:rPr>
          <w:rFonts w:ascii="Garamond" w:hAnsi="Garamond"/>
          <w:i/>
          <w:u w:val="single"/>
        </w:rPr>
        <w:t>oeuvre</w:t>
      </w:r>
      <w:r w:rsidRPr="00FA4E33">
        <w:rPr>
          <w:rFonts w:ascii="Garamond" w:hAnsi="Garamond"/>
          <w:u w:val="single"/>
        </w:rPr>
        <w:t>,..especially</w:t>
      </w:r>
      <w:proofErr w:type="spellEnd"/>
      <w:proofErr w:type="gramEnd"/>
      <w:r w:rsidRPr="00FA4E33">
        <w:rPr>
          <w:rFonts w:ascii="Garamond" w:hAnsi="Garamond"/>
          <w:u w:val="single"/>
        </w:rPr>
        <w:t xml:space="preserve"> </w:t>
      </w:r>
      <w:r w:rsidRPr="00FA4E33">
        <w:rPr>
          <w:rFonts w:ascii="Garamond" w:hAnsi="Garamond"/>
          <w:i/>
          <w:u w:val="single"/>
        </w:rPr>
        <w:t>A Sicilian Romance,</w:t>
      </w:r>
      <w:r w:rsidRPr="00FA4E33">
        <w:rPr>
          <w:rFonts w:ascii="Garamond" w:hAnsi="Garamond"/>
          <w:u w:val="single"/>
        </w:rPr>
        <w:t xml:space="preserve"> will reveal. </w:t>
      </w:r>
      <w:r w:rsidR="00A45372" w:rsidRPr="00FA4E33">
        <w:rPr>
          <w:rFonts w:ascii="Garamond" w:hAnsi="Garamond"/>
          <w:u w:val="single"/>
        </w:rPr>
        <w:t>The male Gothic has largely been defined in oedipal terms, as the son’s conflict with authority</w:t>
      </w:r>
      <w:r w:rsidR="00A45372" w:rsidRPr="00FA4E33">
        <w:rPr>
          <w:rFonts w:ascii="Garamond" w:hAnsi="Garamond"/>
        </w:rPr>
        <w:t>.</w:t>
      </w:r>
    </w:p>
    <w:p w:rsidR="00FA4E33" w:rsidRPr="00FA4E33" w:rsidRDefault="00FA4E33">
      <w:pPr>
        <w:rPr>
          <w:rFonts w:ascii="Garamond" w:hAnsi="Garamond"/>
        </w:rPr>
      </w:pPr>
    </w:p>
    <w:p w:rsidR="00A45372" w:rsidRPr="00FA4E33" w:rsidRDefault="00A45372">
      <w:pPr>
        <w:rPr>
          <w:rFonts w:ascii="Garamond" w:hAnsi="Garamond"/>
        </w:rPr>
      </w:pPr>
      <w:r w:rsidRPr="00FA4E33">
        <w:rPr>
          <w:rFonts w:ascii="Garamond" w:hAnsi="Garamond"/>
        </w:rPr>
        <w:t xml:space="preserve">  Recent criticism has refined this simple antithesis by adding historical nuance through the biographies of Radcliffe and Lewis. Radcliffe’s parents were in trade in Holborn, then, as now, a commercial district of London; and while Radcliffe had some respectable, establishment connections, the majority of her relations were Nonconformists, some with a tendency towards rational Dissent and Unitarianism (Norton, 1998). Politically, this would have meant a radical Whig position, which was indeed the situation of her husband William during the 1790s. For instance, </w:t>
      </w:r>
      <w:r w:rsidRPr="00FA4E33">
        <w:rPr>
          <w:rFonts w:ascii="Garamond" w:hAnsi="Garamond"/>
          <w:u w:val="single"/>
        </w:rPr>
        <w:t xml:space="preserve">as the editor of </w:t>
      </w:r>
      <w:r w:rsidRPr="00FA4E33">
        <w:rPr>
          <w:rFonts w:ascii="Garamond" w:hAnsi="Garamond"/>
          <w:i/>
          <w:u w:val="single"/>
        </w:rPr>
        <w:t>The Morning Chronicle</w:t>
      </w:r>
      <w:r w:rsidRPr="00FA4E33">
        <w:rPr>
          <w:rFonts w:ascii="Garamond" w:hAnsi="Garamond"/>
          <w:u w:val="single"/>
        </w:rPr>
        <w:t xml:space="preserve">, he vigorously welcomed the French Revolution in tones indistinguishable from other noted liberals of the period. </w:t>
      </w:r>
      <w:r w:rsidR="00BE4119" w:rsidRPr="00FA4E33">
        <w:rPr>
          <w:rFonts w:ascii="Garamond" w:hAnsi="Garamond"/>
          <w:u w:val="single"/>
        </w:rPr>
        <w:t xml:space="preserve">Lewis’ position was, by contrast, ‘upper </w:t>
      </w:r>
      <w:proofErr w:type="gramStart"/>
      <w:r w:rsidR="00BE4119" w:rsidRPr="00FA4E33">
        <w:rPr>
          <w:rFonts w:ascii="Garamond" w:hAnsi="Garamond"/>
          <w:u w:val="single"/>
        </w:rPr>
        <w:t>class’</w:t>
      </w:r>
      <w:proofErr w:type="gramEnd"/>
      <w:r w:rsidR="00BE4119" w:rsidRPr="00FA4E33">
        <w:rPr>
          <w:rFonts w:ascii="Garamond" w:hAnsi="Garamond"/>
          <w:u w:val="single"/>
        </w:rPr>
        <w:t>.</w:t>
      </w:r>
      <w:r w:rsidR="001D40E7" w:rsidRPr="00FA4E33">
        <w:rPr>
          <w:rFonts w:ascii="Garamond" w:hAnsi="Garamond"/>
        </w:rPr>
        <w:t xml:space="preserve"> (</w:t>
      </w:r>
      <w:proofErr w:type="gramStart"/>
      <w:r w:rsidR="001D40E7" w:rsidRPr="00FA4E33">
        <w:rPr>
          <w:rFonts w:ascii="Garamond" w:hAnsi="Garamond"/>
        </w:rPr>
        <w:t>pp.43-44</w:t>
      </w:r>
      <w:proofErr w:type="gramEnd"/>
      <w:r w:rsidR="001D40E7" w:rsidRPr="00FA4E33">
        <w:rPr>
          <w:rFonts w:ascii="Garamond" w:hAnsi="Garamond"/>
        </w:rPr>
        <w:t>)</w:t>
      </w:r>
    </w:p>
    <w:p w:rsidR="00FA4E33" w:rsidRDefault="00FA4E33">
      <w:pPr>
        <w:rPr>
          <w:rFonts w:ascii="Garamond" w:hAnsi="Garamond"/>
        </w:rPr>
      </w:pPr>
    </w:p>
    <w:p w:rsidR="00BE4119" w:rsidRPr="00FA4E33" w:rsidRDefault="00BE4119">
      <w:pPr>
        <w:rPr>
          <w:rFonts w:ascii="Garamond" w:hAnsi="Garamond"/>
        </w:rPr>
      </w:pPr>
      <w:r w:rsidRPr="00FA4E33">
        <w:rPr>
          <w:rFonts w:ascii="Garamond" w:hAnsi="Garamond"/>
        </w:rPr>
        <w:t>….</w:t>
      </w:r>
    </w:p>
    <w:p w:rsidR="00FA4E33" w:rsidRDefault="00FA4E33">
      <w:pPr>
        <w:rPr>
          <w:rFonts w:ascii="Garamond" w:hAnsi="Garamond"/>
        </w:rPr>
      </w:pPr>
    </w:p>
    <w:p w:rsidR="00BE4119" w:rsidRPr="00FA4E33" w:rsidRDefault="00BE4119">
      <w:pPr>
        <w:rPr>
          <w:rFonts w:ascii="Garamond" w:hAnsi="Garamond"/>
        </w:rPr>
      </w:pPr>
      <w:r w:rsidRPr="00FA4E33">
        <w:rPr>
          <w:rFonts w:ascii="Garamond" w:hAnsi="Garamond"/>
        </w:rPr>
        <w:t xml:space="preserve">    Looking at Radcliffe and Lewis through the lens of the female and male Gothic tended to embed gender differences in the criticism. Regarding them biographically, and therefore in class terms, alters the picture in two main ways. The female Gothic paradigm was strongly influenced by Gilbert and </w:t>
      </w:r>
      <w:proofErr w:type="spellStart"/>
      <w:r w:rsidRPr="00FA4E33">
        <w:rPr>
          <w:rFonts w:ascii="Garamond" w:hAnsi="Garamond"/>
        </w:rPr>
        <w:t>Gubar’s</w:t>
      </w:r>
      <w:proofErr w:type="spellEnd"/>
      <w:r w:rsidRPr="00FA4E33">
        <w:rPr>
          <w:rFonts w:ascii="Garamond" w:hAnsi="Garamond"/>
        </w:rPr>
        <w:t xml:space="preserve"> </w:t>
      </w:r>
      <w:r w:rsidRPr="00FA4E33">
        <w:rPr>
          <w:rFonts w:ascii="Garamond" w:hAnsi="Garamond"/>
          <w:i/>
        </w:rPr>
        <w:t xml:space="preserve">The Madwoman in the Attic </w:t>
      </w:r>
      <w:r w:rsidRPr="00FA4E33">
        <w:rPr>
          <w:rFonts w:ascii="Garamond" w:hAnsi="Garamond"/>
        </w:rPr>
        <w:t>[1979], a work that helped entrench the view that women’s writing was principally concerned with expressing the inexpressible in female experience. …But Radcliffe engages with events in the public sphere as well as the private (Howard, 1994); as much as the male novelists of the period, her works are involved in political negotiations, a trafficking ultimately leading back to her Dissenting, Unitarian background.</w:t>
      </w:r>
      <w:r w:rsidR="001D40E7" w:rsidRPr="00FA4E33">
        <w:rPr>
          <w:rFonts w:ascii="Garamond" w:hAnsi="Garamond"/>
        </w:rPr>
        <w:t xml:space="preserve"> </w:t>
      </w:r>
      <w:proofErr w:type="gramStart"/>
      <w:r w:rsidR="001D40E7" w:rsidRPr="00FA4E33">
        <w:rPr>
          <w:rFonts w:ascii="Garamond" w:hAnsi="Garamond"/>
        </w:rPr>
        <w:t>(p.44).</w:t>
      </w:r>
      <w:proofErr w:type="gramEnd"/>
    </w:p>
    <w:p w:rsidR="00FA4E33" w:rsidRDefault="00FA4E33">
      <w:pPr>
        <w:rPr>
          <w:rFonts w:ascii="Garamond" w:hAnsi="Garamond"/>
        </w:rPr>
      </w:pPr>
    </w:p>
    <w:p w:rsidR="001D40E7" w:rsidRPr="00FA4E33" w:rsidRDefault="001D40E7">
      <w:pPr>
        <w:rPr>
          <w:rFonts w:ascii="Garamond" w:hAnsi="Garamond"/>
        </w:rPr>
      </w:pPr>
      <w:r w:rsidRPr="00FA4E33">
        <w:rPr>
          <w:rFonts w:ascii="Garamond" w:hAnsi="Garamond"/>
        </w:rPr>
        <w:t>….</w:t>
      </w:r>
    </w:p>
    <w:p w:rsidR="00FA4E33" w:rsidRDefault="00FA4E33">
      <w:pPr>
        <w:rPr>
          <w:rFonts w:ascii="Garamond" w:hAnsi="Garamond"/>
        </w:rPr>
      </w:pPr>
    </w:p>
    <w:p w:rsidR="001D40E7" w:rsidRPr="00FA4E33" w:rsidRDefault="001D40E7">
      <w:pPr>
        <w:rPr>
          <w:rFonts w:ascii="Garamond" w:hAnsi="Garamond"/>
        </w:rPr>
      </w:pPr>
      <w:r w:rsidRPr="00FA4E33">
        <w:rPr>
          <w:rFonts w:ascii="Garamond" w:hAnsi="Garamond"/>
        </w:rPr>
        <w:t xml:space="preserve">I began with a series of antitheses: terror/horror; sensibility/sensation; poetic realism/irony; explained/unexplained supernatural; Radcliffe/Lewis. One could say that these antitheses typify differences between the female and male Gothic. But it is only when we add the specificities of class and gender that we arrive at what is (I am willing to hazard) a defensible generalisation. And </w:t>
      </w:r>
      <w:r w:rsidRPr="00FA4E33">
        <w:rPr>
          <w:rFonts w:ascii="Garamond" w:hAnsi="Garamond"/>
          <w:u w:val="single"/>
        </w:rPr>
        <w:t>that is that the early female writers of the Gothic are primarily interested in rights, for their class, for their sex, and often both together; where as the early writers of the male Gothic are more absorbed by the politics of identity. ….the dominant male Gothic writers were similarly cohesive in their quite different upper-class background</w:t>
      </w:r>
      <w:r w:rsidRPr="00FA4E33">
        <w:rPr>
          <w:rFonts w:ascii="Garamond" w:hAnsi="Garamond"/>
        </w:rPr>
        <w:t>.</w:t>
      </w:r>
    </w:p>
    <w:p w:rsidR="00E3221A" w:rsidRPr="00FA4E33" w:rsidRDefault="00E3221A">
      <w:pPr>
        <w:rPr>
          <w:rFonts w:ascii="Garamond" w:hAnsi="Garamond"/>
          <w:b/>
        </w:rPr>
      </w:pPr>
    </w:p>
    <w:p w:rsidR="00FA4E33" w:rsidRDefault="00FA4E33" w:rsidP="00FA4E33">
      <w:pPr>
        <w:rPr>
          <w:rFonts w:ascii="Garamond" w:hAnsi="Garamond"/>
          <w:b/>
          <w:sz w:val="22"/>
        </w:rPr>
      </w:pPr>
    </w:p>
    <w:p w:rsidR="00FA4E33" w:rsidRDefault="00FA4E33" w:rsidP="00FA4E33">
      <w:pPr>
        <w:rPr>
          <w:rFonts w:ascii="Garamond" w:hAnsi="Garamond"/>
          <w:b/>
          <w:sz w:val="22"/>
        </w:rPr>
      </w:pPr>
    </w:p>
    <w:p w:rsidR="00FA4E33" w:rsidRDefault="00FA4E33" w:rsidP="00FA4E33">
      <w:pPr>
        <w:rPr>
          <w:rFonts w:ascii="Garamond" w:hAnsi="Garamond"/>
          <w:b/>
          <w:sz w:val="22"/>
        </w:rPr>
      </w:pPr>
    </w:p>
    <w:p w:rsidR="00FA4E33" w:rsidRDefault="00FA4E33" w:rsidP="00FA4E33">
      <w:pPr>
        <w:rPr>
          <w:rFonts w:ascii="Garamond" w:hAnsi="Garamond"/>
          <w:b/>
          <w:sz w:val="22"/>
        </w:rPr>
      </w:pPr>
    </w:p>
    <w:p w:rsidR="00FA4E33" w:rsidRPr="00FA4E33" w:rsidRDefault="00FA4E33" w:rsidP="00FA4E33">
      <w:pPr>
        <w:rPr>
          <w:rFonts w:ascii="Garamond" w:hAnsi="Garamond"/>
          <w:b/>
          <w:sz w:val="22"/>
        </w:rPr>
      </w:pPr>
      <w:r w:rsidRPr="00FA4E33">
        <w:rPr>
          <w:rFonts w:ascii="Perpetua Titling MT" w:hAnsi="Perpetua Titling MT"/>
          <w:b/>
          <w:sz w:val="22"/>
        </w:rPr>
        <w:lastRenderedPageBreak/>
        <w:t>Context:</w:t>
      </w:r>
      <w:r>
        <w:rPr>
          <w:rFonts w:ascii="Garamond" w:hAnsi="Garamond"/>
          <w:b/>
          <w:sz w:val="22"/>
        </w:rPr>
        <w:t xml:space="preserve"> </w:t>
      </w:r>
      <w:r w:rsidRPr="00FA4E33">
        <w:rPr>
          <w:rFonts w:ascii="Garamond" w:hAnsi="Garamond"/>
          <w:b/>
          <w:sz w:val="22"/>
        </w:rPr>
        <w:t xml:space="preserve">From E.J. </w:t>
      </w:r>
      <w:proofErr w:type="spellStart"/>
      <w:r w:rsidRPr="00FA4E33">
        <w:rPr>
          <w:rFonts w:ascii="Garamond" w:hAnsi="Garamond"/>
          <w:b/>
          <w:sz w:val="22"/>
        </w:rPr>
        <w:t>Clery</w:t>
      </w:r>
      <w:proofErr w:type="spellEnd"/>
      <w:r w:rsidRPr="00FA4E33">
        <w:rPr>
          <w:rFonts w:ascii="Garamond" w:hAnsi="Garamond"/>
          <w:b/>
          <w:sz w:val="22"/>
        </w:rPr>
        <w:t xml:space="preserve">, </w:t>
      </w:r>
      <w:r w:rsidRPr="00FA4E33">
        <w:rPr>
          <w:rFonts w:ascii="Garamond" w:hAnsi="Garamond"/>
          <w:b/>
          <w:i/>
          <w:sz w:val="22"/>
        </w:rPr>
        <w:t>The Rise of Supernatural Fiction 1762-1800</w:t>
      </w:r>
      <w:r w:rsidRPr="00FA4E33">
        <w:rPr>
          <w:rFonts w:ascii="Garamond" w:hAnsi="Garamond"/>
          <w:b/>
          <w:sz w:val="22"/>
        </w:rPr>
        <w:t>, Cambridge Studies in Romanticism 12 (Cambridge: University of Cambridge Press, 1995), pp.106-8:</w:t>
      </w:r>
    </w:p>
    <w:p w:rsidR="00FA4E33" w:rsidRPr="00FA4E33" w:rsidRDefault="00FA4E33" w:rsidP="00FA4E33">
      <w:pPr>
        <w:rPr>
          <w:rFonts w:ascii="Garamond" w:hAnsi="Garamond"/>
          <w:b/>
          <w:sz w:val="22"/>
        </w:rPr>
      </w:pPr>
    </w:p>
    <w:p w:rsidR="00FA4E33" w:rsidRPr="00265F8D" w:rsidRDefault="00FA4E33" w:rsidP="00FA4E33">
      <w:pPr>
        <w:rPr>
          <w:rFonts w:ascii="Garamond" w:hAnsi="Garamond"/>
          <w:sz w:val="22"/>
        </w:rPr>
      </w:pPr>
      <w:r w:rsidRPr="00265F8D">
        <w:rPr>
          <w:rFonts w:ascii="Garamond" w:hAnsi="Garamond"/>
          <w:sz w:val="22"/>
        </w:rPr>
        <w:t xml:space="preserve">A woman wishing to publish fiction in a supernatural vein needed to be prepared to negotiate. …her relations to both the code of literary decorum and the aesthetic of the sublime were likely to be mediated by an added dimension of gender associations. Clara Reeve’s correction of </w:t>
      </w:r>
      <w:smartTag w:uri="urn:schemas-microsoft-com:office:smarttags" w:element="City">
        <w:smartTag w:uri="urn:schemas-microsoft-com:office:smarttags" w:element="place">
          <w:r w:rsidRPr="00265F8D">
            <w:rPr>
              <w:rFonts w:ascii="Garamond" w:hAnsi="Garamond"/>
              <w:sz w:val="22"/>
            </w:rPr>
            <w:t>Walpole</w:t>
          </w:r>
        </w:smartTag>
      </w:smartTag>
      <w:r w:rsidRPr="00265F8D">
        <w:rPr>
          <w:rFonts w:ascii="Garamond" w:hAnsi="Garamond"/>
          <w:sz w:val="22"/>
        </w:rPr>
        <w:t xml:space="preserve">’s earlier imaginative excesses in </w:t>
      </w:r>
      <w:r w:rsidRPr="00265F8D">
        <w:rPr>
          <w:rFonts w:ascii="Garamond" w:hAnsi="Garamond"/>
          <w:i/>
          <w:sz w:val="22"/>
        </w:rPr>
        <w:t>The Old English Baron</w:t>
      </w:r>
      <w:r w:rsidRPr="00265F8D">
        <w:rPr>
          <w:rFonts w:ascii="Garamond" w:hAnsi="Garamond"/>
          <w:sz w:val="22"/>
        </w:rPr>
        <w:t xml:space="preserve"> protected her from the almost automatic condemnation of the corrupting ways of female novelists, as much as from the disapproval attached to the supernatural itself. And at the same time as women writers were required with particular insistence to show their didactic credentials, it was especially difficult for them to attempt a narrative practice connected with the emergent discourse of the sublime, which could justify supernatural terrors on the alternative non-didactic grounds of psychological recuperation and aesthetic pleasure. [As we have seen], this discourse was articulated in terms of gender, its subject [was] masculine, its project actively anti-feminine….</w:t>
      </w:r>
    </w:p>
    <w:p w:rsidR="00FA4E33" w:rsidRPr="00FA4E33" w:rsidRDefault="00FA4E33" w:rsidP="00FA4E33">
      <w:pPr>
        <w:rPr>
          <w:rFonts w:ascii="Garamond" w:hAnsi="Garamond"/>
          <w:sz w:val="16"/>
          <w:szCs w:val="16"/>
        </w:rPr>
      </w:pPr>
    </w:p>
    <w:p w:rsidR="00FA4E33" w:rsidRPr="00265F8D" w:rsidRDefault="00FA4E33" w:rsidP="00FA4E33">
      <w:pPr>
        <w:rPr>
          <w:rFonts w:ascii="Garamond" w:hAnsi="Garamond"/>
          <w:sz w:val="22"/>
        </w:rPr>
      </w:pPr>
      <w:r w:rsidRPr="00265F8D">
        <w:rPr>
          <w:rFonts w:ascii="Garamond" w:hAnsi="Garamond"/>
          <w:sz w:val="22"/>
        </w:rPr>
        <w:t xml:space="preserve">      Certainly, in the course of the 1780s, it seems that the one woman writer who used a ‘real’ ghost to terrifying effect was Anne Fuller in </w:t>
      </w:r>
      <w:r w:rsidRPr="00265F8D">
        <w:rPr>
          <w:rFonts w:ascii="Garamond" w:hAnsi="Garamond"/>
          <w:i/>
          <w:sz w:val="22"/>
        </w:rPr>
        <w:t>Alan Fitz-</w:t>
      </w:r>
      <w:proofErr w:type="spellStart"/>
      <w:r w:rsidRPr="00265F8D">
        <w:rPr>
          <w:rFonts w:ascii="Garamond" w:hAnsi="Garamond"/>
          <w:i/>
          <w:sz w:val="22"/>
        </w:rPr>
        <w:t>Osbourne</w:t>
      </w:r>
      <w:proofErr w:type="spellEnd"/>
      <w:r w:rsidRPr="00265F8D">
        <w:rPr>
          <w:rFonts w:ascii="Garamond" w:hAnsi="Garamond"/>
          <w:sz w:val="22"/>
        </w:rPr>
        <w:t xml:space="preserve"> (1787), and she published anonymously. Anne Radcliffe’s first novel, </w:t>
      </w:r>
      <w:r w:rsidRPr="00265F8D">
        <w:rPr>
          <w:rFonts w:ascii="Garamond" w:hAnsi="Garamond"/>
          <w:i/>
          <w:sz w:val="22"/>
        </w:rPr>
        <w:t xml:space="preserve">The Castles of </w:t>
      </w:r>
      <w:proofErr w:type="spellStart"/>
      <w:r w:rsidRPr="00265F8D">
        <w:rPr>
          <w:rFonts w:ascii="Garamond" w:hAnsi="Garamond"/>
          <w:i/>
          <w:sz w:val="22"/>
        </w:rPr>
        <w:t>Athlin</w:t>
      </w:r>
      <w:proofErr w:type="spellEnd"/>
      <w:r w:rsidRPr="00265F8D">
        <w:rPr>
          <w:rFonts w:ascii="Garamond" w:hAnsi="Garamond"/>
          <w:i/>
          <w:sz w:val="22"/>
        </w:rPr>
        <w:t xml:space="preserve"> and </w:t>
      </w:r>
      <w:proofErr w:type="spellStart"/>
      <w:r w:rsidRPr="00265F8D">
        <w:rPr>
          <w:rFonts w:ascii="Garamond" w:hAnsi="Garamond"/>
          <w:i/>
          <w:sz w:val="22"/>
        </w:rPr>
        <w:t>Dunbayne</w:t>
      </w:r>
      <w:proofErr w:type="spellEnd"/>
      <w:r w:rsidRPr="00265F8D">
        <w:rPr>
          <w:rFonts w:ascii="Garamond" w:hAnsi="Garamond"/>
          <w:sz w:val="22"/>
        </w:rPr>
        <w:t xml:space="preserve"> (1789), was also anonymous. But in her next, </w:t>
      </w:r>
      <w:r w:rsidRPr="00265F8D">
        <w:rPr>
          <w:rFonts w:ascii="Garamond" w:hAnsi="Garamond"/>
          <w:i/>
          <w:sz w:val="22"/>
        </w:rPr>
        <w:t>A Sicilian Romance</w:t>
      </w:r>
      <w:r w:rsidRPr="00265F8D">
        <w:rPr>
          <w:rFonts w:ascii="Garamond" w:hAnsi="Garamond"/>
          <w:sz w:val="22"/>
        </w:rPr>
        <w:t xml:space="preserve"> (1790), she introduced the device she would become famous for: apparently supernatural occurrences are spine-chillingly evoked only to be explained away in the end as the product of natural causes. [Likewise in </w:t>
      </w:r>
      <w:r w:rsidRPr="00265F8D">
        <w:rPr>
          <w:rFonts w:ascii="Garamond" w:hAnsi="Garamond"/>
          <w:i/>
          <w:sz w:val="22"/>
        </w:rPr>
        <w:t>The Romance of the Forest</w:t>
      </w:r>
      <w:r w:rsidRPr="00265F8D">
        <w:rPr>
          <w:rFonts w:ascii="Garamond" w:hAnsi="Garamond"/>
          <w:sz w:val="22"/>
        </w:rPr>
        <w:t xml:space="preserve"> (1791)]….This was a variety of imaginative fiction which the guardians of the enlightenment felt they could wholly approve: ‘By the aid of an inventive genius, much may still be done, even in this philosophical age, to fill the fancy with marvellous images, and to “quell the soul with grateful terrors”’.</w:t>
      </w:r>
      <w:r w:rsidRPr="00265F8D">
        <w:rPr>
          <w:rStyle w:val="FootnoteReference"/>
          <w:rFonts w:ascii="Garamond" w:hAnsi="Garamond"/>
          <w:sz w:val="22"/>
        </w:rPr>
        <w:footnoteReference w:id="1"/>
      </w:r>
      <w:r w:rsidRPr="00265F8D">
        <w:rPr>
          <w:rFonts w:ascii="Garamond" w:hAnsi="Garamond"/>
          <w:sz w:val="22"/>
        </w:rPr>
        <w:t xml:space="preserve"> Progress and the taste for primitive superstition were reconciled. The eagerness of the critics’ welcome gives the impression almost of relief, as if Radcliffe’s innovation gave an opportunity to come to terms with the barbarians at the gates without surrendering the fort.</w:t>
      </w:r>
    </w:p>
    <w:p w:rsidR="00FA4E33" w:rsidRPr="00265F8D" w:rsidRDefault="00FA4E33" w:rsidP="00FA4E33">
      <w:pPr>
        <w:rPr>
          <w:rFonts w:ascii="Garamond" w:hAnsi="Garamond"/>
          <w:sz w:val="22"/>
        </w:rPr>
      </w:pPr>
      <w:r w:rsidRPr="00265F8D">
        <w:rPr>
          <w:rFonts w:ascii="Garamond" w:hAnsi="Garamond"/>
          <w:sz w:val="22"/>
        </w:rPr>
        <w:t xml:space="preserve">    With </w:t>
      </w:r>
      <w:r w:rsidRPr="00265F8D">
        <w:rPr>
          <w:rFonts w:ascii="Garamond" w:hAnsi="Garamond"/>
          <w:i/>
          <w:sz w:val="22"/>
        </w:rPr>
        <w:t xml:space="preserve">The Mysteries of </w:t>
      </w:r>
      <w:proofErr w:type="spellStart"/>
      <w:r w:rsidRPr="00265F8D">
        <w:rPr>
          <w:rFonts w:ascii="Garamond" w:hAnsi="Garamond"/>
          <w:i/>
          <w:sz w:val="22"/>
        </w:rPr>
        <w:t>Udolpho</w:t>
      </w:r>
      <w:proofErr w:type="spellEnd"/>
      <w:r w:rsidRPr="00265F8D">
        <w:rPr>
          <w:rFonts w:ascii="Garamond" w:hAnsi="Garamond"/>
          <w:sz w:val="22"/>
        </w:rPr>
        <w:t>, in 1794, the reviews again paid tribute to Radcliffe’s achievement of the seemingly impossible:</w:t>
      </w:r>
    </w:p>
    <w:p w:rsidR="00FA4E33" w:rsidRPr="00FA4E33" w:rsidRDefault="00FA4E33" w:rsidP="00FA4E33">
      <w:pPr>
        <w:rPr>
          <w:rFonts w:ascii="Garamond" w:hAnsi="Garamond"/>
          <w:sz w:val="16"/>
          <w:szCs w:val="16"/>
        </w:rPr>
      </w:pPr>
    </w:p>
    <w:p w:rsidR="00FA4E33" w:rsidRPr="00265F8D" w:rsidRDefault="00FA4E33" w:rsidP="00FA4E33">
      <w:pPr>
        <w:rPr>
          <w:rFonts w:ascii="Garamond" w:hAnsi="Garamond"/>
          <w:sz w:val="20"/>
        </w:rPr>
      </w:pPr>
      <w:r w:rsidRPr="00265F8D">
        <w:rPr>
          <w:rFonts w:ascii="Garamond" w:hAnsi="Garamond"/>
          <w:sz w:val="22"/>
        </w:rPr>
        <w:t xml:space="preserve">     </w:t>
      </w:r>
      <w:r w:rsidRPr="00265F8D">
        <w:rPr>
          <w:rFonts w:ascii="Garamond" w:hAnsi="Garamond"/>
          <w:sz w:val="20"/>
        </w:rPr>
        <w:t xml:space="preserve">Without introducing into her narrative </w:t>
      </w:r>
      <w:proofErr w:type="spellStart"/>
      <w:r w:rsidRPr="00265F8D">
        <w:rPr>
          <w:rFonts w:ascii="Garamond" w:hAnsi="Garamond"/>
          <w:sz w:val="20"/>
        </w:rPr>
        <w:t>any thing</w:t>
      </w:r>
      <w:proofErr w:type="spellEnd"/>
      <w:r w:rsidRPr="00265F8D">
        <w:rPr>
          <w:rFonts w:ascii="Garamond" w:hAnsi="Garamond"/>
          <w:sz w:val="20"/>
        </w:rPr>
        <w:t xml:space="preserve"> really supernatural, Mrs Radcliffe has</w:t>
      </w:r>
    </w:p>
    <w:p w:rsidR="00FA4E33" w:rsidRPr="00265F8D" w:rsidRDefault="00FA4E33" w:rsidP="00FA4E33">
      <w:pPr>
        <w:rPr>
          <w:rFonts w:ascii="Garamond" w:hAnsi="Garamond"/>
          <w:sz w:val="20"/>
        </w:rPr>
      </w:pPr>
      <w:r w:rsidRPr="00265F8D">
        <w:rPr>
          <w:rFonts w:ascii="Garamond" w:hAnsi="Garamond"/>
          <w:sz w:val="20"/>
        </w:rPr>
        <w:t xml:space="preserve">      </w:t>
      </w:r>
      <w:proofErr w:type="gramStart"/>
      <w:r w:rsidRPr="00265F8D">
        <w:rPr>
          <w:rFonts w:ascii="Garamond" w:hAnsi="Garamond"/>
          <w:sz w:val="20"/>
        </w:rPr>
        <w:t>contrived</w:t>
      </w:r>
      <w:proofErr w:type="gramEnd"/>
      <w:r w:rsidRPr="00265F8D">
        <w:rPr>
          <w:rFonts w:ascii="Garamond" w:hAnsi="Garamond"/>
          <w:sz w:val="20"/>
        </w:rPr>
        <w:t xml:space="preserve"> to produce as powerful an effect as if the invisible world had been obedient</w:t>
      </w:r>
    </w:p>
    <w:p w:rsidR="00FA4E33" w:rsidRPr="00265F8D" w:rsidRDefault="00FA4E33" w:rsidP="00FA4E33">
      <w:pPr>
        <w:rPr>
          <w:rFonts w:ascii="Garamond" w:hAnsi="Garamond"/>
          <w:sz w:val="20"/>
        </w:rPr>
      </w:pPr>
      <w:r w:rsidRPr="00265F8D">
        <w:rPr>
          <w:rFonts w:ascii="Garamond" w:hAnsi="Garamond"/>
          <w:sz w:val="20"/>
        </w:rPr>
        <w:t xml:space="preserve">      </w:t>
      </w:r>
      <w:proofErr w:type="gramStart"/>
      <w:r w:rsidRPr="00265F8D">
        <w:rPr>
          <w:rFonts w:ascii="Garamond" w:hAnsi="Garamond"/>
          <w:sz w:val="20"/>
        </w:rPr>
        <w:t>to</w:t>
      </w:r>
      <w:proofErr w:type="gramEnd"/>
      <w:r w:rsidRPr="00265F8D">
        <w:rPr>
          <w:rFonts w:ascii="Garamond" w:hAnsi="Garamond"/>
          <w:sz w:val="20"/>
        </w:rPr>
        <w:t xml:space="preserve"> her magic spell; the reader experiences in perfection the strange luxury of artificial</w:t>
      </w:r>
    </w:p>
    <w:p w:rsidR="00FA4E33" w:rsidRPr="00265F8D" w:rsidRDefault="00FA4E33" w:rsidP="00FA4E33">
      <w:pPr>
        <w:rPr>
          <w:rFonts w:ascii="Garamond" w:hAnsi="Garamond"/>
          <w:sz w:val="20"/>
        </w:rPr>
      </w:pPr>
      <w:r w:rsidRPr="00265F8D">
        <w:rPr>
          <w:rFonts w:ascii="Garamond" w:hAnsi="Garamond"/>
          <w:sz w:val="20"/>
        </w:rPr>
        <w:t xml:space="preserve">      </w:t>
      </w:r>
      <w:proofErr w:type="gramStart"/>
      <w:r w:rsidRPr="00265F8D">
        <w:rPr>
          <w:rFonts w:ascii="Garamond" w:hAnsi="Garamond"/>
          <w:sz w:val="20"/>
        </w:rPr>
        <w:t>terror</w:t>
      </w:r>
      <w:proofErr w:type="gramEnd"/>
      <w:r w:rsidRPr="00265F8D">
        <w:rPr>
          <w:rFonts w:ascii="Garamond" w:hAnsi="Garamond"/>
          <w:sz w:val="20"/>
        </w:rPr>
        <w:t>, without being obliged for a moment to hoodwink his reason, or to yield to the</w:t>
      </w:r>
    </w:p>
    <w:p w:rsidR="00FA4E33" w:rsidRPr="00265F8D" w:rsidRDefault="00FA4E33" w:rsidP="00FA4E33">
      <w:pPr>
        <w:rPr>
          <w:rFonts w:ascii="Garamond" w:hAnsi="Garamond"/>
          <w:sz w:val="20"/>
        </w:rPr>
      </w:pPr>
      <w:r w:rsidRPr="00265F8D">
        <w:rPr>
          <w:rFonts w:ascii="Garamond" w:hAnsi="Garamond"/>
          <w:sz w:val="20"/>
        </w:rPr>
        <w:t xml:space="preserve">      </w:t>
      </w:r>
      <w:proofErr w:type="gramStart"/>
      <w:r w:rsidRPr="00265F8D">
        <w:rPr>
          <w:rFonts w:ascii="Garamond" w:hAnsi="Garamond"/>
          <w:sz w:val="20"/>
        </w:rPr>
        <w:t>weakness</w:t>
      </w:r>
      <w:proofErr w:type="gramEnd"/>
      <w:r w:rsidRPr="00265F8D">
        <w:rPr>
          <w:rFonts w:ascii="Garamond" w:hAnsi="Garamond"/>
          <w:sz w:val="20"/>
        </w:rPr>
        <w:t xml:space="preserve"> of superstitious credulity.</w:t>
      </w:r>
      <w:r w:rsidRPr="00265F8D">
        <w:rPr>
          <w:rStyle w:val="FootnoteReference"/>
          <w:rFonts w:ascii="Garamond" w:hAnsi="Garamond"/>
          <w:sz w:val="20"/>
        </w:rPr>
        <w:footnoteReference w:id="2"/>
      </w:r>
    </w:p>
    <w:p w:rsidR="00FA4E33" w:rsidRPr="00FA4E33" w:rsidRDefault="00FA4E33" w:rsidP="00FA4E33">
      <w:pPr>
        <w:rPr>
          <w:rFonts w:ascii="Garamond" w:hAnsi="Garamond"/>
          <w:sz w:val="16"/>
          <w:szCs w:val="16"/>
        </w:rPr>
      </w:pPr>
    </w:p>
    <w:p w:rsidR="00E3221A" w:rsidRPr="00FA4E33" w:rsidRDefault="00FA4E33">
      <w:pPr>
        <w:rPr>
          <w:rFonts w:ascii="Garamond" w:hAnsi="Garamond"/>
          <w:b/>
        </w:rPr>
      </w:pPr>
      <w:r w:rsidRPr="00265F8D">
        <w:rPr>
          <w:rFonts w:ascii="Garamond" w:hAnsi="Garamond"/>
          <w:sz w:val="22"/>
        </w:rPr>
        <w:t xml:space="preserve">In his enthusiasm the critic misrepresents matters slightly. The mysterious music, disembodied voices, shadowy figures and bumps in the night, before they are mundanely attributed to mad nuns, concealed fugitives and prisoners, or smugglers, are given their full affective weight. The impact of the narrative </w:t>
      </w:r>
      <w:r w:rsidRPr="00265F8D">
        <w:rPr>
          <w:rFonts w:ascii="Garamond" w:hAnsi="Garamond"/>
          <w:i/>
          <w:sz w:val="22"/>
        </w:rPr>
        <w:t>depends</w:t>
      </w:r>
      <w:r w:rsidRPr="00265F8D">
        <w:rPr>
          <w:rFonts w:ascii="Garamond" w:hAnsi="Garamond"/>
          <w:sz w:val="22"/>
        </w:rPr>
        <w:t xml:space="preserve"> on the temporary ‘hoodwinking’ of reason; to experience ‘the strange luxury of artificial terror’ requires some sort of surrender to ‘the weakness of superstitious credulity’. The ‘strangeness’ lies in the indeterminacy of aesthetic experience, voluntary and involuntary at once, just as terror must be real while it is felt, although the artificial mechanism that produced it remains clearly visible. The pleasures offered by this ‘luxury’, this fictional indulgence, also strike the enlightened reader as uncanny because of the way the course of narration echoes the history of enlightenment itself. The reader progressively moves from the sense of mystery that encourages fearful, false ideas to full knowledge of the facts, intelligibility of causes, means and ends, and confirmation of the truth of reason: in other words, reliving the passage from gothic to modern times, a process here invested with a pleasurable blend of relaxation and control, licence and restraint. </w:t>
      </w:r>
      <w:r>
        <w:rPr>
          <w:rFonts w:ascii="Garamond" w:hAnsi="Garamond"/>
          <w:sz w:val="22"/>
        </w:rPr>
        <w:t xml:space="preserve"> </w:t>
      </w:r>
      <w:proofErr w:type="gramStart"/>
      <w:r w:rsidRPr="00265F8D">
        <w:rPr>
          <w:rFonts w:ascii="Garamond" w:hAnsi="Garamond"/>
          <w:sz w:val="22"/>
        </w:rPr>
        <w:t>….[</w:t>
      </w:r>
      <w:proofErr w:type="gramEnd"/>
      <w:r w:rsidRPr="00265F8D">
        <w:rPr>
          <w:rFonts w:ascii="Garamond" w:hAnsi="Garamond"/>
          <w:sz w:val="22"/>
        </w:rPr>
        <w:t xml:space="preserve">in due course] </w:t>
      </w:r>
      <w:r>
        <w:rPr>
          <w:rFonts w:ascii="Garamond" w:hAnsi="Garamond"/>
          <w:sz w:val="22"/>
        </w:rPr>
        <w:t xml:space="preserve">   </w:t>
      </w:r>
      <w:r w:rsidRPr="00265F8D">
        <w:rPr>
          <w:rFonts w:ascii="Garamond" w:hAnsi="Garamond"/>
          <w:sz w:val="22"/>
        </w:rPr>
        <w:t>the ‘explained supernatural’ became an identifiable school of writing. It is important to emphasise Radcliffe’s initial success with this narrative technique, because it would very quickly give rise to a backlash which compromised her critical standing until recently. Her descriptive writing and command of suspense continued to be praised (with some complaint about repetition), but the enlightenment endings were eventually condemned as betrayals of the integrity of fiction, a treacherous refusal of the rights of the imagination to construct a world untouched by quotidian laws of probability.</w:t>
      </w:r>
      <w:bookmarkStart w:id="0" w:name="_GoBack"/>
      <w:bookmarkEnd w:id="0"/>
    </w:p>
    <w:sectPr w:rsidR="00E3221A" w:rsidRPr="00FA4E33" w:rsidSect="00FA4E33">
      <w:footerReference w:type="default" r:id="rId7"/>
      <w:pgSz w:w="11906" w:h="16838"/>
      <w:pgMar w:top="993" w:right="1800" w:bottom="1135" w:left="180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035E" w:rsidRDefault="003D035E" w:rsidP="00FA4E33">
      <w:r>
        <w:separator/>
      </w:r>
    </w:p>
  </w:endnote>
  <w:endnote w:type="continuationSeparator" w:id="0">
    <w:p w:rsidR="003D035E" w:rsidRDefault="003D035E" w:rsidP="00FA4E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4E33" w:rsidRPr="00FA4E33" w:rsidRDefault="00FA4E33">
    <w:pPr>
      <w:pStyle w:val="Footer"/>
      <w:jc w:val="right"/>
      <w:rPr>
        <w:rFonts w:ascii="Garamond" w:hAnsi="Garamond"/>
        <w:i/>
      </w:rPr>
    </w:pPr>
    <w:r w:rsidRPr="00FA4E33">
      <w:rPr>
        <w:rFonts w:ascii="Garamond" w:hAnsi="Garamond"/>
        <w:i/>
      </w:rPr>
      <w:fldChar w:fldCharType="begin"/>
    </w:r>
    <w:r w:rsidRPr="00FA4E33">
      <w:rPr>
        <w:rFonts w:ascii="Garamond" w:hAnsi="Garamond"/>
        <w:i/>
      </w:rPr>
      <w:instrText xml:space="preserve"> PAGE   \* MERGEFORMAT </w:instrText>
    </w:r>
    <w:r w:rsidRPr="00FA4E33">
      <w:rPr>
        <w:rFonts w:ascii="Garamond" w:hAnsi="Garamond"/>
        <w:i/>
      </w:rPr>
      <w:fldChar w:fldCharType="separate"/>
    </w:r>
    <w:r>
      <w:rPr>
        <w:rFonts w:ascii="Garamond" w:hAnsi="Garamond"/>
        <w:i/>
        <w:noProof/>
      </w:rPr>
      <w:t>4</w:t>
    </w:r>
    <w:r w:rsidRPr="00FA4E33">
      <w:rPr>
        <w:rFonts w:ascii="Garamond" w:hAnsi="Garamond"/>
        <w:i/>
        <w:noProof/>
      </w:rPr>
      <w:fldChar w:fldCharType="end"/>
    </w:r>
  </w:p>
  <w:p w:rsidR="00FA4E33" w:rsidRDefault="00FA4E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035E" w:rsidRDefault="003D035E" w:rsidP="00FA4E33">
      <w:r>
        <w:separator/>
      </w:r>
    </w:p>
  </w:footnote>
  <w:footnote w:type="continuationSeparator" w:id="0">
    <w:p w:rsidR="003D035E" w:rsidRDefault="003D035E" w:rsidP="00FA4E33">
      <w:r>
        <w:continuationSeparator/>
      </w:r>
    </w:p>
  </w:footnote>
  <w:footnote w:id="1">
    <w:p w:rsidR="00FA4E33" w:rsidRPr="00FA5B82" w:rsidRDefault="00FA4E33" w:rsidP="00FA4E33">
      <w:pPr>
        <w:pStyle w:val="FootnoteText"/>
      </w:pPr>
      <w:r>
        <w:rPr>
          <w:rStyle w:val="FootnoteReference"/>
        </w:rPr>
        <w:footnoteRef/>
      </w:r>
      <w:r>
        <w:t xml:space="preserve"> </w:t>
      </w:r>
      <w:proofErr w:type="gramStart"/>
      <w:r>
        <w:rPr>
          <w:i/>
        </w:rPr>
        <w:t xml:space="preserve">Monthly Review, </w:t>
      </w:r>
      <w:r>
        <w:t>ns8 (May 1792), pp. 82-7.</w:t>
      </w:r>
      <w:proofErr w:type="gramEnd"/>
    </w:p>
  </w:footnote>
  <w:footnote w:id="2">
    <w:p w:rsidR="00FA4E33" w:rsidRPr="00FA5B82" w:rsidRDefault="00FA4E33" w:rsidP="00FA4E33">
      <w:pPr>
        <w:pStyle w:val="FootnoteText"/>
      </w:pPr>
      <w:r>
        <w:rPr>
          <w:rStyle w:val="FootnoteReference"/>
        </w:rPr>
        <w:footnoteRef/>
      </w:r>
      <w:r>
        <w:t xml:space="preserve"> </w:t>
      </w:r>
      <w:proofErr w:type="gramStart"/>
      <w:r>
        <w:rPr>
          <w:i/>
        </w:rPr>
        <w:t>Monthly Review</w:t>
      </w:r>
      <w:r>
        <w:t xml:space="preserve"> (William Enfield), ns 15 (Nov. 1794), p.280.</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221A"/>
    <w:rsid w:val="00166113"/>
    <w:rsid w:val="001D40E7"/>
    <w:rsid w:val="001E1D1B"/>
    <w:rsid w:val="00347D4C"/>
    <w:rsid w:val="003D035E"/>
    <w:rsid w:val="00743966"/>
    <w:rsid w:val="00994222"/>
    <w:rsid w:val="00A45372"/>
    <w:rsid w:val="00B303E6"/>
    <w:rsid w:val="00BE4119"/>
    <w:rsid w:val="00C07FDF"/>
    <w:rsid w:val="00C7624B"/>
    <w:rsid w:val="00E3221A"/>
    <w:rsid w:val="00E42BAB"/>
    <w:rsid w:val="00E53508"/>
    <w:rsid w:val="00F0319D"/>
    <w:rsid w:val="00F87F3D"/>
    <w:rsid w:val="00FA4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martTagType w:namespaceuri="urn:schemas-microsoft-com:office:smarttags" w:name="Stat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link w:val="HeaderChar"/>
    <w:rsid w:val="00FA4E33"/>
    <w:pPr>
      <w:tabs>
        <w:tab w:val="center" w:pos="4513"/>
        <w:tab w:val="right" w:pos="9026"/>
      </w:tabs>
    </w:pPr>
  </w:style>
  <w:style w:type="character" w:customStyle="1" w:styleId="HeaderChar">
    <w:name w:val="Header Char"/>
    <w:basedOn w:val="DefaultParagraphFont"/>
    <w:link w:val="Header"/>
    <w:rsid w:val="00FA4E33"/>
    <w:rPr>
      <w:sz w:val="24"/>
      <w:szCs w:val="24"/>
    </w:rPr>
  </w:style>
  <w:style w:type="paragraph" w:styleId="Footer">
    <w:name w:val="footer"/>
    <w:basedOn w:val="Normal"/>
    <w:link w:val="FooterChar"/>
    <w:uiPriority w:val="99"/>
    <w:rsid w:val="00FA4E33"/>
    <w:pPr>
      <w:tabs>
        <w:tab w:val="center" w:pos="4513"/>
        <w:tab w:val="right" w:pos="9026"/>
      </w:tabs>
    </w:pPr>
  </w:style>
  <w:style w:type="character" w:customStyle="1" w:styleId="FooterChar">
    <w:name w:val="Footer Char"/>
    <w:basedOn w:val="DefaultParagraphFont"/>
    <w:link w:val="Footer"/>
    <w:uiPriority w:val="99"/>
    <w:rsid w:val="00FA4E33"/>
    <w:rPr>
      <w:sz w:val="24"/>
      <w:szCs w:val="24"/>
    </w:rPr>
  </w:style>
  <w:style w:type="paragraph" w:styleId="FootnoteText">
    <w:name w:val="footnote text"/>
    <w:basedOn w:val="Normal"/>
    <w:link w:val="FootnoteTextChar"/>
    <w:rsid w:val="00FA4E33"/>
    <w:rPr>
      <w:sz w:val="20"/>
      <w:szCs w:val="20"/>
    </w:rPr>
  </w:style>
  <w:style w:type="character" w:customStyle="1" w:styleId="FootnoteTextChar">
    <w:name w:val="Footnote Text Char"/>
    <w:basedOn w:val="DefaultParagraphFont"/>
    <w:link w:val="FootnoteText"/>
    <w:rsid w:val="00FA4E33"/>
  </w:style>
  <w:style w:type="character" w:styleId="FootnoteReference">
    <w:name w:val="footnote reference"/>
    <w:basedOn w:val="DefaultParagraphFont"/>
    <w:rsid w:val="00FA4E3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link w:val="HeaderChar"/>
    <w:rsid w:val="00FA4E33"/>
    <w:pPr>
      <w:tabs>
        <w:tab w:val="center" w:pos="4513"/>
        <w:tab w:val="right" w:pos="9026"/>
      </w:tabs>
    </w:pPr>
  </w:style>
  <w:style w:type="character" w:customStyle="1" w:styleId="HeaderChar">
    <w:name w:val="Header Char"/>
    <w:basedOn w:val="DefaultParagraphFont"/>
    <w:link w:val="Header"/>
    <w:rsid w:val="00FA4E33"/>
    <w:rPr>
      <w:sz w:val="24"/>
      <w:szCs w:val="24"/>
    </w:rPr>
  </w:style>
  <w:style w:type="paragraph" w:styleId="Footer">
    <w:name w:val="footer"/>
    <w:basedOn w:val="Normal"/>
    <w:link w:val="FooterChar"/>
    <w:uiPriority w:val="99"/>
    <w:rsid w:val="00FA4E33"/>
    <w:pPr>
      <w:tabs>
        <w:tab w:val="center" w:pos="4513"/>
        <w:tab w:val="right" w:pos="9026"/>
      </w:tabs>
    </w:pPr>
  </w:style>
  <w:style w:type="character" w:customStyle="1" w:styleId="FooterChar">
    <w:name w:val="Footer Char"/>
    <w:basedOn w:val="DefaultParagraphFont"/>
    <w:link w:val="Footer"/>
    <w:uiPriority w:val="99"/>
    <w:rsid w:val="00FA4E33"/>
    <w:rPr>
      <w:sz w:val="24"/>
      <w:szCs w:val="24"/>
    </w:rPr>
  </w:style>
  <w:style w:type="paragraph" w:styleId="FootnoteText">
    <w:name w:val="footnote text"/>
    <w:basedOn w:val="Normal"/>
    <w:link w:val="FootnoteTextChar"/>
    <w:rsid w:val="00FA4E33"/>
    <w:rPr>
      <w:sz w:val="20"/>
      <w:szCs w:val="20"/>
    </w:rPr>
  </w:style>
  <w:style w:type="character" w:customStyle="1" w:styleId="FootnoteTextChar">
    <w:name w:val="Footnote Text Char"/>
    <w:basedOn w:val="DefaultParagraphFont"/>
    <w:link w:val="FootnoteText"/>
    <w:rsid w:val="00FA4E33"/>
  </w:style>
  <w:style w:type="character" w:styleId="FootnoteReference">
    <w:name w:val="footnote reference"/>
    <w:basedOn w:val="DefaultParagraphFont"/>
    <w:rsid w:val="00FA4E3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2197</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Anne Radcliffe, The Italian (1796):</vt:lpstr>
    </vt:vector>
  </TitlesOfParts>
  <Company>University of Wales Lampeter</Company>
  <LinksUpToDate>false</LinksUpToDate>
  <CharactersWithSpaces>14691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Anne Radcliffe, The Italian (1796):</dc:title>
  <dc:creator>sm034</dc:creator>
  <cp:lastModifiedBy>Administrator</cp:lastModifiedBy>
  <cp:revision>2</cp:revision>
  <cp:lastPrinted>2015-03-06T13:18:00Z</cp:lastPrinted>
  <dcterms:created xsi:type="dcterms:W3CDTF">2015-03-06T13:21:00Z</dcterms:created>
  <dcterms:modified xsi:type="dcterms:W3CDTF">2015-03-06T13:21:00Z</dcterms:modified>
</cp:coreProperties>
</file>