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A42E9E">
      <w:pPr>
        <w:spacing w:line="360" w:lineRule="auto"/>
        <w:jc w:val="center"/>
        <w:rPr>
          <w:rFonts w:ascii="Times New Roman" w:hAnsi="Times New Roman" w:eastAsia="Times New Roman" w:cs="Times New Roman"/>
          <w:b/>
          <w:bCs/>
          <w:sz w:val="40"/>
          <w:szCs w:val="40"/>
        </w:rPr>
      </w:pPr>
    </w:p>
    <w:p w14:paraId="65550C18">
      <w:pPr>
        <w:spacing w:line="360" w:lineRule="auto"/>
        <w:jc w:val="center"/>
        <w:rPr>
          <w:rFonts w:ascii="Times New Roman" w:hAnsi="Times New Roman" w:eastAsia="Times New Roman" w:cs="Times New Roman"/>
          <w:b/>
          <w:bCs/>
          <w:sz w:val="40"/>
          <w:szCs w:val="40"/>
        </w:rPr>
      </w:pPr>
    </w:p>
    <w:p w14:paraId="32086ED3">
      <w:pPr>
        <w:spacing w:line="360" w:lineRule="auto"/>
        <w:jc w:val="center"/>
        <w:rPr>
          <w:rFonts w:ascii="Times New Roman" w:hAnsi="Times New Roman" w:eastAsia="Times New Roman" w:cs="Times New Roman"/>
          <w:b/>
          <w:bCs/>
          <w:sz w:val="40"/>
          <w:szCs w:val="40"/>
        </w:rPr>
      </w:pPr>
    </w:p>
    <w:p w14:paraId="6D6719FE">
      <w:pPr>
        <w:jc w:val="center"/>
        <w:rPr>
          <w:rFonts w:asciiTheme="minorBidi" w:hAnsiTheme="minorBidi"/>
        </w:rPr>
      </w:pPr>
      <w:r>
        <w:rPr>
          <w:rFonts w:asciiTheme="minorBidi" w:hAnsiTheme="minorBidi"/>
        </w:rP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316B63EF">
      <w:pPr>
        <w:jc w:val="center"/>
        <w:rPr>
          <w:rFonts w:asciiTheme="minorBidi" w:hAnsiTheme="minorBidi"/>
          <w:b/>
          <w:bCs/>
          <w:sz w:val="28"/>
          <w:szCs w:val="28"/>
        </w:rPr>
      </w:pPr>
    </w:p>
    <w:p w14:paraId="33FE8A04">
      <w:pPr>
        <w:jc w:val="center"/>
        <w:rPr>
          <w:rFonts w:asciiTheme="minorBidi" w:hAnsiTheme="minorBidi"/>
          <w:b/>
          <w:bCs/>
          <w:sz w:val="28"/>
          <w:szCs w:val="28"/>
        </w:rPr>
      </w:pPr>
    </w:p>
    <w:p w14:paraId="275D0D0D">
      <w:pPr>
        <w:jc w:val="center"/>
        <w:rPr>
          <w:rFonts w:asciiTheme="minorBidi" w:hAnsiTheme="minorBidi"/>
          <w:b/>
          <w:bCs/>
          <w:sz w:val="28"/>
          <w:szCs w:val="28"/>
        </w:rPr>
      </w:pPr>
      <w:r>
        <w:rPr>
          <w:rFonts w:asciiTheme="minorBidi" w:hAnsiTheme="minorBidi"/>
          <w:b/>
          <w:bCs/>
          <w:sz w:val="28"/>
          <w:szCs w:val="28"/>
        </w:rPr>
        <w:t>Student Name:</w:t>
      </w:r>
      <w:r>
        <w:rPr>
          <w:rFonts w:asciiTheme="minorBidi" w:hAnsiTheme="minorBidi"/>
          <w:b/>
          <w:bCs/>
          <w:sz w:val="28"/>
          <w:szCs w:val="28"/>
          <w:lang w:val="en-IN"/>
        </w:rPr>
        <w:t xml:space="preserve"> Kavya Raghuraman</w:t>
      </w:r>
    </w:p>
    <w:p w14:paraId="37CA753A">
      <w:pPr>
        <w:jc w:val="center"/>
        <w:rPr>
          <w:rFonts w:asciiTheme="minorBidi" w:hAnsiTheme="minorBidi"/>
          <w:b/>
          <w:bCs/>
          <w:sz w:val="28"/>
          <w:szCs w:val="28"/>
        </w:rPr>
      </w:pPr>
    </w:p>
    <w:p w14:paraId="6D00132D">
      <w:pPr>
        <w:jc w:val="center"/>
        <w:rPr>
          <w:rFonts w:asciiTheme="minorBidi" w:hAnsiTheme="minorBidi"/>
          <w:b/>
          <w:bCs/>
          <w:sz w:val="28"/>
          <w:szCs w:val="28"/>
        </w:rPr>
      </w:pPr>
      <w:r>
        <w:rPr>
          <w:rFonts w:asciiTheme="minorBidi" w:hAnsiTheme="minorBidi"/>
          <w:b/>
          <w:bCs/>
          <w:sz w:val="28"/>
          <w:szCs w:val="28"/>
        </w:rPr>
        <w:t>Student ID:</w:t>
      </w:r>
      <w:r>
        <w:rPr>
          <w:rFonts w:asciiTheme="minorBidi" w:hAnsiTheme="minorBidi"/>
          <w:b/>
          <w:bCs/>
          <w:sz w:val="28"/>
          <w:szCs w:val="28"/>
          <w:lang w:val="en-IN"/>
        </w:rPr>
        <w:t xml:space="preserve"> 2519354</w:t>
      </w:r>
    </w:p>
    <w:p w14:paraId="36EC8EC6">
      <w:pPr>
        <w:jc w:val="center"/>
        <w:rPr>
          <w:rFonts w:asciiTheme="minorBidi" w:hAnsiTheme="minorBidi"/>
          <w:b/>
          <w:bCs/>
          <w:sz w:val="28"/>
          <w:szCs w:val="28"/>
        </w:rPr>
      </w:pPr>
    </w:p>
    <w:p w14:paraId="2C2E0B49">
      <w:pPr>
        <w:jc w:val="center"/>
        <w:rPr>
          <w:rFonts w:hint="default" w:asciiTheme="minorBidi" w:hAnsiTheme="minorBidi"/>
          <w:b/>
          <w:bCs/>
          <w:sz w:val="28"/>
          <w:szCs w:val="28"/>
          <w:lang w:val="en-IN"/>
        </w:rPr>
      </w:pPr>
      <w:r>
        <w:rPr>
          <w:rFonts w:asciiTheme="minorBidi" w:hAnsiTheme="minorBidi"/>
          <w:b/>
          <w:bCs/>
          <w:sz w:val="28"/>
          <w:szCs w:val="28"/>
        </w:rPr>
        <w:t>Module Name:</w:t>
      </w:r>
      <w:r>
        <w:rPr>
          <w:rFonts w:asciiTheme="minorBidi" w:hAnsiTheme="minorBidi"/>
          <w:b/>
          <w:bCs/>
          <w:sz w:val="28"/>
          <w:szCs w:val="28"/>
          <w:lang w:val="en-IN"/>
        </w:rPr>
        <w:t xml:space="preserve"> </w:t>
      </w:r>
      <w:r>
        <w:rPr>
          <w:rFonts w:hint="default" w:asciiTheme="minorBidi" w:hAnsiTheme="minorBidi"/>
          <w:b/>
          <w:bCs/>
          <w:sz w:val="28"/>
          <w:szCs w:val="28"/>
          <w:lang w:val="en-IN"/>
        </w:rPr>
        <w:t>International Marketing : Principals and Practices</w:t>
      </w:r>
    </w:p>
    <w:p w14:paraId="7D73C2B0">
      <w:pPr>
        <w:jc w:val="center"/>
        <w:rPr>
          <w:rFonts w:asciiTheme="minorBidi" w:hAnsiTheme="minorBidi"/>
          <w:b/>
          <w:bCs/>
          <w:sz w:val="28"/>
          <w:szCs w:val="28"/>
        </w:rPr>
      </w:pPr>
    </w:p>
    <w:p w14:paraId="5D00CB9A">
      <w:pPr>
        <w:jc w:val="center"/>
        <w:rPr>
          <w:rFonts w:hint="default" w:asciiTheme="minorBidi" w:hAnsiTheme="minorBidi"/>
          <w:b/>
          <w:bCs/>
          <w:sz w:val="28"/>
          <w:szCs w:val="28"/>
          <w:lang w:val="en-IN"/>
        </w:rPr>
      </w:pPr>
      <w:r>
        <w:rPr>
          <w:rFonts w:asciiTheme="minorBidi" w:hAnsiTheme="minorBidi"/>
          <w:b/>
          <w:bCs/>
          <w:sz w:val="28"/>
          <w:szCs w:val="28"/>
        </w:rPr>
        <w:t xml:space="preserve">Module Code: </w:t>
      </w:r>
      <w:r>
        <w:rPr>
          <w:rFonts w:hint="default" w:asciiTheme="minorBidi" w:hAnsiTheme="minorBidi"/>
          <w:b/>
          <w:bCs/>
          <w:sz w:val="28"/>
          <w:szCs w:val="28"/>
          <w:lang w:val="en-IN"/>
        </w:rPr>
        <w:t>LCMB7026</w:t>
      </w:r>
    </w:p>
    <w:p w14:paraId="028FC1EB">
      <w:pPr>
        <w:jc w:val="center"/>
        <w:rPr>
          <w:rFonts w:asciiTheme="minorBidi" w:hAnsiTheme="minorBidi"/>
          <w:b/>
          <w:bCs/>
          <w:sz w:val="28"/>
          <w:szCs w:val="28"/>
        </w:rPr>
      </w:pPr>
    </w:p>
    <w:p w14:paraId="600F0838">
      <w:pPr>
        <w:jc w:val="center"/>
        <w:rPr>
          <w:rFonts w:hint="default" w:asciiTheme="minorBidi" w:hAnsiTheme="minorBidi"/>
          <w:b/>
          <w:bCs/>
          <w:sz w:val="28"/>
          <w:szCs w:val="28"/>
          <w:lang w:val="en-IN"/>
        </w:rPr>
      </w:pPr>
      <w:r>
        <w:rPr>
          <w:rFonts w:asciiTheme="minorBidi" w:hAnsiTheme="minorBidi"/>
          <w:b/>
          <w:bCs/>
          <w:sz w:val="28"/>
          <w:szCs w:val="28"/>
        </w:rPr>
        <w:t>Lecturer’s Name:</w:t>
      </w:r>
      <w:r>
        <w:rPr>
          <w:rFonts w:asciiTheme="minorBidi" w:hAnsiTheme="minorBidi"/>
          <w:b/>
          <w:bCs/>
          <w:sz w:val="28"/>
          <w:szCs w:val="28"/>
          <w:lang w:val="en-IN"/>
        </w:rPr>
        <w:t xml:space="preserve"> </w:t>
      </w:r>
      <w:r>
        <w:rPr>
          <w:rFonts w:hint="default" w:asciiTheme="minorBidi" w:hAnsiTheme="minorBidi"/>
          <w:b/>
          <w:bCs/>
          <w:sz w:val="28"/>
          <w:szCs w:val="28"/>
          <w:lang w:val="en-IN"/>
        </w:rPr>
        <w:t>Tushara Balendran</w:t>
      </w:r>
    </w:p>
    <w:p w14:paraId="3BBB40DC">
      <w:pPr>
        <w:jc w:val="center"/>
        <w:rPr>
          <w:rFonts w:asciiTheme="minorBidi" w:hAnsiTheme="minorBidi"/>
          <w:b/>
          <w:bCs/>
          <w:sz w:val="28"/>
          <w:szCs w:val="28"/>
        </w:rPr>
      </w:pPr>
    </w:p>
    <w:p w14:paraId="19B413B6">
      <w:pPr>
        <w:jc w:val="center"/>
        <w:rPr>
          <w:rFonts w:hint="default" w:asciiTheme="minorBidi" w:hAnsiTheme="minorBidi"/>
          <w:b/>
          <w:bCs/>
          <w:sz w:val="28"/>
          <w:szCs w:val="28"/>
          <w:lang w:val="en-IN"/>
        </w:rPr>
      </w:pPr>
      <w:r>
        <w:rPr>
          <w:rFonts w:asciiTheme="minorBidi" w:hAnsiTheme="minorBidi"/>
          <w:b/>
          <w:bCs/>
          <w:sz w:val="28"/>
          <w:szCs w:val="28"/>
        </w:rPr>
        <w:t>Work Count:</w:t>
      </w:r>
      <w:r>
        <w:rPr>
          <w:rFonts w:asciiTheme="minorBidi" w:hAnsiTheme="minorBidi"/>
          <w:b/>
          <w:bCs/>
          <w:sz w:val="28"/>
          <w:szCs w:val="28"/>
          <w:lang w:val="en-IN"/>
        </w:rPr>
        <w:t xml:space="preserve"> </w:t>
      </w:r>
      <w:r>
        <w:rPr>
          <w:rFonts w:hint="default" w:asciiTheme="minorBidi" w:hAnsiTheme="minorBidi"/>
          <w:b/>
          <w:bCs/>
          <w:sz w:val="28"/>
          <w:szCs w:val="28"/>
          <w:lang w:val="en-IN"/>
        </w:rPr>
        <w:t>6095</w:t>
      </w:r>
      <w:bookmarkStart w:id="12" w:name="_GoBack"/>
      <w:bookmarkEnd w:id="12"/>
    </w:p>
    <w:p w14:paraId="2C64F427">
      <w:pPr>
        <w:jc w:val="center"/>
        <w:rPr>
          <w:rFonts w:asciiTheme="minorBidi" w:hAnsiTheme="minorBidi"/>
          <w:b/>
          <w:bCs/>
          <w:sz w:val="28"/>
          <w:szCs w:val="28"/>
        </w:rPr>
      </w:pPr>
    </w:p>
    <w:p w14:paraId="58892F8A">
      <w:pPr>
        <w:jc w:val="center"/>
        <w:rPr>
          <w:b/>
          <w:bCs/>
          <w:sz w:val="40"/>
          <w:szCs w:val="40"/>
        </w:rPr>
      </w:pPr>
      <w:r>
        <w:rPr>
          <w:rFonts w:asciiTheme="minorBidi" w:hAnsiTheme="minorBidi"/>
          <w:b/>
          <w:bCs/>
          <w:sz w:val="28"/>
          <w:szCs w:val="28"/>
          <w:lang w:val="en-IN"/>
        </w:rPr>
        <w:t>Term 2</w:t>
      </w:r>
    </w:p>
    <w:p w14:paraId="6A0B50CD">
      <w:pPr>
        <w:spacing w:line="360" w:lineRule="auto"/>
        <w:rPr>
          <w:rFonts w:ascii="Times New Roman" w:hAnsi="Times New Roman" w:eastAsia="Times New Roman" w:cs="Times New Roman"/>
          <w:b/>
          <w:bCs/>
          <w:sz w:val="40"/>
          <w:szCs w:val="40"/>
        </w:rPr>
      </w:pPr>
      <w:r>
        <w:rPr>
          <w:rFonts w:ascii="Times New Roman" w:hAnsi="Times New Roman" w:eastAsia="Times New Roman" w:cs="Times New Roman"/>
          <w:b/>
          <w:bCs/>
          <w:sz w:val="40"/>
          <w:szCs w:val="40"/>
        </w:rPr>
        <w:br w:type="page"/>
      </w:r>
    </w:p>
    <w:sdt>
      <w:sdtPr>
        <w:rPr>
          <w:rFonts w:ascii="Arial" w:hAnsi="Arial" w:eastAsia="Arial" w:cs="Arial"/>
          <w:color w:val="auto"/>
          <w:sz w:val="22"/>
          <w:szCs w:val="22"/>
          <w:lang w:val="en"/>
        </w:rPr>
        <w:id w:val="-925344380"/>
        <w:docPartObj>
          <w:docPartGallery w:val="Table of Contents"/>
          <w:docPartUnique/>
        </w:docPartObj>
      </w:sdtPr>
      <w:sdtEndPr>
        <w:rPr>
          <w:rFonts w:ascii="Times New Roman" w:hAnsi="Times New Roman" w:eastAsia="Arial" w:cs="Times New Roman"/>
          <w:b/>
          <w:bCs/>
          <w:color w:val="auto"/>
          <w:sz w:val="24"/>
          <w:szCs w:val="24"/>
          <w:lang w:val="en"/>
        </w:rPr>
      </w:sdtEndPr>
      <w:sdtContent>
        <w:p w14:paraId="5D11BB7F">
          <w:pPr>
            <w:pStyle w:val="17"/>
            <w:spacing w:line="360" w:lineRule="auto"/>
            <w:jc w:val="center"/>
            <w:rPr>
              <w:rFonts w:ascii="Arial" w:hAnsi="Arial" w:eastAsia="Arial" w:cs="Arial"/>
              <w:color w:val="auto"/>
              <w:sz w:val="22"/>
              <w:szCs w:val="22"/>
              <w:lang w:val="en"/>
            </w:rPr>
          </w:pPr>
        </w:p>
        <w:p w14:paraId="7C8FC0A7">
          <w:pPr>
            <w:pStyle w:val="17"/>
            <w:spacing w:line="360" w:lineRule="auto"/>
            <w:jc w:val="center"/>
            <w:rPr>
              <w:rFonts w:ascii="Arial" w:hAnsi="Arial" w:eastAsia="Arial" w:cs="Arial"/>
              <w:color w:val="auto"/>
              <w:sz w:val="22"/>
              <w:szCs w:val="22"/>
              <w:lang w:val="en"/>
            </w:rPr>
          </w:pPr>
          <w:r>
            <w:rPr>
              <w:rFonts w:ascii="Times New Roman" w:hAnsi="Times New Roman" w:eastAsia="Times New Roman" w:cs="Times New Roman"/>
              <w:b/>
              <w:bCs/>
              <w:sz w:val="40"/>
              <w:szCs w:val="40"/>
            </w:rPr>
            <w:t>Comprehensive analysis of Toyota along with a reflective accoun</w:t>
          </w:r>
        </w:p>
        <w:p w14:paraId="4A19D6C8">
          <w:pPr>
            <w:pStyle w:val="17"/>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70F120BF">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TOC \o "1-3" \h \z \u </w:instrText>
          </w:r>
          <w:r>
            <w:rPr>
              <w:rFonts w:ascii="Times New Roman" w:hAnsi="Times New Roman" w:cs="Times New Roman"/>
              <w:sz w:val="28"/>
              <w:szCs w:val="28"/>
            </w:rPr>
            <w:fldChar w:fldCharType="separate"/>
          </w:r>
          <w:r>
            <w:fldChar w:fldCharType="begin"/>
          </w:r>
          <w:r>
            <w:instrText xml:space="preserve"> HYPERLINK \l "_Toc236845400" </w:instrText>
          </w:r>
          <w:r>
            <w:fldChar w:fldCharType="separate"/>
          </w:r>
          <w:r>
            <w:rPr>
              <w:rStyle w:val="12"/>
              <w:rFonts w:ascii="Times New Roman" w:hAnsi="Times New Roman" w:cs="Times New Roman"/>
              <w:sz w:val="24"/>
              <w:szCs w:val="24"/>
            </w:rPr>
            <w:t>Section 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D8240C9">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"_Toc236845401" </w:instrText>
          </w:r>
          <w:r>
            <w:fldChar w:fldCharType="separate"/>
          </w:r>
          <w:r>
            <w:rPr>
              <w:rStyle w:val="12"/>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8FC5389">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"_Toc236845402" </w:instrText>
          </w:r>
          <w:r>
            <w:fldChar w:fldCharType="separate"/>
          </w:r>
          <w:r>
            <w:rPr>
              <w:rStyle w:val="12"/>
              <w:rFonts w:ascii="Times New Roman" w:hAnsi="Times New Roman" w:cs="Times New Roman"/>
              <w:sz w:val="24"/>
              <w:szCs w:val="24"/>
            </w:rPr>
            <w:t>Comparative analysis of the market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31D73A1">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"_Toc236845403" </w:instrText>
          </w:r>
          <w:r>
            <w:fldChar w:fldCharType="separate"/>
          </w:r>
          <w:r>
            <w:rPr>
              <w:rStyle w:val="12"/>
              <w:rFonts w:ascii="Times New Roman" w:hAnsi="Times New Roman" w:cs="Times New Roman"/>
              <w:sz w:val="24"/>
              <w:szCs w:val="24"/>
            </w:rPr>
            <w:t>Comparative analysis of STP (Segmentation, Targeting, and Positioning) and International Marketing Mix (7Ps)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_Toc236845403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BE9BE8E">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"_Toc236845404" </w:instrText>
          </w:r>
          <w:r>
            <w:fldChar w:fldCharType="separate"/>
          </w:r>
          <w:r>
            <w:rPr>
              <w:rStyle w:val="12"/>
              <w:rFonts w:ascii="Times New Roman" w:hAnsi="Times New Roman" w:cs="Times New Roman"/>
              <w:sz w:val="24"/>
              <w:szCs w:val="24"/>
            </w:rPr>
            <w:t>Analysis of the market entry strategy in the United Kingdom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_Toc236845404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14029F9">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"_Toc236845405" </w:instrText>
          </w:r>
          <w:r>
            <w:fldChar w:fldCharType="separate"/>
          </w:r>
          <w:r>
            <w:rPr>
              <w:rStyle w:val="12"/>
              <w:rFonts w:ascii="Times New Roman" w:hAnsi="Times New Roman" w:cs="Times New Roman"/>
              <w:sz w:val="24"/>
              <w:szCs w:val="24"/>
            </w:rPr>
            <w:t>Evaluation of whether there were ethical issues related to this brand’s marketing mix in the UK market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5970DE0">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"_Toc236845406" </w:instrText>
          </w:r>
          <w:r>
            <w:fldChar w:fldCharType="separate"/>
          </w:r>
          <w:r>
            <w:rPr>
              <w:rStyle w:val="12"/>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_Toc236845406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EFC0ABE">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"_Toc236845407" </w:instrText>
          </w:r>
          <w:r>
            <w:fldChar w:fldCharType="separate"/>
          </w:r>
          <w:r>
            <w:rPr>
              <w:rStyle w:val="12"/>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_Toc236845407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634CF9F">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"_Toc236845408" </w:instrText>
          </w:r>
          <w:r>
            <w:fldChar w:fldCharType="separate"/>
          </w:r>
          <w:r>
            <w:rPr>
              <w:rStyle w:val="12"/>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_Toc236845408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30DF43B">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"_Toc236845409" </w:instrText>
          </w:r>
          <w:r>
            <w:fldChar w:fldCharType="separate"/>
          </w:r>
          <w:r>
            <w:rPr>
              <w:rStyle w:val="12"/>
              <w:rFonts w:ascii="Times New Roman" w:hAnsi="Times New Roman" w:cs="Times New Roman"/>
              <w:sz w:val="24"/>
              <w:szCs w:val="24"/>
            </w:rPr>
            <w:t>Section 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_Toc236845409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95F63CF">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"_Toc236845410" </w:instrText>
          </w:r>
          <w:r>
            <w:fldChar w:fldCharType="separate"/>
          </w:r>
          <w:r>
            <w:rPr>
              <w:rStyle w:val="12"/>
              <w:rFonts w:ascii="Times New Roman" w:hAnsi="Times New Roman" w:cs="Times New Roman"/>
              <w:sz w:val="24"/>
              <w:szCs w:val="24"/>
            </w:rPr>
            <w:t>Gibbs Reflective account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_Toc236845410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B84D703">
          <w:pPr>
            <w:pStyle w:val="15"/>
            <w:tabs>
              <w:tab w:val="right" w:leader="dot" w:pos="9350"/>
            </w:tabs>
            <w:spacing w:line="360" w:lineRule="auto"/>
            <w:jc w:val="both"/>
            <w:rPr>
              <w:rFonts w:ascii="Times New Roman" w:hAnsi="Times New Roman" w:cs="Times New Roman" w:eastAsiaTheme="minorEastAsia"/>
              <w:kern w:val="2"/>
              <w:sz w:val="28"/>
              <w:szCs w:val="28"/>
              <w:lang w:val="en-IN" w:eastAsia="zh-CN"/>
              <w14:ligatures w14:val="standardContextual"/>
            </w:rPr>
          </w:pPr>
          <w:r>
            <w:fldChar w:fldCharType="begin"/>
          </w:r>
          <w:r>
            <w:instrText xml:space="preserve"> HYPERLINK \l "_Toc236845411" </w:instrText>
          </w:r>
          <w:r>
            <w:fldChar w:fldCharType="separate"/>
          </w:r>
          <w:r>
            <w:rPr>
              <w:rStyle w:val="12"/>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_Toc236845411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C5195D0">
          <w:pPr>
            <w:spacing w:line="360" w:lineRule="auto"/>
            <w:jc w:val="both"/>
            <w:rPr>
              <w:rFonts w:ascii="Times New Roman" w:hAnsi="Times New Roman" w:cs="Times New Roman"/>
              <w:sz w:val="24"/>
              <w:szCs w:val="24"/>
            </w:rPr>
          </w:pPr>
          <w:r>
            <w:rPr>
              <w:rFonts w:ascii="Times New Roman" w:hAnsi="Times New Roman" w:cs="Times New Roman"/>
              <w:b/>
              <w:bCs/>
              <w:sz w:val="28"/>
              <w:szCs w:val="28"/>
            </w:rPr>
            <w:fldChar w:fldCharType="end"/>
          </w:r>
        </w:p>
      </w:sdtContent>
    </w:sdt>
    <w:p w14:paraId="05DFC207">
      <w:pPr>
        <w:spacing w:line="360" w:lineRule="auto"/>
        <w:jc w:val="center"/>
        <w:rPr>
          <w:rFonts w:ascii="Times New Roman" w:hAnsi="Times New Roman" w:eastAsia="Times New Roman" w:cs="Times New Roman"/>
          <w:b/>
          <w:bCs/>
          <w:sz w:val="40"/>
          <w:szCs w:val="40"/>
        </w:rPr>
      </w:pPr>
      <w:r>
        <w:br w:type="page"/>
      </w:r>
    </w:p>
    <w:p w14:paraId="74234302">
      <w:pPr>
        <w:pStyle w:val="2"/>
      </w:pPr>
      <w:bookmarkStart w:id="0" w:name="_Toc236845400"/>
      <w:r>
        <w:t>Section 1:</w:t>
      </w:r>
      <w:bookmarkEnd w:id="0"/>
    </w:p>
    <w:p w14:paraId="07CE93F9">
      <w:pPr>
        <w:pStyle w:val="2"/>
      </w:pPr>
      <w:bookmarkStart w:id="1" w:name="_Toc236845401"/>
      <w:r>
        <w:t>Introduction</w:t>
      </w:r>
      <w:bookmarkEnd w:id="1"/>
      <w:r>
        <w:t xml:space="preserve"> </w:t>
      </w:r>
    </w:p>
    <w:p w14:paraId="1B0F6ED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main objective of the study is to discuss international marketing, denoting principles and practices of Toyota in Japan and the United Kingdom. The study will concentrate on examining the external business environment of the chosen organisation in its home country and host country by using suitable primary research, along with depicting cultural analysis through using Hofstede. STP model will be used to highlight its segmentation and positioning in the UK and Japan, along with utilising the7P marketing mix. The context will examine ethical issues from the inferences obtained by using the 7P marketing mix in Toyota UK and will conclude with recommendations.</w:t>
      </w:r>
    </w:p>
    <w:p w14:paraId="3A1B9DC6">
      <w:pPr>
        <w:spacing w:line="360" w:lineRule="auto"/>
        <w:jc w:val="both"/>
        <w:rPr>
          <w:rFonts w:ascii="Times New Roman" w:hAnsi="Times New Roman" w:eastAsia="Times New Roman" w:cs="Times New Roman"/>
          <w:b/>
          <w:bCs/>
          <w:sz w:val="28"/>
          <w:szCs w:val="28"/>
        </w:rPr>
      </w:pPr>
    </w:p>
    <w:p w14:paraId="508077D7">
      <w:pPr>
        <w:pStyle w:val="2"/>
      </w:pPr>
      <w:bookmarkStart w:id="2" w:name="_Toc236845402"/>
      <w:r>
        <w:t>Comparative analysis of the market</w:t>
      </w:r>
      <w:bookmarkEnd w:id="2"/>
    </w:p>
    <w:p w14:paraId="6B8254CF">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PESTLE analysis </w:t>
      </w:r>
    </w:p>
    <w:p w14:paraId="01FC8403">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PESTLE analysis: Japan and United Kingdom </w:t>
      </w:r>
    </w:p>
    <w:p w14:paraId="4F610F7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Political: </w:t>
      </w:r>
      <w:r>
        <w:rPr>
          <w:rFonts w:ascii="Times New Roman" w:hAnsi="Times New Roman" w:eastAsia="Times New Roman" w:cs="Times New Roman"/>
          <w:sz w:val="24"/>
          <w:szCs w:val="24"/>
        </w:rPr>
        <w:t xml:space="preserve">It is noted that the Ministry of Economy, Trade and Industry has a huge role in Japan to set automotive policy. It plays an important role in using a multi-pathway decarbonisation strategy where importance is laid on different factors that include plug-in hybrid, battery-powered electric vehicles, hybrid and fuel cell EVs, which has strong resonance with the ongoing business plan of Toyota. The chosen organisation has its headquarters in Japan, whose stable political conditions guide the company in tackling business operations smoothly. From the context of the United Kingdom, which is a host country, there are certain changes that have been dealt with by Toyota after Brexit, due to which it tackles its activities under authorisation of UK-EU trade operations and agreements. The TCA associated with the host country set strict regulations on origin requirements, as a result of which the chosen company is bound to purchase its inputs from the domestic market, which helps it avoid facing 10% punitive tariffs (ukandeu.ac.uk, 2026). </w:t>
      </w:r>
    </w:p>
    <w:p w14:paraId="599B917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Economic: </w:t>
      </w:r>
    </w:p>
    <w:p w14:paraId="402954E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following figure indicates the GDP growth rate of Japan and the United Kingdom over the past 5 years, where it is noticed that in 2021 the GDP growth rate in the home country of Toyota was 1.1% in Q1 and in the UK the GDP growth rate was -1.1%. From the figure, it is clear that both nations have witnessed fluctuations in GDP growth rate and in the first quarter of 2026 Japan has seen a 0.5% GDP growth rate, whereas the UK has experienced 0.6% GDP growth. Hence, by evaluating the graphical analysis, it can be inferred that the chosen company has a huge possibility of improving its profit in the UK in comparison to Japan due to the rapid recovery of GDP growth that has stabilised its financial conditions. On the other hand, Japan is dealing with a rise in price level by 1.7% year over year. This hike has made its customers a bit price-sensitive, as an outcome of which people are less likely to spend money on discretionary items. However, the UK has been successful in controlling its inflation, which has benefited multiple companies running business in the nation, followed by reaching the top level of growth. Hence, it is clear from the discussion that Toyota is highly profitable by running operations in the UK in comparison to Japan due to stability within its economic conditions. </w:t>
      </w:r>
    </w:p>
    <w:p w14:paraId="0CAB22B9">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3124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8"/>
                    <a:srcRect/>
                    <a:stretch>
                      <a:fillRect/>
                    </a:stretch>
                  </pic:blipFill>
                  <pic:spPr>
                    <a:xfrm>
                      <a:off x="0" y="0"/>
                      <a:ext cx="5943600" cy="3124200"/>
                    </a:xfrm>
                    <a:prstGeom prst="rect">
                      <a:avLst/>
                    </a:prstGeom>
                  </pic:spPr>
                </pic:pic>
              </a:graphicData>
            </a:graphic>
          </wp:inline>
        </w:drawing>
      </w:r>
    </w:p>
    <w:p w14:paraId="1C5FCFE7">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Figure 1: Comparative analysis of GDP growth rate in Japan and the UK </w:t>
      </w:r>
    </w:p>
    <w:p w14:paraId="22B7895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tradingeconomics, 2026)</w:t>
      </w:r>
    </w:p>
    <w:p w14:paraId="761C9FD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Social: </w:t>
      </w:r>
      <w:r>
        <w:rPr>
          <w:rFonts w:ascii="Times New Roman" w:hAnsi="Times New Roman" w:eastAsia="Times New Roman" w:cs="Times New Roman"/>
          <w:sz w:val="24"/>
          <w:szCs w:val="24"/>
        </w:rPr>
        <w:t>It is noticed that the number of the aged population in Japan is 29% in the current period. These old people give deep importance to safety during the time of travelling and hence take interest in those automobile companies that align themselves with aged people’s preferences. This is the reason Toyota has focused on using comprehensive driver assistance suites, that is, Toyota Safety Sense, followed by making its mobility vehicles highly accessible. Apart from this, the company abide by fair labour practices within Japan that help it in making positive contributions to society. In the case of the UK, people emphasise using those vehicles that are efficacious in reducing emissions of harmful gases. Toyota sincerely considers these national sentiments that have allowed it to grow to a greater extent in the UK.  However, due to Brexit, the flow of skilled labour has reduced, and thus the company has been forced to spend money on establishing STEM training partnerships and localised apprenticeships. The company has incurred a pre-tax profit of £ 462,000 in the UK, which was £11.5 million in the previous year (business-live.co.uk, 2026). Its compliance with Zero Emission Vehicle is to some extent responsible for the reduction in profit. However, in Japan, the company has successfully improved its sales by 10% year on year, which amounted to 13.5 trillion yen, equivalent to $85 billion (apnews.com, 2026). Hence, the organisation has witnessed an enhancement in its business growth in Japan while simultaneously refining social welfare in the particular nation.</w:t>
      </w:r>
    </w:p>
    <w:p w14:paraId="432C5DF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Technology: </w:t>
      </w:r>
      <w:r>
        <w:rPr>
          <w:rFonts w:ascii="Times New Roman" w:hAnsi="Times New Roman" w:eastAsia="Times New Roman" w:cs="Times New Roman"/>
          <w:sz w:val="24"/>
          <w:szCs w:val="24"/>
        </w:rPr>
        <w:t>In Japan, the organisation has deeply focused on creating an innovative strategy by investing in a research and development department. The company has a total technical centre that has guided it in creating a hydrogen combustion engine, solid-state batteries, as well as autonomous driving software. It is noted that the Ministry of Economy, Trade and Industry has indicated the provision of JPY 117.8 billion to Toyota by the Japanese Government for the development of a battery supply security plan (globaltradedealt.org, 2026). Therefore, the home country of the organisation is quite efficacious in neutralising advanced technology and infrastructure that has supported the growth and development of Toyota in the particular nation. In the United Kingdom, the organisation is working on a high-profile research project for which it has received a £1.5 million grant from the Department for Business and Trade, that are being coordinated with the help of APC’s Collaborate funding competition (apcuk.co.uk, 2026). This is one of the key factors that the chosen organisation has been flawlessly running its business in the United Kingdom to reach the top level of growth. It has benefited from concentrating on digital twins, smart factory automation, as well as local propulsion research integration while operating its business in the aforementioned nation.</w:t>
      </w:r>
    </w:p>
    <w:p w14:paraId="181D670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Legal: </w:t>
      </w:r>
      <w:r>
        <w:rPr>
          <w:rFonts w:ascii="Times New Roman" w:hAnsi="Times New Roman" w:eastAsia="Times New Roman" w:cs="Times New Roman"/>
          <w:sz w:val="24"/>
          <w:szCs w:val="24"/>
        </w:rPr>
        <w:t>The company has to maintain compliance with legal rules and regulations in both Japan and the UK for operating businesses smoothly without any penalties. It adheres to strict domestic vehicle inspection law as well as the revised corporate governance code in Japan. In the United Kingdom, the organisation follows the UK ZEV mandate, VCA compliance, along with complying with stringent employment norms.</w:t>
      </w:r>
    </w:p>
    <w:p w14:paraId="3B066E6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Environmental:</w:t>
      </w:r>
      <w:r>
        <w:rPr>
          <w:rFonts w:ascii="Times New Roman" w:hAnsi="Times New Roman" w:eastAsia="Times New Roman" w:cs="Times New Roman"/>
          <w:sz w:val="24"/>
          <w:szCs w:val="24"/>
        </w:rPr>
        <w:t xml:space="preserve"> The company has set a target to achieve net-zero emissions by 2050 in Japan (toyota.com, 2026). In the UK, it has planned for factory decarbonisation by using strict UK scope 1 to 3 emissions disclosure rules. </w:t>
      </w:r>
    </w:p>
    <w:p w14:paraId="00C55C3A">
      <w:pPr>
        <w:spacing w:line="360" w:lineRule="auto"/>
        <w:jc w:val="both"/>
        <w:rPr>
          <w:rFonts w:ascii="Times New Roman" w:hAnsi="Times New Roman" w:eastAsia="Times New Roman" w:cs="Times New Roman"/>
          <w:b/>
          <w:bCs/>
          <w:sz w:val="24"/>
          <w:szCs w:val="24"/>
        </w:rPr>
      </w:pPr>
    </w:p>
    <w:p w14:paraId="2E6FE082">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Cultural analysis </w:t>
      </w:r>
    </w:p>
    <w:p w14:paraId="1504A0FD">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Hofstede framework: Japan and the United Kingdom</w:t>
      </w:r>
    </w:p>
    <w:p w14:paraId="6DA0CD02">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5943600" cy="345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rcRect/>
                    <a:stretch>
                      <a:fillRect/>
                    </a:stretch>
                  </pic:blipFill>
                  <pic:spPr>
                    <a:xfrm>
                      <a:off x="0" y="0"/>
                      <a:ext cx="5943600" cy="3454400"/>
                    </a:xfrm>
                    <a:prstGeom prst="rect">
                      <a:avLst/>
                    </a:prstGeom>
                  </pic:spPr>
                </pic:pic>
              </a:graphicData>
            </a:graphic>
          </wp:inline>
        </w:drawing>
      </w:r>
    </w:p>
    <w:p w14:paraId="4CE5A5AC">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Figure 2: Comparison of work culture in the UK and Japan </w:t>
      </w:r>
    </w:p>
    <w:p w14:paraId="211194EC">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theculturefactor, 2026)</w:t>
      </w:r>
    </w:p>
    <w:p w14:paraId="3A8AE89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figure uses Hofstede's cultural model to conduct a comparison between Japan and the UK with respect to Toyota. Japan is the home country of the given organisation, whereas the UK is the host country, which is extremely valuable for refining the production process as well as optimising corporate operations.  From the context of Power distance, Japan has scored 54, which indicates that in the particular nation, people in hierarchical positions are highly respected despite being tempered by social obligations and collective group consciousness. However, on the other side, the UK has achieved 35 as a power distance score that is comparatively lower than Japan. Therefore, while operating a business in the UK, a company like Toyota deals with decentralised management, accessible leadership and a flatter organisational structure. The organisation put efforts to become well versed in communication, having a less formal hierarchy and open dialogue while operating a manufacturing plant in the United Kingdom (Aoki, 2026). </w:t>
      </w:r>
    </w:p>
    <w:p w14:paraId="7E0AC8C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case of Individualism vs collectivism, it is observed that Japan has scored 62, which denotes that people working in Japan prefer to function collectively rather than managing operations individually. It means group harmony, achievements, and maintaining loyalty while working in a team often outweigh radical individualism. In contrast, the UK's work culture gives high weightage to individualism, as per its score in the particular area that indicates fondness of employees in emphasising on personal success, self-reliance, and individual autonomy. Toyota is habituated to depend on collaborative team dynamics for running business in Japan, and thus it has to adapt itself to the work culture of the UK  by focusing on personal growth, becoming self-reliant during expanding business in the host country. (Nohara, 2025). </w:t>
      </w:r>
    </w:p>
    <w:p w14:paraId="7EC5F3F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 the grounds of motivation towards success and achievement or masculinity, it is observed that Japan has achieved 95 in this particular area, which indicates that the work culture in the country is considered status-oriented and achievement oriented culture where functioning for a long period, tangible success and performance are deeply prioritised. On the other side UK takes success-oriented culture and masculinity into account, as it has scored 66 in this matter. In this particular nation, maintaining a balance between personal and professional life is highly valued, unlike Japan. Therefore, when extending its business idea to the UK, Toyota has been bound to align itself with British expectations regarding work-life balance (Sakai, 2025). </w:t>
      </w:r>
    </w:p>
    <w:p w14:paraId="0B2CBA2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Japan's work culture does not prefer to carry on functions with risk, and thus companies running business in the nation develop advanced planning, focus on reducing confusion, and create rigid protocols. This is evident from its score in the Uncertainty Avoidance Index, which is 92 as pr the above figure. While the scores achieved by the UK in the specific areas are comparatively lower than Japan's, that denotes its high tolerance for ambiguous situations, reluctance in abiding by protocols and the urge to go through trial-and-error innovation. Toyota has focused on becoming more tolerant of ambiguity and nonchalant about maintaining unwritten rules while working in the UK. It is inferred that Toyota extended operating procedures, continuous incremental improvement and writing standardisation into account while tackling its business in Japan, and British employees are quite family-oriented or in an unstructured environment. The chosen company has a tribe to understand the culture of the host country from the context of the uncertainty avoidance index, properly based on which it has concentrated on complying with its working pattern.</w:t>
      </w:r>
    </w:p>
    <w:p w14:paraId="4DEEFE6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Japan has achieved 100 in long-term orientation, which demonstrates how companies in the aforementioned nation ponder on sustaining for the long term in the market by choosing perseverance, shifting towards the latest method of running business, followed by integrating business plan with multi-ticket strategic planning associated with sustainability. UK has scored 60 in this area, which indicates the work culture of the nation gives high weightage to immediate financial return short term outcome and quarterly performance indicators. This is the reason Toyota has concentrated on understanding stakeholder expectations in the United Kingdom, which aligns with a short-term horizon, unlike Japan, where the company has a long-term plan for reducing carbon emissions through using environmentally friendly technology, implementing hybrid engineering, as well as enhancing supply chain relationships. </w:t>
      </w:r>
    </w:p>
    <w:p w14:paraId="64A390A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per the above-mentioned graphical analysis, the home country of Toyota has achieved 42 in Indulgence vs restraint that outlines that companies in Japan are highly restraint who are focused on their work through self-regulation and are cautious about maintaining discipline. However, the work culture of the UK is completely different from Japan, as it has achieved a high score in indulgence. Employees working in organisations based in the United Kingdom are highly optimistic and have the right to express their personal impulses along with accessing leisure time gratification. Therefore, during expanding business in the UK, Toyota has tried to value the preferences of British employees, which include leisure valuing, following leadership that resonates with local lifestyle values and give scooe to working professionals in working with a positive mindset.</w:t>
      </w:r>
    </w:p>
    <w:p w14:paraId="71F08C69">
      <w:pPr>
        <w:spacing w:line="360" w:lineRule="auto"/>
        <w:jc w:val="both"/>
        <w:rPr>
          <w:rFonts w:ascii="Times New Roman" w:hAnsi="Times New Roman" w:eastAsia="Times New Roman" w:cs="Times New Roman"/>
          <w:b/>
          <w:bCs/>
          <w:sz w:val="24"/>
          <w:szCs w:val="24"/>
        </w:rPr>
      </w:pPr>
    </w:p>
    <w:p w14:paraId="39A3C064">
      <w:pPr>
        <w:pStyle w:val="2"/>
      </w:pPr>
      <w:bookmarkStart w:id="3" w:name="_Toc236845403"/>
      <w:r>
        <w:t>Comparative analysis of STP (Segmentation, Targeting, and Positioning) and International Marketing Mix (7Ps)</w:t>
      </w:r>
      <w:bookmarkEnd w:id="3"/>
      <w:r>
        <w:t xml:space="preserve"> </w:t>
      </w:r>
    </w:p>
    <w:p w14:paraId="5A18A214">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STP: Japan and United Kingdom </w:t>
      </w:r>
    </w:p>
    <w:p w14:paraId="7E0ECCBA">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5734050" cy="45815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0"/>
                    <a:srcRect/>
                    <a:stretch>
                      <a:fillRect/>
                    </a:stretch>
                  </pic:blipFill>
                  <pic:spPr>
                    <a:xfrm>
                      <a:off x="0" y="0"/>
                      <a:ext cx="5734050" cy="4581525"/>
                    </a:xfrm>
                    <a:prstGeom prst="rect">
                      <a:avLst/>
                    </a:prstGeom>
                  </pic:spPr>
                </pic:pic>
              </a:graphicData>
            </a:graphic>
          </wp:inline>
        </w:drawing>
      </w:r>
    </w:p>
    <w:p w14:paraId="18D0F841">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3: STP Model</w:t>
      </w:r>
    </w:p>
    <w:p w14:paraId="23D092AF">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kelvinindia, 2025)</w:t>
      </w:r>
    </w:p>
    <w:p w14:paraId="1397F87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Segmentation, targeting and positioning are strategic planning tools utilised by businesses in order to meet the current market conditions and the diversified customer needs (Hossain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 In this section, the STP of Toyota is analysed to identify its strategies to strengthen its position in its home country, Japan and host country, the UK.</w:t>
      </w:r>
    </w:p>
    <w:p w14:paraId="48241CF0">
      <w:pPr>
        <w:spacing w:line="360" w:lineRule="auto"/>
        <w:ind w:left="1080" w:hanging="360"/>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 xml:space="preserve">      </w:t>
      </w:r>
      <w:r>
        <w:rPr>
          <w:rFonts w:ascii="Times New Roman" w:hAnsi="Times New Roman" w:eastAsia="Times New Roman" w:cs="Times New Roman"/>
          <w:b/>
          <w:bCs/>
          <w:sz w:val="24"/>
          <w:szCs w:val="24"/>
        </w:rPr>
        <w:t>Segmentation</w:t>
      </w:r>
    </w:p>
    <w:p w14:paraId="2C76FB01">
      <w:pPr>
        <w:spacing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home country of Toyota, which is Japan, the company specifically targets young professionals who actively seek fuel-efficient vehicles and the compactness of spacious SUVs and MPVs The urban areas across Japan have high demand for compact hybrid cars that drive the growth and demand for the Toyota range (abcnews.com, 2026). Also, Toyota aims to engage environmentally conscious Customers and technology enthusiasts who value the smart and advanced connectivity with the driver assistance system innovation of Toyota.</w:t>
      </w:r>
    </w:p>
    <w:p w14:paraId="6B882AB4">
      <w:pPr>
        <w:spacing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 the other hand, in the host country, the UK, Toyota aims to engage middle-income families who purchase household EV cars and business professionals by selling premium hybrid vehicles. In the rural areas of the UK, the demand for SUVs and in the urban areas the rising demands of electronic Vehicle are being followed by Toyota. The company also targets sustainability-focused buyers who seek low-emissions EV-based vehicles in the UK (Nieto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w:t>
      </w:r>
    </w:p>
    <w:p w14:paraId="61DB3752">
      <w:pPr>
        <w:spacing w:line="360" w:lineRule="auto"/>
        <w:ind w:left="1080" w:hanging="360"/>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 xml:space="preserve">      </w:t>
      </w:r>
      <w:r>
        <w:rPr>
          <w:rFonts w:ascii="Times New Roman" w:hAnsi="Times New Roman" w:eastAsia="Times New Roman" w:cs="Times New Roman"/>
          <w:b/>
          <w:bCs/>
          <w:sz w:val="24"/>
          <w:szCs w:val="24"/>
        </w:rPr>
        <w:t>Targeting</w:t>
      </w:r>
    </w:p>
    <w:p w14:paraId="31E62F6A">
      <w:pPr>
        <w:spacing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Toyota generally applies the differentiation targeting method to provide a diversified category of vehicles to varied customer groups. In its home country, Toyota specifically targets young professionals who want compact models, and eco-conscious people who strive to purchase electric mobility-based transportation solutions for lesser environmental harm (Piao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2025). Through diversification strategies, Toyota eventually strengthened its brand position in the markets of Japan maintain strong market leadership across the domestic markets.</w:t>
      </w:r>
    </w:p>
    <w:p w14:paraId="66B5BB30">
      <w:pPr>
        <w:spacing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 the other hand, it is evident that to lead in the host country, the UK, Toyota aims to engage in hybrid vehicle sales across environmentally conscious people and emerging families rurally who seek SUV solutions. The company targets fuel efficiency to initially lower the operational costs. In Great Britain, the adoption of electric vehicles drives the sustainability demands, and thus Toyota aims to increase brand awareness through offering electric vehicle solutions (Edwards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w:t>
      </w:r>
    </w:p>
    <w:p w14:paraId="64DB1DCA">
      <w:pPr>
        <w:spacing w:line="360" w:lineRule="auto"/>
        <w:ind w:left="1080" w:hanging="360"/>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 xml:space="preserve">      </w:t>
      </w:r>
      <w:r>
        <w:rPr>
          <w:rFonts w:ascii="Times New Roman" w:hAnsi="Times New Roman" w:eastAsia="Times New Roman" w:cs="Times New Roman"/>
          <w:b/>
          <w:bCs/>
          <w:sz w:val="24"/>
          <w:szCs w:val="24"/>
        </w:rPr>
        <w:t>Positioning</w:t>
      </w:r>
    </w:p>
    <w:p w14:paraId="4512CA2A">
      <w:pPr>
        <w:spacing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Japan is the home country of Toyota, in which the company positions itself as the symbol of reliability and quality. The company eventually led in the domestic markets using strategic leadership and focusing on the Innovation of hybrid as well as hydrogen technology (Takeuchi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2023). The strong innovation of Toyota in offering safety and eco-friendly mobility to customers has strengthened the position of the company significantly. Toyota interacts with people to sustain long-term durability and maintain customer trust in the brand by offering unique advanced technologies within the vehicles, which strengthen its competitive advantage.</w:t>
      </w:r>
    </w:p>
    <w:p w14:paraId="7CE289CA">
      <w:pPr>
        <w:spacing w:line="360" w:lineRule="auto"/>
        <w:ind w:left="72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other hand, in the host country, the UK, Toyota positions itself as a sustainability-driven mobility brand aiming to offer reliable, low-emissions-based and fuel-efficient vehicles. The company aims to create a significant competitive position in the UK markets by ensuring the value for money transpiration products to the middle income customers with the assurance of advanced safety and unique technologies (media.toyota.co.uk, 2026). The unique marketing messaging of Toyota portrays the affordability, environmental responsibility and innovation that help the brand to lead in the UK markets efficiently.</w:t>
      </w:r>
    </w:p>
    <w:p w14:paraId="19CD171A">
      <w:pPr>
        <w:spacing w:line="360" w:lineRule="auto"/>
        <w:ind w:left="720"/>
        <w:jc w:val="both"/>
        <w:rPr>
          <w:rFonts w:ascii="Times New Roman" w:hAnsi="Times New Roman" w:eastAsia="Times New Roman" w:cs="Times New Roman"/>
          <w:sz w:val="24"/>
          <w:szCs w:val="24"/>
        </w:rPr>
      </w:pPr>
    </w:p>
    <w:p w14:paraId="6BFBF8B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Marketing mix (7Ps): Japan and United Kingdom </w:t>
      </w:r>
    </w:p>
    <w:p w14:paraId="3C816E21">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5943600" cy="3327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1"/>
                    <a:srcRect/>
                    <a:stretch>
                      <a:fillRect/>
                    </a:stretch>
                  </pic:blipFill>
                  <pic:spPr>
                    <a:xfrm>
                      <a:off x="0" y="0"/>
                      <a:ext cx="5943600" cy="3327400"/>
                    </a:xfrm>
                    <a:prstGeom prst="rect">
                      <a:avLst/>
                    </a:prstGeom>
                  </pic:spPr>
                </pic:pic>
              </a:graphicData>
            </a:graphic>
          </wp:inline>
        </w:drawing>
      </w:r>
    </w:p>
    <w:p w14:paraId="4C6AC653">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4: Marketing Mix 7Ps</w:t>
      </w:r>
    </w:p>
    <w:p w14:paraId="37472BEE">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smartinsights, 2025)</w:t>
      </w:r>
    </w:p>
    <w:p w14:paraId="406D11C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marketing mix 7ps defines the capability of the company to meet the needs of the current market and customers by implementing favourable marketing efforts (researchgate.net, 2025). In this, Toyota’s marketing mix is being assessed to identify its marketing methods for operating across Japan and to enter the host country, the UK.</w:t>
      </w:r>
    </w:p>
    <w:p w14:paraId="334F70E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Product: </w:t>
      </w:r>
      <w:r>
        <w:rPr>
          <w:rFonts w:ascii="Times New Roman" w:hAnsi="Times New Roman" w:eastAsia="Times New Roman" w:cs="Times New Roman"/>
          <w:sz w:val="24"/>
          <w:szCs w:val="24"/>
        </w:rPr>
        <w:t>In Japan, Toyota provides diversified product ranges that include hybrid models, compact cars, hydrogen-powered cars and commercial vehicles that suit the urban customer preferences (media.toyota.co.uk, 2023). The company continuously makes efforts to launch new safety features and offer intelligent parking facilities to Japanese customers through connected transportation services.</w:t>
      </w:r>
    </w:p>
    <w:p w14:paraId="09AB52E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other hand, in the UK, Toyota aims to focus on the innovation of more eco-friendly vehicles using hybrid electric models and provides eco-friendly electric vehicle ranges in order to sustain rising eco-friendly transportation demands of the UK people. The products of Toyota in the UK are developed using environmental guidelines and local customer preferences for fuel-efficient vehicles (theguardian.com, 2025).</w:t>
      </w:r>
    </w:p>
    <w:p w14:paraId="0C98C4A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Price: </w:t>
      </w:r>
      <w:r>
        <w:rPr>
          <w:rFonts w:ascii="Times New Roman" w:hAnsi="Times New Roman" w:eastAsia="Times New Roman" w:cs="Times New Roman"/>
          <w:sz w:val="24"/>
          <w:szCs w:val="24"/>
        </w:rPr>
        <w:t>In Japan, Toyota maintain a strong market leadership across the domestic markets. Customers in Japan also get optimum benefits by Purchasing environment friendly hybrid vehicles from Toyota, and the offerings of financing, leasing, and beneficial maintenance packages increase customer satisfaction due to affordability.</w:t>
      </w:r>
    </w:p>
    <w:p w14:paraId="5BBD3F3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other hand, to strengthen its position in the UK market, Toyota focuses on a value-based pricing strategy considering the import costs, Competition in the market, and fluctuations in taxes (newswirejet.com, 2026). Toyota strongly competes with brands in the UK market by developing and offering innovative financing support to customers during the purchase of vehicles.</w:t>
      </w:r>
    </w:p>
    <w:p w14:paraId="062F073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Place: </w:t>
      </w:r>
      <w:r>
        <w:rPr>
          <w:rFonts w:ascii="Times New Roman" w:hAnsi="Times New Roman" w:eastAsia="Times New Roman" w:cs="Times New Roman"/>
          <w:sz w:val="24"/>
          <w:szCs w:val="24"/>
        </w:rPr>
        <w:t>Toyota operates with strong distribution networks within both Japan and the UK. In the domestic market, Toyota has a strong, extensive distribution network with showrooms, e-commerce sales platforms, digital selling, authorised dealers and retailers across Japan. The availability of Toyota vehicles helps Customers to purchase by seeing them through physical retailers or online retailing channels. Toyota provides after-sales support to customers in Japan that drive it's position effectiveness.</w:t>
      </w:r>
    </w:p>
    <w:p w14:paraId="5533669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in the UK, the products of Toyota are being distributed through Toyota GB Plc, which has developed a strong distribution network with multiple authorised retailers and dealers in the UK (crunchbase.com, 2025). The manufacturing facilities in the UK eventually reduce transportation costs and support local employment by engaging skilled people in its innovation. Through digital platforms, Toyota customers can also optimise products to make a purchase.</w:t>
      </w:r>
    </w:p>
    <w:p w14:paraId="2FF4C5B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Promotion: </w:t>
      </w:r>
      <w:r>
        <w:rPr>
          <w:rFonts w:ascii="Times New Roman" w:hAnsi="Times New Roman" w:eastAsia="Times New Roman" w:cs="Times New Roman"/>
          <w:sz w:val="24"/>
          <w:szCs w:val="24"/>
        </w:rPr>
        <w:t>In the domestic markets of Japan, Toyota integrates marketing communication and actively focuses on quality, innovation, safety and environmental sustainability (Iskamto and Wicaksono, 2023). The organisation actively demonstrates digital marketing, advertising, and social media platforms, conducts campaigns, and motor shows to attract customers. Toyota sponsors educational approaches, sports activities and eco-awareness campaigns to strongly integrate its image in the Japanese markets.</w:t>
      </w:r>
    </w:p>
    <w:p w14:paraId="5C51E32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in the UK, Toyota focuses on advertising campaigns which are driven by sustainability practices, as UK customers are highly aware of environmental wellness. By promoting the new products and brand on television, social media content, digital marketing and personalised email, Toyota aims to engage the community. Also, the company integrates with influencers to engage the social media community and showcase its focus on its commitment to achieving carbon neutrality to eliminate the negative impact of transportation on the environment.</w:t>
      </w:r>
    </w:p>
    <w:p w14:paraId="4C84620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People: </w:t>
      </w:r>
      <w:r>
        <w:rPr>
          <w:rFonts w:ascii="Times New Roman" w:hAnsi="Times New Roman" w:eastAsia="Times New Roman" w:cs="Times New Roman"/>
          <w:sz w:val="24"/>
          <w:szCs w:val="24"/>
        </w:rPr>
        <w:t xml:space="preserve">It is evident that employees play a crucial role in accelerating the success of a company through consistent innovation. Therefore, focusing on this, Toyota invested immensely in employee training and consistent improvement in order to ensure customer service excellence. In Japan, Toyota provides optimum learning and development support to staff regarding technical efficiency and boosts their ability to strengthen customer relationships, offering high-quality service (Palhau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w:t>
      </w:r>
    </w:p>
    <w:p w14:paraId="0DB180F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other hand, to strengthen the brand positioning of Toyota in the UK, the company employs skilled professionals and develops effective customer service centres to meet the needs of people. The training on diversity and inclusion by Toyota provides a friendly collaboration among staff in the corporate offices of Toyota (toyota-europe.com, 2025).</w:t>
      </w:r>
    </w:p>
    <w:p w14:paraId="6DAE003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Process: </w:t>
      </w:r>
      <w:r>
        <w:rPr>
          <w:rFonts w:ascii="Times New Roman" w:hAnsi="Times New Roman" w:eastAsia="Times New Roman" w:cs="Times New Roman"/>
          <w:sz w:val="24"/>
          <w:szCs w:val="24"/>
        </w:rPr>
        <w:t>Toyota is strongly recognised for its innovation through the Toyota production system, which emphasises continuous Innovation with efficiency to reduce environmental impacts (Nohara, 2025). In Japan, Toyota provides unique product quality and a streamlined customer purchase experience on the purchase of technology efficient vehicles.</w:t>
      </w:r>
    </w:p>
    <w:p w14:paraId="474C02F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other hand, in the UK market, Toyota focuses on applying similar rules during manufacturing and complying with local government laws, as well as customer expectations for purchase. Toyota provides test drives, schedule maintainance appointment, and strong after-sales services that help to strengthen its brand positioning in the UK.</w:t>
      </w:r>
    </w:p>
    <w:p w14:paraId="4A19CF3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Physical evidence: </w:t>
      </w:r>
      <w:r>
        <w:rPr>
          <w:rFonts w:ascii="Times New Roman" w:hAnsi="Times New Roman" w:eastAsia="Times New Roman" w:cs="Times New Roman"/>
          <w:sz w:val="24"/>
          <w:szCs w:val="24"/>
        </w:rPr>
        <w:t xml:space="preserve">The physical evidence of Toyota in Japan is its clean service centre, advanced manufacturing, staff behaviour and modern dealerships. The company focuses on displaying new products to customers at its physical stores, and this eventually fosters the brand reputation of Toyota for innovation and quality (Manjunath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2026).</w:t>
      </w:r>
    </w:p>
    <w:p w14:paraId="5B2F278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to tap into the UK market, Toyota focuses on strengthening the showroom designs and providing comfortable waiting areas with digital product displays that ensure customer satisfaction. Also, the company provides a significant physical environment at its stores through the commitments over innovation, professionalism and customer satisfaction.</w:t>
      </w:r>
    </w:p>
    <w:p w14:paraId="3B0C48E0">
      <w:pPr>
        <w:spacing w:line="360" w:lineRule="auto"/>
        <w:jc w:val="both"/>
        <w:rPr>
          <w:rFonts w:ascii="Times New Roman" w:hAnsi="Times New Roman" w:eastAsia="Times New Roman" w:cs="Times New Roman"/>
          <w:sz w:val="24"/>
          <w:szCs w:val="24"/>
        </w:rPr>
      </w:pPr>
    </w:p>
    <w:p w14:paraId="61548341">
      <w:pPr>
        <w:pStyle w:val="2"/>
      </w:pPr>
      <w:bookmarkStart w:id="4" w:name="_Toc236845404"/>
      <w:r>
        <w:t>Analysis of the market entry strategy in the United Kingdom</w:t>
      </w:r>
      <w:bookmarkEnd w:id="4"/>
      <w:r>
        <w:t xml:space="preserve"> </w:t>
      </w:r>
    </w:p>
    <w:p w14:paraId="023C323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Toyota efficiently entered the UK market by integrating the combination of local manufacturing and foreign direct investment. This enables the company to develop a strong market presence in the UK market while competing with the giants. Rather than solely depending on Japanese exports, Toyota invests in vehicle manufacturing plants in the UK to ensure production facilities and reduce transportation costs (toyotauk.com, 2026). This has helped Toyota to avoid commercial trade barriers and respond instantly to the demands of the local markets.</w:t>
      </w:r>
    </w:p>
    <w:p w14:paraId="5A5EA35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Toyota established an adaptive product portfolio in terms of meeting the evolving needs of the customers in the UK regarding the fuel efficient vehicles, low emissions vehicle and the hybrid vehicles model (media.toyota.co.uk, 2024). Toyota also integrates strong strategies for marketing, including Social media campaigns, offering value-based pricing and ensuring continuous innovation that helped the brand enhance its market position in the UK. The strong Integration of foreign direct investment and local production by Toyota has helped the company to strengthen strategic partnerships, product adaptation and develop a strong, sustainable Competitive advantage in the market to lead through intense competition in the UK market with the automotive giants.</w:t>
      </w:r>
    </w:p>
    <w:p w14:paraId="7BAD587C">
      <w:pPr>
        <w:pStyle w:val="2"/>
      </w:pPr>
      <w:bookmarkStart w:id="5" w:name="_Toc236845405"/>
      <w:r>
        <w:t>Evaluation of whether there were ethical issues related to this brand’s marketing mix in the UK market</w:t>
      </w:r>
      <w:bookmarkEnd w:id="5"/>
      <w:r>
        <w:t xml:space="preserve"> </w:t>
      </w:r>
    </w:p>
    <w:p w14:paraId="4428850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After comprehending Toyota's 7 Ps marketing mix, it is evident that there are ethical issues within the organisation when it operates in the UK. Its promotion and product strategies have ethical issues when operating in the UK. The Climate Group and watchdog have tracked discrepancies in Toyota UK  during maintaining environmental strategy. One of the notable ethical issues the company in the UK has faced was when the Born to Roam campaign for the SUV Hilux model was banned. The advertisement featured the product in such a way that showed that disel pickup trucks crossing rivers, becoming untidy. The ad has not been broadcast further as it has depicted harmful driving that is liable for adversely damaging the environment, and the organisation was nonchalant regarding this. </w:t>
      </w:r>
    </w:p>
    <w:p w14:paraId="6183703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an additional note, customer service is highly sceptical regarding Toyota operating its business in the United Kingdom in maintaining rules and regulations related to sustainability. According to buyers, the organisation is not proficient in implementing a green business strategy with its ongoing business plan but fakes appropriate adherence to sustainability (Balcarová</w:t>
      </w:r>
      <w:r>
        <w:rPr>
          <w:rFonts w:ascii="Times New Roman" w:hAnsi="Times New Roman" w:eastAsia="Times New Roman" w:cs="Times New Roman"/>
          <w:i/>
          <w:iCs/>
          <w:sz w:val="24"/>
          <w:szCs w:val="24"/>
        </w:rPr>
        <w:t xml:space="preserve"> et al. </w:t>
      </w:r>
      <w:r>
        <w:rPr>
          <w:rFonts w:ascii="Times New Roman" w:hAnsi="Times New Roman" w:eastAsia="Times New Roman" w:cs="Times New Roman"/>
          <w:sz w:val="24"/>
          <w:szCs w:val="24"/>
        </w:rPr>
        <w:t>2025). The company sells its regular hybrid cars by using tags like electrified, despite these models depending on fuels. This is the reason people in the UK are in a dilemma regarding trusting the organisation, which is a major ethical issue.</w:t>
      </w:r>
    </w:p>
    <w:p w14:paraId="0A751406">
      <w:pPr>
        <w:spacing w:line="360" w:lineRule="auto"/>
        <w:jc w:val="both"/>
        <w:rPr>
          <w:rFonts w:ascii="Times New Roman" w:hAnsi="Times New Roman" w:eastAsia="Times New Roman" w:cs="Times New Roman"/>
          <w:sz w:val="24"/>
          <w:szCs w:val="24"/>
        </w:rPr>
      </w:pPr>
    </w:p>
    <w:p w14:paraId="488DF170">
      <w:pPr>
        <w:pStyle w:val="2"/>
      </w:pPr>
      <w:bookmarkStart w:id="6" w:name="_Toc236845406"/>
      <w:r>
        <w:t>Recommendations</w:t>
      </w:r>
      <w:bookmarkEnd w:id="6"/>
    </w:p>
    <w:p w14:paraId="0874259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order to strengthen the brand positioning in the UK, Toyota must be improving the marketing strategies adapting the current trends of the automotive market and the evolving needs or demands of local customers. By improving the Integration of significant marketing approaches, Toyota can accelerate it's Competitive reputation in the UK market and lead through a strong brand reputation among the competitive automotive giants existing within the UK. For this, Toyota must focus on the aspects below that align with the crucial regulatory guidelines and customer choices:</w:t>
      </w:r>
    </w:p>
    <w:p w14:paraId="6AD1D0E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Strengthen digital marketing: </w:t>
      </w:r>
      <w:r>
        <w:rPr>
          <w:rFonts w:ascii="Times New Roman" w:hAnsi="Times New Roman" w:eastAsia="Times New Roman" w:cs="Times New Roman"/>
          <w:sz w:val="24"/>
          <w:szCs w:val="24"/>
        </w:rPr>
        <w:t xml:space="preserve">Initially, to tap into the UK market, Toyota must adopt strong digital marketing practices. For this, the company must optimise social media platforms and collaborate with social media influencers while also developing personalised online advertisements in terms of reaching young audiences (Joshi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2025). Toyota must depend on digital channels to influence purchase decisions and conduct interactive campaigns in terms of accelerating the awareness of hybrid and electric vehicles. Through this, Toyota can enhance brand awareness and engage customers over time. Strong digital marketing approaches of Toyota can help to create a strong brand presence in the UK markets.</w:t>
      </w:r>
    </w:p>
    <w:p w14:paraId="0E48856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 xml:space="preserve">Customer experience through data analytics and CRM Marketing: </w:t>
      </w:r>
      <w:r>
        <w:rPr>
          <w:rFonts w:ascii="Times New Roman" w:hAnsi="Times New Roman" w:eastAsia="Times New Roman" w:cs="Times New Roman"/>
          <w:sz w:val="24"/>
          <w:szCs w:val="24"/>
        </w:rPr>
        <w:t xml:space="preserve">Moreover, Toyota must invest in leveraging the customer experience, focusing on data analytics and customer relationship management software interpretation. It is evident that the usability of customer relationship management tools helps to understand customers and create personalised brand services through strengthening brand and buyer relationships (Ijomah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 Thus, by optimising data analytics, Toyota can get relevant information about the customers and their purchase patterns across the UK and can further create a personalised shopping experience to satisfy them in the long term. This would be beneficial for Toyota to develop strong customer retention, create personalised campaigns, and engage the community across social media platforms.</w:t>
      </w:r>
    </w:p>
    <w:p w14:paraId="0F32F646">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Promoting sales and marketing of electric and hybrid Models:</w:t>
      </w:r>
    </w:p>
    <w:p w14:paraId="311E88D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Lastly, the UK market has a strong demand for hybrid electric vehicles due to the increasing sustainability awareness and environmental wellbeing demands among people (Santos and Smith, 2023). Thus, concerning this, the automotive company can further focus on promoting electric and hybrid vehicle models, integrating the crucial government regulations that encourage the transition towards low emissions and accelerate fuel efficiency. By promoting awareness of such vehicle ranges, Toyota can eventually lower the cost of fuel for customers and increase long-term cost savings for the company. The marketing messages can be a significant approach for Toyota in order to accelerate the promotion of hybrid and electric vehicle models among UK customers.</w:t>
      </w:r>
    </w:p>
    <w:p w14:paraId="7B74566D">
      <w:pPr>
        <w:spacing w:line="360" w:lineRule="auto"/>
        <w:jc w:val="both"/>
        <w:rPr>
          <w:rFonts w:ascii="Times New Roman" w:hAnsi="Times New Roman" w:eastAsia="Times New Roman" w:cs="Times New Roman"/>
          <w:b/>
          <w:bCs/>
          <w:sz w:val="28"/>
          <w:szCs w:val="28"/>
        </w:rPr>
      </w:pPr>
    </w:p>
    <w:p w14:paraId="392487E3">
      <w:pPr>
        <w:pStyle w:val="2"/>
      </w:pPr>
      <w:bookmarkStart w:id="7" w:name="_Toc236845407"/>
      <w:r>
        <w:t>Conclusion</w:t>
      </w:r>
      <w:bookmarkEnd w:id="7"/>
      <w:r>
        <w:t xml:space="preserve"> </w:t>
      </w:r>
    </w:p>
    <w:p w14:paraId="497DE5B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study has focused on examining the business environment of Toyota in both Japan and the UK by using PESTLE. The focus is kept on using the Hofstede Cultural Model to compare the home country and the host country. Moreover, the STP model has been used to outline segmentation, targeting, positioning and the marketing mix model has indicated product, price, place, promotion, people and process of Toyota in Japan and the UK. The study has delved into market entry strategy in the UK and underscored ethical issues related to the marketing mix of Toyota in the UK, followed by mentioning recommendations.</w:t>
      </w:r>
    </w:p>
    <w:p w14:paraId="7DE22D36">
      <w:pPr>
        <w:spacing w:line="360" w:lineRule="auto"/>
        <w:rPr>
          <w:rFonts w:ascii="Times New Roman" w:hAnsi="Times New Roman" w:eastAsia="Times New Roman" w:cs="Times New Roman"/>
          <w:b/>
          <w:bCs/>
          <w:sz w:val="28"/>
          <w:szCs w:val="28"/>
        </w:rPr>
      </w:pPr>
    </w:p>
    <w:p w14:paraId="1A47AC16">
      <w:pPr>
        <w:rPr>
          <w:rFonts w:ascii="Times New Roman" w:hAnsi="Times New Roman"/>
          <w:b/>
          <w:sz w:val="28"/>
          <w:szCs w:val="40"/>
        </w:rPr>
      </w:pPr>
      <w:r>
        <w:br w:type="page"/>
      </w:r>
    </w:p>
    <w:p w14:paraId="78E2B076">
      <w:pPr>
        <w:pStyle w:val="2"/>
      </w:pPr>
      <w:bookmarkStart w:id="8" w:name="_Toc236845408"/>
      <w:r>
        <w:t>References</w:t>
      </w:r>
      <w:bookmarkEnd w:id="8"/>
      <w:r>
        <w:t xml:space="preserve"> </w:t>
      </w:r>
    </w:p>
    <w:p w14:paraId="0F0916E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abcnews.com, (2026), Available at: </w:t>
      </w:r>
      <w:r>
        <w:fldChar w:fldCharType="begin"/>
      </w:r>
      <w:r>
        <w:instrText xml:space="preserve"> HYPERLINK "https://abcnews.com/Business/wireStory/japans-toyota-reports-hefty-profit-cheap-yen-solid-135345302" \h </w:instrText>
      </w:r>
      <w:r>
        <w:fldChar w:fldCharType="separate"/>
      </w:r>
      <w:r>
        <w:rPr>
          <w:rFonts w:ascii="Times New Roman" w:hAnsi="Times New Roman" w:eastAsia="Times New Roman" w:cs="Times New Roman"/>
          <w:color w:val="1155CC"/>
          <w:sz w:val="24"/>
          <w:szCs w:val="24"/>
          <w:u w:val="single"/>
        </w:rPr>
        <w:t>https://abcnews.com/Business/wireStory/japans-toyota-reports-hefty-profit-cheap-yen-solid-135345302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6AC141D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Aoki, K., (2026). Managerial actions using historical values for tackling hyper‐competitive environments: The case of Toyota. Strategic Management Journal, 47(6), pp.1640-1670.[Available at:</w:t>
      </w:r>
      <w:r>
        <w:fldChar w:fldCharType="begin"/>
      </w:r>
      <w:r>
        <w:instrText xml:space="preserve"> HYPERLINK "https://sms.onlinelibrary.wiley.com/doi/abs/10.1002/smj.70069" \h </w:instrText>
      </w:r>
      <w:r>
        <w:fldChar w:fldCharType="separate"/>
      </w:r>
      <w:r>
        <w:rPr>
          <w:rFonts w:ascii="Times New Roman" w:hAnsi="Times New Roman" w:eastAsia="Times New Roman" w:cs="Times New Roman"/>
          <w:color w:val="1155CC"/>
          <w:sz w:val="24"/>
          <w:szCs w:val="24"/>
          <w:u w:val="single"/>
        </w:rPr>
        <w:t>https://sms.onlinelibrary.wiley.com/doi/abs/10.1002/smj.70069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130884D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apnews. com, (2026),toyota-japan-automakers-earnings. [Available at: </w:t>
      </w:r>
      <w:r>
        <w:fldChar w:fldCharType="begin"/>
      </w:r>
      <w:r>
        <w:instrText xml:space="preserve"> HYPERLINK "https://apnews.com/article/toyota-japan-automakers-earnings-currencyhormuz-8745600b3a3c8b5239d63d9892b56f9c" \h </w:instrText>
      </w:r>
      <w:r>
        <w:fldChar w:fldCharType="separate"/>
      </w:r>
      <w:r>
        <w:rPr>
          <w:rFonts w:ascii="Times New Roman" w:hAnsi="Times New Roman" w:eastAsia="Times New Roman" w:cs="Times New Roman"/>
          <w:color w:val="1155CC"/>
          <w:sz w:val="24"/>
          <w:szCs w:val="24"/>
          <w:u w:val="single"/>
        </w:rPr>
        <w:t>https://apnews.com/article/toyota-japan-automakers-earnings-currencyhormuz-8745600b3a3c8b5239d63d9892b56f9c</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 [Accessed on: 04.07.2026].</w:t>
      </w:r>
    </w:p>
    <w:p w14:paraId="48DDFA5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Balcarová, T., Mráčková, A., Prokop, M., Kvasničková Stanislavská, L., Pilařová, L. and Pilař, L., (2025). Disentangling greenwashing discourse: A topic and sentiment analysis of public engagement on Twitter. Chall. Sustain, 2, pp.295-315.. [Available at: </w:t>
      </w:r>
      <w:r>
        <w:fldChar w:fldCharType="begin"/>
      </w:r>
      <w:r>
        <w:instrText xml:space="preserve"> HYPERLINK "https://library.acadlore.com/CIS/2025/13/2/CIS_13.02_10.pdf" \h </w:instrText>
      </w:r>
      <w:r>
        <w:fldChar w:fldCharType="separate"/>
      </w:r>
      <w:r>
        <w:rPr>
          <w:rFonts w:ascii="Times New Roman" w:hAnsi="Times New Roman" w:eastAsia="Times New Roman" w:cs="Times New Roman"/>
          <w:color w:val="1155CC"/>
          <w:sz w:val="24"/>
          <w:szCs w:val="24"/>
          <w:u w:val="single"/>
        </w:rPr>
        <w:t>https://library.acadlore.com/CIS/2025/13/2/CIS_13.02_10.pdf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6DA80B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business -live. co.uk, (2026), toyota-uk-profit. [Available at: </w:t>
      </w:r>
      <w:r>
        <w:fldChar w:fldCharType="begin"/>
      </w:r>
      <w:r>
        <w:instrText xml:space="preserve"> HYPERLINK "https://www.business-live.co.uk/manufacturing/toyota-uk-profit-crashes-96-32461513" \h </w:instrText>
      </w:r>
      <w:r>
        <w:fldChar w:fldCharType="separate"/>
      </w:r>
      <w:r>
        <w:rPr>
          <w:rFonts w:ascii="Times New Roman" w:hAnsi="Times New Roman" w:eastAsia="Times New Roman" w:cs="Times New Roman"/>
          <w:color w:val="1155CC"/>
          <w:sz w:val="24"/>
          <w:szCs w:val="24"/>
          <w:u w:val="single"/>
        </w:rPr>
        <w:t>https://www.business-live.co.uk/manufacturing/toyota-uk-profit-crashes-96-32461513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on: 04.07.2026].</w:t>
      </w:r>
    </w:p>
    <w:p w14:paraId="0789293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crunchbase.com, (2025), Available at: </w:t>
      </w:r>
      <w:r>
        <w:fldChar w:fldCharType="begin"/>
      </w:r>
      <w:r>
        <w:instrText xml:space="preserve"> HYPERLINK "https://www.crunchbase.com/organization/toyota-gb-plc" \h </w:instrText>
      </w:r>
      <w:r>
        <w:fldChar w:fldCharType="separate"/>
      </w:r>
      <w:r>
        <w:rPr>
          <w:rFonts w:ascii="Times New Roman" w:hAnsi="Times New Roman" w:eastAsia="Times New Roman" w:cs="Times New Roman"/>
          <w:color w:val="1155CC"/>
          <w:sz w:val="24"/>
          <w:szCs w:val="24"/>
          <w:u w:val="single"/>
        </w:rPr>
        <w:t>https://www.crunchbase.com/organization/toyota-gb-plc</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33FF5EC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Edwards, P.J., Moore, S. and Higgins, C., (2024). Pedestrian safety on the road to net zero: cross-sectional study of collisions with electric and hybrid-electric cars in Great Britain. </w:t>
      </w:r>
      <w:r>
        <w:rPr>
          <w:rFonts w:ascii="Times New Roman" w:hAnsi="Times New Roman" w:eastAsia="Times New Roman" w:cs="Times New Roman"/>
          <w:i/>
          <w:iCs/>
          <w:sz w:val="24"/>
          <w:szCs w:val="24"/>
        </w:rPr>
        <w:t>Journal of epidemiology and community health</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78</w:t>
      </w:r>
      <w:r>
        <w:rPr>
          <w:rFonts w:ascii="Times New Roman" w:hAnsi="Times New Roman" w:eastAsia="Times New Roman" w:cs="Times New Roman"/>
          <w:sz w:val="24"/>
          <w:szCs w:val="24"/>
        </w:rPr>
        <w:t xml:space="preserve">(8), pp.487-492. [Available at: </w:t>
      </w:r>
      <w:r>
        <w:fldChar w:fldCharType="begin"/>
      </w:r>
      <w:r>
        <w:instrText xml:space="preserve"> HYPERLINK "https://jech.bmj.com/content/78/8/487" \h </w:instrText>
      </w:r>
      <w:r>
        <w:fldChar w:fldCharType="separate"/>
      </w:r>
      <w:r>
        <w:rPr>
          <w:rFonts w:ascii="Times New Roman" w:hAnsi="Times New Roman" w:eastAsia="Times New Roman" w:cs="Times New Roman"/>
          <w:color w:val="1155CC"/>
          <w:sz w:val="24"/>
          <w:szCs w:val="24"/>
          <w:u w:val="single"/>
        </w:rPr>
        <w:t>https://jech.bmj.com/content/78/8/487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66E2CCE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globaltradealert.org, (2026),japan-government-announces-state-aid-to-toyota-and-further-companies-for-ev-battery-development. [Available at: </w:t>
      </w:r>
      <w:r>
        <w:fldChar w:fldCharType="begin"/>
      </w:r>
      <w:r>
        <w:instrText xml:space="preserve"> HYPERLINK "https://globaltradealert.org/intervention/121317-japan-government-announces-state-aid-to-toyota-and-further-companies-for-ev-battery-development" \h </w:instrText>
      </w:r>
      <w:r>
        <w:fldChar w:fldCharType="separate"/>
      </w:r>
      <w:r>
        <w:rPr>
          <w:rFonts w:ascii="Times New Roman" w:hAnsi="Times New Roman" w:eastAsia="Times New Roman" w:cs="Times New Roman"/>
          <w:color w:val="1155CC"/>
          <w:sz w:val="24"/>
          <w:szCs w:val="24"/>
          <w:u w:val="single"/>
        </w:rPr>
        <w:t>https://globaltradealert.org/intervention/121317-japan-government-announces-state-aid-to-toyota-and-further-companies-for-ev-battery-development</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 [Accessed on: 04.07.2026]</w:t>
      </w:r>
    </w:p>
    <w:p w14:paraId="25DCB6D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Hossain, M.I., Akter, N. and Muzareba, A.M., (2024). Segmentation, targeting, and positioning. In </w:t>
      </w:r>
      <w:r>
        <w:rPr>
          <w:rFonts w:ascii="Times New Roman" w:hAnsi="Times New Roman" w:eastAsia="Times New Roman" w:cs="Times New Roman"/>
          <w:i/>
          <w:iCs/>
          <w:sz w:val="24"/>
          <w:szCs w:val="24"/>
        </w:rPr>
        <w:t>Marketing in a Transition Economy: New Realities, Challenges, and Prospects</w:t>
      </w:r>
      <w:r>
        <w:rPr>
          <w:rFonts w:ascii="Times New Roman" w:hAnsi="Times New Roman" w:eastAsia="Times New Roman" w:cs="Times New Roman"/>
          <w:sz w:val="24"/>
          <w:szCs w:val="24"/>
        </w:rPr>
        <w:t xml:space="preserve"> (pp. 115-154). Singapore: Springer Nature Singapore. [Publisher: Springer: US]</w:t>
      </w:r>
    </w:p>
    <w:p w14:paraId="1F5FB4B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Ijomah, T.I., Nwabekee, U.S., Agu, E.E. and Abdul-Azeez, O.Y., (2024). The impact of customer relationship management (CRM) tools on sales growth and customer loyalty in emerging markets. </w:t>
      </w:r>
      <w:r>
        <w:rPr>
          <w:rFonts w:ascii="Times New Roman" w:hAnsi="Times New Roman" w:eastAsia="Times New Roman" w:cs="Times New Roman"/>
          <w:i/>
          <w:iCs/>
          <w:sz w:val="24"/>
          <w:szCs w:val="24"/>
        </w:rPr>
        <w:t>International Journal of Management &amp; Entrepreneurship Research</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6</w:t>
      </w:r>
      <w:r>
        <w:rPr>
          <w:rFonts w:ascii="Times New Roman" w:hAnsi="Times New Roman" w:eastAsia="Times New Roman" w:cs="Times New Roman"/>
          <w:sz w:val="24"/>
          <w:szCs w:val="24"/>
        </w:rPr>
        <w:t xml:space="preserve">(9), pp.2964-2988. [Available at: </w:t>
      </w:r>
      <w:r>
        <w:fldChar w:fldCharType="begin"/>
      </w:r>
      <w:r>
        <w:instrText xml:space="preserve"> HYPERLINK "https://www.researchgate.net/publication/383847941_The_impact_of_customer_relationship_management_CRM_tools_on_sales_growth_and_customer_loyalty_in_emerging_markets" \h </w:instrText>
      </w:r>
      <w:r>
        <w:fldChar w:fldCharType="separate"/>
      </w:r>
      <w:r>
        <w:rPr>
          <w:rFonts w:ascii="Times New Roman" w:hAnsi="Times New Roman" w:eastAsia="Times New Roman" w:cs="Times New Roman"/>
          <w:color w:val="1155CC"/>
          <w:sz w:val="24"/>
          <w:szCs w:val="24"/>
          <w:u w:val="single"/>
        </w:rPr>
        <w:t>https://www.researchgate.net/publication/383847941_The_impact_of_customer_relationship_management_CRM_tools_on_sales_growth_and_customer_loyalty_in_emerging_markets</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35A4C36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Iskamto, D. and Wicaksono, A.E., (2023). Computational architecture of digital marketing of Toyota Corporation. </w:t>
      </w:r>
      <w:r>
        <w:rPr>
          <w:rFonts w:ascii="Times New Roman" w:hAnsi="Times New Roman" w:eastAsia="Times New Roman" w:cs="Times New Roman"/>
          <w:i/>
          <w:iCs/>
          <w:sz w:val="24"/>
          <w:szCs w:val="24"/>
        </w:rPr>
        <w:t>Jurnal Penelitian Pendidikan IPA</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9</w:t>
      </w:r>
      <w:r>
        <w:rPr>
          <w:rFonts w:ascii="Times New Roman" w:hAnsi="Times New Roman" w:eastAsia="Times New Roman" w:cs="Times New Roman"/>
          <w:sz w:val="24"/>
          <w:szCs w:val="24"/>
        </w:rPr>
        <w:t xml:space="preserve">(SpecialIssue), pp.1249-1253. [Available at:  </w:t>
      </w:r>
      <w:r>
        <w:fldChar w:fldCharType="begin"/>
      </w:r>
      <w:r>
        <w:instrText xml:space="preserve"> HYPERLINK "https://www.researchgate.net/publication/378714977_Computational_Architecture_of_Digital_Marketing_of_Toyota_Corporation" \h </w:instrText>
      </w:r>
      <w:r>
        <w:fldChar w:fldCharType="separate"/>
      </w:r>
      <w:r>
        <w:rPr>
          <w:rFonts w:ascii="Times New Roman" w:hAnsi="Times New Roman" w:eastAsia="Times New Roman" w:cs="Times New Roman"/>
          <w:color w:val="1155CC"/>
          <w:sz w:val="24"/>
          <w:szCs w:val="24"/>
          <w:u w:val="single"/>
        </w:rPr>
        <w:t>https://www.researchgate.net/publication/378714977_Computational_Architecture_of_Digital_Marketing_of_Toyota_Corporation</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CE9D22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Joshi, Y., Lim, W.M., Jagani, K. and Kumar, S., (2025). Social media influencer marketing: foundations, trends, and ways forward: Y. Joshi et al. </w:t>
      </w:r>
      <w:r>
        <w:rPr>
          <w:rFonts w:ascii="Times New Roman" w:hAnsi="Times New Roman" w:eastAsia="Times New Roman" w:cs="Times New Roman"/>
          <w:i/>
          <w:iCs/>
          <w:sz w:val="24"/>
          <w:szCs w:val="24"/>
        </w:rPr>
        <w:t>Electronic commerce research</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25</w:t>
      </w:r>
      <w:r>
        <w:rPr>
          <w:rFonts w:ascii="Times New Roman" w:hAnsi="Times New Roman" w:eastAsia="Times New Roman" w:cs="Times New Roman"/>
          <w:sz w:val="24"/>
          <w:szCs w:val="24"/>
        </w:rPr>
        <w:t xml:space="preserve">(2), pp.1199-1253. [Available at: </w:t>
      </w:r>
      <w:r>
        <w:fldChar w:fldCharType="begin"/>
      </w:r>
      <w:r>
        <w:instrText xml:space="preserve"> HYPERLINK "https://www.researchgate.net/publication/371853805_Social_media_influencer_marketing_foundations_trends_and_ways_forward" \h </w:instrText>
      </w:r>
      <w:r>
        <w:fldChar w:fldCharType="separate"/>
      </w:r>
      <w:r>
        <w:rPr>
          <w:rFonts w:ascii="Times New Roman" w:hAnsi="Times New Roman" w:eastAsia="Times New Roman" w:cs="Times New Roman"/>
          <w:color w:val="1155CC"/>
          <w:sz w:val="24"/>
          <w:szCs w:val="24"/>
          <w:u w:val="single"/>
        </w:rPr>
        <w:t>https://www.researchgate.net/publication/371853805_Social_media_influencer_marketing_foundations_trends_and_ways_forward</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12F62A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kelvinindia.in, (2025), Available at: </w:t>
      </w:r>
      <w:r>
        <w:fldChar w:fldCharType="begin"/>
      </w:r>
      <w:r>
        <w:instrText xml:space="preserve"> HYPERLINK "https://www.kelvinindia.in/blog/what-is-stp-segmentation-targeting-positioning-how-to-use-stp-model/" \h </w:instrText>
      </w:r>
      <w:r>
        <w:fldChar w:fldCharType="separate"/>
      </w:r>
      <w:r>
        <w:rPr>
          <w:rFonts w:ascii="Times New Roman" w:hAnsi="Times New Roman" w:eastAsia="Times New Roman" w:cs="Times New Roman"/>
          <w:color w:val="1155CC"/>
          <w:sz w:val="24"/>
          <w:szCs w:val="24"/>
          <w:u w:val="single"/>
        </w:rPr>
        <w:t>https://www.kelvinindia.in/blog/what-is-stp-segmentation-targeting-positioning-how-to-use-stp-model/</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25.07.2026]</w:t>
      </w:r>
    </w:p>
    <w:p w14:paraId="11E7932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Manjunath, D.G., Balraj, I., Nellore, C.P. and Durdana, M., (2026). Driving Sales Digitally: An Empirical Study of Digital Showrooms in the Automotive Sector. </w:t>
      </w:r>
      <w:r>
        <w:rPr>
          <w:rFonts w:ascii="Times New Roman" w:hAnsi="Times New Roman" w:eastAsia="Times New Roman" w:cs="Times New Roman"/>
          <w:i/>
          <w:iCs/>
          <w:sz w:val="24"/>
          <w:szCs w:val="24"/>
        </w:rPr>
        <w:t>Cureus Journal of Business and Economics, 0 [10.7759/s44404-026-00015-7]</w:t>
      </w:r>
      <w:r>
        <w:rPr>
          <w:rFonts w:ascii="Times New Roman" w:hAnsi="Times New Roman" w:eastAsia="Times New Roman" w:cs="Times New Roman"/>
          <w:sz w:val="24"/>
          <w:szCs w:val="24"/>
        </w:rPr>
        <w:t xml:space="preserve">. [Available at: </w:t>
      </w:r>
      <w:r>
        <w:fldChar w:fldCharType="begin"/>
      </w:r>
      <w:r>
        <w:instrText xml:space="preserve"> HYPERLINK "https://www.researchgate.net/publication/399967871_Driving_Sales_Digitally_An_Empirical_Study_of_Digital_Showrooms_in_the_Automotive_Sector" \h </w:instrText>
      </w:r>
      <w:r>
        <w:fldChar w:fldCharType="separate"/>
      </w:r>
      <w:r>
        <w:rPr>
          <w:rFonts w:ascii="Times New Roman" w:hAnsi="Times New Roman" w:eastAsia="Times New Roman" w:cs="Times New Roman"/>
          <w:color w:val="1155CC"/>
          <w:sz w:val="24"/>
          <w:szCs w:val="24"/>
          <w:u w:val="single"/>
        </w:rPr>
        <w:t>https://www.researchgate.net/publication/399967871_Driving_Sales_Digitally_An_Empirical_Study_of_Digital_Showrooms_in_the_Automotive_Sector</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7C042E4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media.toyota.co.uk, (2023), Available at: </w:t>
      </w:r>
      <w:r>
        <w:fldChar w:fldCharType="begin"/>
      </w:r>
      <w:r>
        <w:instrText xml:space="preserve"> HYPERLINK "https://media.toyota.co.uk/toyota-unveils-new-technology-that-will-change-the-future-of-cars/" \h </w:instrText>
      </w:r>
      <w:r>
        <w:fldChar w:fldCharType="separate"/>
      </w:r>
      <w:r>
        <w:rPr>
          <w:rFonts w:ascii="Times New Roman" w:hAnsi="Times New Roman" w:eastAsia="Times New Roman" w:cs="Times New Roman"/>
          <w:color w:val="1155CC"/>
          <w:sz w:val="24"/>
          <w:szCs w:val="24"/>
          <w:u w:val="single"/>
        </w:rPr>
        <w:t>https://media.toyota.co.uk/toyota-unveils-new-technology-that-will-change-the-future-of-cars/</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476F741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media.toyota.co.uk, (2024), Available at: </w:t>
      </w:r>
      <w:r>
        <w:fldChar w:fldCharType="begin"/>
      </w:r>
      <w:r>
        <w:instrText xml:space="preserve"> HYPERLINK "https://media.toyota.co.uk/toyota-e-collection-presents-innovative-ideas-for-adaptable-living/" \h </w:instrText>
      </w:r>
      <w:r>
        <w:fldChar w:fldCharType="separate"/>
      </w:r>
      <w:r>
        <w:rPr>
          <w:rFonts w:ascii="Times New Roman" w:hAnsi="Times New Roman" w:eastAsia="Times New Roman" w:cs="Times New Roman"/>
          <w:color w:val="1155CC"/>
          <w:sz w:val="24"/>
          <w:szCs w:val="24"/>
          <w:u w:val="single"/>
        </w:rPr>
        <w:t>https://media.toyota.co.uk/toyota-e-collection-presents-innovative-ideas-for-adaptable-living/</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19C4FA4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media.toyota.co.uk, (2026), Available at: </w:t>
      </w:r>
      <w:r>
        <w:fldChar w:fldCharType="begin"/>
      </w:r>
      <w:r>
        <w:instrText xml:space="preserve"> HYPERLINK "https://media.toyota.co.uk/toyota-retains-top-automotive-manufacturer-position-in-uk-customer-service-survey/" \h </w:instrText>
      </w:r>
      <w:r>
        <w:fldChar w:fldCharType="separate"/>
      </w:r>
      <w:r>
        <w:rPr>
          <w:rFonts w:ascii="Times New Roman" w:hAnsi="Times New Roman" w:eastAsia="Times New Roman" w:cs="Times New Roman"/>
          <w:color w:val="1155CC"/>
          <w:sz w:val="24"/>
          <w:szCs w:val="24"/>
          <w:u w:val="single"/>
        </w:rPr>
        <w:t>https://media.toyota.co.uk/toyota-retains-top-automotive-manufacturer-position-in-uk-customer-service-survey/</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34C18B6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newswirejet.com, (2026), Available at: </w:t>
      </w:r>
      <w:r>
        <w:fldChar w:fldCharType="begin"/>
      </w:r>
      <w:r>
        <w:instrText xml:space="preserve"> HYPERLINK "https://newswirejet.com/toyota-pricing-strategy/" \h </w:instrText>
      </w:r>
      <w:r>
        <w:fldChar w:fldCharType="separate"/>
      </w:r>
      <w:r>
        <w:rPr>
          <w:rFonts w:ascii="Times New Roman" w:hAnsi="Times New Roman" w:eastAsia="Times New Roman" w:cs="Times New Roman"/>
          <w:color w:val="1155CC"/>
          <w:sz w:val="24"/>
          <w:szCs w:val="24"/>
          <w:u w:val="single"/>
        </w:rPr>
        <w:t>https://newswirejet.com/toyota-pricing-strategy/</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000D7E3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Nieto, J., Brockway, P.E., Sakai, M. and Barrett, J., (2024). Assessing the energy and socio-macroeconomic impacts of the EV transition: A UK case study 2020–2050. </w:t>
      </w:r>
      <w:r>
        <w:rPr>
          <w:rFonts w:ascii="Times New Roman" w:hAnsi="Times New Roman" w:eastAsia="Times New Roman" w:cs="Times New Roman"/>
          <w:i/>
          <w:iCs/>
          <w:sz w:val="24"/>
          <w:szCs w:val="24"/>
        </w:rPr>
        <w:t>Applied Energy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370</w:t>
      </w:r>
      <w:r>
        <w:rPr>
          <w:rFonts w:ascii="Times New Roman" w:hAnsi="Times New Roman" w:eastAsia="Times New Roman" w:cs="Times New Roman"/>
          <w:sz w:val="24"/>
          <w:szCs w:val="24"/>
        </w:rPr>
        <w:t xml:space="preserve">, p.123367. [Available at: </w:t>
      </w:r>
      <w:r>
        <w:fldChar w:fldCharType="begin"/>
      </w:r>
      <w:r>
        <w:instrText xml:space="preserve"> HYPERLINK "https://www.sciencedirect.com/science/article/pii/S0306261924007505" \h </w:instrText>
      </w:r>
      <w:r>
        <w:fldChar w:fldCharType="separate"/>
      </w:r>
      <w:r>
        <w:rPr>
          <w:rFonts w:ascii="Times New Roman" w:hAnsi="Times New Roman" w:eastAsia="Times New Roman" w:cs="Times New Roman"/>
          <w:color w:val="1155CC"/>
          <w:sz w:val="24"/>
          <w:szCs w:val="24"/>
          <w:u w:val="single"/>
        </w:rPr>
        <w:t>https://www.sciencedirect.com/science/article/pii/S0306261924007505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20B05D6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Nohara, H., (2025). Toyota Production System and Modern Society. In Technology Convergence and System Divergence: Toyota and Uddevalla, Volvo (pp. 285-321). Singapore: Springer Nature Singapore. [Available at: </w:t>
      </w:r>
      <w:r>
        <w:fldChar w:fldCharType="begin"/>
      </w:r>
      <w:r>
        <w:instrText xml:space="preserve"> HYPERLINK "https://link.springer.com/chapter/10.1007/978-981-96-1910-8_7" \h </w:instrText>
      </w:r>
      <w:r>
        <w:fldChar w:fldCharType="separate"/>
      </w:r>
      <w:r>
        <w:rPr>
          <w:rFonts w:ascii="Times New Roman" w:hAnsi="Times New Roman" w:eastAsia="Times New Roman" w:cs="Times New Roman"/>
          <w:color w:val="1155CC"/>
          <w:sz w:val="24"/>
          <w:szCs w:val="24"/>
          <w:u w:val="single"/>
        </w:rPr>
        <w:t>https://link.springer.com/chapter/10.1007/978-981-96-1910-8_7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28FCD6B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Nohara, H., (2025). Toyota Production System and Modern Society. In </w:t>
      </w:r>
      <w:r>
        <w:rPr>
          <w:rFonts w:ascii="Times New Roman" w:hAnsi="Times New Roman" w:eastAsia="Times New Roman" w:cs="Times New Roman"/>
          <w:i/>
          <w:iCs/>
          <w:sz w:val="24"/>
          <w:szCs w:val="24"/>
        </w:rPr>
        <w:t>Technology Convergence and System Divergence: Toyota and Uddevalla, Volvo</w:t>
      </w:r>
      <w:r>
        <w:rPr>
          <w:rFonts w:ascii="Times New Roman" w:hAnsi="Times New Roman" w:eastAsia="Times New Roman" w:cs="Times New Roman"/>
          <w:sz w:val="24"/>
          <w:szCs w:val="24"/>
        </w:rPr>
        <w:t xml:space="preserve"> (pp. 285-321). Singapore: Springer Nature Singapore. [Available at: </w:t>
      </w:r>
      <w:r>
        <w:fldChar w:fldCharType="begin"/>
      </w:r>
      <w:r>
        <w:instrText xml:space="preserve"> HYPERLINK "https://www.researchgate.net/publication/390974397_Toyota_Production_System_and_Modern_Society" \h </w:instrText>
      </w:r>
      <w:r>
        <w:fldChar w:fldCharType="separate"/>
      </w:r>
      <w:r>
        <w:rPr>
          <w:rFonts w:ascii="Times New Roman" w:hAnsi="Times New Roman" w:eastAsia="Times New Roman" w:cs="Times New Roman"/>
          <w:color w:val="1155CC"/>
          <w:sz w:val="24"/>
          <w:szCs w:val="24"/>
          <w:u w:val="single"/>
        </w:rPr>
        <w:t>https://www.researchgate.net/publication/390974397_Toyota_Production_System_and_Modern_Society</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6C63A3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Palhau, M., Sá, J.C., Ávila, P., Dinis-Carvalho, J., Rodrigues, C. and Santos, G., (2024). Toyota Way–the Heart of Toyota Production System and Its Impact on Sustainable Company Growth. </w:t>
      </w:r>
      <w:r>
        <w:rPr>
          <w:rFonts w:ascii="Times New Roman" w:hAnsi="Times New Roman" w:eastAsia="Times New Roman" w:cs="Times New Roman"/>
          <w:i/>
          <w:iCs/>
          <w:sz w:val="24"/>
          <w:szCs w:val="24"/>
        </w:rPr>
        <w:t>Quality Innovation Prosperity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28</w:t>
      </w:r>
      <w:r>
        <w:rPr>
          <w:rFonts w:ascii="Times New Roman" w:hAnsi="Times New Roman" w:eastAsia="Times New Roman" w:cs="Times New Roman"/>
          <w:sz w:val="24"/>
          <w:szCs w:val="24"/>
        </w:rPr>
        <w:t xml:space="preserve">(3), pp.23-45. [Available at:  </w:t>
      </w:r>
      <w:r>
        <w:fldChar w:fldCharType="begin"/>
      </w:r>
      <w:r>
        <w:instrText xml:space="preserve"> HYPERLINK "https://www.researchgate.net/publication/386287823_Toyota_Way_-_the_Heart_of_Toyota_Production_System_and_its_Impact_on_Sustainable_Company_Growth" \h </w:instrText>
      </w:r>
      <w:r>
        <w:fldChar w:fldCharType="separate"/>
      </w:r>
      <w:r>
        <w:rPr>
          <w:rFonts w:ascii="Times New Roman" w:hAnsi="Times New Roman" w:eastAsia="Times New Roman" w:cs="Times New Roman"/>
          <w:color w:val="1155CC"/>
          <w:sz w:val="24"/>
          <w:szCs w:val="24"/>
          <w:u w:val="single"/>
        </w:rPr>
        <w:t>https://www.researchgate.net/publication/386287823_Toyota_Way_-_the_Heart_of_Toyota_Production_System_and_its_Impact_on_Sustainable_Company_Growth</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7DB3527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Piao, X., Nasuda, A. and Li, S., (2025). Electric Vehicle Adoption: Japanese Consumer Attitudes, Inter-Vehicle Transitions, and Effects on Well-Being. </w:t>
      </w:r>
      <w:r>
        <w:rPr>
          <w:rFonts w:ascii="Times New Roman" w:hAnsi="Times New Roman" w:eastAsia="Times New Roman" w:cs="Times New Roman"/>
          <w:i/>
          <w:iCs/>
          <w:sz w:val="24"/>
          <w:szCs w:val="24"/>
        </w:rPr>
        <w:t>Sustainability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18</w:t>
      </w:r>
      <w:r>
        <w:rPr>
          <w:rFonts w:ascii="Times New Roman" w:hAnsi="Times New Roman" w:eastAsia="Times New Roman" w:cs="Times New Roman"/>
          <w:sz w:val="24"/>
          <w:szCs w:val="24"/>
        </w:rPr>
        <w:t xml:space="preserve">(1), p.195. [Available at: </w:t>
      </w:r>
      <w:r>
        <w:fldChar w:fldCharType="begin"/>
      </w:r>
      <w:r>
        <w:instrText xml:space="preserve"> HYPERLINK "https://www.researchgate.net/publication/399042992_Electric_Vehicle_Adoption_Japanese_Consumer_Attitudes_Inter-Vehicle_Transitions_and_Effects_on_Well-Being" \h </w:instrText>
      </w:r>
      <w:r>
        <w:fldChar w:fldCharType="separate"/>
      </w:r>
      <w:r>
        <w:rPr>
          <w:rFonts w:ascii="Times New Roman" w:hAnsi="Times New Roman" w:eastAsia="Times New Roman" w:cs="Times New Roman"/>
          <w:color w:val="1155CC"/>
          <w:sz w:val="24"/>
          <w:szCs w:val="24"/>
          <w:u w:val="single"/>
        </w:rPr>
        <w:t>https://www.researchgate.net/publication/399042992_Electric_Vehicle_Adoption_Japanese_Consumer_Attitudes_Inter-Vehicle_Transitions_and_Effects_on_Well-Being</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636FE2A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researchgate.net, (2025), Available at: </w:t>
      </w:r>
      <w:r>
        <w:fldChar w:fldCharType="begin"/>
      </w:r>
      <w:r>
        <w:instrText xml:space="preserve"> HYPERLINK "https://www.researchgate.net/publication/389352546_7_Ps_of_MarketingOverview_of_marketing" \h </w:instrText>
      </w:r>
      <w:r>
        <w:fldChar w:fldCharType="separate"/>
      </w:r>
      <w:r>
        <w:rPr>
          <w:rFonts w:ascii="Times New Roman" w:hAnsi="Times New Roman" w:eastAsia="Times New Roman" w:cs="Times New Roman"/>
          <w:color w:val="1155CC"/>
          <w:sz w:val="24"/>
          <w:szCs w:val="24"/>
          <w:u w:val="single"/>
        </w:rPr>
        <w:t>https://www.researchgate.net/publication/389352546_7_Ps_of_MarketingOverview_of_marketing</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5656A2F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Sakai, T., (2025). Toyota Studies: The Way Forward-Expecting Leadership from Everyone. Available at SSRN 5664470. [Available at: </w:t>
      </w:r>
      <w:r>
        <w:fldChar w:fldCharType="begin"/>
      </w:r>
      <w:r>
        <w:instrText xml:space="preserve"> HYPERLINK "https://papers.ssrn.com/sol3/papers.cfm?abstract_id=5664470" \h </w:instrText>
      </w:r>
      <w:r>
        <w:fldChar w:fldCharType="separate"/>
      </w:r>
      <w:r>
        <w:rPr>
          <w:rFonts w:ascii="Times New Roman" w:hAnsi="Times New Roman" w:eastAsia="Times New Roman" w:cs="Times New Roman"/>
          <w:color w:val="1155CC"/>
          <w:sz w:val="24"/>
          <w:szCs w:val="24"/>
          <w:u w:val="single"/>
        </w:rPr>
        <w:t>https://papers.ssrn.com/sol3/papers.cfm?abstract_id=5664470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54B7B5F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Santos, G. and Smith, O., (2023). Electric vehicles and the energy generation mix in the UK: 2020–2050. </w:t>
      </w:r>
      <w:r>
        <w:rPr>
          <w:rFonts w:ascii="Times New Roman" w:hAnsi="Times New Roman" w:eastAsia="Times New Roman" w:cs="Times New Roman"/>
          <w:i/>
          <w:iCs/>
          <w:sz w:val="24"/>
          <w:szCs w:val="24"/>
        </w:rPr>
        <w:t>Energy Reports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9</w:t>
      </w:r>
      <w:r>
        <w:rPr>
          <w:rFonts w:ascii="Times New Roman" w:hAnsi="Times New Roman" w:eastAsia="Times New Roman" w:cs="Times New Roman"/>
          <w:sz w:val="24"/>
          <w:szCs w:val="24"/>
        </w:rPr>
        <w:t xml:space="preserve">, pp.5612-5627. [Available at: </w:t>
      </w:r>
      <w:r>
        <w:fldChar w:fldCharType="begin"/>
      </w:r>
      <w:r>
        <w:instrText xml:space="preserve"> HYPERLINK "https://www.sciencedirect.com/science/article/pii/S2352484723003517" \h </w:instrText>
      </w:r>
      <w:r>
        <w:fldChar w:fldCharType="separate"/>
      </w:r>
      <w:r>
        <w:rPr>
          <w:rFonts w:ascii="Times New Roman" w:hAnsi="Times New Roman" w:eastAsia="Times New Roman" w:cs="Times New Roman"/>
          <w:color w:val="1155CC"/>
          <w:sz w:val="24"/>
          <w:szCs w:val="24"/>
          <w:u w:val="single"/>
        </w:rPr>
        <w:t>https://www.sciencedirect.com/science/article/pii/S2352484723003517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26CC16A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smartinsights.com, (2025), Available at: </w:t>
      </w:r>
      <w:r>
        <w:fldChar w:fldCharType="begin"/>
      </w:r>
      <w:r>
        <w:instrText xml:space="preserve"> HYPERLINK "https://www.smartinsights.com/marketing-planning/marketing-models/how-to-use-the-7ps-marketing-mix/" \h </w:instrText>
      </w:r>
      <w:r>
        <w:fldChar w:fldCharType="separate"/>
      </w:r>
      <w:r>
        <w:rPr>
          <w:rFonts w:ascii="Times New Roman" w:hAnsi="Times New Roman" w:eastAsia="Times New Roman" w:cs="Times New Roman"/>
          <w:color w:val="1155CC"/>
          <w:sz w:val="24"/>
          <w:szCs w:val="24"/>
          <w:u w:val="single"/>
        </w:rPr>
        <w:t>https://www.smartinsights.com/marketing-planning/marketing-models/how-to-use-the-7ps-marketing-mix/</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25.07.2026]</w:t>
      </w:r>
    </w:p>
    <w:p w14:paraId="7E8DC34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Takeuchi, I.Y., Ohmae, H.T. and Ichijo, K.K., (2023). Navigating Competition through Alliances: An Analysis of Toyota's Strategy in the Japanese Auto Industry. </w:t>
      </w:r>
      <w:r>
        <w:rPr>
          <w:rFonts w:ascii="Times New Roman" w:hAnsi="Times New Roman" w:eastAsia="Times New Roman" w:cs="Times New Roman"/>
          <w:i/>
          <w:iCs/>
          <w:sz w:val="24"/>
          <w:szCs w:val="24"/>
        </w:rPr>
        <w:t>Journal of Strategic Management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7</w:t>
      </w:r>
      <w:r>
        <w:rPr>
          <w:rFonts w:ascii="Times New Roman" w:hAnsi="Times New Roman" w:eastAsia="Times New Roman" w:cs="Times New Roman"/>
          <w:sz w:val="24"/>
          <w:szCs w:val="24"/>
        </w:rPr>
        <w:t xml:space="preserve">(6), pp.1-12. [Available at: </w:t>
      </w:r>
      <w:r>
        <w:fldChar w:fldCharType="begin"/>
      </w:r>
      <w:r>
        <w:instrText xml:space="preserve"> HYPERLINK "https://stratfordjournalpublishers.org/journals/index.php/journal-of-strategic-management/article/view/1733" \h </w:instrText>
      </w:r>
      <w:r>
        <w:fldChar w:fldCharType="separate"/>
      </w:r>
      <w:r>
        <w:rPr>
          <w:rFonts w:ascii="Times New Roman" w:hAnsi="Times New Roman" w:eastAsia="Times New Roman" w:cs="Times New Roman"/>
          <w:color w:val="1155CC"/>
          <w:sz w:val="24"/>
          <w:szCs w:val="24"/>
          <w:u w:val="single"/>
        </w:rPr>
        <w:t>https://stratfordjournalpublishers.org/journals/index.php/journal-of-strategic-management/article/view/1733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1F8A81D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theculturefactor.com, (2026),country-comparison-tool . [Available at: </w:t>
      </w:r>
      <w:r>
        <w:fldChar w:fldCharType="begin"/>
      </w:r>
      <w:r>
        <w:instrText xml:space="preserve"> HYPERLINK "https://www.theculturefactor.com/country-comparison-tool?countries=japan%2Cunited+kingdom" \h </w:instrText>
      </w:r>
      <w:r>
        <w:fldChar w:fldCharType="separate"/>
      </w:r>
      <w:r>
        <w:rPr>
          <w:rFonts w:ascii="Times New Roman" w:hAnsi="Times New Roman" w:eastAsia="Times New Roman" w:cs="Times New Roman"/>
          <w:color w:val="1155CC"/>
          <w:sz w:val="24"/>
          <w:szCs w:val="24"/>
          <w:u w:val="single"/>
        </w:rPr>
        <w:t>https://www.theculturefactor.com/country-comparison-tool?countries=japan%2Cunited+kingdom</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 [Accessed on: 04.07.2026]</w:t>
      </w:r>
    </w:p>
    <w:p w14:paraId="1FA414B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theguardian.com, (2025), Available at: </w:t>
      </w:r>
      <w:r>
        <w:fldChar w:fldCharType="begin"/>
      </w:r>
      <w:r>
        <w:instrText xml:space="preserve"> HYPERLINK "https://www.theguardian.com/business/2025/mar/11/toyota-battery-vehicles-uk-european-plants-evs-lexus" \h </w:instrText>
      </w:r>
      <w:r>
        <w:fldChar w:fldCharType="separate"/>
      </w:r>
      <w:r>
        <w:rPr>
          <w:rFonts w:ascii="Times New Roman" w:hAnsi="Times New Roman" w:eastAsia="Times New Roman" w:cs="Times New Roman"/>
          <w:color w:val="1155CC"/>
          <w:sz w:val="24"/>
          <w:szCs w:val="24"/>
          <w:u w:val="single"/>
        </w:rPr>
        <w:t>https://www.theguardian.com/business/2025/mar/11/toyota-battery-vehicles-uk-european-plants-evs-lexus</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74BB4A6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toyota.com, (2026),about_company. [Available at: </w:t>
      </w:r>
      <w:r>
        <w:fldChar w:fldCharType="begin"/>
      </w:r>
      <w:r>
        <w:instrText xml:space="preserve"> HYPERLINK "https://www.toyota.com/" \h </w:instrText>
      </w:r>
      <w:r>
        <w:fldChar w:fldCharType="separate"/>
      </w:r>
      <w:r>
        <w:rPr>
          <w:rFonts w:ascii="Times New Roman" w:hAnsi="Times New Roman" w:eastAsia="Times New Roman" w:cs="Times New Roman"/>
          <w:color w:val="1155CC"/>
          <w:sz w:val="24"/>
          <w:szCs w:val="24"/>
          <w:u w:val="single"/>
        </w:rPr>
        <w:t>https://www.toyota.com/</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 [Accessed on: 04.07.2026]</w:t>
      </w:r>
    </w:p>
    <w:p w14:paraId="50224BC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toyota-europe.com, (2025), Available at: </w:t>
      </w:r>
      <w:r>
        <w:fldChar w:fldCharType="begin"/>
      </w:r>
      <w:r>
        <w:instrText xml:space="preserve"> HYPERLINK "https://www.toyota-europe.com/about-us/diversity-equity-and-inclusion" \h </w:instrText>
      </w:r>
      <w:r>
        <w:fldChar w:fldCharType="separate"/>
      </w:r>
      <w:r>
        <w:rPr>
          <w:rFonts w:ascii="Times New Roman" w:hAnsi="Times New Roman" w:eastAsia="Times New Roman" w:cs="Times New Roman"/>
          <w:color w:val="1155CC"/>
          <w:sz w:val="24"/>
          <w:szCs w:val="24"/>
          <w:u w:val="single"/>
        </w:rPr>
        <w:t>https://www.toyota-europe.com/about-us/diversity-equity-and-inclusion</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4EC1DC9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toyotauk.com, (2026), Available at: </w:t>
      </w:r>
      <w:r>
        <w:fldChar w:fldCharType="begin"/>
      </w:r>
      <w:r>
        <w:instrText xml:space="preserve"> HYPERLINK "https://www.toyotauk.com/toyota-in-the-uk/how-we-manufacture/toyota-production-system" \h </w:instrText>
      </w:r>
      <w:r>
        <w:fldChar w:fldCharType="separate"/>
      </w:r>
      <w:r>
        <w:rPr>
          <w:rFonts w:ascii="Times New Roman" w:hAnsi="Times New Roman" w:eastAsia="Times New Roman" w:cs="Times New Roman"/>
          <w:color w:val="1155CC"/>
          <w:sz w:val="24"/>
          <w:szCs w:val="24"/>
          <w:u w:val="single"/>
        </w:rPr>
        <w:t>https://www.toyotauk.com/toyota-in-the-uk/how-we-manufacture/toyota-production-system</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27.07.2026]</w:t>
      </w:r>
    </w:p>
    <w:p w14:paraId="7E38A21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tradingeconomics.com, (2026), Japan’s GDP. [Available at: </w:t>
      </w:r>
      <w:r>
        <w:fldChar w:fldCharType="begin"/>
      </w:r>
      <w:r>
        <w:instrText xml:space="preserve"> HYPERLINK "https://tradingeconomics.com/japan/gdp-growth" \h </w:instrText>
      </w:r>
      <w:r>
        <w:fldChar w:fldCharType="separate"/>
      </w:r>
      <w:r>
        <w:rPr>
          <w:rFonts w:ascii="Times New Roman" w:hAnsi="Times New Roman" w:eastAsia="Times New Roman" w:cs="Times New Roman"/>
          <w:color w:val="1155CC"/>
          <w:sz w:val="24"/>
          <w:szCs w:val="24"/>
          <w:u w:val="single"/>
        </w:rPr>
        <w:t>https://tradingeconomics.com/japan/gdp-growth#</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 [Accessed on: 04.07.2026].</w:t>
      </w:r>
    </w:p>
    <w:p w14:paraId="5DB005C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ukandeu.ac.uk, (2026), the-brexit-deal-and-uk-automotive. [Available at: </w:t>
      </w:r>
      <w:r>
        <w:fldChar w:fldCharType="begin"/>
      </w:r>
      <w:r>
        <w:instrText xml:space="preserve"> HYPERLINK "https://ukandeu.ac.uk/the-brexit-deal-and-uk-automotive/?hl=en-IN" \l ":~:text=Even%20with%20the%20deal%2C%20Brexit%20will%20create,barriers%E2%80%9D%2C%20this%20is%20clearly%20not%20the%20case" \h </w:instrText>
      </w:r>
      <w:r>
        <w:fldChar w:fldCharType="separate"/>
      </w:r>
      <w:r>
        <w:rPr>
          <w:rFonts w:ascii="Times New Roman" w:hAnsi="Times New Roman" w:eastAsia="Times New Roman" w:cs="Times New Roman"/>
          <w:color w:val="1155CC"/>
          <w:sz w:val="24"/>
          <w:szCs w:val="24"/>
          <w:u w:val="single"/>
        </w:rPr>
        <w:t>https://ukandeu.ac.uk/the-brexit-deal-and-uk-automotive/?hl=en-IN#:~:text=Even%20with%20the%20deal%2C%20Brexit%20will%20create,barriers%E2%80%9D%2C%20this%20is%20clearly%20not%20the%20case</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 [Accessed on: 04.07.2026].</w:t>
      </w:r>
    </w:p>
    <w:p w14:paraId="78D26DF5">
      <w:pPr>
        <w:spacing w:line="360" w:lineRule="auto"/>
        <w:jc w:val="both"/>
        <w:rPr>
          <w:rFonts w:ascii="Times New Roman" w:hAnsi="Times New Roman" w:eastAsia="Times New Roman" w:cs="Times New Roman"/>
          <w:sz w:val="24"/>
          <w:szCs w:val="24"/>
        </w:rPr>
      </w:pPr>
    </w:p>
    <w:p w14:paraId="3BD152D4">
      <w:pPr>
        <w:spacing w:line="360" w:lineRule="auto"/>
        <w:jc w:val="center"/>
        <w:rPr>
          <w:rFonts w:ascii="Times New Roman" w:hAnsi="Times New Roman" w:eastAsia="Times New Roman" w:cs="Times New Roman"/>
          <w:sz w:val="24"/>
          <w:szCs w:val="24"/>
        </w:rPr>
      </w:pPr>
    </w:p>
    <w:p w14:paraId="68636E8C">
      <w:pPr>
        <w:spacing w:line="360" w:lineRule="auto"/>
        <w:jc w:val="both"/>
        <w:rPr>
          <w:rFonts w:ascii="Times New Roman" w:hAnsi="Times New Roman" w:eastAsia="Times New Roman" w:cs="Times New Roman"/>
          <w:sz w:val="24"/>
          <w:szCs w:val="24"/>
        </w:rPr>
      </w:pPr>
      <w:r>
        <w:br w:type="page"/>
      </w:r>
    </w:p>
    <w:p w14:paraId="4994E167">
      <w:pPr>
        <w:pStyle w:val="2"/>
      </w:pPr>
      <w:bookmarkStart w:id="9" w:name="_Toc236845409"/>
      <w:r>
        <w:t>Section 2:</w:t>
      </w:r>
      <w:bookmarkEnd w:id="9"/>
      <w:r>
        <w:t xml:space="preserve"> </w:t>
      </w:r>
    </w:p>
    <w:p w14:paraId="6F97FF83">
      <w:pPr>
        <w:pStyle w:val="2"/>
        <w:rPr>
          <w:sz w:val="24"/>
          <w:szCs w:val="24"/>
        </w:rPr>
      </w:pPr>
      <w:bookmarkStart w:id="10" w:name="_Toc236845410"/>
      <w:r>
        <w:t>Gibbs Reflective account</w:t>
      </w:r>
      <w:bookmarkEnd w:id="10"/>
    </w:p>
    <w:p w14:paraId="35322F4A">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Introduction</w:t>
      </w:r>
    </w:p>
    <w:p w14:paraId="614CF688">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Gibbs Reflective Cycle is a six-step cycle, developed by Graham Gibbs in 1988. This cycle is used to serve the purpose of learning tools as it gives clear insights into the framework on how a person can learn from his or her experiences (simplypsychology.org, 2025). This cycle has six stages, which include description, feelings, evaluation, analysis, conclusion and action plan.</w:t>
      </w:r>
    </w:p>
    <w:p w14:paraId="609AB8A3">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Description</w:t>
      </w:r>
    </w:p>
    <w:p w14:paraId="2AAA415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 engaged myself on a structured approach for researching, analysing and writing about a comparative analysis of the operations of Toyota in its home country, Japan and host country, the United Kingdom. The initial stages included the procedure to explore various academic journals, company reports, and industry-related information to have an understanding of the international business practices embraced by Toyota. Then I used the PESTLE framework to make a comparison of the political, economic, social, technological, legal and environmental factors that affect Toyota in both countries. To properly understand the diversities in culture, I made an analysis of the national cultures of both countries using the Cultural Dimensions model proposed by Hofstede, accompanied by cultural analysis. I also compared the STP model of Toyota in both countries and made an evaluation of the 7Ps of the International Marketing Mix of Toyota.</w:t>
      </w:r>
    </w:p>
    <w:p w14:paraId="609AB286">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Feeling </w:t>
      </w:r>
    </w:p>
    <w:p w14:paraId="29BFB6C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At the beginning of the project, I felt overwhelmed by the vast amount of data available for a global giant like Toyota. I was equally interested as well as a little stressed since comparing Toyota's operations in Japan and the UK requires analysing multiple business frameworks simultaneously. During the analysis phase, I experienced a feeling of lucidity and commitment when the analytical frameworks began to uncover distinct operational contrasts between the two countries. However, as I gradually examined the academic literature and company information, my courage increased steadily, and during the final phase of the research, I felt gratified and positive that the structured report successfully identified the critical differences between Toyota's home and host strategies. </w:t>
      </w:r>
    </w:p>
    <w:p w14:paraId="3AD443BE">
      <w:pPr>
        <w:spacing w:after="180" w:line="360" w:lineRule="auto"/>
        <w:jc w:val="both"/>
        <w:rPr>
          <w:sz w:val="24"/>
          <w:szCs w:val="24"/>
        </w:rPr>
      </w:pPr>
    </w:p>
    <w:p w14:paraId="7C379A20">
      <w:pPr>
        <w:spacing w:line="360" w:lineRule="auto"/>
        <w:jc w:val="both"/>
        <w:rPr>
          <w:rFonts w:ascii="Times New Roman" w:hAnsi="Times New Roman" w:eastAsia="Times New Roman" w:cs="Times New Roman"/>
          <w:sz w:val="24"/>
          <w:szCs w:val="24"/>
        </w:rPr>
      </w:pPr>
    </w:p>
    <w:p w14:paraId="7C20B01D">
      <w:pPr>
        <w:spacing w:after="180" w:line="360" w:lineRule="auto"/>
        <w:jc w:val="both"/>
        <w:rPr>
          <w:sz w:val="24"/>
          <w:szCs w:val="24"/>
        </w:rPr>
      </w:pPr>
    </w:p>
    <w:p w14:paraId="0D11375C">
      <w:pPr>
        <w:spacing w:line="360" w:lineRule="auto"/>
        <w:jc w:val="both"/>
        <w:rPr>
          <w:rFonts w:ascii="Times New Roman" w:hAnsi="Times New Roman" w:eastAsia="Times New Roman" w:cs="Times New Roman"/>
          <w:sz w:val="24"/>
          <w:szCs w:val="24"/>
        </w:rPr>
      </w:pPr>
    </w:p>
    <w:p w14:paraId="68856A69">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Evaluation </w:t>
      </w:r>
    </w:p>
    <w:p w14:paraId="61501B8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Overall, the process of researching, analysing, and preparing the comparative analysis of Toyota in Japan and the United Kingdom was a valuable learning experience. One of the strongest aspects of my work was the structured use of established frameworks, including PESTLE and Hofstede, to provide a clear, objective baseline for comparison. Also, I accessed the official Toyota global and regional reports to ensure highly accurate financial and operational data. These models enabled me to achieve systemic comparative study across the two different business environments and helped to gain knowledge about the external factors and cultural differences that influence international marketing decisions. </w:t>
      </w:r>
    </w:p>
    <w:p w14:paraId="593C0A2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I faced several challenges during the process. Filtering out irrelevant data to maintain a concise focus on the specific Japan-UK contrast was time-consuming since most of the data focused mainly on global operations rather than country-specific strategies. I also realised that balancing the depth of analysis between macroeconomic factors and internal corporate culture is another challenging factor. However, despite all these difficulties, I have managed to acquire improved skills in terms of research and analysis, as well as critical thinking. This experience helped me to gain better knowledge about international market strategies and made me more confident while using theoretical tools for analysing multinationals.</w:t>
      </w:r>
    </w:p>
    <w:p w14:paraId="6F5DDE98">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Analysis</w:t>
      </w:r>
    </w:p>
    <w:p w14:paraId="7F314D0C">
      <w:pPr>
        <w:spacing w:line="360" w:lineRule="auto"/>
        <w:jc w:val="both"/>
        <w:rPr>
          <w:sz w:val="24"/>
          <w:szCs w:val="24"/>
        </w:rPr>
      </w:pPr>
      <w:r>
        <w:rPr>
          <w:rFonts w:ascii="Times New Roman" w:hAnsi="Times New Roman" w:eastAsia="Times New Roman" w:cs="Times New Roman"/>
          <w:sz w:val="24"/>
          <w:szCs w:val="24"/>
        </w:rPr>
        <w:t xml:space="preserve">Analysing my experience, I observed that to study the comparative analysis of Toyota in Japan and the UK, which is the home and host country simultaneously, it requires a socio-cultural context to explain why performance differs. Secondly, I analysed that Hofstede's model was crucial to give an explanation about how Toyota's consensus-based management style is facing friction or requires adaptation in the individualistic UK workforce. In addition to that, my analysis during the study gave me realisation that the bridging between research and preparation requires turning raw data into strategic insights, which proves that data collection is useless unless structured categorisation takes place. I also analysed that Toyota preserves a consistent global brand individuality when it modifies elements of marketing strategies to meet the cultural, economic, and regulatory requirements of the UK market. This strengthened my knowledge about international marketing success, which depends on aligning organisational strategies with local market conditions. </w:t>
      </w:r>
    </w:p>
    <w:p w14:paraId="2165D1DA">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Conclusion </w:t>
      </w:r>
    </w:p>
    <w:p w14:paraId="5A3061D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experience I acquired during the research assisted me in identifying the priority of adopting a structured and evidence-based approach when conducting an international business analysis. I learned that successful MNC analysis requires a balanced look at both home-country advantages and host-country pressures. I also enhanced my data triangulation skills, critical thinking, and ability to apply abstract academic theories to real-world corporate data. This research has also helped me recognise my weak spots, like I had a tendency to gather too much data initially, which delayed the actual writing and synthesis phase. As a whole, this journey has helped me to gain problem-solving skills while reinforcing my confidence in the application of international marketing theories to real-world business situations. </w:t>
      </w:r>
    </w:p>
    <w:p w14:paraId="0D26B0E1">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Action Plan </w:t>
      </w:r>
    </w:p>
    <w:p w14:paraId="205C628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 plan to set strict boundaries while doing comparative projects in the future on data scope before beginning the research phase to avoid getting overloaded with information. I will try to adopt a dynamic outline to create a rigid comparative matrix at the very start to fill in gaps dynamically rather than writing linearly. I also intend to enhance my time management skills by allocating 40% of the time to research, 40% to analysis and writing, and 20% to edit and polish. Moreover, I will upgrade my academic writing abilities by better synthesising evidence and making more convincing arguments. This will help me to conduct more comprehensive critical analysis of multinational organisations functioning in different international markets.</w:t>
      </w:r>
    </w:p>
    <w:p w14:paraId="133DD1FB">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Overall Conclusion</w:t>
      </w:r>
    </w:p>
    <w:p w14:paraId="45AD4F5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Gibbs’ model of reflection disclosed that executing research in an organised manner, accompanied by examining the data, provided a better insight into the market strategies of Toyota. Tackling the cross-cultural business perspectives is difficult, but on the other hand it is rewarding too. This is the way I developed critical thinking skills, which helped me to analyse international business issues more strategically.</w:t>
      </w:r>
    </w:p>
    <w:p w14:paraId="12402B11">
      <w:pPr>
        <w:rPr>
          <w:rFonts w:ascii="Times New Roman" w:hAnsi="Times New Roman"/>
          <w:b/>
          <w:sz w:val="28"/>
          <w:szCs w:val="40"/>
        </w:rPr>
      </w:pPr>
      <w:r>
        <w:br w:type="page"/>
      </w:r>
    </w:p>
    <w:p w14:paraId="24C9AF8C">
      <w:pPr>
        <w:pStyle w:val="2"/>
      </w:pPr>
      <w:bookmarkStart w:id="11" w:name="_Toc236845411"/>
      <w:r>
        <w:t>References</w:t>
      </w:r>
      <w:bookmarkEnd w:id="11"/>
      <w:r>
        <w:t xml:space="preserve"> </w:t>
      </w:r>
    </w:p>
    <w:p w14:paraId="686059C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simplypsychology.org, (2025), gibbs-reflective-cycle.html. Available at: </w:t>
      </w:r>
      <w:r>
        <w:fldChar w:fldCharType="begin"/>
      </w:r>
      <w:r>
        <w:instrText xml:space="preserve"> HYPERLINK "https://www.simplypsychology.org/gibbs-reflective-cycle.html" \h </w:instrText>
      </w:r>
      <w:r>
        <w:fldChar w:fldCharType="separate"/>
      </w:r>
      <w:r>
        <w:rPr>
          <w:rFonts w:ascii="Times New Roman" w:hAnsi="Times New Roman" w:eastAsia="Times New Roman" w:cs="Times New Roman"/>
          <w:color w:val="1155CC"/>
          <w:sz w:val="24"/>
          <w:szCs w:val="24"/>
          <w:u w:val="single"/>
        </w:rPr>
        <w:t>https://www.simplypsychology.org/gibbs-reflective-cycle.html</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[Accessed on: 5.08.2026]</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82C37C91-85C0-46E4-BFD0-EED3CF4A9611}"/>
  </w:font>
  <w:font w:name="Arial">
    <w:panose1 w:val="020B0604020202020204"/>
    <w:charset w:val="86"/>
    <w:family w:val="swiss"/>
    <w:pitch w:val="default"/>
    <w:sig w:usb0="E0002EFF" w:usb1="C000785B" w:usb2="00000009" w:usb3="00000000" w:csb0="400001FF" w:csb1="FFFF0000"/>
    <w:embedRegular r:id="rId2" w:fontKey="{BB07E250-994B-4802-8A97-D08D0BC24CEB}"/>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FE32F8C9-2876-4297-BCDA-E243922136D2}"/>
  </w:font>
  <w:font w:name="Wingdings">
    <w:panose1 w:val="05000000000000000000"/>
    <w:charset w:val="02"/>
    <w:family w:val="auto"/>
    <w:pitch w:val="default"/>
    <w:sig w:usb0="00000000" w:usb1="00000000" w:usb2="00000000" w:usb3="00000000" w:csb0="80000000" w:csb1="00000000"/>
    <w:embedRegular r:id="rId4" w:fontKey="{19219F22-CF11-40C9-82A6-EE32A01324FD}"/>
  </w:font>
  <w:font w:name="Calibri">
    <w:panose1 w:val="020F0502020204030204"/>
    <w:charset w:val="00"/>
    <w:family w:val="swiss"/>
    <w:pitch w:val="default"/>
    <w:sig w:usb0="E4002EFF" w:usb1="C200247B" w:usb2="00000009" w:usb3="00000000" w:csb0="200001FF" w:csb1="00000000"/>
    <w:embedRegular r:id="rId5" w:fontKey="{CDFC31F6-5587-473B-90FC-67C1C6506509}"/>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59048724"/>
      <w:docPartObj>
        <w:docPartGallery w:val="AutoText"/>
      </w:docPartObj>
    </w:sdtPr>
    <w:sdtContent>
      <w:p w14:paraId="6A6C62C5">
        <w:pPr>
          <w:pStyle w:val="10"/>
          <w:jc w:val="right"/>
        </w:pPr>
        <w:r>
          <w:fldChar w:fldCharType="begin"/>
        </w:r>
        <w:r>
          <w:instrText xml:space="preserve"> PAGE   \* MERGEFORMAT </w:instrText>
        </w:r>
        <w:r>
          <w:fldChar w:fldCharType="separate"/>
        </w:r>
        <w:r>
          <w:t>2</w:t>
        </w:r>
        <w:r>
          <w:fldChar w:fldCharType="end"/>
        </w:r>
      </w:p>
    </w:sdtContent>
  </w:sdt>
  <w:p w14:paraId="7DB8E570">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09A2"/>
    <w:rsid w:val="002409A2"/>
    <w:rsid w:val="003312CE"/>
    <w:rsid w:val="0061346A"/>
    <w:rsid w:val="007D4A24"/>
    <w:rsid w:val="009F6488"/>
    <w:rsid w:val="00B526BF"/>
    <w:rsid w:val="00DE3985"/>
    <w:rsid w:val="00FA2F80"/>
    <w:rsid w:val="094B75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US" w:bidi="ar-SA"/>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sz w:val="28"/>
      <w:szCs w:val="40"/>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19"/>
    <w:unhideWhenUsed/>
    <w:uiPriority w:val="99"/>
    <w:pPr>
      <w:tabs>
        <w:tab w:val="center" w:pos="4680"/>
        <w:tab w:val="right" w:pos="9360"/>
      </w:tabs>
      <w:spacing w:line="240" w:lineRule="auto"/>
    </w:pPr>
  </w:style>
  <w:style w:type="paragraph" w:styleId="11">
    <w:name w:val="header"/>
    <w:basedOn w:val="1"/>
    <w:link w:val="18"/>
    <w:unhideWhenUsed/>
    <w:uiPriority w:val="99"/>
    <w:pPr>
      <w:tabs>
        <w:tab w:val="center" w:pos="4680"/>
        <w:tab w:val="right" w:pos="9360"/>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table" w:customStyle="1" w:styleId="16">
    <w:name w:val="TableNormal"/>
    <w:qFormat/>
    <w:uiPriority w:val="0"/>
    <w:tblPr>
      <w:tblCellMar>
        <w:top w:w="100" w:type="dxa"/>
        <w:left w:w="100" w:type="dxa"/>
        <w:bottom w:w="100" w:type="dxa"/>
        <w:right w:w="100" w:type="dxa"/>
      </w:tblCellMar>
    </w:tblPr>
  </w:style>
  <w:style w:type="paragraph" w:customStyle="1" w:styleId="17">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rPr>
  </w:style>
  <w:style w:type="character" w:customStyle="1" w:styleId="18">
    <w:name w:val="Header Char"/>
    <w:basedOn w:val="8"/>
    <w:link w:val="11"/>
    <w:uiPriority w:val="99"/>
  </w:style>
  <w:style w:type="character" w:customStyle="1" w:styleId="19">
    <w:name w:val="Footer Char"/>
    <w:basedOn w:val="8"/>
    <w:link w:val="10"/>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5E5B5-996F-42A7-8BB6-C2D91558E4AF}">
  <ds:schemaRefs/>
</ds:datastoreItem>
</file>

<file path=docProps/app.xml><?xml version="1.0" encoding="utf-8"?>
<Properties xmlns="http://schemas.openxmlformats.org/officeDocument/2006/extended-properties" xmlns:vt="http://schemas.openxmlformats.org/officeDocument/2006/docPropsVTypes">
  <Template>Normal</Template>
  <Pages>24</Pages>
  <Words>6074</Words>
  <Characters>38757</Characters>
  <Lines>351</Lines>
  <Paragraphs>99</Paragraphs>
  <TotalTime>4</TotalTime>
  <ScaleCrop>false</ScaleCrop>
  <LinksUpToDate>false</LinksUpToDate>
  <CharactersWithSpaces>44765</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2026-08-05T11:27:00Z</dcterms:created>
  <dc:creator>Kaya Raghuraman</dc:creator>
  <cp:lastModifiedBy>ranjith ravivarman</cp:lastModifiedBy>
  <dcterms:modified xsi:type="dcterms:W3CDTF">2026-08-16T19:03:45Z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2d4df018-9bba-4bb4-9575-441fdc274ef2</vt:lpwstr>
  </property>
  <property fmtid="{D5CDD505-2E9C-101B-9397-08002B2CF9AE}" pid="3" name="KSOTemplateDocerSaveRecord">
    <vt:lpwstr>eyJoZGlkIjoiMGNmOGNlOTMwYzVjMDYwYmFiYTdiYTUwZmRhMTg0YzYiLCJ1c2VySWQiOiIzODY2MTM3NDk5NTYwIn0=</vt:lpwstr>
  </property>
  <property fmtid="{D5CDD505-2E9C-101B-9397-08002B2CF9AE}" pid="4" name="KSOProductBuildVer">
    <vt:lpwstr>1033-12.1.0.28032</vt:lpwstr>
  </property>
  <property fmtid="{D5CDD505-2E9C-101B-9397-08002B2CF9AE}" pid="5" name="ICV">
    <vt:lpwstr>5D4C45C7D539453CBA5063179A169A9D_12</vt:lpwstr>
  </property>
</Properties>
</file>