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pPr>
      <w:bookmarkStart w:id="0" w:name="_Hlk234121323"/>
    </w:p>
    <w:p>
      <w:pPr>
        <w:jc w:val="center"/>
      </w:pPr>
      <w:r>
        <w:drawing>
          <wp:inline distT="0" distB="0" distL="0" distR="0">
            <wp:extent cx="3057525" cy="1219575"/>
            <wp:effectExtent l="0" t="0" r="0" b="0"/>
            <wp:docPr id="1" name="Images 1"/>
            <wp:cNvGraphicFramePr>
              <a:graphicFrameLocks noChangeAspect="0"/>
            </wp:cNvGraphicFramePr>
            <a:graphic>
              <a:graphicData uri="http://schemas.openxmlformats.org/drawingml/2006/picture">
                <pic:pic>
                  <pic:nvPicPr>
                    <pic:cNvPr id="3" name="Images 3"/>
                    <pic:cNvPicPr/>
                  </pic:nvPicPr>
                  <pic:blipFill>
                    <a:blip r:embed="rId3"/>
                    <a:stretch>
                      <a:fillRect/>
                    </a:stretch>
                  </pic:blipFill>
                  <pic:spPr>
                    <a:xfrm rot="0">
                      <a:off x="0" y="0"/>
                      <a:ext cx="3057525" cy="1219575"/>
                    </a:xfrm>
                    <a:prstGeom prst="rect"/>
                    <a:noFill/>
                    <a:ln w="12700" cmpd="sng" cap="flat">
                      <a:solidFill>
                        <a:srgbClr val="000000"/>
                      </a:solidFill>
                      <a:prstDash val="solid"/>
                      <a:round/>
                    </a:ln>
                  </pic:spPr>
                </pic:pic>
              </a:graphicData>
            </a:graphic>
          </wp:inline>
        </w:drawing>
      </w:r>
    </w:p>
    <w:p>
      <w:pPr>
        <w:jc w:val="center"/>
      </w:pPr>
    </w:p>
    <w:p>
      <w:pPr>
        <w:jc w:val="center"/>
      </w:pPr>
    </w:p>
    <w:p>
      <w:pPr>
        <w:jc w:val="center"/>
        <w:rPr>
          <w:b/>
          <w:bCs/>
        </w:rPr>
      </w:pPr>
      <w:r>
        <w:rPr>
          <w:b/>
          <w:bCs/>
          <w:sz w:val="36"/>
          <w:szCs w:val="36"/>
        </w:rPr>
        <w:t>LCLM 4001 Academic Skills</w:t>
      </w:r>
    </w:p>
    <w:p>
      <w:pPr>
        <w:spacing w:before="0" w:line="259" w:lineRule="auto"/>
        <w:jc w:val="left"/>
        <w:rPr>
          <w:b/>
          <w:bCs/>
        </w:rPr>
      </w:pPr>
      <w:bookmarkEnd w:id="0"/>
      <w:r>
        <w:rPr>
          <w:b/>
          <w:bCs/>
        </w:rPr>
        <w:br w:type="page"/>
        <w:t xml:space="preserve">Farzana Akter </w:t>
      </w:r>
    </w:p>
    <w:p>
      <w:pPr>
        <w:pStyle w:val="1"/>
      </w:pPr>
      <w:r>
        <w:t xml:space="preserve">Task 1 – Reading Task Template </w:t>
      </w:r>
    </w:p>
    <w:p>
      <w:bookmarkStart w:id="1" w:name="_GoBack"/>
      <w:r>
        <w:drawing>
          <wp:inline distT="0" distB="0" distL="0" distR="0">
            <wp:extent cx="5731510" cy="4298950"/>
            <wp:effectExtent l="0" t="0" r="0" b="0"/>
            <wp:docPr id="4" name="Images 4"/>
            <wp:cNvGraphicFramePr>
              <a:graphicFrameLocks noChangeAspect="1"/>
            </wp:cNvGraphicFramePr>
            <a:graphic>
              <a:graphicData uri="http://schemas.openxmlformats.org/drawingml/2006/picture">
                <pic:pic>
                  <pic:nvPicPr>
                    <pic:cNvPr id="6" name="Images 6"/>
                    <pic:cNvPicPr/>
                  </pic:nvPicPr>
                  <pic:blipFill>
                    <a:blip r:embed="rId4"/>
                    <a:stretch>
                      <a:fillRect/>
                    </a:stretch>
                  </pic:blipFill>
                  <pic:spPr>
                    <a:xfrm rot="0">
                      <a:off x="0" y="0"/>
                      <a:ext cx="5731510" cy="4298950"/>
                    </a:xfrm>
                    <a:prstGeom prst="rect"/>
                    <a:noFill/>
                    <a:ln w="12700" cmpd="sng" cap="flat">
                      <a:noFill/>
                      <a:prstDash val="solid"/>
                      <a:miter/>
                    </a:ln>
                  </pic:spPr>
                </pic:pic>
              </a:graphicData>
            </a:graphic>
          </wp:inline>
        </w:drawing>
      </w:r>
      <w:bookmarkEnd w:id="1"/>
    </w:p>
    <w:p>
      <w:pPr>
        <w:rPr>
          <w:b/>
          <w:bCs/>
        </w:rPr>
      </w:pPr>
      <w:r>
        <w:rPr>
          <w:b/>
          <w:bCs/>
        </w:rPr>
        <w:t>1. Answer these questions using the sentence starters below</w:t>
      </w:r>
    </w:p>
    <w:p>
      <w:pPr>
        <w:rPr>
          <w:b/>
          <w:bCs/>
        </w:rPr>
      </w:pPr>
      <w:r>
        <w:rPr>
          <w:b/>
          <w:bCs/>
        </w:rPr>
        <w:t>a. What is the main idea of the text?</w:t>
      </w:r>
    </w:p>
    <w:p>
      <w:r>
        <w:t>The main idea is that social media can be a great asset to small businesses to get products, services and brands out there to more people. It's evident that platforms like Facebook, Instagram, and TikTok aren't solely for fun—they may be an extremely effective tool for marketing your business. Though they can't afford to be the next advertising giants, social media offers an inexpensive and more effective way for small businesses to connect with customers. A business can publish pictures, short videos, client feedback and details about new products online. As people like the content, they might share it with friends and family members, helping the business to reach a lot more customers.</w:t>
      </w:r>
    </w:p>
    <w:p>
      <w:r>
        <w:t xml:space="preserve">The text also provides information about how using social media can result in a business becoming known in a town or even a country. A store can, for instance, initially sell to residents. But once the products are posted online, other people can see the products and want to purchase them from various locations (BBC News, 2026). This can lead to higher sales and a more successful business. From the mind map, it is clear that businesses can use social media to advertise their products like clothes, Jackets, frocks, chicken burgers, prom-shop items, etc. </w:t>
      </w:r>
    </w:p>
    <w:p>
      <w:pPr>
        <w:rPr>
          <w:b/>
          <w:bCs/>
        </w:rPr>
      </w:pPr>
      <w:r>
        <w:rPr>
          <w:b/>
          <w:bCs/>
        </w:rPr>
        <w:t>b. What are two key points?</w:t>
      </w:r>
    </w:p>
    <w:p>
      <w:r>
        <w:t xml:space="preserve">One key point is that there are several social media platforms that can be utilised for promoting small businesses. The mind map includes important platforms such as Facebook, Instagram and TikTok. There are features on each platform that can benefit a business. For instance, Instagram can be employed for publishing great photos and brief videos of merchandise. An apparel store might upload pictures of new jackets, frocks or prom garments to inform customers about the things they provide (Andolšek </w:t>
      </w:r>
      <w:r>
        <w:rPr>
          <w:rStyle w:val="23"/>
        </w:rPr>
        <w:t>et al.</w:t>
      </w:r>
      <w:r>
        <w:t xml:space="preserve">, 2026). Facebook can be a great way for a business to communicate with residents, such as the hours they will be open, special promotions and customer reviews. TikTok is helpful as it is easy to create short videos that are popular. In a short time, many people can view a video if it goes viral. This could bring a lot of attention to a small business. </w:t>
      </w:r>
    </w:p>
    <w:p>
      <w:r>
        <w:t xml:space="preserve">Another key point is that web advertisements and customers' comments can have an impact on companies' performance. There are opinions and reviews about the product, online reviews, reels, memes and others in the mind map. These are crucial as the experience of other customers can be trusted by customers. Good opinions on the internet can assist a company seem reliable and draw in new consumers to try out their services. For instance, if someone leaves positive feedback about a local store's dress or a chicken burger, others will be interested and visit the store (McAnally and Hagger, 2024). Products can be presented excitingly via reels and short videos, which can do more than written advertisements. Memes can endear a business to today's younger audience and make it seem modern. </w:t>
      </w:r>
    </w:p>
    <w:p>
      <w:pPr>
        <w:rPr>
          <w:b/>
          <w:bCs/>
        </w:rPr>
      </w:pPr>
      <w:r>
        <w:rPr>
          <w:b/>
          <w:bCs/>
        </w:rPr>
        <w:t>c. What part of the text did you find most important? Why?</w:t>
      </w:r>
    </w:p>
    <w:p>
      <w:r>
        <w:t xml:space="preserve">The most important part is that a product can be viral and attract customers from all around. This is significant because it demonstrates the potential of social media to impact a small business's future. In the past, without social media, local customers were a small business's primary source of customers. They used posters, local newspapers or word of mouth for their advertising. These approaches may have been effective, but were not always effective for large audiences. This is where social media is so great, as a video or post can be seen by people from all over the world, different towns, cities and countries (Gagné </w:t>
      </w:r>
      <w:r>
        <w:rPr>
          <w:rStyle w:val="23"/>
        </w:rPr>
        <w:t>et al.</w:t>
      </w:r>
      <w:r>
        <w:t>, 2022).</w:t>
      </w:r>
    </w:p>
    <w:p>
      <w:r>
        <w:t xml:space="preserve">Examples of places are given in the mind map, e.g., Kent, Leigh-on-Sea, Basildon and the Bahamas. From this, it can be concluded that social media can be beneficial for a business to extend beyond the local area. There is a possibility of a company growing from a small start-up in one town, attracting interest from people in a distant town. This can be especially beneficial for companies that have the capability to sell their items online or deliver them. For instance, if a company is selling clothes, they may have an account on social media and post items such as jackets, frocks or prom dresses to people in other locations. </w:t>
      </w:r>
    </w:p>
    <w:p>
      <w:r>
        <w:t>I believe this is the most critical, as it shows that social media can generate opportunities. It can be a way for small businesses to catch the eye without having to invest in an expensive TV ad or a bigger marketing campaign (Latham, 2023). It also signifies the significance of being creative. A business needs to produce engaging content, interact with customers and get them to share its posts. The business can expand rapidly and become more profitable when this occurs.</w:t>
      </w:r>
    </w:p>
    <w:p>
      <w:pPr>
        <w:rPr>
          <w:b/>
          <w:bCs/>
        </w:rPr>
      </w:pPr>
      <w:r>
        <w:rPr>
          <w:b/>
          <w:bCs/>
        </w:rPr>
        <w:t>d. Was anything unclear or difficult to understand?</w:t>
      </w:r>
    </w:p>
    <w:p>
      <w:r>
        <w:t xml:space="preserve">I was not sure about how a business can make its content go viral, as not all content on social media goes viral. It's not always clear why there are some videos that get lots of views and others that don't. A business can post great content in the form of pictures or videos, but people aren't always going to post the same (Byrne, 2022). I also wasn't sure if there was a time that social media wouldn't be positive for all small businesses. While it can be beneficial to businesses in reaching more customers, it can also pose difficulties. Bad reviews or comments can come into a business's website. Companies also require time and expertise to maintain their social media profiles. They should be able to do a good job of taking pictures, making videos, replying to customer messages and posting them frequently. </w:t>
      </w:r>
    </w:p>
    <w:p>
      <w:pPr>
        <w:rPr>
          <w:b/>
          <w:bCs/>
        </w:rPr>
      </w:pPr>
      <w:r>
        <w:rPr>
          <w:b/>
          <w:bCs/>
        </w:rPr>
        <w:t>e. How did your group help you understand the text better?</w:t>
      </w:r>
    </w:p>
    <w:p>
      <w:r>
        <w:t>My group helped me with their ideas, and they explained some other points of the text. We were all receiving different information, and so working together made me more aware of the text in detail. One person might have been interested in social media sites; for instance, another individual might have been interested in advertising, consumer feedback or viral products. This helped us to build a well-defined mind map with various categories.</w:t>
      </w:r>
    </w:p>
    <w:p>
      <w:r>
        <w:t>My group also assisted me in understanding the significance of important words and ideas. We discussed the impact of online reviews on customers and the popularity of products through TikTok videos. I got more ideas as to how to structure my notes.</w:t>
      </w:r>
    </w:p>
    <w:p>
      <w:pPr>
        <w:rPr>
          <w:b/>
          <w:bCs/>
        </w:rPr>
      </w:pPr>
      <w:r>
        <w:rPr>
          <w:b/>
          <w:bCs/>
        </w:rPr>
        <w:t>3. One-sentence reflection</w:t>
      </w:r>
    </w:p>
    <w:p>
      <w:pPr>
        <w:rPr>
          <w:b/>
          <w:bCs/>
        </w:rPr>
      </w:pPr>
      <w:r>
        <w:rPr>
          <w:b/>
          <w:bCs/>
        </w:rPr>
        <w:t>Question: What did you find challenging about this task?</w:t>
      </w:r>
    </w:p>
    <w:p>
      <w:r>
        <w:t>The hardest part was selecting the key points in the text and arranging them in the mind map in an orderly fashion.</w:t>
      </w:r>
    </w:p>
    <w:p>
      <w:pPr>
        <w:rPr>
          <w:rFonts w:ascii="Arial" w:cs="Arial" w:hAnsi="Arial"/>
        </w:rPr>
      </w:pPr>
    </w:p>
    <w:p>
      <w:pPr>
        <w:rPr>
          <w:rFonts w:eastAsia="等线 Light"/>
          <w:color w:val="2F5496"/>
          <w:sz w:val="32"/>
          <w:szCs w:val="32"/>
        </w:rPr>
      </w:pPr>
      <w:r>
        <w:br w:type="page"/>
      </w:r>
    </w:p>
    <w:p>
      <w:pPr>
        <w:pStyle w:val="1"/>
        <w:rPr>
          <w:shd w:val="clear" w:color="auto" w:fill="FFFFFF"/>
        </w:rPr>
      </w:pPr>
      <w:r>
        <w:rPr>
          <w:shd w:val="clear" w:color="auto" w:fill="FFFFFF"/>
        </w:rPr>
        <w:t>References</w:t>
      </w:r>
    </w:p>
    <w:p>
      <w:pPr>
        <w:rPr>
          <w:shd w:val="clear" w:color="auto" w:fill="FFFFFF"/>
        </w:rPr>
      </w:pPr>
      <w:r>
        <w:rPr>
          <w:shd w:val="clear" w:color="auto" w:fill="FFFFFF"/>
        </w:rPr>
        <w:t>Andolšek, J., Černe, M., Košak, M., and Lamovšek, A. (2026). From foundations to frontiers: A 25‐year bibliometric journey of job demands–resources theory. </w:t>
      </w:r>
      <w:r>
        <w:rPr>
          <w:i/>
          <w:iCs/>
          <w:shd w:val="clear" w:color="auto" w:fill="FFFFFF"/>
        </w:rPr>
        <w:t>Journal of Occupational and Organisational Psychology</w:t>
      </w:r>
      <w:r>
        <w:rPr>
          <w:shd w:val="clear" w:color="auto" w:fill="FFFFFF"/>
        </w:rPr>
        <w:t>, </w:t>
      </w:r>
      <w:r>
        <w:rPr>
          <w:i/>
          <w:iCs/>
          <w:shd w:val="clear" w:color="auto" w:fill="FFFFFF"/>
        </w:rPr>
        <w:t>99</w:t>
      </w:r>
      <w:r>
        <w:rPr>
          <w:shd w:val="clear" w:color="auto" w:fill="FFFFFF"/>
        </w:rPr>
        <w:t xml:space="preserve">(1), e70079. </w:t>
      </w:r>
      <w:r>
        <w:rPr>
          <w:rStyle w:val="18"/>
          <w:shd w:val="clear" w:color="auto" w:fill="FFFFFF"/>
        </w:rPr>
        <w:fldChar w:fldCharType="begin"/>
      </w:r>
      <w:r>
        <w:instrText>HYPERLINK "https://bpspsychub.onlinelibrary.wiley.com/doi/full/10.1111/joop.70079"</w:instrText>
      </w:r>
      <w:r>
        <w:rPr>
          <w:rStyle w:val="18"/>
          <w:shd w:val="clear" w:color="auto" w:fill="FFFFFF"/>
        </w:rPr>
        <w:fldChar w:fldCharType="separate"/>
      </w:r>
      <w:r>
        <w:rPr>
          <w:rStyle w:val="18"/>
          <w:shd w:val="clear" w:color="auto" w:fill="FFFFFF"/>
        </w:rPr>
        <w:t>https://bpspsychub.onlinelibrary.wiley.com/doi/full/10.1111/joop.70079</w:t>
      </w:r>
      <w:r>
        <w:rPr>
          <w:rStyle w:val="18"/>
          <w:shd w:val="clear" w:color="auto" w:fill="FFFFFF"/>
        </w:rPr>
        <w:fldChar w:fldCharType="end"/>
      </w:r>
    </w:p>
    <w:p>
      <w:r>
        <w:t xml:space="preserve">BBC News (2026) </w:t>
      </w:r>
      <w:r>
        <w:rPr>
          <w:rStyle w:val="23"/>
        </w:rPr>
        <w:t>Viral chicken shop draws customers from hours away</w:t>
      </w:r>
      <w:r>
        <w:t xml:space="preserve">. Available at: </w:t>
      </w:r>
      <w:r>
        <w:rPr>
          <w:rStyle w:val="18"/>
        </w:rPr>
        <w:fldChar w:fldCharType="begin"/>
      </w:r>
      <w:r>
        <w:instrText>HYPERLINK "https://www.bbc.co.uk/news/articles/cm2701py5npo?utm_source=chatgpt.com"</w:instrText>
      </w:r>
      <w:r>
        <w:rPr>
          <w:rStyle w:val="18"/>
        </w:rPr>
        <w:fldChar w:fldCharType="separate"/>
      </w:r>
      <w:r>
        <w:rPr>
          <w:rStyle w:val="18"/>
        </w:rPr>
        <w:t>BBC News article</w:t>
      </w:r>
      <w:r>
        <w:rPr>
          <w:rStyle w:val="18"/>
        </w:rPr>
        <w:fldChar w:fldCharType="end"/>
      </w:r>
    </w:p>
    <w:p>
      <w:pPr>
        <w:rPr>
          <w:shd w:val="clear" w:color="auto" w:fill="FFFFFF"/>
        </w:rPr>
      </w:pPr>
      <w:r>
        <w:rPr>
          <w:shd w:val="clear" w:color="auto" w:fill="FFFFFF"/>
        </w:rPr>
        <w:t>Byrne, Z. S. (2022). </w:t>
      </w:r>
      <w:r>
        <w:rPr>
          <w:i/>
          <w:iCs/>
          <w:shd w:val="clear" w:color="auto" w:fill="FFFFFF"/>
        </w:rPr>
        <w:t>Understanding employee engagement: Theory, research, and practice.</w:t>
      </w:r>
      <w:r>
        <w:rPr>
          <w:shd w:val="clear" w:color="auto" w:fill="FFFFFF"/>
        </w:rPr>
        <w:t xml:space="preserve"> Routledge.</w:t>
      </w:r>
    </w:p>
    <w:p>
      <w:pPr>
        <w:rPr>
          <w:shd w:val="clear" w:color="auto" w:fill="FFFFFF"/>
        </w:rPr>
      </w:pPr>
      <w:r>
        <w:rPr>
          <w:shd w:val="clear" w:color="auto" w:fill="FFFFFF"/>
        </w:rPr>
        <w:t>Gagné, M., Parker, S. K., Griffin, M. A., Dunlop, P. D., Knight, C., Klonek, F. E., and Parent-Rocheleau, X. (2022). Understanding and shaping the future of work with self-determination theory. </w:t>
      </w:r>
      <w:r>
        <w:rPr>
          <w:i/>
          <w:iCs/>
          <w:shd w:val="clear" w:color="auto" w:fill="FFFFFF"/>
        </w:rPr>
        <w:t>Nature Reviews Psychology</w:t>
      </w:r>
      <w:r>
        <w:rPr>
          <w:shd w:val="clear" w:color="auto" w:fill="FFFFFF"/>
        </w:rPr>
        <w:t>, </w:t>
      </w:r>
      <w:r>
        <w:rPr>
          <w:i/>
          <w:iCs/>
          <w:shd w:val="clear" w:color="auto" w:fill="FFFFFF"/>
        </w:rPr>
        <w:t>1</w:t>
      </w:r>
      <w:r>
        <w:rPr>
          <w:shd w:val="clear" w:color="auto" w:fill="FFFFFF"/>
        </w:rPr>
        <w:t xml:space="preserve">(7), 378-392. </w:t>
      </w:r>
      <w:r>
        <w:rPr>
          <w:rStyle w:val="18"/>
          <w:shd w:val="clear" w:color="auto" w:fill="FFFFFF"/>
        </w:rPr>
        <w:fldChar w:fldCharType="begin"/>
      </w:r>
      <w:r>
        <w:instrText>HYPERLINK "https://www.nature.com/articles/s44159-022-00056-w"</w:instrText>
      </w:r>
      <w:r>
        <w:rPr>
          <w:rStyle w:val="18"/>
          <w:shd w:val="clear" w:color="auto" w:fill="FFFFFF"/>
        </w:rPr>
        <w:fldChar w:fldCharType="separate"/>
      </w:r>
      <w:r>
        <w:rPr>
          <w:rStyle w:val="18"/>
          <w:shd w:val="clear" w:color="auto" w:fill="FFFFFF"/>
        </w:rPr>
        <w:t>https://www.nature.com/articles/s44159-022-00056-w</w:t>
      </w:r>
      <w:r>
        <w:rPr>
          <w:rStyle w:val="18"/>
          <w:shd w:val="clear" w:color="auto" w:fill="FFFFFF"/>
        </w:rPr>
        <w:fldChar w:fldCharType="end"/>
      </w:r>
    </w:p>
    <w:p>
      <w:pPr>
        <w:rPr>
          <w:shd w:val="clear" w:color="auto" w:fill="FFFFFF"/>
        </w:rPr>
      </w:pPr>
      <w:r>
        <w:rPr>
          <w:shd w:val="clear" w:color="auto" w:fill="FFFFFF"/>
        </w:rPr>
        <w:t xml:space="preserve">Latham, G. P. (2023). Motivate employee performance through goal setting. Principles of organisational behaviour: the handbook of evidence‐based management, 3rd Edition, 83-111. </w:t>
      </w:r>
      <w:r>
        <w:rPr>
          <w:rStyle w:val="18"/>
          <w:shd w:val="clear" w:color="auto" w:fill="FFFFFF"/>
        </w:rPr>
        <w:fldChar w:fldCharType="begin"/>
      </w:r>
      <w:r>
        <w:instrText>HYPERLINK "https://onlinelibrary.wiley.com/doi/abs/10.1002/9781394320769.ch5"</w:instrText>
      </w:r>
      <w:r>
        <w:rPr>
          <w:rStyle w:val="18"/>
          <w:shd w:val="clear" w:color="auto" w:fill="FFFFFF"/>
        </w:rPr>
        <w:fldChar w:fldCharType="separate"/>
      </w:r>
      <w:r>
        <w:rPr>
          <w:rStyle w:val="18"/>
          <w:shd w:val="clear" w:color="auto" w:fill="FFFFFF"/>
        </w:rPr>
        <w:t>https://onlinelibrary.wiley.com/doi/abs/10.1002/9781394320769.ch5</w:t>
      </w:r>
      <w:r>
        <w:rPr>
          <w:rStyle w:val="18"/>
          <w:shd w:val="clear" w:color="auto" w:fill="FFFFFF"/>
        </w:rPr>
        <w:fldChar w:fldCharType="end"/>
      </w:r>
    </w:p>
    <w:p>
      <w:pPr>
        <w:rPr>
          <w:shd w:val="clear" w:color="auto" w:fill="FFFFFF"/>
        </w:rPr>
      </w:pPr>
      <w:r>
        <w:rPr>
          <w:shd w:val="clear" w:color="auto" w:fill="FFFFFF"/>
        </w:rPr>
        <w:t>McAnally, K., and Hagger, M. S. (2024). Self-determination theory and workplace outcomes: A conceptual review and future research directions. </w:t>
      </w:r>
      <w:r>
        <w:rPr>
          <w:i/>
          <w:iCs/>
          <w:shd w:val="clear" w:color="auto" w:fill="FFFFFF"/>
        </w:rPr>
        <w:t>Behavioral sciences</w:t>
      </w:r>
      <w:r>
        <w:rPr>
          <w:shd w:val="clear" w:color="auto" w:fill="FFFFFF"/>
        </w:rPr>
        <w:t>, </w:t>
      </w:r>
      <w:r>
        <w:rPr>
          <w:i/>
          <w:iCs/>
          <w:shd w:val="clear" w:color="auto" w:fill="FFFFFF"/>
        </w:rPr>
        <w:t>14</w:t>
      </w:r>
      <w:r>
        <w:rPr>
          <w:shd w:val="clear" w:color="auto" w:fill="FFFFFF"/>
        </w:rPr>
        <w:t xml:space="preserve">(6), 428. </w:t>
      </w:r>
      <w:r>
        <w:rPr>
          <w:rStyle w:val="18"/>
          <w:shd w:val="clear" w:color="auto" w:fill="FFFFFF"/>
        </w:rPr>
        <w:fldChar w:fldCharType="begin"/>
      </w:r>
      <w:r>
        <w:instrText>HYPERLINK "https://www.mdpi.com/2076-328X/14/6/428"</w:instrText>
      </w:r>
      <w:r>
        <w:rPr>
          <w:rStyle w:val="18"/>
          <w:shd w:val="clear" w:color="auto" w:fill="FFFFFF"/>
        </w:rPr>
        <w:fldChar w:fldCharType="separate"/>
      </w:r>
      <w:r>
        <w:rPr>
          <w:rStyle w:val="18"/>
          <w:shd w:val="clear" w:color="auto" w:fill="FFFFFF"/>
        </w:rPr>
        <w:t>https://www.mdpi.com/2076-328X/14/6/428</w:t>
      </w:r>
      <w:r>
        <w:rPr>
          <w:rStyle w:val="18"/>
          <w:shd w:val="clear" w:color="auto" w:fill="FFFFFF"/>
        </w:rPr>
        <w:fldChar w:fldCharType="end"/>
      </w:r>
    </w:p>
    <w:p>
      <w:pPr>
        <w:rPr>
          <w:shd w:val="clear" w:color="auto" w:fill="FFFFFF"/>
        </w:rPr>
      </w:pPr>
    </w:p>
    <w:sectPr>
      <w:footerReference w:type="default" r:id="rId2"/>
      <w:pgSz w:w="11906" w:h="16838"/>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等线 Light">
    <w:altName w:val="Droid Sans Fallback"/>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1375093338"/>
      <w:docPartObj>
        <w:docPartGallery/>
        <w:docPartUnique/>
      </w:docPartObj>
    </w:sdtPr>
    <w:sdtContent>
      <w:p>
        <w:pPr>
          <w:pStyle w:val="16"/>
          <w:tabs>
            <w:tab w:val="center" w:pos="4680"/>
            <w:tab w:val="right" w:pos="9360"/>
          </w:tabs>
          <w:jc w:val="center"/>
        </w:pPr>
        <w:r>
          <w:fldChar w:fldCharType="begin"/>
        </w:r>
        <w:r>
          <w:instrText xml:space="preserve"> PAGE   \* MERGEFORMAT </w:instrText>
        </w:r>
        <w:r>
          <w:fldChar w:fldCharType="separate"/>
        </w:r>
        <w:r>
          <w:t>2</w:t>
        </w:r>
        <w:r>
          <w:fldChar w:fldCharType="end"/>
        </w:r>
      </w:p>
    </w:sdtContent>
  </w:sdt>
  <w:p>
    <w:pPr>
      <w:pStyle w:val="16"/>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76"/>
  <w:bordersDoNotSurroundHeader/>
  <w:bordersDoNotSurroundFooter/>
  <w:defaultTabStop w:val="720"/>
  <w:drawingGridHorizontalSpacing w:val="110"/>
  <w:drawingGridVerticalSpacing w:val="163"/>
  <w:displayHorizontalDrawingGridEvery w:val="2"/>
  <w:displayVerticalDrawingGridEvery w:val="2"/>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before="240" w:after="160" w:line="360" w:lineRule="auto"/>
      <w:jc w:val="both"/>
    </w:pPr>
    <w:rPr>
      <w:rFonts w:ascii="Times New Roman" w:eastAsia="Calibri" w:cs="Times New Roman" w:hAnsi="Times New Roman"/>
      <w:sz w:val="24"/>
      <w:szCs w:val="24"/>
      <w:lang w:val="en-US" w:eastAsia="en-US" w:bidi="ar-SA"/>
    </w:rPr>
  </w:style>
  <w:style w:type="paragraph" w:styleId="1">
    <w:name w:val="heading 1"/>
    <w:basedOn w:val="0"/>
    <w:next w:val="0"/>
    <w:pPr>
      <w:keepNext/>
      <w:keepLines/>
      <w:spacing w:after="240"/>
      <w:outlineLvl w:val="0"/>
    </w:pPr>
    <w:rPr>
      <w:rFonts w:eastAsia="等线 Light"/>
      <w:b/>
      <w:bCs/>
      <w:color w:val="2F5496"/>
      <w:sz w:val="32"/>
      <w:szCs w:val="32"/>
    </w:rPr>
  </w:style>
  <w:style w:type="paragraph" w:styleId="2">
    <w:name w:val="heading 2"/>
    <w:basedOn w:val="0"/>
    <w:next w:val="0"/>
    <w:pPr>
      <w:keepNext/>
      <w:keepLines/>
      <w:spacing w:before="40" w:after="240"/>
      <w:outlineLvl w:val="1"/>
    </w:pPr>
    <w:rPr>
      <w:rFonts w:eastAsia="等线 Light"/>
      <w:b/>
      <w:bCs/>
      <w:sz w:val="28"/>
      <w:szCs w:val="28"/>
    </w:rPr>
  </w:style>
  <w:style w:type="paragraph" w:styleId="3">
    <w:name w:val="heading 3"/>
    <w:basedOn w:val="0"/>
    <w:next w:val="0"/>
    <w:pPr>
      <w:keepNext/>
      <w:keepLines/>
      <w:spacing w:before="40" w:after="240"/>
      <w:outlineLvl w:val="2"/>
    </w:pPr>
    <w:rPr>
      <w:rFonts w:eastAsia="等线 Light"/>
      <w:b/>
      <w:bCs/>
      <w:sz w:val="26"/>
      <w:szCs w:val="26"/>
    </w:rPr>
  </w:style>
  <w:style w:type="character" w:default="1" w:styleId="10">
    <w:name w:val="Default Paragraph Font"/>
  </w:style>
  <w:style w:type="paragraph" w:styleId="15">
    <w:name w:val="header"/>
    <w:basedOn w:val="0"/>
    <w:pPr>
      <w:tabs>
        <w:tab w:val="center" w:pos="4680"/>
        <w:tab w:val="right" w:pos="9360"/>
      </w:tabs>
      <w:spacing w:before="0" w:after="0" w:line="240" w:lineRule="auto"/>
    </w:pPr>
  </w:style>
  <w:style w:type="paragraph" w:styleId="16">
    <w:name w:val="footer"/>
    <w:basedOn w:val="0"/>
    <w:pPr>
      <w:tabs>
        <w:tab w:val="center" w:pos="4680"/>
        <w:tab w:val="right" w:pos="9360"/>
      </w:tabs>
      <w:spacing w:before="0" w:after="0" w:line="240" w:lineRule="auto"/>
    </w:pPr>
  </w:style>
  <w:style w:type="paragraph" w:customStyle="1" w:styleId="17">
    <w:name w:val="List Paragraph"/>
    <w:basedOn w:val="0"/>
    <w:pPr>
      <w:ind w:left="720"/>
      <w:contextualSpacing/>
    </w:pPr>
  </w:style>
  <w:style w:type="character" w:styleId="18">
    <w:name w:val="Hyperlink"/>
    <w:basedOn w:val="10"/>
    <w:rPr>
      <w:color w:val="0563C1"/>
      <w:u w:val="single"/>
    </w:rPr>
  </w:style>
  <w:style w:type="character" w:customStyle="1" w:styleId="19">
    <w:name w:val="Unresolved Mention"/>
    <w:basedOn w:val="10"/>
    <w:rPr>
      <w:color w:val="605E5C"/>
      <w:shd w:val="clear" w:color="auto" w:fill="E1DFDD"/>
    </w:rPr>
  </w:style>
  <w:style w:type="paragraph" w:customStyle="1" w:styleId="20">
    <w:name w:val="TOC Heading"/>
    <w:basedOn w:val="1"/>
    <w:next w:val="0"/>
    <w:pPr>
      <w:spacing w:after="0" w:line="259" w:lineRule="auto"/>
      <w:jc w:val="left"/>
      <w:outlineLvl w:val="9"/>
    </w:pPr>
    <w:rPr>
      <w:rFonts w:ascii="Calibri Light" w:cs="Times New Roman" w:hAnsi="Calibri Light"/>
      <w:b w:val="0"/>
      <w:bCs w:val="0"/>
    </w:rPr>
  </w:style>
  <w:style w:type="paragraph" w:styleId="21">
    <w:name w:val="toc 1"/>
    <w:basedOn w:val="0"/>
    <w:autoRedefine/>
    <w:next w:val="0"/>
    <w:pPr>
      <w:spacing w:after="100"/>
    </w:pPr>
  </w:style>
  <w:style w:type="paragraph" w:styleId="22">
    <w:name w:val="toc 2"/>
    <w:basedOn w:val="0"/>
    <w:autoRedefine/>
    <w:next w:val="0"/>
    <w:pPr>
      <w:spacing w:after="100"/>
      <w:ind w:left="240"/>
    </w:pPr>
  </w:style>
  <w:style w:type="character" w:styleId="23">
    <w:name w:val="Emphasis"/>
    <w:basedOn w:val="10"/>
    <w:rPr>
      <w:i/>
      <w:iCs/>
    </w:rPr>
  </w:style>
  <w:style w:type="paragraph" w:customStyle="1" w:styleId="24">
    <w:name w:val="pdq2pg_selectionanchorcontainer"/>
    <w:basedOn w:val="0"/>
    <w:pPr>
      <w:spacing w:before="100" w:beforeAutospacing="1" w:after="100" w:afterAutospacing="1" w:line="240" w:lineRule="auto"/>
      <w:jc w:val="left"/>
    </w:pPr>
    <w:rPr>
      <w:rFonts w:eastAsia="Times New Roman"/>
    </w:rPr>
  </w:style>
  <w:style w:type="paragraph" w:styleId="25">
    <w:name w:val="Normal (Web)"/>
    <w:basedOn w:val="0"/>
    <w:pPr>
      <w:spacing w:before="100" w:beforeAutospacing="1" w:after="100" w:afterAutospacing="1" w:line="240" w:lineRule="auto"/>
      <w:jc w:val="left"/>
    </w:pPr>
    <w:rPr>
      <w:rFonts w:eastAsia="Times New Roman"/>
    </w:rPr>
  </w:style>
  <w:style w:type="paragraph" w:customStyle="1" w:styleId="26">
    <w:name w:val="No Spacing"/>
    <w:pPr>
      <w:spacing w:after="0" w:line="240" w:lineRule="auto"/>
      <w:jc w:val="both"/>
    </w:pPr>
    <w:rPr>
      <w:rFonts w:ascii="Times New Roman" w:eastAsia="Calibri" w:cs="Times New Roman" w:hAnsi="Times New Roman"/>
      <w:sz w:val="24"/>
      <w:szCs w:val="24"/>
      <w:lang w:val="en-US" w:eastAsia="en-US" w:bidi="ar-SA"/>
    </w:rPr>
  </w:style>
  <w:style w:type="character" w:customStyle="1" w:styleId="27">
    <w:name w:val="Subtle Emphasis"/>
    <w:basedOn w:val="10"/>
    <w:rPr>
      <w:i/>
      <w:iCs/>
      <w:color w:val="404040"/>
    </w:rPr>
  </w:style>
  <w:style w:type="paragraph" w:styleId="28">
    <w:name w:val="toc 3"/>
    <w:basedOn w:val="0"/>
    <w:autoRedefine/>
    <w:next w:val="0"/>
    <w:pPr>
      <w:spacing w:after="100"/>
      <w:ind w:left="480"/>
    </w:pPr>
  </w:style>
  <w:style w:type="character" w:styleId="29">
    <w:name w:val="Strong"/>
    <w:basedOn w:val="10"/>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jpeg"/><Relationship Id="rId5" Type="http://schemas.openxmlformats.org/officeDocument/2006/relationships/styles" Target="styles.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1</TotalTime>
  <Application>Honor_Office</Application>
  <Pages>1</Pages>
  <Words>0</Words>
  <Characters>0</Characters>
  <Lines>1</Lines>
  <Paragraphs>0</Paragraphs>
  <CharactersWithSpaces>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2026-07-05T09:08:11Z</dcterms:modified>
</cp:coreProperties>
</file>