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media/image1.png" ContentType="image/png"/>
  <Override PartName="/word/media/image8.jpeg" ContentType="image/jpeg"/>
  <Override PartName="/word/media/image2.png" ContentType="image/png"/>
  <Override PartName="/word/media/image7.jpeg" ContentType="image/jpeg"/>
  <Override PartName="/word/media/image3.png" ContentType="image/png"/>
  <Override PartName="/word/media/image6.jpeg" ContentType="image/jpeg"/>
  <Override PartName="/word/media/image4.png" ContentType="image/png"/>
  <Override PartName="/word/media/image5.png" ContentType="image/png"/>
  <Override PartName="/word/media/image9.jpeg" ContentType="image/jpeg"/>
  <Override PartName="/word/media/image10.jpeg" ContentType="image/jpeg"/>
  <Override PartName="/word/media/image11.png" ContentType="image/png"/>
  <Override PartName="/word/media/image12.png" ContentType="image/png"/>
  <Override PartName="/word/media/image13.png" ContentType="image/png"/>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_rels/document.xml.rels" ContentType="application/vnd.openxmlformats-package.relationships+xml"/>
  <Override PartName="/word/theme/theme1.xml" ContentType="application/vnd.openxmlformats-officedocument.theme+xml"/>
  <Override PartName="/_rels/.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jc w:val="right"/>
        <w:rPr>
          <w:rFonts w:ascii="Calibri" w:hAnsi="Calibri" w:cs="Calibri"/>
          <w:sz w:val="28"/>
          <w:szCs w:val="28"/>
        </w:rPr>
      </w:pPr>
      <w:r>
        <w:rPr>
          <w:rFonts w:cs="Calibri" w:ascii="Calibri" w:hAnsi="Calibri"/>
          <w:sz w:val="28"/>
          <w:szCs w:val="28"/>
        </w:rPr>
        <w:t>Sam Godden (2420076)</w:t>
      </w:r>
    </w:p>
    <w:p>
      <w:pPr>
        <w:pStyle w:val="Normal"/>
        <w:jc w:val="right"/>
        <w:rPr>
          <w:rFonts w:ascii="Calibri" w:hAnsi="Calibri" w:cs="Calibri"/>
          <w:sz w:val="36"/>
          <w:szCs w:val="36"/>
          <w:u w:val="single"/>
        </w:rPr>
      </w:pPr>
      <w:r>
        <w:rPr>
          <w:rFonts w:cs="Calibri" w:ascii="Calibri" w:hAnsi="Calibri"/>
          <w:sz w:val="36"/>
          <w:szCs w:val="36"/>
          <w:u w:val="single"/>
        </w:rPr>
        <w:t>16.12.24</w:t>
      </w:r>
    </w:p>
    <w:p>
      <w:pPr>
        <w:pStyle w:val="Normal"/>
        <w:jc w:val="center"/>
        <w:rPr>
          <w:rFonts w:ascii="Calibri" w:hAnsi="Calibri" w:cs="Calibri"/>
          <w:sz w:val="36"/>
          <w:szCs w:val="36"/>
          <w:u w:val="single"/>
        </w:rPr>
      </w:pPr>
      <w:r>
        <w:rPr>
          <w:rFonts w:cs="Calibri" w:ascii="Calibri" w:hAnsi="Calibri"/>
          <w:sz w:val="36"/>
          <w:szCs w:val="36"/>
          <w:u w:val="single"/>
        </w:rPr>
        <w:t>Cwm Ivy Marsh Portfolio</w:t>
      </w:r>
    </w:p>
    <w:p>
      <w:pPr>
        <w:pStyle w:val="Normal"/>
        <w:rPr>
          <w:rFonts w:ascii="Calibri" w:hAnsi="Calibri" w:cs="Calibri"/>
          <w:b/>
          <w:bCs/>
          <w:sz w:val="32"/>
          <w:szCs w:val="32"/>
        </w:rPr>
      </w:pPr>
      <w:r>
        <w:rPr>
          <w:rFonts w:cs="Calibri" w:ascii="Calibri" w:hAnsi="Calibri"/>
          <w:b/>
          <w:bCs/>
          <w:sz w:val="32"/>
          <w:szCs w:val="32"/>
        </w:rPr>
      </w:r>
    </w:p>
    <w:p>
      <w:pPr>
        <w:pStyle w:val="Normal"/>
        <w:rPr>
          <w:rFonts w:ascii="Calibri" w:hAnsi="Calibri" w:cs="Calibri"/>
          <w:b/>
          <w:bCs/>
          <w:sz w:val="32"/>
          <w:szCs w:val="32"/>
        </w:rPr>
      </w:pPr>
      <w:r>
        <w:rPr>
          <w:rFonts w:cs="Calibri" w:ascii="Calibri" w:hAnsi="Calibri"/>
          <w:b/>
          <w:bCs/>
          <w:sz w:val="32"/>
          <w:szCs w:val="32"/>
        </w:rPr>
        <w:t xml:space="preserve">Introduction: </w:t>
      </w:r>
    </w:p>
    <w:p>
      <w:pPr>
        <w:pStyle w:val="Normal"/>
        <w:rPr>
          <w:rFonts w:ascii="Calibri" w:hAnsi="Calibri" w:cs="Calibri"/>
          <w:sz w:val="32"/>
          <w:szCs w:val="32"/>
        </w:rPr>
      </w:pPr>
      <w:r>
        <w:rPr>
          <w:rFonts w:cs="Calibri" w:ascii="Calibri" w:hAnsi="Calibri"/>
          <w:sz w:val="32"/>
          <w:szCs w:val="32"/>
        </w:rPr>
        <w:t xml:space="preserve">Site Background – Generally speaking, coastal environments are naturally dynamic and in a constant state of change. Discerning the different pressures which influence their development is useful to anticipate future challenges and create long-term management plans. </w:t>
      </w:r>
    </w:p>
    <w:p>
      <w:pPr>
        <w:pStyle w:val="ListParagraph"/>
        <w:numPr>
          <w:ilvl w:val="0"/>
          <w:numId w:val="0"/>
        </w:numPr>
        <w:ind w:hanging="0" w:left="720"/>
        <w:rPr>
          <w:rFonts w:ascii="Calibri" w:hAnsi="Calibri" w:cs="Calibri"/>
          <w:sz w:val="32"/>
          <w:szCs w:val="32"/>
        </w:rPr>
      </w:pPr>
      <w:r>
        <w:rPr>
          <w:rFonts w:cs="Calibri" w:ascii="Calibri" w:hAnsi="Calibri"/>
          <w:sz w:val="32"/>
          <w:szCs w:val="32"/>
        </w:rPr>
      </w:r>
    </w:p>
    <w:p>
      <w:pPr>
        <w:pStyle w:val="Normal"/>
        <w:rPr>
          <w:rFonts w:ascii="Calibri" w:hAnsi="Calibri" w:cs="Calibri"/>
          <w:sz w:val="32"/>
          <w:szCs w:val="32"/>
        </w:rPr>
      </w:pPr>
      <w:r>
        <w:rPr>
          <w:rFonts w:cs="Calibri" w:ascii="Calibri" w:hAnsi="Calibri"/>
          <w:sz w:val="32"/>
          <w:szCs w:val="32"/>
        </w:rPr>
        <w:t>Salt marshes are threatened ecosystems, occurring most commonly in mid/high latitude environments such as the UK (figure 12). The comparable habitat found in tropical regions is mangrove (Pariona, 2017). They provide vital ecological support, acting as natural dissipaters of tidal currents and providing a habitat for nationally vulnerable species (Wolters, 2005).</w:t>
      </w:r>
    </w:p>
    <w:p>
      <w:pPr>
        <w:pStyle w:val="Normal"/>
        <w:rPr>
          <w:rFonts w:ascii="Calibri" w:hAnsi="Calibri" w:cs="Calibri"/>
          <w:sz w:val="32"/>
          <w:szCs w:val="32"/>
        </w:rPr>
      </w:pPr>
      <w:r>
        <w:rPr>
          <w:rFonts w:cs="Calibri" w:ascii="Calibri" w:hAnsi="Calibri"/>
          <w:sz w:val="32"/>
          <w:szCs w:val="32"/>
        </w:rPr>
      </w:r>
    </w:p>
    <w:p>
      <w:pPr>
        <w:pStyle w:val="Normal"/>
        <w:rPr>
          <w:rFonts w:ascii="Calibri" w:hAnsi="Calibri" w:cs="Calibri"/>
          <w:sz w:val="28"/>
          <w:szCs w:val="28"/>
        </w:rPr>
      </w:pPr>
      <w:r>
        <w:rPr>
          <w:rFonts w:cs="Calibri" w:ascii="Calibri" w:hAnsi="Calibri"/>
          <w:sz w:val="32"/>
          <w:szCs w:val="32"/>
        </w:rPr>
        <w:t xml:space="preserve">Cwm Ivy Marsh is a 39-hectare area of the Gower, South Wales. Situated on the north west coastline, Cwm Ivy extends into the Landimore marsh and borders the Loughor Estuary. It faces towards Llanelli in Carmarthenshire and is surrounded by arable land – mainly sheep farming (figure 1). Historically, land use in Cwm Ivy has centred around sheep grazing up until the destruction of the 300-year-old sea wall in the winter of 2013/14, following extreme weather events (figures 2, 3 + 8), </w:t>
      </w:r>
      <w:r>
        <w:rPr>
          <w:rFonts w:cs="Calibri" w:ascii="Calibri" w:hAnsi="Calibri"/>
          <w:color w:themeColor="text1" w:val="000000"/>
          <w:sz w:val="32"/>
          <w:szCs w:val="32"/>
        </w:rPr>
        <w:t xml:space="preserve">(Whitehead, 2021), (Ungar and Woodell, 1996). </w:t>
      </w:r>
    </w:p>
    <w:p>
      <w:pPr>
        <w:pStyle w:val="Normal"/>
        <w:rPr>
          <w:rFonts w:ascii="Calibri" w:hAnsi="Calibri" w:cs="Calibri"/>
          <w:sz w:val="28"/>
          <w:szCs w:val="28"/>
        </w:rPr>
      </w:pPr>
      <w:r>
        <w:rPr>
          <w:rFonts w:cs="Calibri" w:ascii="Calibri" w:hAnsi="Calibri"/>
          <w:sz w:val="28"/>
          <w:szCs w:val="28"/>
        </w:rPr>
      </w:r>
    </w:p>
    <w:p>
      <w:pPr>
        <w:pStyle w:val="Normal"/>
        <w:rPr>
          <w:rFonts w:ascii="Calibri" w:hAnsi="Calibri" w:cs="Calibri"/>
          <w:sz w:val="32"/>
          <w:szCs w:val="32"/>
        </w:rPr>
      </w:pPr>
      <w:r>
        <w:rPr>
          <w:rFonts w:cs="Calibri" w:ascii="Calibri" w:hAnsi="Calibri"/>
          <w:color w:themeColor="text1" w:val="000000"/>
          <w:sz w:val="32"/>
          <w:szCs w:val="32"/>
        </w:rPr>
        <w:t>The Gower is recognised as both a site of historic significance as well as an area of outstanding natural beauty (AONB) (Doyle, 2019). This makes it an ideal location for projects such as the reversion of Cwm Ivy to salt marsh.</w:t>
      </w:r>
    </w:p>
    <w:p>
      <w:pPr>
        <w:pStyle w:val="Normal"/>
        <w:rPr>
          <w:rFonts w:ascii="Calibri" w:hAnsi="Calibri" w:cs="Calibri"/>
          <w:color w:themeColor="text1" w:val="000000"/>
          <w:sz w:val="32"/>
          <w:szCs w:val="32"/>
        </w:rPr>
      </w:pPr>
      <w:r>
        <w:rPr>
          <w:rFonts w:cs="Calibri" w:ascii="Calibri" w:hAnsi="Calibri"/>
          <w:color w:themeColor="text1" w:val="000000"/>
          <w:sz w:val="32"/>
          <w:szCs w:val="32"/>
        </w:rPr>
      </w:r>
    </w:p>
    <w:p>
      <w:pPr>
        <w:pStyle w:val="Normal"/>
        <w:rPr>
          <w:rFonts w:ascii="Calibri" w:hAnsi="Calibri" w:cs="Calibri"/>
          <w:color w:themeColor="text1" w:val="000000"/>
          <w:sz w:val="32"/>
          <w:szCs w:val="32"/>
        </w:rPr>
      </w:pPr>
      <w:r>
        <w:rPr/>
        <w:drawing>
          <wp:inline distT="0" distB="0" distL="0" distR="0">
            <wp:extent cx="5724525" cy="3267075"/>
            <wp:effectExtent l="0" t="0" r="0" b="0"/>
            <wp:docPr id="1" name="Picture 1" descr="A map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map of a country&#10;&#10;Description automatically generated"/>
                    <pic:cNvPicPr>
                      <a:picLocks noChangeAspect="1" noChangeArrowheads="1"/>
                    </pic:cNvPicPr>
                  </pic:nvPicPr>
                  <pic:blipFill>
                    <a:blip r:embed="rId2"/>
                    <a:stretch>
                      <a:fillRect/>
                    </a:stretch>
                  </pic:blipFill>
                  <pic:spPr bwMode="auto">
                    <a:xfrm>
                      <a:off x="0" y="0"/>
                      <a:ext cx="5724525" cy="3267075"/>
                    </a:xfrm>
                    <a:prstGeom prst="rect">
                      <a:avLst/>
                    </a:prstGeom>
                  </pic:spPr>
                </pic:pic>
              </a:graphicData>
            </a:graphic>
          </wp:inline>
        </w:drawing>
      </w:r>
    </w:p>
    <w:p>
      <w:pPr>
        <w:pStyle w:val="Normal"/>
        <w:rPr>
          <w:rFonts w:ascii="Calibri" w:hAnsi="Calibri" w:cs="Calibri"/>
          <w:b/>
          <w:bCs/>
        </w:rPr>
      </w:pPr>
      <w:r>
        <w:rPr/>
        <w:drawing>
          <wp:inline distT="0" distB="0" distL="0" distR="0">
            <wp:extent cx="5724525" cy="2705100"/>
            <wp:effectExtent l="0" t="0" r="0" b="0"/>
            <wp:docPr id="2"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
                    <pic:cNvPicPr>
                      <a:picLocks noChangeAspect="1" noChangeArrowheads="1"/>
                    </pic:cNvPicPr>
                  </pic:nvPicPr>
                  <pic:blipFill>
                    <a:blip r:embed="rId3"/>
                    <a:stretch>
                      <a:fillRect/>
                    </a:stretch>
                  </pic:blipFill>
                  <pic:spPr bwMode="auto">
                    <a:xfrm>
                      <a:off x="0" y="0"/>
                      <a:ext cx="5724525" cy="2705100"/>
                    </a:xfrm>
                    <a:prstGeom prst="rect">
                      <a:avLst/>
                    </a:prstGeom>
                  </pic:spPr>
                </pic:pic>
              </a:graphicData>
            </a:graphic>
          </wp:inline>
        </w:drawing>
      </w:r>
    </w:p>
    <w:p>
      <w:pPr>
        <w:pStyle w:val="Normal"/>
        <w:rPr>
          <w:rFonts w:ascii="Calibri" w:hAnsi="Calibri" w:cs="Calibri"/>
          <w:sz w:val="32"/>
          <w:szCs w:val="32"/>
        </w:rPr>
      </w:pPr>
      <w:r>
        <w:rPr/>
        <w:drawing>
          <wp:inline distT="0" distB="0" distL="0" distR="0">
            <wp:extent cx="5734050" cy="3200400"/>
            <wp:effectExtent l="0" t="0" r="0" b="0"/>
            <wp:docPr id="3" name="Picture 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
                    <pic:cNvPicPr>
                      <a:picLocks noChangeAspect="1" noChangeArrowheads="1"/>
                    </pic:cNvPicPr>
                  </pic:nvPicPr>
                  <pic:blipFill>
                    <a:blip r:embed="rId4"/>
                    <a:stretch>
                      <a:fillRect/>
                    </a:stretch>
                  </pic:blipFill>
                  <pic:spPr bwMode="auto">
                    <a:xfrm>
                      <a:off x="0" y="0"/>
                      <a:ext cx="5734050" cy="3200400"/>
                    </a:xfrm>
                    <a:prstGeom prst="rect">
                      <a:avLst/>
                    </a:prstGeom>
                  </pic:spPr>
                </pic:pic>
              </a:graphicData>
            </a:graphic>
          </wp:inline>
        </w:drawing>
      </w:r>
    </w:p>
    <w:p>
      <w:pPr>
        <w:pStyle w:val="Normal"/>
        <w:rPr>
          <w:rFonts w:ascii="Calibri" w:hAnsi="Calibri" w:cs="Calibri"/>
          <w:sz w:val="32"/>
          <w:szCs w:val="32"/>
        </w:rPr>
      </w:pPr>
      <w:r>
        <w:rPr>
          <w:rFonts w:cs="Calibri" w:ascii="Calibri" w:hAnsi="Calibri"/>
          <w:sz w:val="32"/>
          <w:szCs w:val="32"/>
        </w:rPr>
        <w:t xml:space="preserve">Since the transition in 2014 the site has become increasingly important, particularly due to its extensive biodiversity, including various migratory species such as the Lapwing and Egret (figure 6). It is currently managed by the National Trust and NRW as a nature reserve and tourist attraction </w:t>
      </w:r>
      <w:r>
        <w:rPr>
          <w:rFonts w:cs="Calibri" w:ascii="Calibri" w:hAnsi="Calibri"/>
          <w:color w:themeColor="text1" w:val="000000"/>
          <w:sz w:val="32"/>
          <w:szCs w:val="32"/>
        </w:rPr>
        <w:t>(National Trust, 2024),</w:t>
      </w:r>
      <w:r>
        <w:rPr>
          <w:rFonts w:cs="Calibri" w:ascii="Calibri" w:hAnsi="Calibri"/>
          <w:sz w:val="32"/>
          <w:szCs w:val="32"/>
        </w:rPr>
        <w:t xml:space="preserve"> (Natural Resources Wales, n.d.).</w:t>
      </w:r>
    </w:p>
    <w:p>
      <w:pPr>
        <w:pStyle w:val="Normal"/>
        <w:rPr>
          <w:rFonts w:ascii="Calibri" w:hAnsi="Calibri" w:cs="Calibri"/>
          <w:sz w:val="32"/>
          <w:szCs w:val="32"/>
        </w:rPr>
      </w:pPr>
      <w:r>
        <w:rPr>
          <w:rFonts w:cs="Calibri" w:ascii="Calibri" w:hAnsi="Calibri"/>
          <w:sz w:val="32"/>
          <w:szCs w:val="32"/>
        </w:rPr>
      </w:r>
    </w:p>
    <w:p>
      <w:pPr>
        <w:pStyle w:val="Normal"/>
        <w:rPr>
          <w:rFonts w:ascii="Calibri" w:hAnsi="Calibri" w:cs="Calibri"/>
          <w:sz w:val="32"/>
          <w:szCs w:val="32"/>
        </w:rPr>
      </w:pPr>
      <w:r>
        <w:rPr>
          <w:rFonts w:cs="Calibri" w:ascii="Calibri" w:hAnsi="Calibri"/>
          <w:sz w:val="32"/>
          <w:szCs w:val="32"/>
        </w:rPr>
        <w:t xml:space="preserve">In summary, the site was selected due to its relevance to contemporary challenges and the innovative approach to land management, where the focus is working alongside natural course (instead of the traditional route of structural, hard-engineering schemes) (Best et al, 2018). As such, it has become a well-documented site, representing a progressive movement in land management which, historically, wouldn’t have been considered. </w:t>
      </w:r>
    </w:p>
    <w:p>
      <w:pPr>
        <w:pStyle w:val="Normal"/>
        <w:rPr>
          <w:rFonts w:ascii="Calibri" w:hAnsi="Calibri" w:cs="Calibri"/>
          <w:sz w:val="32"/>
          <w:szCs w:val="32"/>
        </w:rPr>
      </w:pPr>
      <w:r>
        <w:rPr>
          <w:rFonts w:cs="Calibri" w:ascii="Calibri" w:hAnsi="Calibri"/>
          <w:sz w:val="32"/>
          <w:szCs w:val="32"/>
        </w:rPr>
      </w:r>
    </w:p>
    <w:p>
      <w:pPr>
        <w:pStyle w:val="Normal"/>
        <w:rPr>
          <w:rFonts w:ascii="Calibri" w:hAnsi="Calibri" w:cs="Calibri"/>
          <w:b/>
          <w:bCs/>
          <w:sz w:val="32"/>
          <w:szCs w:val="32"/>
        </w:rPr>
      </w:pPr>
      <w:r>
        <w:rPr>
          <w:rFonts w:cs="Calibri" w:ascii="Calibri" w:hAnsi="Calibri"/>
          <w:b/>
          <w:bCs/>
          <w:sz w:val="32"/>
          <w:szCs w:val="32"/>
        </w:rPr>
        <w:t xml:space="preserve">Contemporary Challenges: </w:t>
      </w:r>
    </w:p>
    <w:p>
      <w:pPr>
        <w:pStyle w:val="Normal"/>
        <w:rPr>
          <w:rFonts w:ascii="Calibri" w:hAnsi="Calibri" w:cs="Calibri"/>
          <w:sz w:val="32"/>
          <w:szCs w:val="32"/>
        </w:rPr>
      </w:pPr>
      <w:r>
        <w:rPr>
          <w:rFonts w:cs="Calibri" w:ascii="Calibri" w:hAnsi="Calibri"/>
          <w:sz w:val="32"/>
          <w:szCs w:val="32"/>
        </w:rPr>
        <w:t xml:space="preserve">Local Challenges – </w:t>
      </w:r>
    </w:p>
    <w:p>
      <w:pPr>
        <w:pStyle w:val="Normal"/>
        <w:rPr>
          <w:rFonts w:ascii="Calibri" w:hAnsi="Calibri" w:cs="Calibri"/>
          <w:sz w:val="32"/>
          <w:szCs w:val="32"/>
        </w:rPr>
      </w:pPr>
      <w:r>
        <w:rPr>
          <w:rFonts w:cs="Calibri" w:ascii="Calibri" w:hAnsi="Calibri"/>
          <w:sz w:val="32"/>
          <w:szCs w:val="32"/>
        </w:rPr>
        <w:t>The initial controversial reaction, particularly from local stakeholders who relied on the area for grazing, has somewhat subsided over the years as the potential for the site has been recognised. From both a touristic and environmental viewpoint, the final decision to allow the site to revert to a natural state, has been broadly successful. Despite this, concerns still remain about the future of Cwm Ivy. Due to restricted funding and unpredictable weather (linked with tidal conditions), management remains largely static while the site transitions (figure 4) (Doyle, 2019).</w:t>
      </w:r>
    </w:p>
    <w:p>
      <w:pPr>
        <w:pStyle w:val="Normal"/>
        <w:rPr>
          <w:rFonts w:ascii="Calibri" w:hAnsi="Calibri" w:cs="Calibri"/>
          <w:sz w:val="32"/>
          <w:szCs w:val="32"/>
        </w:rPr>
      </w:pPr>
      <w:r>
        <w:rPr>
          <w:rFonts w:cs="Calibri" w:ascii="Calibri" w:hAnsi="Calibri"/>
          <w:sz w:val="32"/>
          <w:szCs w:val="32"/>
        </w:rPr>
      </w:r>
    </w:p>
    <w:p>
      <w:pPr>
        <w:pStyle w:val="Normal"/>
        <w:rPr>
          <w:rFonts w:ascii="Calibri" w:hAnsi="Calibri" w:cs="Calibri"/>
          <w:sz w:val="32"/>
          <w:szCs w:val="32"/>
        </w:rPr>
      </w:pPr>
      <w:r>
        <w:rPr>
          <w:rFonts w:cs="Calibri" w:ascii="Calibri" w:hAnsi="Calibri"/>
          <w:sz w:val="32"/>
          <w:szCs w:val="32"/>
        </w:rPr>
        <w:t xml:space="preserve">In some respects, the fate of Cwm Ivy was partially forced by the direction changing weather conditions and outdated sea defences in place. Without further investment, the encroachment of the sea was inevitable (due in part to climate change). The National Trust effectively treated Cwm Ivy as a tactical retreat. For some stakeholders, this decision has displayed a neglect for the historical significance of the site (dating back to the Middle Ages) (Misstear, 2014). </w:t>
      </w:r>
    </w:p>
    <w:p>
      <w:pPr>
        <w:pStyle w:val="Normal"/>
        <w:rPr>
          <w:rFonts w:ascii="Calibri" w:hAnsi="Calibri" w:cs="Calibri"/>
          <w:sz w:val="32"/>
          <w:szCs w:val="32"/>
        </w:rPr>
      </w:pPr>
      <w:r>
        <w:rPr>
          <w:rFonts w:cs="Calibri" w:ascii="Calibri" w:hAnsi="Calibri"/>
          <w:sz w:val="32"/>
          <w:szCs w:val="32"/>
        </w:rPr>
      </w:r>
    </w:p>
    <w:p>
      <w:pPr>
        <w:pStyle w:val="Normal"/>
        <w:rPr>
          <w:rFonts w:ascii="Calibri" w:hAnsi="Calibri" w:cs="Calibri"/>
          <w:sz w:val="32"/>
          <w:szCs w:val="32"/>
        </w:rPr>
      </w:pPr>
      <w:r>
        <w:rPr>
          <w:rFonts w:cs="Calibri" w:ascii="Calibri" w:hAnsi="Calibri"/>
          <w:sz w:val="32"/>
          <w:szCs w:val="32"/>
        </w:rPr>
        <w:t xml:space="preserve">Some of the indirect impacts of this movement involve a more stable coastline habitat, where the decision to allow the sea to occupy Cwm Ivy, has reduced erosion in other areas around the coast. This is a small, yet significant representation of a soft engineering scheme working alongside natural coastal evolution. In opposition to this are hard engineering schemes such as the Mumbles Sea Wall, which artificially mould coast lines, at the expense of local ecology. Typically these are favoured on urban sites where infrastructure is at stake and there are risks of displacement for the local community. Sites are then evaluated to see if a sea wall would be cost-effective </w:t>
      </w:r>
      <w:r>
        <w:rPr>
          <w:rFonts w:cs="Calibri" w:ascii="Calibri" w:hAnsi="Calibri"/>
          <w:color w:themeColor="text1" w:val="000000"/>
          <w:sz w:val="32"/>
          <w:szCs w:val="32"/>
          <w:shd w:fill="auto" w:val="clear"/>
        </w:rPr>
        <w:t>(Narayan et al, 2016).</w:t>
      </w:r>
    </w:p>
    <w:p>
      <w:pPr>
        <w:pStyle w:val="Normal"/>
        <w:rPr>
          <w:rFonts w:ascii="Calibri" w:hAnsi="Calibri" w:cs="Calibri"/>
          <w:sz w:val="32"/>
          <w:szCs w:val="32"/>
        </w:rPr>
      </w:pPr>
      <w:r>
        <w:rPr>
          <w:rFonts w:cs="Calibri" w:ascii="Calibri" w:hAnsi="Calibri"/>
          <w:sz w:val="32"/>
          <w:szCs w:val="32"/>
        </w:rPr>
      </w:r>
    </w:p>
    <w:p>
      <w:pPr>
        <w:pStyle w:val="Normal"/>
        <w:rPr>
          <w:rFonts w:ascii="Calibri" w:hAnsi="Calibri" w:cs="Calibri"/>
          <w:sz w:val="32"/>
          <w:szCs w:val="32"/>
        </w:rPr>
      </w:pPr>
      <w:r>
        <w:rPr/>
        <w:drawing>
          <wp:inline distT="0" distB="0" distL="0" distR="0">
            <wp:extent cx="5038725" cy="4012565"/>
            <wp:effectExtent l="0" t="0" r="0" b="0"/>
            <wp:docPr id="4"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 descr=""/>
                    <pic:cNvPicPr>
                      <a:picLocks noChangeAspect="1" noChangeArrowheads="1"/>
                    </pic:cNvPicPr>
                  </pic:nvPicPr>
                  <pic:blipFill>
                    <a:blip r:embed="rId5"/>
                    <a:stretch>
                      <a:fillRect/>
                    </a:stretch>
                  </pic:blipFill>
                  <pic:spPr bwMode="auto">
                    <a:xfrm>
                      <a:off x="0" y="0"/>
                      <a:ext cx="5038725" cy="4012565"/>
                    </a:xfrm>
                    <a:prstGeom prst="rect">
                      <a:avLst/>
                    </a:prstGeom>
                  </pic:spPr>
                </pic:pic>
              </a:graphicData>
            </a:graphic>
          </wp:inline>
        </w:drawing>
      </w:r>
    </w:p>
    <w:p>
      <w:pPr>
        <w:pStyle w:val="Normal"/>
        <w:rPr>
          <w:rFonts w:ascii="Calibri" w:hAnsi="Calibri" w:cs="Calibri"/>
          <w:sz w:val="32"/>
          <w:szCs w:val="32"/>
        </w:rPr>
      </w:pPr>
      <w:r>
        <w:rPr>
          <w:rFonts w:cs="Calibri" w:ascii="Calibri" w:hAnsi="Calibri"/>
          <w:sz w:val="32"/>
          <w:szCs w:val="32"/>
        </w:rPr>
      </w:r>
    </w:p>
    <w:p>
      <w:pPr>
        <w:pStyle w:val="Normal"/>
        <w:rPr>
          <w:rFonts w:ascii="Calibri" w:hAnsi="Calibri" w:cs="Calibri"/>
          <w:sz w:val="32"/>
          <w:szCs w:val="32"/>
        </w:rPr>
      </w:pPr>
      <w:r>
        <w:rPr>
          <w:rFonts w:cs="Calibri" w:ascii="Calibri" w:hAnsi="Calibri"/>
          <w:sz w:val="32"/>
          <w:szCs w:val="32"/>
        </w:rPr>
        <w:t>Despite there being no overall consensus for the cause of the increased rates of erosion, there is ongoing debate as to the extent which physical and biological processes play a role. Studies have shown that, regionally, strong winds and high tides have led to an increased rate of salt marsh erosion. There is also evidence that certain species of ragworm contribute to soil instability through the process of bioturbation (Wolters et al, 2005). Understanding which elements are responsible for salt marsh erosion is key to isolating the human vs natural influence and assessing what type of management is best applicable. In Cwm Ivy, grazing routines have been implemented to protect the habitat (figure 9).</w:t>
      </w:r>
    </w:p>
    <w:p>
      <w:pPr>
        <w:pStyle w:val="Normal"/>
        <w:rPr>
          <w:rFonts w:ascii="Calibri" w:hAnsi="Calibri" w:cs="Calibri"/>
          <w:sz w:val="32"/>
          <w:szCs w:val="32"/>
        </w:rPr>
      </w:pPr>
      <w:r>
        <w:rPr>
          <w:rFonts w:cs="Calibri" w:ascii="Calibri" w:hAnsi="Calibri"/>
          <w:sz w:val="32"/>
          <w:szCs w:val="32"/>
        </w:rPr>
      </w:r>
    </w:p>
    <w:p>
      <w:pPr>
        <w:pStyle w:val="Normal"/>
        <w:rPr>
          <w:rFonts w:ascii="Calibri" w:hAnsi="Calibri" w:cs="Calibri"/>
          <w:sz w:val="32"/>
          <w:szCs w:val="32"/>
        </w:rPr>
      </w:pPr>
      <w:r>
        <w:rPr/>
        <w:drawing>
          <wp:inline distT="0" distB="0" distL="0" distR="0">
            <wp:extent cx="5734050" cy="3800475"/>
            <wp:effectExtent l="0" t="0" r="0" b="0"/>
            <wp:docPr id="5" name="Imag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3" descr=""/>
                    <pic:cNvPicPr>
                      <a:picLocks noChangeAspect="1" noChangeArrowheads="1"/>
                    </pic:cNvPicPr>
                  </pic:nvPicPr>
                  <pic:blipFill>
                    <a:blip r:embed="rId6"/>
                    <a:stretch>
                      <a:fillRect/>
                    </a:stretch>
                  </pic:blipFill>
                  <pic:spPr bwMode="auto">
                    <a:xfrm>
                      <a:off x="0" y="0"/>
                      <a:ext cx="5734050" cy="3800475"/>
                    </a:xfrm>
                    <a:prstGeom prst="rect">
                      <a:avLst/>
                    </a:prstGeom>
                  </pic:spPr>
                </pic:pic>
              </a:graphicData>
            </a:graphic>
          </wp:inline>
        </w:drawing>
      </w:r>
    </w:p>
    <w:p>
      <w:pPr>
        <w:pStyle w:val="Normal"/>
        <w:rPr>
          <w:rFonts w:ascii="Calibri" w:hAnsi="Calibri" w:cs="Calibri"/>
          <w:sz w:val="32"/>
          <w:szCs w:val="32"/>
        </w:rPr>
      </w:pPr>
      <w:r>
        <w:rPr>
          <w:rFonts w:cs="Calibri" w:ascii="Calibri" w:hAnsi="Calibri"/>
          <w:sz w:val="32"/>
          <w:szCs w:val="32"/>
        </w:rPr>
      </w:r>
    </w:p>
    <w:p>
      <w:pPr>
        <w:pStyle w:val="Normal"/>
        <w:rPr>
          <w:rFonts w:ascii="Calibri" w:hAnsi="Calibri" w:cs="Calibri"/>
          <w:sz w:val="32"/>
          <w:szCs w:val="32"/>
        </w:rPr>
      </w:pPr>
      <w:r>
        <w:rPr>
          <w:rFonts w:cs="Calibri" w:ascii="Calibri" w:hAnsi="Calibri"/>
          <w:sz w:val="32"/>
          <w:szCs w:val="32"/>
        </w:rPr>
        <w:t xml:space="preserve">Global / Regional Challenges – </w:t>
      </w:r>
    </w:p>
    <w:p>
      <w:pPr>
        <w:pStyle w:val="ListParagraph"/>
        <w:numPr>
          <w:ilvl w:val="0"/>
          <w:numId w:val="1"/>
        </w:numPr>
        <w:rPr>
          <w:rFonts w:ascii="Calibri" w:hAnsi="Calibri" w:cs="Calibri"/>
          <w:sz w:val="32"/>
          <w:szCs w:val="32"/>
        </w:rPr>
      </w:pPr>
      <w:r>
        <w:rPr>
          <w:rFonts w:cs="Calibri" w:ascii="Calibri" w:hAnsi="Calibri"/>
          <w:sz w:val="32"/>
          <w:szCs w:val="32"/>
        </w:rPr>
        <w:t xml:space="preserve">Sea Level Rise – </w:t>
      </w:r>
    </w:p>
    <w:p>
      <w:pPr>
        <w:pStyle w:val="ListParagraph"/>
        <w:rPr>
          <w:rFonts w:ascii="Calibri" w:hAnsi="Calibri" w:cs="Calibri"/>
          <w:sz w:val="32"/>
          <w:szCs w:val="32"/>
        </w:rPr>
      </w:pPr>
      <w:r>
        <w:rPr>
          <w:rFonts w:cs="Calibri" w:ascii="Calibri" w:hAnsi="Calibri"/>
          <w:sz w:val="32"/>
          <w:szCs w:val="32"/>
        </w:rPr>
        <w:t xml:space="preserve">Sea level rise is an issue shared globally, although its effects are disproportionate across sites. Coastal habitats are particularly threatened, with 67% of the eastern coastline of the UK exhibiting landward retreat of the low-water mark (Wolters et al, 2005). </w:t>
      </w:r>
    </w:p>
    <w:p>
      <w:pPr>
        <w:pStyle w:val="ListParagraph"/>
        <w:rPr>
          <w:rFonts w:ascii="Calibri" w:hAnsi="Calibri" w:cs="Calibri"/>
          <w:sz w:val="32"/>
          <w:szCs w:val="32"/>
        </w:rPr>
      </w:pPr>
      <w:r>
        <w:rPr>
          <w:rFonts w:cs="Calibri" w:ascii="Calibri" w:hAnsi="Calibri"/>
          <w:sz w:val="32"/>
          <w:szCs w:val="32"/>
        </w:rPr>
      </w:r>
    </w:p>
    <w:p>
      <w:pPr>
        <w:pStyle w:val="ListParagraph"/>
        <w:numPr>
          <w:ilvl w:val="0"/>
          <w:numId w:val="0"/>
        </w:numPr>
        <w:ind w:hanging="0" w:left="720"/>
        <w:rPr>
          <w:rFonts w:ascii="Calibri" w:hAnsi="Calibri" w:cs="Calibri"/>
          <w:sz w:val="32"/>
          <w:szCs w:val="32"/>
        </w:rPr>
      </w:pPr>
      <w:r>
        <w:rPr>
          <w:rFonts w:cs="Calibri" w:ascii="Calibri" w:hAnsi="Calibri"/>
          <w:sz w:val="32"/>
          <w:szCs w:val="32"/>
        </w:rPr>
        <w:t>Overall, sea level rise results of the loss of the intertidal area. Traditional attempts to combat this typically involve hard engineering schemes which can have devastating effects on local ecosystems, acting as blunt albeit powerful solutions to the issue. This has created a requirement for alternative modern solutions, of which Cwm Ivy is an example. The issues with coastal management are usually rooted in the necessary compromises, such as the clashes between stakeholders over the value of the land. This is particularly relevant for Cwm Ivy and ties in deeply with the growing issue of urbanisation and population growth as a whole (Narayan et al, 2016).</w:t>
      </w:r>
    </w:p>
    <w:p>
      <w:pPr>
        <w:pStyle w:val="ListParagraph"/>
        <w:rPr>
          <w:rFonts w:ascii="Calibri" w:hAnsi="Calibri" w:cs="Calibri"/>
          <w:sz w:val="32"/>
          <w:szCs w:val="32"/>
        </w:rPr>
      </w:pPr>
      <w:r>
        <w:rPr>
          <w:rFonts w:cs="Calibri" w:ascii="Calibri" w:hAnsi="Calibri"/>
          <w:sz w:val="32"/>
          <w:szCs w:val="32"/>
        </w:rPr>
      </w:r>
    </w:p>
    <w:p>
      <w:pPr>
        <w:pStyle w:val="ListParagraph"/>
        <w:rPr>
          <w:rFonts w:ascii="Calibri" w:hAnsi="Calibri" w:cs="Calibri"/>
          <w:sz w:val="32"/>
          <w:szCs w:val="32"/>
        </w:rPr>
      </w:pPr>
      <w:r>
        <w:rPr>
          <w:rFonts w:cs="Calibri" w:ascii="Calibri" w:hAnsi="Calibri"/>
          <w:sz w:val="32"/>
          <w:szCs w:val="32"/>
        </w:rPr>
        <w:t>Salt marshes are responsible for the mitigation of sea level rise at multiple levels. The stability they provide to coastal areas means more sediment is trapped, resulting in a greater barrier against flooding and storm surges (this effect relies on available sediment supply) (Best et al, 2018).</w:t>
      </w:r>
    </w:p>
    <w:p>
      <w:pPr>
        <w:pStyle w:val="ListParagraph"/>
        <w:rPr>
          <w:rFonts w:ascii="Calibri" w:hAnsi="Calibri" w:cs="Calibri"/>
          <w:sz w:val="32"/>
          <w:szCs w:val="32"/>
        </w:rPr>
      </w:pPr>
      <w:r>
        <w:rPr>
          <w:rFonts w:cs="Calibri" w:ascii="Calibri" w:hAnsi="Calibri"/>
          <w:sz w:val="32"/>
          <w:szCs w:val="32"/>
        </w:rPr>
      </w:r>
    </w:p>
    <w:p>
      <w:pPr>
        <w:pStyle w:val="ListParagraph"/>
        <w:rPr>
          <w:rFonts w:ascii="Aptos" w:hAnsi="Aptos" w:eastAsia="Aptos" w:cs="" w:asciiTheme="minorHAnsi" w:cstheme="minorBidi" w:eastAsiaTheme="minorHAnsi" w:hAnsiTheme="minorHAnsi"/>
          <w:highlight w:val="none"/>
          <w:shd w:fill="auto" w:val="clear"/>
          <w14:ligatures w14:val="standardContextual"/>
        </w:rPr>
      </w:pPr>
      <w:r>
        <w:rPr>
          <w:rFonts w:cs="Calibri" w:ascii="Calibri" w:hAnsi="Calibri"/>
          <w:sz w:val="32"/>
          <w:szCs w:val="32"/>
          <w:shd w:fill="auto" w:val="clear"/>
          <w14:ligatures w14:val="standardContextual"/>
        </w:rPr>
        <w:t xml:space="preserve">Increased salinity on sea surface levels due to climate change, have also played a role in the progressive loss of salt marsh zones. Some sources suggest that only pioneer species remain at the highest level of sea level rise </w:t>
      </w:r>
      <w:r>
        <w:rPr>
          <w:rFonts w:cs="Calibri" w:ascii="Calibri" w:hAnsi="Calibri"/>
          <w:color w:themeColor="text1" w:val="000000"/>
          <w:sz w:val="32"/>
          <w:szCs w:val="32"/>
          <w:shd w:fill="auto" w:val="clear"/>
          <w14:ligatures w14:val="standardContextual"/>
        </w:rPr>
        <w:t>(Trégarot et al, 2024).</w:t>
      </w:r>
    </w:p>
    <w:p>
      <w:pPr>
        <w:pStyle w:val="ListParagraph"/>
        <w:rPr>
          <w:rFonts w:ascii="Calibri" w:hAnsi="Calibri" w:cs="Calibri"/>
          <w:sz w:val="32"/>
          <w:szCs w:val="32"/>
        </w:rPr>
      </w:pPr>
      <w:r>
        <w:rPr>
          <w:rFonts w:cs="Calibri" w:ascii="Calibri" w:hAnsi="Calibri"/>
          <w:sz w:val="32"/>
          <w:szCs w:val="32"/>
        </w:rPr>
      </w:r>
    </w:p>
    <w:p>
      <w:pPr>
        <w:pStyle w:val="ListParagraph"/>
        <w:rPr>
          <w:rFonts w:ascii="Calibri" w:hAnsi="Calibri" w:cs="Calibri"/>
          <w:sz w:val="32"/>
          <w:szCs w:val="32"/>
        </w:rPr>
      </w:pPr>
      <w:r>
        <w:rPr>
          <w:rFonts w:cs="Calibri" w:ascii="Calibri" w:hAnsi="Calibri"/>
          <w:sz w:val="32"/>
          <w:szCs w:val="32"/>
        </w:rPr>
        <w:t xml:space="preserve">Although sea level rise affects all coastlines, in terms of the approach to mitigation, Cwm Ivy stands out amongst global trends. </w:t>
      </w:r>
    </w:p>
    <w:p>
      <w:pPr>
        <w:pStyle w:val="Normal"/>
        <w:rPr>
          <w:rFonts w:ascii="Calibri" w:hAnsi="Calibri" w:cs="Calibri"/>
          <w:sz w:val="32"/>
          <w:szCs w:val="32"/>
        </w:rPr>
      </w:pPr>
      <w:r>
        <w:rPr>
          <w:rFonts w:cs="Calibri" w:ascii="Calibri" w:hAnsi="Calibri"/>
          <w:sz w:val="32"/>
          <w:szCs w:val="32"/>
        </w:rPr>
      </w:r>
    </w:p>
    <w:p>
      <w:pPr>
        <w:pStyle w:val="ListParagraph"/>
        <w:numPr>
          <w:ilvl w:val="0"/>
          <w:numId w:val="1"/>
        </w:numPr>
        <w:rPr>
          <w:rFonts w:ascii="Calibri" w:hAnsi="Calibri" w:cs="Calibri"/>
          <w:sz w:val="32"/>
          <w:szCs w:val="32"/>
        </w:rPr>
      </w:pPr>
      <w:r>
        <w:rPr>
          <w:rFonts w:cs="Calibri" w:ascii="Calibri" w:hAnsi="Calibri"/>
          <w:sz w:val="32"/>
          <w:szCs w:val="32"/>
        </w:rPr>
        <w:t xml:space="preserve">Pollution – </w:t>
      </w:r>
    </w:p>
    <w:p>
      <w:pPr>
        <w:pStyle w:val="ListParagraph"/>
        <w:rPr>
          <w:rFonts w:ascii="Aptos" w:hAnsi="Aptos" w:eastAsia="Aptos" w:cs="" w:asciiTheme="minorHAnsi" w:cstheme="minorBidi" w:eastAsiaTheme="minorHAnsi" w:hAnsiTheme="minorHAnsi"/>
          <w:highlight w:val="none"/>
          <w:shd w:fill="auto" w:val="clear"/>
          <w14:ligatures w14:val="standardContextual"/>
        </w:rPr>
      </w:pPr>
      <w:r>
        <w:rPr>
          <w:rFonts w:cs="Calibri" w:ascii="Calibri" w:hAnsi="Calibri"/>
          <w:sz w:val="32"/>
          <w:szCs w:val="32"/>
          <w:shd w:fill="auto" w:val="clear"/>
          <w14:ligatures w14:val="standardContextual"/>
        </w:rPr>
        <w:t>Pollution poses a large threat to marsh environments. Urban run-off is a particular source which can contain industrial chemicals and sewage which ultimately result in a damaged ecosystem with reduced biodiversity. These substances not only contaminate the marsh environment, but can also make their way back into human diet via bioaccumulation (Pariona, 2017).</w:t>
      </w:r>
    </w:p>
    <w:p>
      <w:pPr>
        <w:pStyle w:val="ListParagraph"/>
        <w:rPr>
          <w:rFonts w:ascii="Calibri" w:hAnsi="Calibri" w:cs="Calibri"/>
          <w:sz w:val="32"/>
          <w:szCs w:val="32"/>
        </w:rPr>
      </w:pPr>
      <w:r>
        <w:rPr>
          <w:rFonts w:cs="Calibri" w:ascii="Calibri" w:hAnsi="Calibri"/>
          <w:sz w:val="32"/>
          <w:szCs w:val="32"/>
        </w:rPr>
      </w:r>
    </w:p>
    <w:p>
      <w:pPr>
        <w:pStyle w:val="ListParagraph"/>
        <w:rPr>
          <w:rFonts w:ascii="Aptos" w:hAnsi="Aptos" w:eastAsia="Aptos" w:cs="" w:asciiTheme="minorHAnsi" w:cstheme="minorBidi" w:eastAsiaTheme="minorHAnsi" w:hAnsiTheme="minorHAnsi"/>
          <w:highlight w:val="none"/>
          <w:shd w:fill="auto" w:val="clear"/>
          <w14:ligatures w14:val="standardContextual"/>
        </w:rPr>
      </w:pPr>
      <w:r>
        <w:rPr>
          <w:rFonts w:cs="Calibri" w:ascii="Calibri" w:hAnsi="Calibri"/>
          <w:sz w:val="32"/>
          <w:szCs w:val="32"/>
          <w:shd w:fill="auto" w:val="clear"/>
          <w14:ligatures w14:val="standardContextual"/>
        </w:rPr>
        <w:t xml:space="preserve">Agricultural practises may also result in marsh pollution, mainly through the conversion of marsh into drier, more stable land, although in the case of Cwm Ivy, the opposite process has taken place (figure 10). Despite this, close proximity to agricultural land can also result in increased nitrogen levels (figure 11). The can disrupt the natural equilibrium within the marsh habitat, resulting in a shift in flora and fauna (Pariona, 2017). </w:t>
      </w:r>
    </w:p>
    <w:p>
      <w:pPr>
        <w:pStyle w:val="ListParagraph"/>
        <w:rPr>
          <w:rFonts w:ascii="Aptos" w:hAnsi="Aptos" w:eastAsia="Aptos" w:cs="" w:asciiTheme="minorHAnsi" w:cstheme="minorBidi" w:eastAsiaTheme="minorHAnsi" w:hAnsiTheme="minorHAnsi"/>
          <w:highlight w:val="none"/>
          <w:shd w:fill="auto" w:val="clear"/>
          <w14:ligatures w14:val="standardContextual"/>
        </w:rPr>
      </w:pPr>
      <w:r>
        <w:rPr>
          <w:rFonts w:eastAsia="Aptos" w:cs="" w:cstheme="minorBidi" w:eastAsiaTheme="minorHAnsi"/>
          <w:shd w:fill="auto" w:val="clear"/>
          <w14:ligatures w14:val="standardContextual"/>
        </w:rPr>
      </w:r>
    </w:p>
    <w:p>
      <w:pPr>
        <w:pStyle w:val="ListParagraph"/>
        <w:rPr>
          <w:rFonts w:ascii="Aptos" w:hAnsi="Aptos" w:eastAsia="Aptos" w:cs="" w:asciiTheme="minorHAnsi" w:cstheme="minorBidi" w:eastAsiaTheme="minorHAnsi" w:hAnsiTheme="minorHAnsi"/>
          <w:highlight w:val="none"/>
          <w:shd w:fill="auto" w:val="clear"/>
          <w14:ligatures w14:val="standardContextual"/>
        </w:rPr>
      </w:pPr>
      <w:r>
        <w:rPr>
          <w:rFonts w:eastAsia="Aptos" w:cs="" w:cstheme="minorBidi" w:eastAsiaTheme="minorHAnsi"/>
          <w:sz w:val="32"/>
          <w:szCs w:val="32"/>
          <w:shd w:fill="auto" w:val="clear"/>
          <w14:ligatures w14:val="standardContextual"/>
        </w:rPr>
        <w:t xml:space="preserve">In addition to salt marshes acting as carbon sinks, they have been found to store many other pollutants. Marsh sediments are especially useful in trapping microplastics, particularly in more urban environments where they accumulate in waterways. With large scale loss of salt marsh environments over time, key stores have been vastly reduced in capacity, resulting in a detriment to marine health. </w:t>
      </w:r>
      <w:r>
        <w:rPr>
          <w:rFonts w:eastAsia="Aptos" w:cs="Calibri" w:ascii="Calibri" w:hAnsi="Calibri"/>
          <w:color w:themeColor="text1" w:val="000000"/>
          <w:sz w:val="32"/>
          <w:szCs w:val="32"/>
          <w:shd w:fill="auto" w:val="clear"/>
        </w:rPr>
        <w:t>(Lloret et al, 2021).</w:t>
      </w:r>
    </w:p>
    <w:p>
      <w:pPr>
        <w:pStyle w:val="ListParagraph"/>
        <w:rPr>
          <w:rFonts w:ascii="Calibri" w:hAnsi="Calibri" w:cs="Calibri"/>
          <w:sz w:val="32"/>
          <w:szCs w:val="32"/>
        </w:rPr>
      </w:pPr>
      <w:r>
        <w:rPr>
          <w:rFonts w:cs="Calibri" w:ascii="Calibri" w:hAnsi="Calibri"/>
          <w:sz w:val="32"/>
          <w:szCs w:val="32"/>
        </w:rPr>
      </w:r>
    </w:p>
    <w:p>
      <w:pPr>
        <w:pStyle w:val="ListParagraph"/>
        <w:numPr>
          <w:ilvl w:val="0"/>
          <w:numId w:val="1"/>
        </w:numPr>
        <w:rPr>
          <w:rFonts w:ascii="Calibri" w:hAnsi="Calibri" w:cs="Calibri"/>
          <w:sz w:val="32"/>
          <w:szCs w:val="32"/>
        </w:rPr>
      </w:pPr>
      <w:r>
        <w:rPr>
          <w:rFonts w:cs="Calibri" w:ascii="Calibri" w:hAnsi="Calibri"/>
          <w:sz w:val="32"/>
          <w:szCs w:val="32"/>
        </w:rPr>
        <w:t xml:space="preserve">Urbanisation – </w:t>
      </w:r>
    </w:p>
    <w:p>
      <w:pPr>
        <w:pStyle w:val="ListParagraph"/>
        <w:rPr>
          <w:rFonts w:ascii="Calibri" w:hAnsi="Calibri" w:cs="Calibri"/>
          <w:sz w:val="32"/>
          <w:szCs w:val="32"/>
        </w:rPr>
      </w:pPr>
      <w:r>
        <w:rPr>
          <w:rFonts w:cs="Calibri" w:ascii="Calibri" w:hAnsi="Calibri"/>
          <w:sz w:val="32"/>
          <w:szCs w:val="32"/>
        </w:rPr>
        <w:t xml:space="preserve">Urban sprawl is an issue in many parts of the globe and plays a large role in processes such as habitat loss. As populations rise, the number of people living in seaside communities increase, which in turn brings infrastructure. Many factors contribute to making coastal areas desirable to live in. Historically it is rooted in the availability natural resources although now profitable seaside real estate also plays a role (Pariona, 2017). </w:t>
      </w:r>
    </w:p>
    <w:p>
      <w:pPr>
        <w:pStyle w:val="ListParagraph"/>
        <w:rPr>
          <w:rFonts w:ascii="Calibri" w:hAnsi="Calibri" w:cs="Calibri"/>
          <w:sz w:val="32"/>
          <w:szCs w:val="32"/>
        </w:rPr>
      </w:pPr>
      <w:r>
        <w:rPr>
          <w:rFonts w:cs="Calibri" w:ascii="Calibri" w:hAnsi="Calibri"/>
          <w:sz w:val="32"/>
          <w:szCs w:val="32"/>
        </w:rPr>
      </w:r>
    </w:p>
    <w:p>
      <w:pPr>
        <w:pStyle w:val="ListParagraph"/>
        <w:rPr>
          <w:rFonts w:ascii="Calibri" w:hAnsi="Calibri" w:cs="Calibri"/>
          <w:sz w:val="32"/>
          <w:szCs w:val="32"/>
        </w:rPr>
      </w:pPr>
      <w:r>
        <w:rPr>
          <w:rFonts w:cs="Calibri" w:ascii="Calibri" w:hAnsi="Calibri"/>
          <w:sz w:val="32"/>
          <w:szCs w:val="32"/>
        </w:rPr>
        <w:t>Unlike both sea level rise and water pollution, urbanisation is a solely human influence on the landscape. As a result, it is a key tool for measuring the influence of the Anthropocene. Whilst Cwm Ivy is not urban itself, increasing urbanisation along coastlines in general, has resulted in greater pressures on the site. In addition to this, its role in agriculture makes it valuable, particularly for local communities.</w:t>
      </w:r>
    </w:p>
    <w:p>
      <w:pPr>
        <w:pStyle w:val="ListParagraph"/>
        <w:rPr>
          <w:rFonts w:ascii="Calibri" w:hAnsi="Calibri" w:cs="Calibri"/>
          <w:sz w:val="32"/>
          <w:szCs w:val="32"/>
        </w:rPr>
      </w:pPr>
      <w:r>
        <w:rPr>
          <w:rFonts w:cs="Calibri" w:ascii="Calibri" w:hAnsi="Calibri"/>
          <w:sz w:val="32"/>
          <w:szCs w:val="32"/>
        </w:rPr>
      </w:r>
    </w:p>
    <w:p>
      <w:pPr>
        <w:pStyle w:val="ListParagraph"/>
        <w:rPr>
          <w:rFonts w:ascii="Calibri" w:hAnsi="Calibri" w:cs="Calibri"/>
          <w:sz w:val="32"/>
          <w:szCs w:val="32"/>
        </w:rPr>
      </w:pPr>
      <w:r>
        <w:rPr>
          <w:rFonts w:cs="Calibri" w:ascii="Calibri" w:hAnsi="Calibri"/>
          <w:sz w:val="32"/>
          <w:szCs w:val="32"/>
        </w:rPr>
        <w:t xml:space="preserve">Salt marsh erosion can be linked to many different processes. Human interaction, particularly in the form of sea walls, can lead to an issue known as coastal squeeze, where natural habitats are blocked by anthropogenic structures. This also inhibits natural salt marsh formation and growth (Wolters et al, 2005). </w:t>
      </w:r>
    </w:p>
    <w:p>
      <w:pPr>
        <w:pStyle w:val="ListParagraph"/>
        <w:rPr>
          <w:rFonts w:ascii="Calibri" w:hAnsi="Calibri" w:cs="Calibri"/>
          <w:sz w:val="32"/>
          <w:szCs w:val="32"/>
        </w:rPr>
      </w:pPr>
      <w:r>
        <w:rPr>
          <w:rFonts w:cs="Calibri" w:ascii="Calibri" w:hAnsi="Calibri"/>
          <w:sz w:val="32"/>
          <w:szCs w:val="32"/>
        </w:rPr>
      </w:r>
    </w:p>
    <w:p>
      <w:pPr>
        <w:pStyle w:val="ListParagraph"/>
        <w:rPr>
          <w:rFonts w:ascii="Calibri" w:hAnsi="Calibri" w:cs="Calibri"/>
          <w:sz w:val="32"/>
          <w:szCs w:val="32"/>
        </w:rPr>
      </w:pPr>
      <w:r>
        <w:rPr>
          <w:rFonts w:cs="Calibri" w:ascii="Calibri" w:hAnsi="Calibri"/>
          <w:sz w:val="32"/>
          <w:szCs w:val="32"/>
        </w:rPr>
        <w:t>Some sources suggest that managed realignment sites (sites which have been engineered to create an upper inter-tidal habitat), are less ecologically diverse than naturally occurring sites. Aside from decreased biodiversity, carbon sequestration is unpredictable in managed realignment sites. This aspect means sites such as Cwm Ivy may not be meeting target carbon storage levels (Dale, 2021).</w:t>
      </w:r>
    </w:p>
    <w:p>
      <w:pPr>
        <w:pStyle w:val="ListParagraph"/>
        <w:rPr>
          <w:rFonts w:ascii="Calibri" w:hAnsi="Calibri" w:cs="Calibri"/>
          <w:sz w:val="32"/>
          <w:szCs w:val="32"/>
        </w:rPr>
      </w:pPr>
      <w:r>
        <w:rPr>
          <w:rFonts w:cs="Calibri" w:ascii="Calibri" w:hAnsi="Calibri"/>
          <w:sz w:val="32"/>
          <w:szCs w:val="32"/>
        </w:rPr>
      </w:r>
    </w:p>
    <w:p>
      <w:pPr>
        <w:pStyle w:val="ListParagraph"/>
        <w:rPr>
          <w:rFonts w:ascii="Calibri" w:hAnsi="Calibri" w:cs="Calibri"/>
          <w:sz w:val="32"/>
          <w:szCs w:val="32"/>
        </w:rPr>
      </w:pPr>
      <w:r>
        <w:rPr>
          <w:rFonts w:cs="Calibri" w:ascii="Calibri" w:hAnsi="Calibri"/>
          <w:sz w:val="32"/>
          <w:szCs w:val="32"/>
        </w:rPr>
        <w:t>Whilst issues such as urbanisation can be assessed independently, threats to salt marshes are a combination of interlinked factors which each affect each other in complex, often hidden ways. In this regard, the overall affect of climate change on salt marsh erosion is strongly linked with the concept of wicked problems.</w:t>
      </w:r>
    </w:p>
    <w:p>
      <w:pPr>
        <w:pStyle w:val="Normal"/>
        <w:rPr>
          <w:rFonts w:ascii="Calibri" w:hAnsi="Calibri" w:cs="Calibri"/>
          <w:sz w:val="32"/>
          <w:szCs w:val="32"/>
        </w:rPr>
      </w:pPr>
      <w:r>
        <w:rPr>
          <w:rFonts w:cs="Calibri" w:ascii="Calibri" w:hAnsi="Calibri"/>
          <w:sz w:val="32"/>
          <w:szCs w:val="32"/>
        </w:rPr>
      </w:r>
    </w:p>
    <w:p>
      <w:pPr>
        <w:pStyle w:val="Normal"/>
        <w:rPr>
          <w:rFonts w:ascii="Calibri" w:hAnsi="Calibri" w:cs="Calibri"/>
          <w:sz w:val="32"/>
          <w:szCs w:val="32"/>
        </w:rPr>
      </w:pPr>
      <w:r>
        <w:rPr>
          <w:rFonts w:cs="Calibri" w:ascii="Calibri" w:hAnsi="Calibri"/>
          <w:sz w:val="32"/>
          <w:szCs w:val="32"/>
        </w:rPr>
        <w:t xml:space="preserve">Site Management – </w:t>
      </w:r>
    </w:p>
    <w:p>
      <w:pPr>
        <w:pStyle w:val="Normal"/>
        <w:rPr>
          <w:rFonts w:ascii="Calibri" w:hAnsi="Calibri" w:cs="Calibri"/>
          <w:sz w:val="32"/>
          <w:szCs w:val="32"/>
        </w:rPr>
      </w:pPr>
      <w:r>
        <w:rPr>
          <w:rFonts w:cs="Calibri" w:ascii="Calibri" w:hAnsi="Calibri"/>
          <w:sz w:val="32"/>
          <w:szCs w:val="32"/>
        </w:rPr>
        <w:drawing>
          <wp:anchor behindDoc="0" distT="0" distB="0" distL="0" distR="0" simplePos="0" locked="0" layoutInCell="0" allowOverlap="1" relativeHeight="7">
            <wp:simplePos x="0" y="0"/>
            <wp:positionH relativeFrom="column">
              <wp:posOffset>-728345</wp:posOffset>
            </wp:positionH>
            <wp:positionV relativeFrom="paragraph">
              <wp:posOffset>-202565</wp:posOffset>
            </wp:positionV>
            <wp:extent cx="7240270" cy="9645015"/>
            <wp:effectExtent l="0" t="0" r="0" b="0"/>
            <wp:wrapSquare wrapText="largest"/>
            <wp:docPr id="6"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1" descr=""/>
                    <pic:cNvPicPr>
                      <a:picLocks noChangeAspect="1" noChangeArrowheads="1"/>
                    </pic:cNvPicPr>
                  </pic:nvPicPr>
                  <pic:blipFill>
                    <a:blip r:embed="rId7"/>
                    <a:srcRect l="0" t="0" r="0" b="431"/>
                    <a:stretch>
                      <a:fillRect/>
                    </a:stretch>
                  </pic:blipFill>
                  <pic:spPr bwMode="auto">
                    <a:xfrm>
                      <a:off x="0" y="0"/>
                      <a:ext cx="7240270" cy="9645015"/>
                    </a:xfrm>
                    <a:prstGeom prst="rect">
                      <a:avLst/>
                    </a:prstGeom>
                  </pic:spPr>
                </pic:pic>
              </a:graphicData>
            </a:graphic>
          </wp:anchor>
        </w:drawing>
      </w:r>
    </w:p>
    <w:p>
      <w:pPr>
        <w:pStyle w:val="Normal"/>
        <w:rPr>
          <w:rFonts w:ascii="Calibri" w:hAnsi="Calibri" w:cs="Calibri"/>
          <w:sz w:val="32"/>
          <w:szCs w:val="32"/>
        </w:rPr>
      </w:pPr>
      <w:r>
        <w:rPr>
          <w:rFonts w:cs="Calibri" w:ascii="Calibri" w:hAnsi="Calibri"/>
          <w:sz w:val="32"/>
          <w:szCs w:val="32"/>
        </w:rPr>
        <w:drawing>
          <wp:anchor behindDoc="0" distT="0" distB="0" distL="0" distR="0" simplePos="0" locked="0" layoutInCell="0" allowOverlap="1" relativeHeight="8">
            <wp:simplePos x="0" y="0"/>
            <wp:positionH relativeFrom="column">
              <wp:posOffset>-783590</wp:posOffset>
            </wp:positionH>
            <wp:positionV relativeFrom="paragraph">
              <wp:posOffset>-218440</wp:posOffset>
            </wp:positionV>
            <wp:extent cx="7171690" cy="3886200"/>
            <wp:effectExtent l="0" t="0" r="0" b="0"/>
            <wp:wrapSquare wrapText="largest"/>
            <wp:docPr id="7" name="Imag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4" descr=""/>
                    <pic:cNvPicPr>
                      <a:picLocks noChangeAspect="1" noChangeArrowheads="1"/>
                    </pic:cNvPicPr>
                  </pic:nvPicPr>
                  <pic:blipFill>
                    <a:blip r:embed="rId8"/>
                    <a:srcRect l="0" t="0" r="0" b="27746"/>
                    <a:stretch>
                      <a:fillRect/>
                    </a:stretch>
                  </pic:blipFill>
                  <pic:spPr bwMode="auto">
                    <a:xfrm>
                      <a:off x="0" y="0"/>
                      <a:ext cx="7171690" cy="3886200"/>
                    </a:xfrm>
                    <a:prstGeom prst="rect">
                      <a:avLst/>
                    </a:prstGeom>
                  </pic:spPr>
                </pic:pic>
              </a:graphicData>
            </a:graphic>
          </wp:anchor>
        </w:drawing>
        <w:drawing>
          <wp:anchor behindDoc="0" distT="0" distB="0" distL="0" distR="0" simplePos="0" locked="0" layoutInCell="0" allowOverlap="1" relativeHeight="9">
            <wp:simplePos x="0" y="0"/>
            <wp:positionH relativeFrom="column">
              <wp:posOffset>-525780</wp:posOffset>
            </wp:positionH>
            <wp:positionV relativeFrom="paragraph">
              <wp:posOffset>3676015</wp:posOffset>
            </wp:positionV>
            <wp:extent cx="6645910" cy="4984115"/>
            <wp:effectExtent l="0" t="0" r="0" b="0"/>
            <wp:wrapSquare wrapText="largest"/>
            <wp:docPr id="8" name="Imag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5" descr=""/>
                    <pic:cNvPicPr>
                      <a:picLocks noChangeAspect="1" noChangeArrowheads="1"/>
                    </pic:cNvPicPr>
                  </pic:nvPicPr>
                  <pic:blipFill>
                    <a:blip r:embed="rId9"/>
                    <a:stretch>
                      <a:fillRect/>
                    </a:stretch>
                  </pic:blipFill>
                  <pic:spPr bwMode="auto">
                    <a:xfrm>
                      <a:off x="0" y="0"/>
                      <a:ext cx="6645910" cy="4984115"/>
                    </a:xfrm>
                    <a:prstGeom prst="rect">
                      <a:avLst/>
                    </a:prstGeom>
                  </pic:spPr>
                </pic:pic>
              </a:graphicData>
            </a:graphic>
          </wp:anchor>
        </w:drawing>
      </w:r>
    </w:p>
    <w:p>
      <w:pPr>
        <w:pStyle w:val="Normal"/>
        <w:rPr>
          <w:rFonts w:ascii="Calibri" w:hAnsi="Calibri" w:cs="Calibri"/>
        </w:rPr>
      </w:pPr>
      <w:r>
        <w:rPr>
          <w:rFonts w:cs="Calibri" w:ascii="Calibri" w:hAnsi="Calibri"/>
        </w:rPr>
      </w:r>
    </w:p>
    <w:p>
      <w:pPr>
        <w:pStyle w:val="Normal"/>
        <w:rPr>
          <w:sz w:val="32"/>
          <w:szCs w:val="32"/>
        </w:rPr>
      </w:pPr>
      <w:r>
        <w:rPr>
          <w:sz w:val="32"/>
          <w:szCs w:val="32"/>
        </w:rPr>
        <w:drawing>
          <wp:anchor behindDoc="0" distT="0" distB="0" distL="0" distR="0" simplePos="0" locked="0" layoutInCell="0" allowOverlap="1" relativeHeight="10">
            <wp:simplePos x="0" y="0"/>
            <wp:positionH relativeFrom="column">
              <wp:posOffset>0</wp:posOffset>
            </wp:positionH>
            <wp:positionV relativeFrom="paragraph">
              <wp:posOffset>78740</wp:posOffset>
            </wp:positionV>
            <wp:extent cx="5731510" cy="4298315"/>
            <wp:effectExtent l="0" t="0" r="0" b="0"/>
            <wp:wrapSquare wrapText="largest"/>
            <wp:docPr id="9" name="Imag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6" descr=""/>
                    <pic:cNvPicPr>
                      <a:picLocks noChangeAspect="1" noChangeArrowheads="1"/>
                    </pic:cNvPicPr>
                  </pic:nvPicPr>
                  <pic:blipFill>
                    <a:blip r:embed="rId10"/>
                    <a:stretch>
                      <a:fillRect/>
                    </a:stretch>
                  </pic:blipFill>
                  <pic:spPr bwMode="auto">
                    <a:xfrm>
                      <a:off x="0" y="0"/>
                      <a:ext cx="5731510" cy="4298315"/>
                    </a:xfrm>
                    <a:prstGeom prst="rect">
                      <a:avLst/>
                    </a:prstGeom>
                  </pic:spPr>
                </pic:pic>
              </a:graphicData>
            </a:graphic>
          </wp:anchor>
        </w:drawing>
        <w:drawing>
          <wp:anchor behindDoc="0" distT="0" distB="0" distL="0" distR="0" simplePos="0" locked="0" layoutInCell="0" allowOverlap="1" relativeHeight="11">
            <wp:simplePos x="0" y="0"/>
            <wp:positionH relativeFrom="column">
              <wp:posOffset>0</wp:posOffset>
            </wp:positionH>
            <wp:positionV relativeFrom="paragraph">
              <wp:posOffset>4136390</wp:posOffset>
            </wp:positionV>
            <wp:extent cx="5731510" cy="4298315"/>
            <wp:effectExtent l="0" t="0" r="0" b="0"/>
            <wp:wrapSquare wrapText="largest"/>
            <wp:docPr id="10" name="Image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7" descr=""/>
                    <pic:cNvPicPr>
                      <a:picLocks noChangeAspect="1" noChangeArrowheads="1"/>
                    </pic:cNvPicPr>
                  </pic:nvPicPr>
                  <pic:blipFill>
                    <a:blip r:embed="rId11"/>
                    <a:stretch>
                      <a:fillRect/>
                    </a:stretch>
                  </pic:blipFill>
                  <pic:spPr bwMode="auto">
                    <a:xfrm>
                      <a:off x="0" y="0"/>
                      <a:ext cx="5731510" cy="4298315"/>
                    </a:xfrm>
                    <a:prstGeom prst="rect">
                      <a:avLst/>
                    </a:prstGeom>
                  </pic:spPr>
                </pic:pic>
              </a:graphicData>
            </a:graphic>
          </wp:anchor>
        </w:drawing>
      </w:r>
    </w:p>
    <w:p>
      <w:pPr>
        <w:pStyle w:val="Normal"/>
        <w:rPr>
          <w:sz w:val="32"/>
          <w:szCs w:val="32"/>
        </w:rPr>
      </w:pPr>
      <w:r>
        <w:rPr>
          <w:rFonts w:cs="Calibri" w:ascii="Calibri" w:hAnsi="Calibri"/>
          <w:sz w:val="32"/>
          <w:szCs w:val="32"/>
        </w:rPr>
        <w:t xml:space="preserve">Cwm Ivy Marsh is currently owned by the National Trust who co-manage the site with Natural Resources Wales (figure 6) (NRW, n.d.). Grazing routines are one of the most influential ways in which the site is being managed, as shown in figure 9. The choice of ponies in particular helps to reduce shrub encroachment onto the marsh, which could result in a premature ecological succession (halosere) </w:t>
      </w:r>
      <w:r>
        <w:rPr>
          <w:rFonts w:cs="Calibri" w:ascii="Calibri" w:hAnsi="Calibri"/>
          <w:color w:themeColor="text1" w:val="000000"/>
          <w:sz w:val="32"/>
          <w:szCs w:val="32"/>
          <w:shd w:fill="auto" w:val="clear"/>
        </w:rPr>
        <w:t xml:space="preserve">(Wildlife and Countryside Link, n.d.). This aligns with the overall aim of management to create a resilient site through promoting ecological diversity (National Trust, 2024). </w:t>
      </w:r>
    </w:p>
    <w:p>
      <w:pPr>
        <w:pStyle w:val="Normal"/>
        <w:rPr>
          <w:sz w:val="32"/>
          <w:szCs w:val="32"/>
        </w:rPr>
      </w:pPr>
      <w:r>
        <w:rPr>
          <w:sz w:val="32"/>
          <w:szCs w:val="32"/>
        </w:rPr>
      </w:r>
    </w:p>
    <w:p>
      <w:pPr>
        <w:pStyle w:val="Normal"/>
        <w:rPr>
          <w:rFonts w:ascii="Calibri" w:hAnsi="Calibri" w:cs="Calibri"/>
          <w:sz w:val="32"/>
          <w:szCs w:val="32"/>
        </w:rPr>
      </w:pPr>
      <w:r>
        <w:rPr>
          <w:rFonts w:cs="Calibri" w:ascii="Calibri" w:hAnsi="Calibri"/>
          <w:color w:themeColor="text1" w:val="000000"/>
          <w:sz w:val="32"/>
          <w:szCs w:val="32"/>
          <w:shd w:fill="auto" w:val="clear"/>
        </w:rPr>
        <w:t>Similar examples of management are displayed in areas such as the Awre Peninsula in Somerset, where the Wetlands Trust has proposed a tactical retreat, aiming to flood 148 hectares of low-lying land. This will allow a section of the Severn Estuary to be restored to salt marsh (WWT, 2024).</w:t>
      </w:r>
    </w:p>
    <w:p>
      <w:pPr>
        <w:pStyle w:val="Normal"/>
        <w:rPr>
          <w:rFonts w:ascii="Calibri" w:hAnsi="Calibri" w:cs="Calibri"/>
          <w:sz w:val="32"/>
          <w:szCs w:val="32"/>
        </w:rPr>
      </w:pPr>
      <w:r>
        <w:rPr>
          <w:rFonts w:cs="Calibri" w:ascii="Calibri" w:hAnsi="Calibri"/>
          <w:sz w:val="32"/>
          <w:szCs w:val="32"/>
        </w:rPr>
      </w:r>
    </w:p>
    <w:p>
      <w:pPr>
        <w:pStyle w:val="Normal"/>
        <w:rPr>
          <w:rFonts w:ascii="Calibri" w:hAnsi="Calibri" w:cs="Calibri"/>
          <w:sz w:val="32"/>
          <w:szCs w:val="32"/>
        </w:rPr>
      </w:pPr>
      <w:r>
        <w:rPr>
          <w:rFonts w:cs="Calibri" w:ascii="Calibri" w:hAnsi="Calibri"/>
          <w:sz w:val="32"/>
          <w:szCs w:val="32"/>
        </w:rPr>
        <w:t xml:space="preserve">With over 50% of salt marsh habitat in Europe lost to coastal development, the need for more managed retreats like Cwm Ivy is required in order to offset the existing deficit. (Julien et al, 2023). Although organisations such as the National Trust are pushing towards a healthier coastline in the UK, the speed at which land can be covered presents issues for a time sensitive situation </w:t>
      </w:r>
      <w:r>
        <w:rPr>
          <w:rFonts w:cs="Calibri" w:ascii="Calibri" w:hAnsi="Calibri"/>
          <w:sz w:val="32"/>
          <w:szCs w:val="32"/>
        </w:rPr>
        <w:t>such as this</w:t>
      </w:r>
      <w:r>
        <w:rPr>
          <w:rFonts w:cs="Calibri" w:ascii="Calibri" w:hAnsi="Calibri"/>
          <w:sz w:val="32"/>
          <w:szCs w:val="32"/>
        </w:rPr>
        <w:t xml:space="preserve">. Ultimately, the lack of funding for projects such as Cwm Ivy display a </w:t>
      </w:r>
      <w:r>
        <w:rPr>
          <w:rFonts w:cs="Calibri" w:ascii="Calibri" w:hAnsi="Calibri"/>
          <w:sz w:val="32"/>
          <w:szCs w:val="32"/>
        </w:rPr>
        <w:t>widespread</w:t>
      </w:r>
      <w:r>
        <w:rPr>
          <w:rFonts w:cs="Calibri" w:ascii="Calibri" w:hAnsi="Calibri"/>
          <w:sz w:val="32"/>
          <w:szCs w:val="32"/>
        </w:rPr>
        <w:t xml:space="preserve"> neglect for this habitat, </w:t>
      </w:r>
      <w:r>
        <w:rPr>
          <w:rFonts w:cs="Calibri" w:ascii="Calibri" w:hAnsi="Calibri"/>
          <w:sz w:val="32"/>
          <w:szCs w:val="32"/>
        </w:rPr>
        <w:t>particularly at</w:t>
      </w:r>
      <w:r>
        <w:rPr>
          <w:rFonts w:cs="Calibri" w:ascii="Calibri" w:hAnsi="Calibri"/>
          <w:sz w:val="32"/>
          <w:szCs w:val="32"/>
        </w:rPr>
        <w:t xml:space="preserve"> the national scale.</w:t>
      </w:r>
    </w:p>
    <w:p>
      <w:pPr>
        <w:pStyle w:val="Normal"/>
        <w:rPr>
          <w:rFonts w:ascii="Calibri" w:hAnsi="Calibri" w:cs="Calibri"/>
          <w:sz w:val="32"/>
          <w:szCs w:val="32"/>
        </w:rPr>
      </w:pPr>
      <w:r>
        <w:rPr>
          <w:rFonts w:cs="Calibri" w:ascii="Calibri" w:hAnsi="Calibri"/>
          <w:sz w:val="32"/>
          <w:szCs w:val="32"/>
        </w:rPr>
        <w:drawing>
          <wp:anchor behindDoc="0" distT="0" distB="0" distL="0" distR="0" simplePos="0" locked="0" layoutInCell="0" allowOverlap="1" relativeHeight="12">
            <wp:simplePos x="0" y="0"/>
            <wp:positionH relativeFrom="column">
              <wp:align>center</wp:align>
            </wp:positionH>
            <wp:positionV relativeFrom="paragraph">
              <wp:posOffset>635</wp:posOffset>
            </wp:positionV>
            <wp:extent cx="5731510" cy="4907280"/>
            <wp:effectExtent l="0" t="0" r="0" b="0"/>
            <wp:wrapSquare wrapText="largest"/>
            <wp:docPr id="11" name="Image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8" descr=""/>
                    <pic:cNvPicPr>
                      <a:picLocks noChangeAspect="1" noChangeArrowheads="1"/>
                    </pic:cNvPicPr>
                  </pic:nvPicPr>
                  <pic:blipFill>
                    <a:blip r:embed="rId12"/>
                    <a:stretch>
                      <a:fillRect/>
                    </a:stretch>
                  </pic:blipFill>
                  <pic:spPr bwMode="auto">
                    <a:xfrm>
                      <a:off x="0" y="0"/>
                      <a:ext cx="5731510" cy="4907280"/>
                    </a:xfrm>
                    <a:prstGeom prst="rect">
                      <a:avLst/>
                    </a:prstGeom>
                  </pic:spPr>
                </pic:pic>
              </a:graphicData>
            </a:graphic>
          </wp:anchor>
        </w:drawing>
        <w:drawing>
          <wp:anchor behindDoc="0" distT="0" distB="0" distL="0" distR="0" simplePos="0" locked="0" layoutInCell="0" allowOverlap="1" relativeHeight="13">
            <wp:simplePos x="0" y="0"/>
            <wp:positionH relativeFrom="column">
              <wp:align>center</wp:align>
            </wp:positionH>
            <wp:positionV relativeFrom="paragraph">
              <wp:posOffset>635</wp:posOffset>
            </wp:positionV>
            <wp:extent cx="5731510" cy="8110220"/>
            <wp:effectExtent l="0" t="0" r="0" b="0"/>
            <wp:wrapSquare wrapText="largest"/>
            <wp:docPr id="12" name="Image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9" descr=""/>
                    <pic:cNvPicPr>
                      <a:picLocks noChangeAspect="1" noChangeArrowheads="1"/>
                    </pic:cNvPicPr>
                  </pic:nvPicPr>
                  <pic:blipFill>
                    <a:blip r:embed="rId13"/>
                    <a:stretch>
                      <a:fillRect/>
                    </a:stretch>
                  </pic:blipFill>
                  <pic:spPr bwMode="auto">
                    <a:xfrm>
                      <a:off x="0" y="0"/>
                      <a:ext cx="5731510" cy="8110220"/>
                    </a:xfrm>
                    <a:prstGeom prst="rect">
                      <a:avLst/>
                    </a:prstGeom>
                  </pic:spPr>
                </pic:pic>
              </a:graphicData>
            </a:graphic>
          </wp:anchor>
        </w:drawing>
      </w:r>
    </w:p>
    <w:p>
      <w:pPr>
        <w:pStyle w:val="Normal"/>
        <w:rPr>
          <w:rFonts w:ascii="Calibri" w:hAnsi="Calibri" w:cs="Calibri"/>
          <w:b/>
          <w:bCs/>
          <w:sz w:val="32"/>
          <w:szCs w:val="32"/>
        </w:rPr>
      </w:pPr>
      <w:r>
        <w:rPr>
          <w:rFonts w:cs="Calibri" w:ascii="Calibri" w:hAnsi="Calibri"/>
          <w:b/>
          <w:bCs/>
          <w:sz w:val="32"/>
          <w:szCs w:val="32"/>
        </w:rPr>
        <w:drawing>
          <wp:anchor behindDoc="0" distT="0" distB="0" distL="0" distR="0" simplePos="0" locked="0" layoutInCell="0" allowOverlap="1" relativeHeight="14">
            <wp:simplePos x="0" y="0"/>
            <wp:positionH relativeFrom="column">
              <wp:align>center</wp:align>
            </wp:positionH>
            <wp:positionV relativeFrom="paragraph">
              <wp:posOffset>635</wp:posOffset>
            </wp:positionV>
            <wp:extent cx="5731510" cy="3197225"/>
            <wp:effectExtent l="0" t="0" r="0" b="0"/>
            <wp:wrapSquare wrapText="largest"/>
            <wp:docPr id="13" name="Image1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10" descr=""/>
                    <pic:cNvPicPr>
                      <a:picLocks noChangeAspect="1" noChangeArrowheads="1"/>
                    </pic:cNvPicPr>
                  </pic:nvPicPr>
                  <pic:blipFill>
                    <a:blip r:embed="rId14"/>
                    <a:stretch>
                      <a:fillRect/>
                    </a:stretch>
                  </pic:blipFill>
                  <pic:spPr bwMode="auto">
                    <a:xfrm>
                      <a:off x="0" y="0"/>
                      <a:ext cx="5731510" cy="3197225"/>
                    </a:xfrm>
                    <a:prstGeom prst="rect">
                      <a:avLst/>
                    </a:prstGeom>
                  </pic:spPr>
                </pic:pic>
              </a:graphicData>
            </a:graphic>
          </wp:anchor>
        </w:drawing>
      </w:r>
    </w:p>
    <w:p>
      <w:pPr>
        <w:pStyle w:val="Normal"/>
        <w:rPr>
          <w:rFonts w:ascii="Calibri" w:hAnsi="Calibri" w:cs="Calibri"/>
          <w:b/>
          <w:bCs/>
          <w:sz w:val="32"/>
          <w:szCs w:val="32"/>
        </w:rPr>
      </w:pPr>
      <w:r>
        <w:rPr>
          <w:rFonts w:cs="Calibri" w:ascii="Calibri" w:hAnsi="Calibri"/>
          <w:b/>
          <w:bCs/>
          <w:sz w:val="32"/>
          <w:szCs w:val="32"/>
        </w:rPr>
        <w:t xml:space="preserve">Referencing: </w:t>
      </w:r>
    </w:p>
    <w:p>
      <w:pPr>
        <w:pStyle w:val="Normal"/>
        <w:rPr>
          <w:sz w:val="24"/>
          <w:szCs w:val="24"/>
        </w:rPr>
      </w:pPr>
      <w:r>
        <w:rPr>
          <w:rFonts w:cs="Calibri" w:ascii="Calibri" w:hAnsi="Calibri"/>
          <w:b w:val="false"/>
          <w:bCs w:val="false"/>
          <w:color w:themeColor="text1" w:val="000000"/>
          <w:sz w:val="24"/>
          <w:szCs w:val="24"/>
          <w:shd w:fill="auto" w:val="clear"/>
        </w:rPr>
        <w:t xml:space="preserve">Best, Ü.S.N., Van der Wegen, M., Dijkstra, J., Willemsen, P.W.J.M., Borsje, B.W. and Roelvink, D.J.A. (2018). </w:t>
      </w:r>
      <w:r>
        <w:rPr>
          <w:rFonts w:cs="Calibri" w:ascii="Calibri" w:hAnsi="Calibri"/>
          <w:b w:val="false"/>
          <w:bCs w:val="false"/>
          <w:i/>
          <w:iCs/>
          <w:color w:themeColor="text1" w:val="000000"/>
          <w:sz w:val="24"/>
          <w:szCs w:val="24"/>
          <w:shd w:fill="auto" w:val="clear"/>
        </w:rPr>
        <w:t>Do salt marshes survive sea level rise? Modelling wave action, morphodynamics and vegetation dynamics</w:t>
      </w:r>
      <w:r>
        <w:rPr>
          <w:rFonts w:cs="Calibri" w:ascii="Calibri" w:hAnsi="Calibri"/>
          <w:b w:val="false"/>
          <w:bCs w:val="false"/>
          <w:color w:themeColor="text1" w:val="000000"/>
          <w:sz w:val="24"/>
          <w:szCs w:val="24"/>
          <w:shd w:fill="auto" w:val="clear"/>
        </w:rPr>
        <w:t>. Environmental Modelling &amp; Software, 109, pp.152–166.</w:t>
      </w:r>
    </w:p>
    <w:p>
      <w:pPr>
        <w:pStyle w:val="Normal"/>
        <w:rPr>
          <w:rFonts w:ascii="Calibri" w:hAnsi="Calibri" w:cs="Calibri"/>
          <w:b w:val="false"/>
          <w:bCs w:val="false"/>
          <w:color w:themeColor="text1" w:val="000000"/>
          <w:shd w:fill="auto" w:val="clear"/>
        </w:rPr>
      </w:pPr>
      <w:r>
        <w:rPr>
          <w:rFonts w:cs="Calibri" w:ascii="Calibri" w:hAnsi="Calibri"/>
          <w:b w:val="false"/>
          <w:bCs w:val="false"/>
          <w:color w:themeColor="text1" w:val="000000"/>
          <w:shd w:fill="auto" w:val="clear"/>
        </w:rPr>
      </w:r>
    </w:p>
    <w:p>
      <w:pPr>
        <w:pStyle w:val="Normal"/>
        <w:rPr/>
      </w:pPr>
      <w:r>
        <w:rPr>
          <w:rFonts w:cs="Calibri" w:ascii="Calibri" w:hAnsi="Calibri"/>
          <w:sz w:val="24"/>
          <w:szCs w:val="24"/>
        </w:rPr>
        <w:t xml:space="preserve">Dale, J. et al. (2021). </w:t>
      </w:r>
      <w:r>
        <w:rPr>
          <w:rFonts w:cs="Calibri" w:ascii="Calibri" w:hAnsi="Calibri"/>
          <w:i/>
          <w:iCs/>
          <w:sz w:val="24"/>
          <w:szCs w:val="24"/>
        </w:rPr>
        <w:t>‘Morphological evolution of a non-engineered managed realignment site following tidal inundation’</w:t>
      </w:r>
      <w:r>
        <w:rPr>
          <w:rFonts w:cs="Calibri" w:ascii="Calibri" w:hAnsi="Calibri"/>
          <w:sz w:val="24"/>
          <w:szCs w:val="24"/>
        </w:rPr>
        <w:t xml:space="preserve">. Estuarine, coastal and shelf science, 260, pp. 107510-. Available at: </w:t>
      </w:r>
      <w:hyperlink r:id="rId15">
        <w:r>
          <w:rPr>
            <w:rStyle w:val="Hyperlink"/>
            <w:rFonts w:cs="Calibri" w:ascii="Calibri" w:hAnsi="Calibri"/>
            <w:sz w:val="24"/>
            <w:szCs w:val="24"/>
          </w:rPr>
          <w:t>https://doi.org/10.1016/j.ecss.2021.107510</w:t>
        </w:r>
      </w:hyperlink>
      <w:r>
        <w:rPr>
          <w:rFonts w:cs="Calibri" w:ascii="Calibri" w:hAnsi="Calibri"/>
          <w:sz w:val="24"/>
          <w:szCs w:val="24"/>
        </w:rPr>
        <w:t xml:space="preserve">. </w:t>
      </w:r>
    </w:p>
    <w:p>
      <w:pPr>
        <w:pStyle w:val="Normal"/>
        <w:rPr>
          <w:rFonts w:ascii="Calibri" w:hAnsi="Calibri" w:cs="Calibri"/>
          <w:sz w:val="24"/>
          <w:szCs w:val="24"/>
        </w:rPr>
      </w:pPr>
      <w:r>
        <w:rPr>
          <w:rFonts w:cs="Calibri" w:ascii="Calibri" w:hAnsi="Calibri"/>
          <w:sz w:val="24"/>
          <w:szCs w:val="24"/>
        </w:rPr>
      </w:r>
    </w:p>
    <w:p>
      <w:pPr>
        <w:pStyle w:val="Normal"/>
        <w:rPr>
          <w:sz w:val="24"/>
          <w:szCs w:val="24"/>
        </w:rPr>
      </w:pPr>
      <w:r>
        <w:rPr>
          <w:rFonts w:cs="Calibri" w:ascii="Calibri" w:hAnsi="Calibri"/>
          <w:sz w:val="24"/>
          <w:szCs w:val="24"/>
        </w:rPr>
        <w:t xml:space="preserve">Doyle, J. (2019). The Archaeologist. </w:t>
      </w:r>
      <w:r>
        <w:rPr>
          <w:rFonts w:cs="Calibri" w:ascii="Calibri" w:hAnsi="Calibri"/>
          <w:i/>
          <w:iCs/>
          <w:sz w:val="24"/>
          <w:szCs w:val="24"/>
        </w:rPr>
        <w:t>Cwm Ivy climate change and the historic landscape - loss, damage or opportunity?</w:t>
      </w:r>
      <w:r>
        <w:rPr>
          <w:rFonts w:cs="Calibri" w:ascii="Calibri" w:hAnsi="Calibri"/>
          <w:sz w:val="24"/>
          <w:szCs w:val="24"/>
        </w:rPr>
        <w:t xml:space="preserve"> Issue 108, pages 10-11.</w:t>
      </w:r>
    </w:p>
    <w:p>
      <w:pPr>
        <w:pStyle w:val="Normal"/>
        <w:rPr>
          <w:rFonts w:ascii="Calibri" w:hAnsi="Calibri" w:cs="Calibri"/>
        </w:rPr>
      </w:pPr>
      <w:r>
        <w:rPr>
          <w:rFonts w:cs="Calibri" w:ascii="Calibri" w:hAnsi="Calibri"/>
        </w:rPr>
      </w:r>
    </w:p>
    <w:p>
      <w:pPr>
        <w:pStyle w:val="Normal"/>
        <w:rPr/>
      </w:pPr>
      <w:r>
        <w:rPr>
          <w:rFonts w:cs="Calibri" w:ascii="Calibri" w:hAnsi="Calibri"/>
          <w:color w:themeColor="text1" w:val="000000"/>
          <w:sz w:val="24"/>
          <w:szCs w:val="24"/>
          <w:shd w:fill="auto" w:val="clear"/>
        </w:rPr>
        <w:t>Environment Agency (2022).</w:t>
      </w:r>
      <w:r>
        <w:rPr>
          <w:rFonts w:cs="Calibri" w:ascii="Calibri" w:hAnsi="Calibri"/>
          <w:color w:themeColor="text1" w:val="000000"/>
          <w:sz w:val="24"/>
          <w:szCs w:val="24"/>
        </w:rPr>
        <w:t xml:space="preserve"> </w:t>
      </w:r>
      <w:r>
        <w:rPr>
          <w:rFonts w:cs="Calibri" w:ascii="Calibri" w:hAnsi="Calibri"/>
          <w:i/>
          <w:iCs/>
          <w:color w:themeColor="text1" w:val="000000"/>
          <w:sz w:val="24"/>
          <w:szCs w:val="24"/>
        </w:rPr>
        <w:t>The extent and zonation of saltmarsh in England 2016 – 2019</w:t>
      </w:r>
      <w:r>
        <w:rPr>
          <w:rFonts w:cs="Calibri" w:ascii="Calibri" w:hAnsi="Calibri"/>
          <w:color w:themeColor="text1" w:val="000000"/>
          <w:sz w:val="24"/>
          <w:szCs w:val="24"/>
        </w:rPr>
        <w:t xml:space="preserve">. [Online]. GOV.UK. Available at: </w:t>
      </w:r>
      <w:hyperlink r:id="rId16">
        <w:r>
          <w:rPr>
            <w:rStyle w:val="Hyperlink"/>
            <w:rFonts w:cs="Calibri" w:ascii="Calibri" w:hAnsi="Calibri"/>
            <w:sz w:val="24"/>
            <w:szCs w:val="24"/>
          </w:rPr>
          <w:t>https://www.gov.uk/government/publications/the-extent-and-zonation-of-saltmarsh-in-england-2016-2019</w:t>
        </w:r>
      </w:hyperlink>
      <w:r>
        <w:rPr>
          <w:rFonts w:cs="Calibri" w:ascii="Calibri" w:hAnsi="Calibri"/>
          <w:color w:themeColor="text1" w:val="000000"/>
          <w:sz w:val="24"/>
          <w:szCs w:val="24"/>
        </w:rPr>
        <w:t>. [Accessed 20.12.24].</w:t>
      </w:r>
    </w:p>
    <w:p>
      <w:pPr>
        <w:pStyle w:val="Normal"/>
        <w:rPr>
          <w:rFonts w:ascii="Calibri" w:hAnsi="Calibri" w:cs="Calibri"/>
          <w:color w:themeColor="text1" w:val="000000"/>
          <w:sz w:val="24"/>
          <w:szCs w:val="24"/>
        </w:rPr>
      </w:pPr>
      <w:r>
        <w:rPr>
          <w:rFonts w:cs="Calibri" w:ascii="Calibri" w:hAnsi="Calibri"/>
          <w:color w:themeColor="text1" w:val="000000"/>
          <w:sz w:val="24"/>
          <w:szCs w:val="24"/>
        </w:rPr>
      </w:r>
    </w:p>
    <w:p>
      <w:pPr>
        <w:pStyle w:val="Normal"/>
        <w:rPr/>
      </w:pPr>
      <w:r>
        <w:rPr>
          <w:rFonts w:cs="Calibri" w:ascii="Calibri" w:hAnsi="Calibri"/>
          <w:color w:themeColor="text1" w:val="000000"/>
          <w:sz w:val="24"/>
          <w:szCs w:val="24"/>
        </w:rPr>
        <w:t xml:space="preserve">Google Maps. (2024). </w:t>
      </w:r>
      <w:r>
        <w:rPr>
          <w:rFonts w:cs="Calibri" w:ascii="Calibri" w:hAnsi="Calibri"/>
          <w:i/>
          <w:iCs/>
          <w:color w:themeColor="text1" w:val="000000"/>
          <w:sz w:val="24"/>
          <w:szCs w:val="24"/>
        </w:rPr>
        <w:t>Cwm Ivy Marsh</w:t>
      </w:r>
      <w:r>
        <w:rPr>
          <w:rFonts w:cs="Calibri" w:ascii="Calibri" w:hAnsi="Calibri"/>
          <w:color w:themeColor="text1" w:val="000000"/>
          <w:sz w:val="24"/>
          <w:szCs w:val="24"/>
        </w:rPr>
        <w:t xml:space="preserve">. [Online]. Bing Maps. Available at: </w:t>
      </w:r>
      <w:hyperlink r:id="rId17">
        <w:r>
          <w:rPr>
            <w:rStyle w:val="Hyperlink"/>
            <w:rFonts w:cs="Calibri" w:ascii="Calibri" w:hAnsi="Calibri"/>
            <w:sz w:val="24"/>
            <w:szCs w:val="24"/>
          </w:rPr>
          <w:t>google maps - Bing Maps</w:t>
        </w:r>
      </w:hyperlink>
      <w:r>
        <w:rPr>
          <w:rFonts w:cs="Calibri" w:ascii="Calibri" w:hAnsi="Calibri"/>
          <w:color w:themeColor="text1" w:val="000000"/>
          <w:sz w:val="24"/>
          <w:szCs w:val="24"/>
        </w:rPr>
        <w:t>. [Accessed 24.12.24].</w:t>
      </w:r>
    </w:p>
    <w:p>
      <w:pPr>
        <w:pStyle w:val="Normal"/>
        <w:rPr>
          <w:rFonts w:ascii="Calibri" w:hAnsi="Calibri" w:cs="Calibri"/>
          <w:color w:themeColor="text1" w:val="000000"/>
          <w:sz w:val="24"/>
          <w:szCs w:val="24"/>
        </w:rPr>
      </w:pPr>
      <w:r>
        <w:rPr>
          <w:rFonts w:cs="Calibri" w:ascii="Calibri" w:hAnsi="Calibri"/>
          <w:color w:themeColor="text1" w:val="000000"/>
          <w:sz w:val="24"/>
          <w:szCs w:val="24"/>
        </w:rPr>
      </w:r>
    </w:p>
    <w:p>
      <w:pPr>
        <w:pStyle w:val="Normal"/>
        <w:rPr>
          <w:sz w:val="24"/>
          <w:szCs w:val="24"/>
        </w:rPr>
      </w:pPr>
      <w:r>
        <w:rPr>
          <w:rFonts w:cs="Calibri" w:ascii="Calibri" w:hAnsi="Calibri"/>
          <w:color w:themeColor="text1" w:val="000000"/>
          <w:sz w:val="24"/>
          <w:szCs w:val="24"/>
          <w:shd w:fill="auto" w:val="clear"/>
        </w:rPr>
        <w:t xml:space="preserve">Julien Pétillon, McKinley, E., Alexander, M., Adams, J.B., Angelini, C., Balke, T., Griffin, J.N., Bouma, T.J., Hacker, S.D., He, Q., Marc, Carles Ibáñez, Macreadie, P.I., Martino, S., Sharps, E., Ballinger, R., Davide De Battisti, Beaumont, N., Burdon, D. and Daleo, P. (2023). </w:t>
      </w:r>
      <w:r>
        <w:rPr>
          <w:rFonts w:cs="Calibri" w:ascii="Calibri" w:hAnsi="Calibri"/>
          <w:i/>
          <w:iCs/>
          <w:color w:themeColor="text1" w:val="000000"/>
          <w:sz w:val="24"/>
          <w:szCs w:val="24"/>
          <w:shd w:fill="auto" w:val="clear"/>
        </w:rPr>
        <w:t>Top ten priorities for global saltmarsh restoration, conservation and ecosystem service research</w:t>
      </w:r>
      <w:r>
        <w:rPr>
          <w:rFonts w:cs="Calibri" w:ascii="Calibri" w:hAnsi="Calibri"/>
          <w:color w:themeColor="text1" w:val="000000"/>
          <w:sz w:val="24"/>
          <w:szCs w:val="24"/>
          <w:shd w:fill="auto" w:val="clear"/>
        </w:rPr>
        <w:t xml:space="preserve">. Science of The Total Environment, 898, pp.165544–165544. Doi: https://doi.org/10.1016/j.scitotenv.2023.165544. </w:t>
      </w:r>
    </w:p>
    <w:p>
      <w:pPr>
        <w:pStyle w:val="Normal"/>
        <w:rPr>
          <w:rFonts w:ascii="Calibri" w:hAnsi="Calibri" w:cs="Calibri"/>
          <w:color w:themeColor="text1" w:val="000000"/>
          <w:shd w:fill="auto" w:val="clear"/>
        </w:rPr>
      </w:pPr>
      <w:r>
        <w:rPr>
          <w:rFonts w:cs="Calibri" w:ascii="Calibri" w:hAnsi="Calibri"/>
          <w:color w:themeColor="text1" w:val="000000"/>
          <w:shd w:fill="auto" w:val="clear"/>
        </w:rPr>
      </w:r>
    </w:p>
    <w:p>
      <w:pPr>
        <w:pStyle w:val="Normal"/>
        <w:rPr/>
      </w:pPr>
      <w:r>
        <w:rPr>
          <w:rFonts w:cs="Calibri" w:ascii="Calibri" w:hAnsi="Calibri"/>
          <w:color w:themeColor="text1" w:val="000000"/>
          <w:sz w:val="24"/>
          <w:szCs w:val="24"/>
          <w:shd w:fill="auto" w:val="clear"/>
        </w:rPr>
        <w:t xml:space="preserve">Liang, J., Cai, Y., Zhu, Z., Feng, J.-C., Zhang, S., Wan, H. and Zhang, X. (2024). </w:t>
      </w:r>
      <w:r>
        <w:rPr>
          <w:rFonts w:cs="Calibri" w:ascii="Calibri" w:hAnsi="Calibri"/>
          <w:i/>
          <w:iCs/>
          <w:color w:themeColor="text1" w:val="000000"/>
          <w:sz w:val="24"/>
          <w:szCs w:val="24"/>
          <w:shd w:fill="auto" w:val="clear"/>
        </w:rPr>
        <w:t>Anthropogenic nitrogen pollution impacts salt marsh resilience with inhibition of seedling establishment and population dispersal</w:t>
      </w:r>
      <w:r>
        <w:rPr>
          <w:rFonts w:cs="Calibri" w:ascii="Calibri" w:hAnsi="Calibri"/>
          <w:color w:themeColor="text1" w:val="000000"/>
          <w:sz w:val="24"/>
          <w:szCs w:val="24"/>
          <w:shd w:fill="auto" w:val="clear"/>
        </w:rPr>
        <w:t xml:space="preserve">. Science of the total environment. 926, pp.171940–171940. Doi: </w:t>
      </w:r>
      <w:hyperlink r:id="rId18">
        <w:r>
          <w:rPr>
            <w:rStyle w:val="Hyperlink"/>
            <w:rFonts w:cs="Calibri" w:ascii="Calibri" w:hAnsi="Calibri"/>
            <w:color w:themeColor="text1" w:val="000000"/>
            <w:sz w:val="24"/>
            <w:szCs w:val="24"/>
            <w:shd w:fill="auto" w:val="clear"/>
          </w:rPr>
          <w:t>https://doi.org/10.1016/j.scitotenv.2024.171940</w:t>
        </w:r>
      </w:hyperlink>
      <w:r>
        <w:rPr>
          <w:rFonts w:cs="Calibri" w:ascii="Calibri" w:hAnsi="Calibri"/>
          <w:color w:themeColor="text1" w:val="000000"/>
          <w:sz w:val="24"/>
          <w:szCs w:val="24"/>
          <w:shd w:fill="auto" w:val="clear"/>
        </w:rPr>
        <w:t xml:space="preserve">. </w:t>
      </w:r>
    </w:p>
    <w:p>
      <w:pPr>
        <w:pStyle w:val="Normal"/>
        <w:rPr>
          <w:rFonts w:ascii="Calibri" w:hAnsi="Calibri" w:cs="Calibri"/>
          <w:color w:themeColor="text1" w:val="000000"/>
          <w:sz w:val="24"/>
          <w:szCs w:val="24"/>
          <w:shd w:fill="auto" w:val="clear"/>
        </w:rPr>
      </w:pPr>
      <w:r>
        <w:rPr>
          <w:rFonts w:cs="Calibri" w:ascii="Calibri" w:hAnsi="Calibri"/>
          <w:color w:themeColor="text1" w:val="000000"/>
          <w:sz w:val="24"/>
          <w:szCs w:val="24"/>
          <w:shd w:fill="auto" w:val="clear"/>
        </w:rPr>
      </w:r>
    </w:p>
    <w:p>
      <w:pPr>
        <w:pStyle w:val="Normal"/>
        <w:rPr>
          <w:sz w:val="24"/>
          <w:szCs w:val="24"/>
        </w:rPr>
      </w:pPr>
      <w:r>
        <w:rPr>
          <w:rFonts w:cs="Calibri" w:ascii="Calibri" w:hAnsi="Calibri"/>
          <w:color w:themeColor="text1" w:val="000000"/>
          <w:sz w:val="24"/>
          <w:szCs w:val="24"/>
          <w:shd w:fill="auto" w:val="clear"/>
        </w:rPr>
        <w:t xml:space="preserve">Lloret, J., Pedrosa-Pamies, R., Vandal, N., Rorty, R., Ritchie, M., McGuire, C., Chenoweth, K. and Valiela, I. (2021). </w:t>
      </w:r>
      <w:r>
        <w:rPr>
          <w:rFonts w:cs="Calibri" w:ascii="Calibri" w:hAnsi="Calibri"/>
          <w:i/>
          <w:iCs/>
          <w:color w:themeColor="text1" w:val="000000"/>
          <w:sz w:val="24"/>
          <w:szCs w:val="24"/>
          <w:shd w:fill="auto" w:val="clear"/>
        </w:rPr>
        <w:t>Salt marsh sediments act as sinks for microplastics and reveal effects of current and historical land use changes</w:t>
      </w:r>
      <w:r>
        <w:rPr>
          <w:rFonts w:cs="Calibri" w:ascii="Calibri" w:hAnsi="Calibri"/>
          <w:color w:themeColor="text1" w:val="000000"/>
          <w:sz w:val="24"/>
          <w:szCs w:val="24"/>
          <w:shd w:fill="auto" w:val="clear"/>
        </w:rPr>
        <w:t xml:space="preserve">. Environmental Advances, 4, p.100060. Doi: https://doi.org/10.1016/j.envadv.2021.100060. </w:t>
      </w:r>
    </w:p>
    <w:p>
      <w:pPr>
        <w:pStyle w:val="Normal"/>
        <w:rPr>
          <w:rFonts w:ascii="Calibri" w:hAnsi="Calibri" w:cs="Calibri"/>
          <w:color w:themeColor="text1" w:val="000000"/>
          <w:shd w:fill="auto" w:val="clear"/>
        </w:rPr>
      </w:pPr>
      <w:r>
        <w:rPr>
          <w:rFonts w:cs="Calibri" w:ascii="Calibri" w:hAnsi="Calibri"/>
          <w:color w:themeColor="text1" w:val="000000"/>
          <w:shd w:fill="auto" w:val="clear"/>
        </w:rPr>
      </w:r>
    </w:p>
    <w:p>
      <w:pPr>
        <w:pStyle w:val="Normal"/>
        <w:rPr/>
      </w:pPr>
      <w:r>
        <w:rPr>
          <w:rFonts w:cs="Calibri" w:ascii="Calibri" w:hAnsi="Calibri"/>
          <w:sz w:val="24"/>
          <w:szCs w:val="24"/>
        </w:rPr>
        <w:t xml:space="preserve">Misstear, R. (2014). Wales Online. </w:t>
      </w:r>
      <w:r>
        <w:rPr>
          <w:rFonts w:cs="Calibri" w:ascii="Calibri" w:hAnsi="Calibri"/>
          <w:i/>
          <w:iCs/>
          <w:sz w:val="24"/>
          <w:szCs w:val="24"/>
        </w:rPr>
        <w:t>Saltmarsh planned fort farmland as historic sea defences are abandoned</w:t>
      </w:r>
      <w:r>
        <w:rPr>
          <w:rFonts w:cs="Calibri" w:ascii="Calibri" w:hAnsi="Calibri"/>
          <w:sz w:val="24"/>
          <w:szCs w:val="24"/>
        </w:rPr>
        <w:t xml:space="preserve">. [Online]. Available at: </w:t>
      </w:r>
      <w:hyperlink r:id="rId19">
        <w:r>
          <w:rPr>
            <w:rStyle w:val="Hyperlink"/>
            <w:rFonts w:cs="Calibri" w:ascii="Calibri" w:hAnsi="Calibri"/>
            <w:sz w:val="24"/>
            <w:szCs w:val="24"/>
          </w:rPr>
          <w:t>https://www.walesonline.co.uk/news/wales-news/new-tidal-saltmarsh-planned-beauty-8256856</w:t>
        </w:r>
      </w:hyperlink>
      <w:r>
        <w:rPr>
          <w:rFonts w:cs="Calibri" w:ascii="Calibri" w:hAnsi="Calibri"/>
          <w:sz w:val="24"/>
          <w:szCs w:val="24"/>
        </w:rPr>
        <w:t>. [Accessed 16.12.24].</w:t>
      </w:r>
    </w:p>
    <w:p>
      <w:pPr>
        <w:pStyle w:val="Normal"/>
        <w:rPr>
          <w:rFonts w:ascii="Calibri" w:hAnsi="Calibri" w:cs="Calibri"/>
          <w:sz w:val="24"/>
          <w:szCs w:val="24"/>
        </w:rPr>
      </w:pPr>
      <w:r>
        <w:rPr>
          <w:rFonts w:cs="Calibri" w:ascii="Calibri" w:hAnsi="Calibri"/>
          <w:sz w:val="24"/>
          <w:szCs w:val="24"/>
        </w:rPr>
      </w:r>
    </w:p>
    <w:p>
      <w:pPr>
        <w:pStyle w:val="Normal"/>
        <w:rPr/>
      </w:pPr>
      <w:r>
        <w:rPr>
          <w:rFonts w:cs="Calibri" w:ascii="Calibri" w:hAnsi="Calibri"/>
          <w:sz w:val="24"/>
          <w:szCs w:val="24"/>
        </w:rPr>
        <w:t xml:space="preserve">National Trust. (2014). </w:t>
      </w:r>
      <w:r>
        <w:rPr>
          <w:rFonts w:cs="Calibri" w:ascii="Calibri" w:hAnsi="Calibri"/>
          <w:i/>
          <w:iCs/>
          <w:sz w:val="24"/>
          <w:szCs w:val="24"/>
        </w:rPr>
        <w:t>Cwm Ivy on North Gower Coast Wales</w:t>
      </w:r>
      <w:r>
        <w:rPr>
          <w:rFonts w:cs="Calibri" w:ascii="Calibri" w:hAnsi="Calibri"/>
          <w:sz w:val="24"/>
          <w:szCs w:val="24"/>
        </w:rPr>
        <w:t xml:space="preserve">. [Online]. Available at: </w:t>
      </w:r>
      <w:hyperlink r:id="rId20">
        <w:r>
          <w:rPr>
            <w:rStyle w:val="Hyperlink"/>
            <w:rFonts w:cs="Calibri" w:ascii="Calibri" w:hAnsi="Calibri"/>
            <w:sz w:val="24"/>
            <w:szCs w:val="24"/>
          </w:rPr>
          <w:t>https://www.nationaltrust.org.uk/visit/wales/whiteford-and-north-gower/cwm-ivy-on-the-north-gower-coast</w:t>
        </w:r>
      </w:hyperlink>
      <w:r>
        <w:rPr>
          <w:rFonts w:cs="Calibri" w:ascii="Calibri" w:hAnsi="Calibri"/>
          <w:sz w:val="24"/>
          <w:szCs w:val="24"/>
        </w:rPr>
        <w:t>. [Accessed 20.12.24].</w:t>
      </w:r>
    </w:p>
    <w:p>
      <w:pPr>
        <w:pStyle w:val="Normal"/>
        <w:rPr>
          <w:rFonts w:ascii="Calibri" w:hAnsi="Calibri" w:cs="Calibri"/>
          <w:sz w:val="24"/>
          <w:szCs w:val="24"/>
        </w:rPr>
      </w:pPr>
      <w:r>
        <w:rPr>
          <w:rFonts w:cs="Calibri" w:ascii="Calibri" w:hAnsi="Calibri"/>
          <w:sz w:val="24"/>
          <w:szCs w:val="24"/>
        </w:rPr>
      </w:r>
    </w:p>
    <w:p>
      <w:pPr>
        <w:pStyle w:val="Normal"/>
        <w:rPr>
          <w:sz w:val="24"/>
          <w:szCs w:val="24"/>
        </w:rPr>
      </w:pPr>
      <w:r>
        <w:rPr>
          <w:rFonts w:cs="Calibri" w:ascii="Calibri" w:hAnsi="Calibri"/>
          <w:color w:themeColor="text1" w:val="000000"/>
          <w:sz w:val="24"/>
          <w:szCs w:val="24"/>
          <w:shd w:fill="auto" w:val="clear"/>
        </w:rPr>
        <w:t xml:space="preserve">Narayan, S., Beck, M.W., Reguero, B.G., Losada, I.J., van Wesenbeeck, B., Pontee, N., Sanchirico, J.N., Ingram, J.C., Lange, G.-M. and Burks-Copes, K.A. (2016). </w:t>
      </w:r>
      <w:r>
        <w:rPr>
          <w:rFonts w:cs="Calibri" w:ascii="Calibri" w:hAnsi="Calibri"/>
          <w:i/>
          <w:iCs/>
          <w:color w:themeColor="text1" w:val="000000"/>
          <w:sz w:val="24"/>
          <w:szCs w:val="24"/>
          <w:shd w:fill="auto" w:val="clear"/>
        </w:rPr>
        <w:t>The Effectiveness, Costs and Coastal Protection Benefits of Natural and Nature-Based Defences</w:t>
      </w:r>
      <w:r>
        <w:rPr>
          <w:rFonts w:cs="Calibri" w:ascii="Calibri" w:hAnsi="Calibri"/>
          <w:color w:themeColor="text1" w:val="000000"/>
          <w:sz w:val="24"/>
          <w:szCs w:val="24"/>
          <w:shd w:fill="auto" w:val="clear"/>
        </w:rPr>
        <w:t xml:space="preserve">. PLOS ONE. [Online]. 11(5), p.e0154735. Available at: https://doi.org/10.1371/journal.pone.0154735. </w:t>
      </w:r>
    </w:p>
    <w:p>
      <w:pPr>
        <w:pStyle w:val="Normal"/>
        <w:rPr>
          <w:rFonts w:ascii="Calibri" w:hAnsi="Calibri" w:cs="Calibri"/>
          <w:color w:themeColor="text1" w:val="000000"/>
          <w:shd w:fill="auto" w:val="clear"/>
        </w:rPr>
      </w:pPr>
      <w:r>
        <w:rPr>
          <w:rFonts w:cs="Calibri" w:ascii="Calibri" w:hAnsi="Calibri"/>
          <w:color w:themeColor="text1" w:val="000000"/>
          <w:shd w:fill="auto" w:val="clear"/>
        </w:rPr>
      </w:r>
    </w:p>
    <w:p>
      <w:pPr>
        <w:pStyle w:val="Normal"/>
        <w:rPr/>
      </w:pPr>
      <w:r>
        <w:rPr>
          <w:rFonts w:cs="Calibri" w:ascii="Calibri" w:hAnsi="Calibri"/>
          <w:sz w:val="24"/>
          <w:szCs w:val="24"/>
        </w:rPr>
        <w:t xml:space="preserve">NRW. (n.d.). Natural Resources Wales, Ymddiriedolaeth Genedlaethol National Trust. </w:t>
      </w:r>
      <w:r>
        <w:rPr>
          <w:rFonts w:cs="Calibri" w:ascii="Calibri" w:hAnsi="Calibri"/>
          <w:i/>
          <w:iCs/>
          <w:sz w:val="24"/>
          <w:szCs w:val="24"/>
        </w:rPr>
        <w:t>Cwm Ivy Habitat Creation Project Factsheet</w:t>
      </w:r>
      <w:r>
        <w:rPr>
          <w:rFonts w:cs="Calibri" w:ascii="Calibri" w:hAnsi="Calibri"/>
          <w:sz w:val="24"/>
          <w:szCs w:val="24"/>
        </w:rPr>
        <w:t xml:space="preserve">. [Online]. Available at: </w:t>
      </w:r>
      <w:hyperlink r:id="rId21">
        <w:r>
          <w:rPr>
            <w:rStyle w:val="Hyperlink"/>
            <w:rFonts w:cs="Calibri" w:ascii="Calibri" w:hAnsi="Calibri"/>
            <w:sz w:val="24"/>
            <w:szCs w:val="24"/>
          </w:rPr>
          <w:t>https://naturalresourceswales.gov.uk/media/4414/project-factsheet-cwm-ivy-public-drop-in-5-6-june-15.pdf</w:t>
        </w:r>
      </w:hyperlink>
      <w:r>
        <w:rPr>
          <w:rFonts w:cs="Calibri" w:ascii="Calibri" w:hAnsi="Calibri"/>
          <w:sz w:val="24"/>
          <w:szCs w:val="24"/>
        </w:rPr>
        <w:t>. [Accessed 16.12.24].</w:t>
      </w:r>
    </w:p>
    <w:p>
      <w:pPr>
        <w:pStyle w:val="Normal"/>
        <w:rPr>
          <w:rFonts w:ascii="Calibri" w:hAnsi="Calibri" w:cs="Calibri"/>
          <w:sz w:val="24"/>
          <w:szCs w:val="24"/>
        </w:rPr>
      </w:pPr>
      <w:r>
        <w:rPr>
          <w:rFonts w:cs="Calibri" w:ascii="Calibri" w:hAnsi="Calibri"/>
          <w:sz w:val="24"/>
          <w:szCs w:val="24"/>
        </w:rPr>
      </w:r>
    </w:p>
    <w:p>
      <w:pPr>
        <w:pStyle w:val="Normal"/>
        <w:rPr/>
      </w:pPr>
      <w:r>
        <w:rPr>
          <w:rFonts w:cs="Calibri" w:ascii="Calibri" w:hAnsi="Calibri"/>
          <w:color w:themeColor="text1" w:val="000000"/>
          <w:sz w:val="24"/>
          <w:szCs w:val="24"/>
        </w:rPr>
        <w:t xml:space="preserve">Pariona, A. (2017). </w:t>
      </w:r>
      <w:r>
        <w:rPr>
          <w:rFonts w:cs="Calibri" w:ascii="Calibri" w:hAnsi="Calibri"/>
          <w:i/>
          <w:iCs/>
          <w:color w:themeColor="text1" w:val="000000"/>
          <w:sz w:val="24"/>
          <w:szCs w:val="24"/>
        </w:rPr>
        <w:t xml:space="preserve">What Is A Salt Marsh And How Is It Formed? </w:t>
      </w:r>
      <w:r>
        <w:rPr>
          <w:rFonts w:cs="Calibri" w:ascii="Calibri" w:hAnsi="Calibri"/>
          <w:color w:themeColor="text1" w:val="000000"/>
          <w:sz w:val="24"/>
          <w:szCs w:val="24"/>
        </w:rPr>
        <w:t xml:space="preserve">[Online]. WorldAtlas. Available at: </w:t>
      </w:r>
      <w:hyperlink r:id="rId22">
        <w:r>
          <w:rPr>
            <w:rStyle w:val="Hyperlink"/>
            <w:rFonts w:cs="Calibri" w:ascii="Calibri" w:hAnsi="Calibri"/>
            <w:sz w:val="24"/>
            <w:szCs w:val="24"/>
          </w:rPr>
          <w:t>https://www.worldatlas.com/articles/what-is-a-salt-marsh-and-how-is-it-formed.html</w:t>
        </w:r>
      </w:hyperlink>
      <w:r>
        <w:rPr>
          <w:rFonts w:cs="Calibri" w:ascii="Calibri" w:hAnsi="Calibri"/>
          <w:color w:themeColor="text1" w:val="000000"/>
          <w:sz w:val="24"/>
          <w:szCs w:val="24"/>
        </w:rPr>
        <w:t xml:space="preserve">. [Accessed 20.12.24]. </w:t>
      </w:r>
    </w:p>
    <w:p>
      <w:pPr>
        <w:pStyle w:val="Normal"/>
        <w:rPr>
          <w:rFonts w:ascii="Calibri" w:hAnsi="Calibri" w:cs="Calibri"/>
          <w:color w:themeColor="text1" w:val="000000"/>
          <w:sz w:val="24"/>
          <w:szCs w:val="24"/>
        </w:rPr>
      </w:pPr>
      <w:r>
        <w:rPr>
          <w:rFonts w:cs="Calibri" w:ascii="Calibri" w:hAnsi="Calibri"/>
          <w:color w:themeColor="text1" w:val="000000"/>
          <w:sz w:val="24"/>
          <w:szCs w:val="24"/>
        </w:rPr>
      </w:r>
    </w:p>
    <w:p>
      <w:pPr>
        <w:pStyle w:val="Normal"/>
        <w:rPr/>
      </w:pPr>
      <w:r>
        <w:rPr>
          <w:rFonts w:cs="Calibri" w:ascii="Calibri" w:hAnsi="Calibri"/>
          <w:color w:themeColor="text1" w:val="000000"/>
          <w:sz w:val="24"/>
          <w:szCs w:val="24"/>
        </w:rPr>
        <w:t xml:space="preserve">Trégarot, E., D’Olivo, J.P., Botelho, A.Z., Cabrito, A., Cardoso, G.O., Casal, G., Cornet, C.C., Cragg, S.M., Degia, A.K., Fredriksen, S., Furlan, E., Heiss, G., Kersting, D.K., Maréchal, J.-P., Meesters, E., O’Leary, B.C., Pérez, G., Seijo-Núñez, C., Simide, R. and van der Geest, M. (2024). </w:t>
      </w:r>
      <w:r>
        <w:rPr>
          <w:rFonts w:cs="Calibri" w:ascii="Calibri" w:hAnsi="Calibri"/>
          <w:i/>
          <w:iCs/>
          <w:color w:themeColor="text1" w:val="000000"/>
          <w:sz w:val="24"/>
          <w:szCs w:val="24"/>
        </w:rPr>
        <w:t>Effects of climate change on marine coastal ecosystems – A review to guide research and management</w:t>
      </w:r>
      <w:r>
        <w:rPr>
          <w:rFonts w:cs="Calibri" w:ascii="Calibri" w:hAnsi="Calibri"/>
          <w:color w:themeColor="text1" w:val="000000"/>
          <w:sz w:val="24"/>
          <w:szCs w:val="24"/>
        </w:rPr>
        <w:t xml:space="preserve">. Biological Conservation. [Online]. 289, p.110394. Available at: </w:t>
      </w:r>
      <w:hyperlink r:id="rId23">
        <w:r>
          <w:rPr>
            <w:rStyle w:val="Hyperlink"/>
            <w:rFonts w:cs="Calibri" w:ascii="Calibri" w:hAnsi="Calibri"/>
            <w:sz w:val="24"/>
            <w:szCs w:val="24"/>
          </w:rPr>
          <w:t>https://doi.org/10.1016/j.biocon.2023.110394</w:t>
        </w:r>
      </w:hyperlink>
      <w:r>
        <w:rPr>
          <w:rFonts w:cs="Calibri" w:ascii="Calibri" w:hAnsi="Calibri"/>
          <w:color w:themeColor="text1" w:val="000000"/>
          <w:sz w:val="24"/>
          <w:szCs w:val="24"/>
        </w:rPr>
        <w:t xml:space="preserve">. </w:t>
      </w:r>
    </w:p>
    <w:p>
      <w:pPr>
        <w:pStyle w:val="Normal"/>
        <w:rPr>
          <w:rFonts w:ascii="Calibri" w:hAnsi="Calibri" w:cs="Calibri"/>
          <w:color w:themeColor="text1" w:val="000000"/>
          <w:sz w:val="24"/>
          <w:szCs w:val="24"/>
        </w:rPr>
      </w:pPr>
      <w:r>
        <w:rPr>
          <w:rFonts w:cs="Calibri" w:ascii="Calibri" w:hAnsi="Calibri"/>
          <w:color w:themeColor="text1" w:val="000000"/>
          <w:sz w:val="24"/>
          <w:szCs w:val="24"/>
        </w:rPr>
      </w:r>
    </w:p>
    <w:p>
      <w:pPr>
        <w:pStyle w:val="Normal"/>
        <w:rPr/>
      </w:pPr>
      <w:r>
        <w:rPr>
          <w:rFonts w:cs="Calibri" w:ascii="Calibri" w:hAnsi="Calibri"/>
          <w:sz w:val="24"/>
          <w:szCs w:val="24"/>
          <w:shd w:fill="auto" w:val="clear"/>
          <w14:ligatures w14:val="standardContextual"/>
        </w:rPr>
        <w:t>Ungar, I.A. and Woodell, S.R.J. (1996).</w:t>
      </w:r>
      <w:r>
        <w:rPr>
          <w:rFonts w:cs="Calibri" w:ascii="Calibri" w:hAnsi="Calibri"/>
          <w:sz w:val="24"/>
          <w:szCs w:val="24"/>
        </w:rPr>
        <w:t xml:space="preserve"> </w:t>
      </w:r>
      <w:r>
        <w:rPr>
          <w:rFonts w:cs="Calibri" w:ascii="Calibri" w:hAnsi="Calibri"/>
          <w:i/>
          <w:iCs/>
          <w:sz w:val="24"/>
          <w:szCs w:val="24"/>
        </w:rPr>
        <w:t>‘Similarity of seed banks to aboveground vegetation in grazed and ungrazed salt marsh communities on the Gower Peninsula, South Wales’</w:t>
      </w:r>
      <w:r>
        <w:rPr>
          <w:rFonts w:cs="Calibri" w:ascii="Calibri" w:hAnsi="Calibri"/>
          <w:sz w:val="24"/>
          <w:szCs w:val="24"/>
        </w:rPr>
        <w:t xml:space="preserve">. International journal of plant sciences, 157(6), pp. 746–749. Available at: </w:t>
      </w:r>
      <w:hyperlink r:id="rId24">
        <w:r>
          <w:rPr>
            <w:rStyle w:val="Hyperlink"/>
            <w:rFonts w:cs="Calibri" w:ascii="Calibri" w:hAnsi="Calibri"/>
            <w:sz w:val="24"/>
            <w:szCs w:val="24"/>
          </w:rPr>
          <w:t>https://doi.org/10.1086/297398</w:t>
        </w:r>
      </w:hyperlink>
      <w:r>
        <w:rPr>
          <w:rFonts w:cs="Calibri" w:ascii="Calibri" w:hAnsi="Calibri"/>
          <w:sz w:val="24"/>
          <w:szCs w:val="24"/>
        </w:rPr>
        <w:t>.</w:t>
      </w:r>
    </w:p>
    <w:p>
      <w:pPr>
        <w:pStyle w:val="Normal"/>
        <w:rPr>
          <w:rFonts w:ascii="Calibri" w:hAnsi="Calibri" w:cs="Calibri"/>
          <w:sz w:val="24"/>
          <w:szCs w:val="24"/>
        </w:rPr>
      </w:pPr>
      <w:r>
        <w:rPr>
          <w:rFonts w:cs="Calibri" w:ascii="Calibri" w:hAnsi="Calibri"/>
          <w:sz w:val="24"/>
          <w:szCs w:val="24"/>
        </w:rPr>
      </w:r>
    </w:p>
    <w:p>
      <w:pPr>
        <w:pStyle w:val="Normal"/>
        <w:rPr/>
      </w:pPr>
      <w:r>
        <w:rPr>
          <w:rFonts w:cs="Calibri" w:ascii="Calibri" w:hAnsi="Calibri"/>
          <w:color w:themeColor="text1" w:val="000000"/>
          <w:sz w:val="24"/>
          <w:szCs w:val="24"/>
        </w:rPr>
        <w:t xml:space="preserve">Whitehead, D. (2021). </w:t>
      </w:r>
      <w:r>
        <w:rPr>
          <w:rFonts w:cs="Calibri" w:ascii="Calibri" w:hAnsi="Calibri"/>
          <w:i/>
          <w:iCs/>
          <w:color w:themeColor="text1" w:val="000000"/>
          <w:sz w:val="24"/>
          <w:szCs w:val="24"/>
        </w:rPr>
        <w:t>How brave decision not to rebuild as storms and floods wrecked farmland paid off for nature</w:t>
      </w:r>
      <w:r>
        <w:rPr>
          <w:rFonts w:cs="Calibri" w:ascii="Calibri" w:hAnsi="Calibri"/>
          <w:color w:themeColor="text1" w:val="000000"/>
          <w:sz w:val="24"/>
          <w:szCs w:val="24"/>
        </w:rPr>
        <w:t xml:space="preserve">. [Online]. Sky News. Available at: </w:t>
      </w:r>
      <w:hyperlink r:id="rId25">
        <w:r>
          <w:rPr>
            <w:rStyle w:val="Hyperlink"/>
            <w:rFonts w:cs="Calibri" w:ascii="Calibri" w:hAnsi="Calibri"/>
            <w:sz w:val="24"/>
            <w:szCs w:val="24"/>
          </w:rPr>
          <w:t>https://news.sky.com/story/how-brave-decision-not-to-rebuild-as-storms-and-floods-wrecked-farmland-paid-off-for-nature-12327851</w:t>
        </w:r>
      </w:hyperlink>
      <w:r>
        <w:rPr>
          <w:rFonts w:cs="Calibri" w:ascii="Calibri" w:hAnsi="Calibri"/>
          <w:color w:themeColor="text1" w:val="000000"/>
          <w:sz w:val="24"/>
          <w:szCs w:val="24"/>
        </w:rPr>
        <w:t>. [Accessed 24.12.24].</w:t>
      </w:r>
    </w:p>
    <w:p>
      <w:pPr>
        <w:pStyle w:val="Normal"/>
        <w:rPr>
          <w:rFonts w:ascii="Calibri" w:hAnsi="Calibri" w:cs="Calibri"/>
          <w:color w:themeColor="text1" w:val="000000"/>
          <w:sz w:val="24"/>
          <w:szCs w:val="24"/>
        </w:rPr>
      </w:pPr>
      <w:r>
        <w:rPr>
          <w:rFonts w:cs="Calibri" w:ascii="Calibri" w:hAnsi="Calibri"/>
          <w:color w:themeColor="text1" w:val="000000"/>
          <w:sz w:val="24"/>
          <w:szCs w:val="24"/>
        </w:rPr>
      </w:r>
    </w:p>
    <w:p>
      <w:pPr>
        <w:pStyle w:val="Normal"/>
        <w:rPr/>
      </w:pPr>
      <w:r>
        <w:rPr>
          <w:rFonts w:cs="Calibri" w:ascii="Calibri" w:hAnsi="Calibri"/>
          <w:color w:themeColor="text1" w:val="000000"/>
          <w:sz w:val="24"/>
          <w:szCs w:val="24"/>
          <w:shd w:fill="auto" w:val="clear"/>
        </w:rPr>
        <w:t xml:space="preserve">Wildlife and Countryside Link. (n.d.). </w:t>
      </w:r>
      <w:r>
        <w:rPr>
          <w:rFonts w:cs="Calibri" w:ascii="Calibri" w:hAnsi="Calibri"/>
          <w:i/>
          <w:iCs/>
          <w:color w:themeColor="text1" w:val="000000"/>
          <w:sz w:val="24"/>
          <w:szCs w:val="24"/>
          <w:shd w:fill="auto" w:val="clear"/>
        </w:rPr>
        <w:t>Why you should be using native ponies for conservation grazing</w:t>
      </w:r>
      <w:r>
        <w:rPr>
          <w:rFonts w:cs="Calibri" w:ascii="Calibri" w:hAnsi="Calibri"/>
          <w:color w:themeColor="text1" w:val="000000"/>
          <w:sz w:val="24"/>
          <w:szCs w:val="24"/>
          <w:shd w:fill="auto" w:val="clear"/>
        </w:rPr>
        <w:t xml:space="preserve">. [Online]. Available at: </w:t>
      </w:r>
      <w:hyperlink r:id="rId26">
        <w:r>
          <w:rPr>
            <w:rStyle w:val="Hyperlink"/>
            <w:rFonts w:cs="Calibri" w:ascii="Calibri" w:hAnsi="Calibri"/>
            <w:color w:themeColor="text1" w:val="000000"/>
            <w:sz w:val="24"/>
            <w:szCs w:val="24"/>
            <w:shd w:fill="auto" w:val="clear"/>
          </w:rPr>
          <w:t>https://www.wcl.org.uk/why-you-should-be-using-native-ponies-for-conservation-grazing.asp</w:t>
        </w:r>
      </w:hyperlink>
      <w:r>
        <w:rPr>
          <w:rFonts w:cs="Calibri" w:ascii="Calibri" w:hAnsi="Calibri"/>
          <w:color w:themeColor="text1" w:val="000000"/>
          <w:sz w:val="24"/>
          <w:szCs w:val="24"/>
          <w:shd w:fill="auto" w:val="clear"/>
        </w:rPr>
        <w:t xml:space="preserve">. [Accessed 08.01.25]. </w:t>
      </w:r>
    </w:p>
    <w:p>
      <w:pPr>
        <w:pStyle w:val="Normal"/>
        <w:rPr>
          <w:rFonts w:ascii="Calibri" w:hAnsi="Calibri" w:cs="Calibri"/>
          <w:color w:themeColor="text1" w:val="000000"/>
          <w:sz w:val="24"/>
          <w:szCs w:val="24"/>
          <w:shd w:fill="auto" w:val="clear"/>
        </w:rPr>
      </w:pPr>
      <w:r>
        <w:rPr>
          <w:rFonts w:cs="Calibri" w:ascii="Calibri" w:hAnsi="Calibri"/>
          <w:color w:themeColor="text1" w:val="000000"/>
          <w:sz w:val="24"/>
          <w:szCs w:val="24"/>
          <w:shd w:fill="auto" w:val="clear"/>
        </w:rPr>
      </w:r>
    </w:p>
    <w:p>
      <w:pPr>
        <w:pStyle w:val="Normal"/>
        <w:rPr/>
      </w:pPr>
      <w:r>
        <w:rPr>
          <w:rFonts w:cs="Calibri" w:ascii="Calibri" w:hAnsi="Calibri"/>
          <w:color w:themeColor="text1" w:val="000000"/>
          <w:sz w:val="24"/>
          <w:szCs w:val="24"/>
        </w:rPr>
        <w:t xml:space="preserve">Wolters, M., Bakker, J.P., Bertness, M.D., Jefferies, R.L. and Möller, I. (2005). </w:t>
      </w:r>
      <w:r>
        <w:rPr>
          <w:rFonts w:cs="Calibri" w:ascii="Calibri" w:hAnsi="Calibri"/>
          <w:i/>
          <w:iCs/>
          <w:color w:themeColor="text1" w:val="000000"/>
          <w:sz w:val="24"/>
          <w:szCs w:val="24"/>
        </w:rPr>
        <w:t>Saltmarsh erosion and restoration in south-east England: squeezing the evidence requires realignment</w:t>
      </w:r>
      <w:r>
        <w:rPr>
          <w:rFonts w:cs="Calibri" w:ascii="Calibri" w:hAnsi="Calibri"/>
          <w:color w:themeColor="text1" w:val="000000"/>
          <w:sz w:val="24"/>
          <w:szCs w:val="24"/>
        </w:rPr>
        <w:t xml:space="preserve">. Journal of Applied Ecology, 42(5), pp.844–851. Available at: </w:t>
      </w:r>
      <w:hyperlink r:id="rId27">
        <w:r>
          <w:rPr>
            <w:rStyle w:val="Hyperlink"/>
            <w:rFonts w:cs="Calibri" w:ascii="Calibri" w:hAnsi="Calibri"/>
            <w:sz w:val="24"/>
            <w:szCs w:val="24"/>
          </w:rPr>
          <w:t>https://doi.org/10.1111/j.1365-2664.2005.01080.x</w:t>
        </w:r>
      </w:hyperlink>
      <w:r>
        <w:rPr>
          <w:rFonts w:cs="Calibri" w:ascii="Calibri" w:hAnsi="Calibri"/>
          <w:color w:themeColor="text1" w:val="000000"/>
          <w:sz w:val="24"/>
          <w:szCs w:val="24"/>
        </w:rPr>
        <w:t>.</w:t>
      </w:r>
    </w:p>
    <w:p>
      <w:pPr>
        <w:pStyle w:val="Normal"/>
        <w:rPr>
          <w:rFonts w:ascii="Calibri" w:hAnsi="Calibri" w:cs="Calibri"/>
          <w:color w:themeColor="text1" w:val="000000"/>
          <w:sz w:val="24"/>
          <w:szCs w:val="24"/>
        </w:rPr>
      </w:pPr>
      <w:r>
        <w:rPr>
          <w:rFonts w:cs="Calibri" w:ascii="Calibri" w:hAnsi="Calibri"/>
          <w:color w:themeColor="text1" w:val="000000"/>
          <w:sz w:val="24"/>
          <w:szCs w:val="24"/>
        </w:rPr>
      </w:r>
    </w:p>
    <w:p>
      <w:pPr>
        <w:pStyle w:val="Normal"/>
        <w:rPr/>
      </w:pPr>
      <w:r>
        <w:rPr>
          <w:rFonts w:cs="Calibri" w:ascii="Calibri" w:hAnsi="Calibri"/>
          <w:color w:themeColor="text1" w:val="000000"/>
          <w:sz w:val="24"/>
          <w:szCs w:val="24"/>
        </w:rPr>
        <w:t xml:space="preserve">WWT (2024). </w:t>
      </w:r>
      <w:r>
        <w:rPr>
          <w:rFonts w:cs="Calibri" w:ascii="Calibri" w:hAnsi="Calibri"/>
          <w:i/>
          <w:iCs/>
          <w:color w:themeColor="text1" w:val="000000"/>
          <w:sz w:val="24"/>
          <w:szCs w:val="24"/>
        </w:rPr>
        <w:t>To restore saltmarsh on the Awre peninsula</w:t>
      </w:r>
      <w:r>
        <w:rPr>
          <w:rFonts w:cs="Calibri" w:ascii="Calibri" w:hAnsi="Calibri"/>
          <w:color w:themeColor="text1" w:val="000000"/>
          <w:sz w:val="24"/>
          <w:szCs w:val="24"/>
        </w:rPr>
        <w:t xml:space="preserve">. Wildfowl and Wetlands Trust (wwt.org.uk.). [Online]. Available at: </w:t>
      </w:r>
      <w:hyperlink r:id="rId28">
        <w:r>
          <w:rPr>
            <w:rStyle w:val="Hyperlink"/>
            <w:rFonts w:cs="Calibri" w:ascii="Calibri" w:hAnsi="Calibri"/>
            <w:sz w:val="24"/>
            <w:szCs w:val="24"/>
          </w:rPr>
          <w:t>https://www.wwt.org.uk/news-and-stories/news/wwt-to-restore-saltmarsh-on-the-awre-peninsula</w:t>
        </w:r>
      </w:hyperlink>
      <w:r>
        <w:rPr>
          <w:rFonts w:cs="Calibri" w:ascii="Calibri" w:hAnsi="Calibri"/>
          <w:color w:themeColor="text1" w:val="000000"/>
          <w:sz w:val="24"/>
          <w:szCs w:val="24"/>
        </w:rPr>
        <w:t>. [Accessed 20.12.24].</w:t>
      </w:r>
    </w:p>
    <w:p>
      <w:pPr>
        <w:pStyle w:val="Normal"/>
        <w:rPr>
          <w:rFonts w:ascii="Calibri" w:hAnsi="Calibri" w:cs="Calibri"/>
          <w:b/>
          <w:bCs/>
          <w:sz w:val="24"/>
          <w:szCs w:val="24"/>
          <w:highlight w:val="none"/>
          <w:shd w:fill="00A933" w:val="clear"/>
          <w14:ligatures w14:val="standardContextual"/>
        </w:rPr>
      </w:pPr>
      <w:r>
        <w:rPr>
          <w:rFonts w:cs="Calibri" w:ascii="Calibri" w:hAnsi="Calibri"/>
          <w:b/>
          <w:bCs/>
          <w:sz w:val="24"/>
          <w:szCs w:val="24"/>
          <w:shd w:fill="00A933" w:val="clear"/>
          <w14:ligatures w14:val="standardContextual"/>
        </w:rPr>
      </w:r>
    </w:p>
    <w:p>
      <w:pPr>
        <w:pStyle w:val="Normal"/>
        <w:rPr>
          <w:rFonts w:ascii="Calibri" w:hAnsi="Calibri" w:cs="Calibri"/>
          <w:b/>
          <w:bCs/>
          <w:sz w:val="24"/>
          <w:szCs w:val="24"/>
          <w:highlight w:val="none"/>
          <w:shd w:fill="00A933" w:val="clear"/>
          <w14:ligatures w14:val="standardContextual"/>
        </w:rPr>
      </w:pPr>
      <w:r>
        <w:rPr>
          <w:rFonts w:cs="Calibri" w:ascii="Calibri" w:hAnsi="Calibri"/>
          <w:b/>
          <w:bCs/>
          <w:sz w:val="24"/>
          <w:szCs w:val="24"/>
          <w:shd w:fill="00A933" w:val="clear"/>
          <w14:ligatures w14:val="standardContextual"/>
        </w:rPr>
      </w:r>
    </w:p>
    <w:p>
      <w:pPr>
        <w:pStyle w:val="Normal"/>
        <w:rPr>
          <w:rFonts w:ascii="Calibri" w:hAnsi="Calibri" w:cs="Calibri"/>
          <w:sz w:val="24"/>
          <w:szCs w:val="24"/>
          <w:highlight w:val="none"/>
          <w:shd w:fill="00A933" w:val="clear"/>
          <w14:ligatures w14:val="standardContextual"/>
        </w:rPr>
      </w:pPr>
      <w:r>
        <w:rPr>
          <w:rFonts w:cs="Calibri" w:ascii="Calibri" w:hAnsi="Calibri"/>
          <w:sz w:val="24"/>
          <w:szCs w:val="24"/>
          <w:shd w:fill="00A933" w:val="clear"/>
          <w14:ligatures w14:val="standardContextual"/>
        </w:rPr>
      </w:r>
    </w:p>
    <w:p>
      <w:pPr>
        <w:pStyle w:val="Normal"/>
        <w:spacing w:before="0" w:after="160"/>
        <w:rPr>
          <w:rFonts w:ascii="Calibri" w:hAnsi="Calibri" w:cs="Calibri"/>
          <w:sz w:val="32"/>
          <w:szCs w:val="32"/>
        </w:rPr>
      </w:pPr>
      <w:r>
        <w:rPr>
          <w:rFonts w:cs="Calibri" w:ascii="Calibri" w:hAnsi="Calibri"/>
          <w:sz w:val="32"/>
          <w:szCs w:val="32"/>
        </w:rPr>
      </w:r>
    </w:p>
    <w:sectPr>
      <w:type w:val="nextPage"/>
      <w:pgSz w:w="11906" w:h="16838"/>
      <w:pgMar w:left="1440" w:right="1440" w:gutter="0" w:header="0" w:top="1440" w:footer="0" w:bottom="144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ptos">
    <w:charset w:val="00"/>
    <w:family w:val="roman"/>
    <w:pitch w:val="variable"/>
  </w:font>
  <w:font w:name="Aptos Display">
    <w:charset w:val="00"/>
    <w:family w:val="roman"/>
    <w:pitch w:val="variable"/>
  </w:font>
  <w:font w:name="OpenSymbol">
    <w:altName w:val="Arial Unicode MS"/>
    <w:charset w:val="00"/>
    <w:family w:val="roman"/>
    <w:pitch w:val="variable"/>
  </w:font>
  <w:font w:name="Liberation Sans">
    <w:altName w:val="Arial"/>
    <w:charset w:val="00"/>
    <w:family w:val="roman"/>
    <w:pitch w:val="variable"/>
  </w:font>
  <w:font w:name="Calibri">
    <w:charset w:val="00"/>
    <w:family w:val="roman"/>
    <w:pitch w:val="variable"/>
  </w:font>
  <w:font w:name="Courier New">
    <w:charset w:val="01"/>
    <w:family w:val="modern"/>
    <w:pitch w:val="fixed"/>
  </w:font>
  <w:font w:name="Wingdings">
    <w:charset w:val="02"/>
    <w:family w:val="auto"/>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Aptos" w:cs="" w:asciiTheme="minorHAnsi" w:cstheme="minorBidi" w:eastAsiaTheme="minorHAnsi" w:hAnsiTheme="minorHAnsi"/>
        <w:kern w:val="2"/>
        <w:sz w:val="22"/>
        <w:szCs w:val="22"/>
        <w:lang w:val="en-GB" w:eastAsia="en-US" w:bidi="ar-SA"/>
        <w14:ligatures w14:val="standardContextual"/>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suppressAutoHyphens w:val="true"/>
      <w:bidi w:val="0"/>
      <w:spacing w:lineRule="auto" w:line="259" w:before="0" w:after="160"/>
      <w:jc w:val="left"/>
    </w:pPr>
    <w:rPr>
      <w:rFonts w:ascii="Aptos" w:hAnsi="Aptos" w:eastAsia="Aptos" w:cs="" w:asciiTheme="minorHAnsi" w:cstheme="minorBidi" w:eastAsiaTheme="minorHAnsi" w:hAnsiTheme="minorHAnsi"/>
      <w:color w:val="auto"/>
      <w:kern w:val="2"/>
      <w:sz w:val="22"/>
      <w:szCs w:val="22"/>
      <w:lang w:val="en-GB" w:eastAsia="en-US" w:bidi="ar-SA"/>
      <w14:ligatures w14:val="standardContextual"/>
    </w:rPr>
  </w:style>
  <w:style w:type="paragraph" w:styleId="Heading1">
    <w:name w:val="Heading 1"/>
    <w:basedOn w:val="Normal"/>
    <w:next w:val="Normal"/>
    <w:link w:val="Heading1Char"/>
    <w:uiPriority w:val="9"/>
    <w:qFormat/>
    <w:rsid w:val="009e022f"/>
    <w:pPr>
      <w:keepNext w:val="true"/>
      <w:keepLines/>
      <w:spacing w:before="360" w:after="80"/>
      <w:outlineLvl w:val="0"/>
    </w:pPr>
    <w:rPr>
      <w:rFonts w:ascii="Aptos Display" w:hAnsi="Aptos Display" w:eastAsia="" w:cs="" w:asciiTheme="majorHAnsi" w:cstheme="majorBidi" w:eastAsiaTheme="majorEastAsia" w:hAnsiTheme="majorHAnsi"/>
      <w:color w:themeColor="accent1" w:themeShade="bf" w:val="0F4761"/>
      <w:sz w:val="40"/>
      <w:szCs w:val="40"/>
    </w:rPr>
  </w:style>
  <w:style w:type="paragraph" w:styleId="Heading2">
    <w:name w:val="Heading 2"/>
    <w:basedOn w:val="Normal"/>
    <w:next w:val="Normal"/>
    <w:link w:val="Heading2Char"/>
    <w:uiPriority w:val="9"/>
    <w:unhideWhenUsed/>
    <w:qFormat/>
    <w:rsid w:val="009e022f"/>
    <w:pPr>
      <w:keepNext w:val="true"/>
      <w:keepLines/>
      <w:spacing w:before="160" w:after="80"/>
      <w:outlineLvl w:val="1"/>
    </w:pPr>
    <w:rPr>
      <w:rFonts w:ascii="Aptos Display" w:hAnsi="Aptos Display" w:eastAsia="" w:cs="" w:asciiTheme="majorHAnsi" w:cstheme="majorBidi" w:eastAsiaTheme="majorEastAsia" w:hAnsiTheme="majorHAnsi"/>
      <w:color w:themeColor="accent1" w:themeShade="bf" w:val="0F4761"/>
      <w:sz w:val="32"/>
      <w:szCs w:val="32"/>
    </w:rPr>
  </w:style>
  <w:style w:type="paragraph" w:styleId="Heading3">
    <w:name w:val="Heading 3"/>
    <w:basedOn w:val="Normal"/>
    <w:next w:val="Normal"/>
    <w:link w:val="Heading3Char"/>
    <w:uiPriority w:val="9"/>
    <w:semiHidden/>
    <w:unhideWhenUsed/>
    <w:qFormat/>
    <w:rsid w:val="009e022f"/>
    <w:pPr>
      <w:keepNext w:val="true"/>
      <w:keepLines/>
      <w:spacing w:before="160" w:after="80"/>
      <w:outlineLvl w:val="2"/>
    </w:pPr>
    <w:rPr>
      <w:rFonts w:eastAsia="" w:cs="" w:cstheme="majorBidi" w:eastAsiaTheme="majorEastAsia"/>
      <w:color w:themeColor="accent1" w:themeShade="bf" w:val="0F4761"/>
      <w:sz w:val="28"/>
      <w:szCs w:val="28"/>
    </w:rPr>
  </w:style>
  <w:style w:type="paragraph" w:styleId="Heading4">
    <w:name w:val="Heading 4"/>
    <w:basedOn w:val="Normal"/>
    <w:next w:val="Normal"/>
    <w:link w:val="Heading4Char"/>
    <w:uiPriority w:val="9"/>
    <w:semiHidden/>
    <w:unhideWhenUsed/>
    <w:qFormat/>
    <w:rsid w:val="009e022f"/>
    <w:pPr>
      <w:keepNext w:val="true"/>
      <w:keepLines/>
      <w:spacing w:before="80" w:after="40"/>
      <w:outlineLvl w:val="3"/>
    </w:pPr>
    <w:rPr>
      <w:rFonts w:eastAsia="" w:cs="" w:cstheme="majorBidi" w:eastAsiaTheme="majorEastAsia"/>
      <w:i/>
      <w:iCs/>
      <w:color w:themeColor="accent1" w:themeShade="bf" w:val="0F4761"/>
    </w:rPr>
  </w:style>
  <w:style w:type="paragraph" w:styleId="Heading5">
    <w:name w:val="Heading 5"/>
    <w:basedOn w:val="Normal"/>
    <w:next w:val="Normal"/>
    <w:link w:val="Heading5Char"/>
    <w:uiPriority w:val="9"/>
    <w:semiHidden/>
    <w:unhideWhenUsed/>
    <w:qFormat/>
    <w:rsid w:val="009e022f"/>
    <w:pPr>
      <w:keepNext w:val="true"/>
      <w:keepLines/>
      <w:spacing w:before="80" w:after="40"/>
      <w:outlineLvl w:val="4"/>
    </w:pPr>
    <w:rPr>
      <w:rFonts w:eastAsia="" w:cs="" w:cstheme="majorBidi" w:eastAsiaTheme="majorEastAsia"/>
      <w:color w:themeColor="accent1" w:themeShade="bf" w:val="0F4761"/>
    </w:rPr>
  </w:style>
  <w:style w:type="paragraph" w:styleId="Heading6">
    <w:name w:val="Heading 6"/>
    <w:basedOn w:val="Normal"/>
    <w:next w:val="Normal"/>
    <w:link w:val="Heading6Char"/>
    <w:uiPriority w:val="9"/>
    <w:semiHidden/>
    <w:unhideWhenUsed/>
    <w:qFormat/>
    <w:rsid w:val="009e022f"/>
    <w:pPr>
      <w:keepNext w:val="true"/>
      <w:keepLines/>
      <w:spacing w:before="40" w:after="0"/>
      <w:outlineLvl w:val="5"/>
    </w:pPr>
    <w:rPr>
      <w:rFonts w:eastAsia="" w:cs="" w:cstheme="majorBidi" w:eastAsiaTheme="majorEastAsia"/>
      <w:i/>
      <w:iCs/>
      <w:color w:themeColor="text1" w:themeTint="a6" w:val="595959"/>
    </w:rPr>
  </w:style>
  <w:style w:type="paragraph" w:styleId="Heading7">
    <w:name w:val="Heading 7"/>
    <w:basedOn w:val="Normal"/>
    <w:next w:val="Normal"/>
    <w:link w:val="Heading7Char"/>
    <w:uiPriority w:val="9"/>
    <w:semiHidden/>
    <w:unhideWhenUsed/>
    <w:qFormat/>
    <w:rsid w:val="009e022f"/>
    <w:pPr>
      <w:keepNext w:val="true"/>
      <w:keepLines/>
      <w:spacing w:before="40" w:after="0"/>
      <w:outlineLvl w:val="6"/>
    </w:pPr>
    <w:rPr>
      <w:rFonts w:eastAsia="" w:cs="" w:cstheme="majorBidi" w:eastAsiaTheme="majorEastAsia"/>
      <w:color w:themeColor="text1" w:themeTint="a6" w:val="595959"/>
    </w:rPr>
  </w:style>
  <w:style w:type="paragraph" w:styleId="Heading8">
    <w:name w:val="Heading 8"/>
    <w:basedOn w:val="Normal"/>
    <w:next w:val="Normal"/>
    <w:link w:val="Heading8Char"/>
    <w:uiPriority w:val="9"/>
    <w:semiHidden/>
    <w:unhideWhenUsed/>
    <w:qFormat/>
    <w:rsid w:val="009e022f"/>
    <w:pPr>
      <w:keepNext w:val="true"/>
      <w:keepLines/>
      <w:spacing w:before="0" w:after="0"/>
      <w:outlineLvl w:val="7"/>
    </w:pPr>
    <w:rPr>
      <w:rFonts w:eastAsia="" w:cs="" w:cstheme="majorBidi" w:eastAsiaTheme="majorEastAsia"/>
      <w:i/>
      <w:iCs/>
      <w:color w:themeColor="text1" w:themeTint="d8" w:val="272727"/>
    </w:rPr>
  </w:style>
  <w:style w:type="paragraph" w:styleId="Heading9">
    <w:name w:val="Heading 9"/>
    <w:basedOn w:val="Normal"/>
    <w:next w:val="Normal"/>
    <w:link w:val="Heading9Char"/>
    <w:uiPriority w:val="9"/>
    <w:semiHidden/>
    <w:unhideWhenUsed/>
    <w:qFormat/>
    <w:rsid w:val="009e022f"/>
    <w:pPr>
      <w:keepNext w:val="true"/>
      <w:keepLines/>
      <w:spacing w:before="0" w:after="0"/>
      <w:outlineLvl w:val="8"/>
    </w:pPr>
    <w:rPr>
      <w:rFonts w:eastAsia="" w:cs="" w:cstheme="majorBidi" w:eastAsiaTheme="majorEastAsia"/>
      <w:color w:themeColor="text1" w:themeTint="d8" w:val="272727"/>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9e022f"/>
    <w:rPr>
      <w:rFonts w:ascii="Aptos Display" w:hAnsi="Aptos Display" w:eastAsia="" w:cs="" w:asciiTheme="majorHAnsi" w:cstheme="majorBidi" w:eastAsiaTheme="majorEastAsia" w:hAnsiTheme="majorHAnsi"/>
      <w:color w:themeColor="accent1" w:themeShade="bf" w:val="0F4761"/>
      <w:sz w:val="40"/>
      <w:szCs w:val="40"/>
    </w:rPr>
  </w:style>
  <w:style w:type="character" w:styleId="Heading2Char" w:customStyle="1">
    <w:name w:val="Heading 2 Char"/>
    <w:basedOn w:val="DefaultParagraphFont"/>
    <w:link w:val="Heading2"/>
    <w:uiPriority w:val="9"/>
    <w:qFormat/>
    <w:rsid w:val="009e022f"/>
    <w:rPr>
      <w:rFonts w:ascii="Aptos Display" w:hAnsi="Aptos Display" w:eastAsia="" w:cs="" w:asciiTheme="majorHAnsi" w:cstheme="majorBidi" w:eastAsiaTheme="majorEastAsia" w:hAnsiTheme="majorHAnsi"/>
      <w:color w:themeColor="accent1" w:themeShade="bf" w:val="0F4761"/>
      <w:sz w:val="32"/>
      <w:szCs w:val="32"/>
    </w:rPr>
  </w:style>
  <w:style w:type="character" w:styleId="Heading3Char" w:customStyle="1">
    <w:name w:val="Heading 3 Char"/>
    <w:basedOn w:val="DefaultParagraphFont"/>
    <w:link w:val="Heading3"/>
    <w:uiPriority w:val="9"/>
    <w:semiHidden/>
    <w:qFormat/>
    <w:rsid w:val="009e022f"/>
    <w:rPr>
      <w:rFonts w:eastAsia="" w:cs="" w:cstheme="majorBidi" w:eastAsiaTheme="majorEastAsia"/>
      <w:color w:themeColor="accent1" w:themeShade="bf" w:val="0F4761"/>
      <w:sz w:val="28"/>
      <w:szCs w:val="28"/>
    </w:rPr>
  </w:style>
  <w:style w:type="character" w:styleId="Heading4Char" w:customStyle="1">
    <w:name w:val="Heading 4 Char"/>
    <w:basedOn w:val="DefaultParagraphFont"/>
    <w:link w:val="Heading4"/>
    <w:uiPriority w:val="9"/>
    <w:semiHidden/>
    <w:qFormat/>
    <w:rsid w:val="009e022f"/>
    <w:rPr>
      <w:rFonts w:eastAsia="" w:cs="" w:cstheme="majorBidi" w:eastAsiaTheme="majorEastAsia"/>
      <w:i/>
      <w:iCs/>
      <w:color w:themeColor="accent1" w:themeShade="bf" w:val="0F4761"/>
    </w:rPr>
  </w:style>
  <w:style w:type="character" w:styleId="Heading5Char" w:customStyle="1">
    <w:name w:val="Heading 5 Char"/>
    <w:basedOn w:val="DefaultParagraphFont"/>
    <w:link w:val="Heading5"/>
    <w:uiPriority w:val="9"/>
    <w:semiHidden/>
    <w:qFormat/>
    <w:rsid w:val="009e022f"/>
    <w:rPr>
      <w:rFonts w:eastAsia="" w:cs="" w:cstheme="majorBidi" w:eastAsiaTheme="majorEastAsia"/>
      <w:color w:themeColor="accent1" w:themeShade="bf" w:val="0F4761"/>
    </w:rPr>
  </w:style>
  <w:style w:type="character" w:styleId="Heading6Char" w:customStyle="1">
    <w:name w:val="Heading 6 Char"/>
    <w:basedOn w:val="DefaultParagraphFont"/>
    <w:link w:val="Heading6"/>
    <w:uiPriority w:val="9"/>
    <w:semiHidden/>
    <w:qFormat/>
    <w:rsid w:val="009e022f"/>
    <w:rPr>
      <w:rFonts w:eastAsia="" w:cs="" w:cstheme="majorBidi" w:eastAsiaTheme="majorEastAsia"/>
      <w:i/>
      <w:iCs/>
      <w:color w:themeColor="text1" w:themeTint="a6" w:val="595959"/>
    </w:rPr>
  </w:style>
  <w:style w:type="character" w:styleId="Heading7Char" w:customStyle="1">
    <w:name w:val="Heading 7 Char"/>
    <w:basedOn w:val="DefaultParagraphFont"/>
    <w:link w:val="Heading7"/>
    <w:uiPriority w:val="9"/>
    <w:semiHidden/>
    <w:qFormat/>
    <w:rsid w:val="009e022f"/>
    <w:rPr>
      <w:rFonts w:eastAsia="" w:cs="" w:cstheme="majorBidi" w:eastAsiaTheme="majorEastAsia"/>
      <w:color w:themeColor="text1" w:themeTint="a6" w:val="595959"/>
    </w:rPr>
  </w:style>
  <w:style w:type="character" w:styleId="Heading8Char" w:customStyle="1">
    <w:name w:val="Heading 8 Char"/>
    <w:basedOn w:val="DefaultParagraphFont"/>
    <w:link w:val="Heading8"/>
    <w:uiPriority w:val="9"/>
    <w:semiHidden/>
    <w:qFormat/>
    <w:rsid w:val="009e022f"/>
    <w:rPr>
      <w:rFonts w:eastAsia="" w:cs="" w:cstheme="majorBidi" w:eastAsiaTheme="majorEastAsia"/>
      <w:i/>
      <w:iCs/>
      <w:color w:themeColor="text1" w:themeTint="d8" w:val="272727"/>
    </w:rPr>
  </w:style>
  <w:style w:type="character" w:styleId="Heading9Char" w:customStyle="1">
    <w:name w:val="Heading 9 Char"/>
    <w:basedOn w:val="DefaultParagraphFont"/>
    <w:link w:val="Heading9"/>
    <w:uiPriority w:val="9"/>
    <w:semiHidden/>
    <w:qFormat/>
    <w:rsid w:val="009e022f"/>
    <w:rPr>
      <w:rFonts w:eastAsia="" w:cs="" w:cstheme="majorBidi" w:eastAsiaTheme="majorEastAsia"/>
      <w:color w:themeColor="text1" w:themeTint="d8" w:val="272727"/>
    </w:rPr>
  </w:style>
  <w:style w:type="character" w:styleId="TitleChar" w:customStyle="1">
    <w:name w:val="Title Char"/>
    <w:basedOn w:val="DefaultParagraphFont"/>
    <w:link w:val="Title"/>
    <w:uiPriority w:val="10"/>
    <w:qFormat/>
    <w:rsid w:val="009e022f"/>
    <w:rPr>
      <w:rFonts w:ascii="Aptos Display" w:hAnsi="Aptos Display" w:eastAsia="" w:cs="" w:asciiTheme="majorHAnsi" w:cstheme="majorBidi" w:eastAsiaTheme="majorEastAsia" w:hAnsiTheme="majorHAnsi"/>
      <w:spacing w:val="-10"/>
      <w:kern w:val="2"/>
      <w:sz w:val="56"/>
      <w:szCs w:val="56"/>
    </w:rPr>
  </w:style>
  <w:style w:type="character" w:styleId="SubtitleChar" w:customStyle="1">
    <w:name w:val="Subtitle Char"/>
    <w:basedOn w:val="DefaultParagraphFont"/>
    <w:link w:val="Subtitle"/>
    <w:uiPriority w:val="11"/>
    <w:qFormat/>
    <w:rsid w:val="009e022f"/>
    <w:rPr>
      <w:rFonts w:eastAsia="" w:cs="" w:cstheme="majorBidi" w:eastAsiaTheme="majorEastAsia"/>
      <w:color w:themeColor="text1" w:themeTint="a6" w:val="595959"/>
      <w:spacing w:val="15"/>
      <w:sz w:val="28"/>
      <w:szCs w:val="28"/>
    </w:rPr>
  </w:style>
  <w:style w:type="character" w:styleId="QuoteChar" w:customStyle="1">
    <w:name w:val="Quote Char"/>
    <w:basedOn w:val="DefaultParagraphFont"/>
    <w:link w:val="Quote"/>
    <w:uiPriority w:val="29"/>
    <w:qFormat/>
    <w:rsid w:val="009e022f"/>
    <w:rPr>
      <w:i/>
      <w:iCs/>
      <w:color w:themeColor="text1" w:themeTint="bf" w:val="404040"/>
    </w:rPr>
  </w:style>
  <w:style w:type="character" w:styleId="IntenseEmphasis">
    <w:name w:val="Intense Emphasis"/>
    <w:basedOn w:val="DefaultParagraphFont"/>
    <w:uiPriority w:val="21"/>
    <w:qFormat/>
    <w:rsid w:val="009e022f"/>
    <w:rPr>
      <w:i/>
      <w:iCs/>
      <w:color w:themeColor="accent1" w:themeShade="bf" w:val="0F4761"/>
    </w:rPr>
  </w:style>
  <w:style w:type="character" w:styleId="IntenseQuoteChar" w:customStyle="1">
    <w:name w:val="Intense Quote Char"/>
    <w:basedOn w:val="DefaultParagraphFont"/>
    <w:link w:val="IntenseQuote"/>
    <w:uiPriority w:val="30"/>
    <w:qFormat/>
    <w:rsid w:val="009e022f"/>
    <w:rPr>
      <w:i/>
      <w:iCs/>
      <w:color w:themeColor="accent1" w:themeShade="bf" w:val="0F4761"/>
    </w:rPr>
  </w:style>
  <w:style w:type="character" w:styleId="IntenseReference">
    <w:name w:val="Intense Reference"/>
    <w:basedOn w:val="DefaultParagraphFont"/>
    <w:uiPriority w:val="32"/>
    <w:qFormat/>
    <w:rsid w:val="009e022f"/>
    <w:rPr>
      <w:b/>
      <w:bCs/>
      <w:smallCaps/>
      <w:color w:themeColor="accent1" w:themeShade="bf" w:val="0F4761"/>
      <w:spacing w:val="5"/>
    </w:rPr>
  </w:style>
  <w:style w:type="character" w:styleId="Hyperlink">
    <w:name w:val="Hyperlink"/>
    <w:basedOn w:val="DefaultParagraphFont"/>
    <w:uiPriority w:val="99"/>
    <w:unhideWhenUsed/>
    <w:rsid w:val="00535666"/>
    <w:rPr>
      <w:color w:themeColor="hyperlink" w:val="467886"/>
      <w:u w:val="single"/>
    </w:rPr>
  </w:style>
  <w:style w:type="character" w:styleId="UnresolvedMention">
    <w:name w:val="Unresolved Mention"/>
    <w:basedOn w:val="DefaultParagraphFont"/>
    <w:uiPriority w:val="99"/>
    <w:semiHidden/>
    <w:unhideWhenUsed/>
    <w:qFormat/>
    <w:rsid w:val="00535666"/>
    <w:rPr>
      <w:color w:val="605E5C"/>
      <w:shd w:fill="E1DFDD" w:val="clear"/>
    </w:rPr>
  </w:style>
  <w:style w:type="character" w:styleId="FollowedHyperlink">
    <w:name w:val="FollowedHyperlink"/>
    <w:basedOn w:val="DefaultParagraphFont"/>
    <w:uiPriority w:val="99"/>
    <w:semiHidden/>
    <w:unhideWhenUsed/>
    <w:rsid w:val="00a1549a"/>
    <w:rPr>
      <w:color w:themeColor="followedHyperlink" w:val="96607D"/>
      <w:u w:val="single"/>
    </w:rPr>
  </w:style>
  <w:style w:type="character" w:styleId="Bullets">
    <w:name w:val="Bullets"/>
    <w:qFormat/>
    <w:rPr>
      <w:rFonts w:ascii="OpenSymbol" w:hAnsi="OpenSymbol" w:eastAsia="OpenSymbol" w:cs="OpenSymbol"/>
    </w:rPr>
  </w:style>
  <w:style w:type="paragraph" w:styleId="Heading">
    <w:name w:val="Heading"/>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itle">
    <w:name w:val="Title"/>
    <w:basedOn w:val="Normal"/>
    <w:next w:val="Normal"/>
    <w:link w:val="TitleChar"/>
    <w:uiPriority w:val="10"/>
    <w:qFormat/>
    <w:rsid w:val="009e022f"/>
    <w:pPr>
      <w:spacing w:lineRule="auto" w:line="240" w:before="0" w:after="80"/>
      <w:contextualSpacing/>
    </w:pPr>
    <w:rPr>
      <w:rFonts w:ascii="Aptos Display" w:hAnsi="Aptos Display" w:eastAsia="" w:cs="" w:asciiTheme="majorHAnsi" w:cstheme="majorBidi" w:eastAsiaTheme="majorEastAsia" w:hAnsiTheme="majorHAnsi"/>
      <w:spacing w:val="-10"/>
      <w:kern w:val="2"/>
      <w:sz w:val="56"/>
      <w:szCs w:val="56"/>
    </w:rPr>
  </w:style>
  <w:style w:type="paragraph" w:styleId="Subtitle">
    <w:name w:val="Subtitle"/>
    <w:basedOn w:val="Normal"/>
    <w:next w:val="Normal"/>
    <w:link w:val="SubtitleChar"/>
    <w:uiPriority w:val="11"/>
    <w:qFormat/>
    <w:rsid w:val="009e022f"/>
    <w:pPr/>
    <w:rPr>
      <w:rFonts w:eastAsia="" w:cs="" w:cstheme="majorBidi" w:eastAsiaTheme="majorEastAsia"/>
      <w:color w:themeColor="text1" w:themeTint="a6" w:val="595959"/>
      <w:spacing w:val="15"/>
      <w:sz w:val="28"/>
      <w:szCs w:val="28"/>
    </w:rPr>
  </w:style>
  <w:style w:type="paragraph" w:styleId="Quote">
    <w:name w:val="Quote"/>
    <w:basedOn w:val="Normal"/>
    <w:next w:val="Normal"/>
    <w:link w:val="QuoteChar"/>
    <w:uiPriority w:val="29"/>
    <w:qFormat/>
    <w:rsid w:val="009e022f"/>
    <w:pPr>
      <w:spacing w:before="160" w:after="160"/>
      <w:jc w:val="center"/>
    </w:pPr>
    <w:rPr>
      <w:i/>
      <w:iCs/>
      <w:color w:themeColor="text1" w:themeTint="bf" w:val="404040"/>
    </w:rPr>
  </w:style>
  <w:style w:type="paragraph" w:styleId="ListParagraph">
    <w:name w:val="List Paragraph"/>
    <w:basedOn w:val="Normal"/>
    <w:uiPriority w:val="34"/>
    <w:qFormat/>
    <w:rsid w:val="009e022f"/>
    <w:pPr>
      <w:spacing w:before="0" w:after="160"/>
      <w:ind w:left="720"/>
      <w:contextualSpacing/>
    </w:pPr>
    <w:rPr/>
  </w:style>
  <w:style w:type="paragraph" w:styleId="IntenseQuote">
    <w:name w:val="Intense Quote"/>
    <w:basedOn w:val="Normal"/>
    <w:next w:val="Normal"/>
    <w:link w:val="IntenseQuoteChar"/>
    <w:uiPriority w:val="30"/>
    <w:qFormat/>
    <w:rsid w:val="009e022f"/>
    <w:pPr>
      <w:pBdr>
        <w:top w:val="single" w:sz="4" w:space="10" w:color="0F4761" w:themeColor="accent1" w:themeShade="bf"/>
        <w:bottom w:val="single" w:sz="4" w:space="10" w:color="0F4761" w:themeColor="accent1" w:themeShade="bf"/>
      </w:pBdr>
      <w:spacing w:before="360" w:after="360"/>
      <w:ind w:left="864" w:right="864"/>
      <w:jc w:val="center"/>
    </w:pPr>
    <w:rPr>
      <w:i/>
      <w:iCs/>
      <w:color w:themeColor="accent1" w:themeShade="bf" w:val="0F4761"/>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jpeg"/><Relationship Id="rId8" Type="http://schemas.openxmlformats.org/officeDocument/2006/relationships/image" Target="media/image7.jpeg"/><Relationship Id="rId9" Type="http://schemas.openxmlformats.org/officeDocument/2006/relationships/image" Target="media/image8.jpeg"/><Relationship Id="rId10" Type="http://schemas.openxmlformats.org/officeDocument/2006/relationships/image" Target="media/image9.jpeg"/><Relationship Id="rId11" Type="http://schemas.openxmlformats.org/officeDocument/2006/relationships/image" Target="media/image10.jpeg"/><Relationship Id="rId12" Type="http://schemas.openxmlformats.org/officeDocument/2006/relationships/image" Target="media/image11.png"/><Relationship Id="rId13" Type="http://schemas.openxmlformats.org/officeDocument/2006/relationships/image" Target="media/image12.png"/><Relationship Id="rId14" Type="http://schemas.openxmlformats.org/officeDocument/2006/relationships/image" Target="media/image13.png"/><Relationship Id="rId15" Type="http://schemas.openxmlformats.org/officeDocument/2006/relationships/hyperlink" Target="https://doi.org/10.1016/j.ecss.2021.107510" TargetMode="External"/><Relationship Id="rId16" Type="http://schemas.openxmlformats.org/officeDocument/2006/relationships/hyperlink" Target="https://www.gov.uk/government/publications/the-extent-and-zonation-of-saltmarsh-in-england-2016-2019" TargetMode="External"/><Relationship Id="rId17" Type="http://schemas.openxmlformats.org/officeDocument/2006/relationships/hyperlink" Target="https://www.bing.com/maps?q=google+maps&amp;FORM=HDRSC7&amp;cp=51.623212~-4.255207&amp;lvl=16.0" TargetMode="External"/><Relationship Id="rId18" Type="http://schemas.openxmlformats.org/officeDocument/2006/relationships/hyperlink" Target="https://doi.org/10.1016/j.scitotenv.2024.171940" TargetMode="External"/><Relationship Id="rId19" Type="http://schemas.openxmlformats.org/officeDocument/2006/relationships/hyperlink" Target="https://www.walesonline.co.uk/news/wales-news/new-tidal-saltmarsh-planned-beauty-8256856" TargetMode="External"/><Relationship Id="rId20" Type="http://schemas.openxmlformats.org/officeDocument/2006/relationships/hyperlink" Target="https://www.nationaltrust.org.uk/visit/wales/whiteford-and-north-gower/cwm-ivy-on-the-north-gower-coast" TargetMode="External"/><Relationship Id="rId21" Type="http://schemas.openxmlformats.org/officeDocument/2006/relationships/hyperlink" Target="https://naturalresourceswales.gov.uk/media/4414/project-factsheet-cwm-ivy-public-drop-in-5-6-june-15.pdf" TargetMode="External"/><Relationship Id="rId22" Type="http://schemas.openxmlformats.org/officeDocument/2006/relationships/hyperlink" Target="https://www.worldatlas.com/articles/what-is-a-salt-marsh-and-how-is-it-formed.html" TargetMode="External"/><Relationship Id="rId23" Type="http://schemas.openxmlformats.org/officeDocument/2006/relationships/hyperlink" Target="https://doi.org/10.1016/j.biocon.2023.110394" TargetMode="External"/><Relationship Id="rId24" Type="http://schemas.openxmlformats.org/officeDocument/2006/relationships/hyperlink" Target="https://doi.org/10.1086/297398" TargetMode="External"/><Relationship Id="rId25" Type="http://schemas.openxmlformats.org/officeDocument/2006/relationships/hyperlink" Target="https://news.sky.com/story/how-brave-decision-not-to-rebuild-as-storms-and-floods-wrecked-farmland-paid-off-for-nature-12327851" TargetMode="External"/><Relationship Id="rId26" Type="http://schemas.openxmlformats.org/officeDocument/2006/relationships/hyperlink" Target="https://www.wcl.org.uk/why-you-should-be-using-native-ponies-for-conservation-grazing.asp" TargetMode="External"/><Relationship Id="rId27" Type="http://schemas.openxmlformats.org/officeDocument/2006/relationships/hyperlink" Target="https://doi.org/10.1111/j.1365-2664.2005.01080.x" TargetMode="External"/><Relationship Id="rId28" Type="http://schemas.openxmlformats.org/officeDocument/2006/relationships/hyperlink" Target="https://www.wwt.org.uk/news-and-stories/news/wwt-to-restore-saltmarsh-on-the-awre-peninsula" TargetMode="External"/><Relationship Id="rId29" Type="http://schemas.openxmlformats.org/officeDocument/2006/relationships/numbering" Target="numbering.xml"/><Relationship Id="rId30" Type="http://schemas.openxmlformats.org/officeDocument/2006/relationships/fontTable" Target="fontTable.xml"/><Relationship Id="rId31" Type="http://schemas.openxmlformats.org/officeDocument/2006/relationships/settings" Target="settings.xml"/><Relationship Id="rId32"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pitchFamily="0" charset="1"/>
        <a:ea typeface=""/>
        <a:cs typeface=""/>
      </a:majorFont>
      <a:minorFont>
        <a:latin typeface="Aptos" panose="0211000402020202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Normal.dotm</Template>
  <TotalTime>553</TotalTime>
  <Application>LibreOffice/7.6.2.1$Windows_X86_64 LibreOffice_project/56f7684011345957bbf33a7ee678afaf4d2ba333</Application>
  <AppVersion>15.0000</AppVersion>
  <Pages>18</Pages>
  <Words>2319</Words>
  <Characters>13953</Characters>
  <CharactersWithSpaces>16244</CharactersWithSpaces>
  <Paragraphs>62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2024-12-16T00:07:00Z</dcterms:created>
  <dc:creator>Sam Godden</dc:creator>
  <dc:description/>
  <dc:language>en-GB</dc:language>
  <cp:lastModifiedBy/>
  <dcterms:modified xsi:type="dcterms:W3CDTF">2025-01-16T18:25:47Z</dcterms:modified>
  <cp:revision>21</cp:revision>
  <dc:subject/>
  <dc:title/>
</cp:coreProperties>
</file>

<file path=docProps/custom.xml><?xml version="1.0" encoding="utf-8"?>
<Properties xmlns="http://schemas.openxmlformats.org/officeDocument/2006/custom-properties" xmlns:vt="http://schemas.openxmlformats.org/officeDocument/2006/docPropsVTypes"/>
</file>