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tyles.xml" ContentType="application/vnd.openxmlformats-officedocument.wordprocessingml.styles+xml"/>
  <Override PartName="/word/_rels/document.xml.rels" ContentType="application/vnd.openxmlformats-package.relationship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jc w:val="left"/>
        <w:rPr>
          <w:b/>
          <w:bCs/>
          <w:color w:val="FF0000"/>
          <w:sz w:val="24"/>
          <w:szCs w:val="24"/>
        </w:rPr>
      </w:pPr>
      <w:r>
        <w:rPr/>
        <w:drawing>
          <wp:inline distT="0" distB="0" distL="0" distR="0">
            <wp:extent cx="1809750" cy="723900"/>
            <wp:effectExtent l="0" t="0" r="0" b="0"/>
            <wp:docPr id="1" name="Picture 27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71" descr=""/>
                    <pic:cNvPicPr>
                      <a:picLocks noChangeAspect="1" noChangeArrowheads="1"/>
                    </pic:cNvPicPr>
                  </pic:nvPicPr>
                  <pic:blipFill>
                    <a:blip r:embed="rId2"/>
                    <a:stretch>
                      <a:fillRect/>
                    </a:stretch>
                  </pic:blipFill>
                  <pic:spPr bwMode="auto">
                    <a:xfrm>
                      <a:off x="0" y="0"/>
                      <a:ext cx="1809750" cy="723900"/>
                    </a:xfrm>
                    <a:prstGeom prst="rect">
                      <a:avLst/>
                    </a:prstGeom>
                  </pic:spPr>
                </pic:pic>
              </a:graphicData>
            </a:graphic>
          </wp:inline>
        </w:drawing>
      </w:r>
    </w:p>
    <w:p>
      <w:pPr>
        <w:pStyle w:val="Normal"/>
        <w:bidi w:val="0"/>
        <w:jc w:val="left"/>
        <w:rPr/>
      </w:pPr>
      <w:r>
        <w:rPr/>
      </w:r>
    </w:p>
    <w:p>
      <w:pPr>
        <w:pStyle w:val="Normal"/>
        <w:bidi w:val="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pPr>
      <w:r>
        <w:rPr/>
      </w:r>
    </w:p>
    <w:p>
      <w:pPr>
        <w:pStyle w:val="Normal"/>
        <w:bidi w:val="0"/>
        <w:spacing w:lineRule="auto" w:line="259" w:before="0" w:after="0"/>
        <w:ind w:hanging="0" w:left="0"/>
        <w:jc w:val="left"/>
        <w:rPr>
          <w:sz w:val="32"/>
          <w:szCs w:val="32"/>
        </w:rPr>
      </w:pPr>
      <w:r>
        <w:rPr>
          <w:sz w:val="32"/>
          <w:szCs w:val="32"/>
        </w:rPr>
      </w:r>
    </w:p>
    <w:p>
      <w:pPr>
        <w:pStyle w:val="Normal"/>
        <w:bidi w:val="0"/>
        <w:ind w:hanging="10" w:left="10" w:right="95"/>
        <w:jc w:val="center"/>
        <w:rPr>
          <w:b/>
          <w:bCs/>
          <w:sz w:val="44"/>
          <w:szCs w:val="44"/>
        </w:rPr>
      </w:pPr>
      <w:r>
        <w:rPr>
          <w:b/>
          <w:bCs/>
          <w:sz w:val="44"/>
          <w:szCs w:val="44"/>
          <w:lang w:val="en-US"/>
        </w:rPr>
        <w:t>NHS England Data Warehousing Report</w:t>
      </w:r>
    </w:p>
    <w:p>
      <w:pPr>
        <w:pStyle w:val="Normal"/>
        <w:bidi w:val="0"/>
        <w:spacing w:lineRule="auto" w:line="259" w:before="0" w:after="0"/>
        <w:ind w:hanging="0" w:left="0"/>
        <w:jc w:val="left"/>
        <w:rPr/>
      </w:pPr>
      <w:r>
        <w:rPr/>
      </w:r>
    </w:p>
    <w:p>
      <w:pPr>
        <w:pStyle w:val="Normal"/>
        <w:bidi w:val="0"/>
        <w:spacing w:lineRule="auto" w:line="259" w:before="0" w:after="0"/>
        <w:ind w:hanging="0" w:left="0"/>
        <w:jc w:val="center"/>
        <w:rPr/>
      </w:pPr>
      <w:r>
        <w:rPr/>
      </w:r>
    </w:p>
    <w:p>
      <w:pPr>
        <w:pStyle w:val="Normal"/>
        <w:bidi w:val="0"/>
        <w:spacing w:lineRule="auto" w:line="259" w:before="0" w:after="0"/>
        <w:ind w:hanging="0" w:left="0"/>
        <w:jc w:val="center"/>
        <w:rPr/>
      </w:pPr>
      <w:r>
        <w:rPr/>
      </w:r>
    </w:p>
    <w:p>
      <w:pPr>
        <w:pStyle w:val="Normal"/>
        <w:bidi w:val="0"/>
        <w:spacing w:lineRule="auto" w:line="259" w:before="0" w:after="0"/>
        <w:ind w:hanging="0" w:left="0"/>
        <w:jc w:val="center"/>
        <w:rPr/>
      </w:pPr>
      <w:r>
        <w:rPr/>
        <w:t>Programme: BSc Applied Computing</w:t>
      </w:r>
    </w:p>
    <w:p>
      <w:pPr>
        <w:pStyle w:val="Normal"/>
        <w:bidi w:val="0"/>
        <w:spacing w:lineRule="auto" w:line="259" w:before="0" w:after="0"/>
        <w:ind w:hanging="0" w:left="0"/>
        <w:jc w:val="center"/>
        <w:rPr>
          <w:rFonts w:ascii="Arial" w:hAnsi="Arial" w:cs="Arial"/>
          <w:b/>
          <w:sz w:val="22"/>
          <w:szCs w:val="22"/>
        </w:rPr>
      </w:pPr>
      <w:r>
        <w:rPr>
          <w:rFonts w:cs="Arial" w:ascii="Arial" w:hAnsi="Arial"/>
          <w:b/>
          <w:sz w:val="22"/>
          <w:szCs w:val="22"/>
        </w:rPr>
      </w:r>
    </w:p>
    <w:p>
      <w:pPr>
        <w:pStyle w:val="Normal"/>
        <w:bidi w:val="0"/>
        <w:spacing w:lineRule="auto" w:line="360" w:before="0" w:after="0"/>
        <w:ind w:hanging="0" w:left="0"/>
        <w:jc w:val="center"/>
        <w:rPr>
          <w:sz w:val="24"/>
          <w:szCs w:val="24"/>
        </w:rPr>
      </w:pPr>
      <w:r>
        <w:rPr>
          <w:sz w:val="24"/>
          <w:szCs w:val="24"/>
        </w:rPr>
        <w:t>Module: Data Warehousing &amp; Data Mining</w:t>
      </w:r>
    </w:p>
    <w:p>
      <w:pPr>
        <w:pStyle w:val="Normal"/>
        <w:bidi w:val="0"/>
        <w:spacing w:lineRule="auto" w:line="360" w:before="0" w:after="0"/>
        <w:ind w:hanging="0" w:left="0"/>
        <w:jc w:val="center"/>
        <w:rPr>
          <w:sz w:val="24"/>
          <w:szCs w:val="24"/>
        </w:rPr>
      </w:pPr>
      <w:r>
        <w:rPr>
          <w:sz w:val="24"/>
          <w:szCs w:val="24"/>
        </w:rPr>
        <w:t>Module code: ACCA6026</w:t>
      </w:r>
    </w:p>
    <w:p>
      <w:pPr>
        <w:pStyle w:val="Normal"/>
        <w:bidi w:val="0"/>
        <w:spacing w:lineRule="auto" w:line="360" w:before="0" w:after="0"/>
        <w:ind w:hanging="0" w:left="0"/>
        <w:jc w:val="center"/>
        <w:rPr>
          <w:sz w:val="24"/>
          <w:szCs w:val="24"/>
        </w:rPr>
      </w:pPr>
      <w:r>
        <w:rPr>
          <w:sz w:val="24"/>
          <w:szCs w:val="24"/>
        </w:rPr>
        <w:t xml:space="preserve">Student Name: </w:t>
      </w:r>
      <w:r>
        <w:rPr>
          <w:sz w:val="24"/>
          <w:szCs w:val="24"/>
          <w:lang w:val="en-US"/>
        </w:rPr>
        <w:t>John Gabriel Kak Yomon Meki</w:t>
      </w:r>
    </w:p>
    <w:p>
      <w:pPr>
        <w:pStyle w:val="Normal"/>
        <w:bidi w:val="0"/>
        <w:spacing w:lineRule="auto" w:line="360" w:before="0" w:after="0"/>
        <w:ind w:hanging="0" w:left="0"/>
        <w:jc w:val="center"/>
        <w:rPr>
          <w:sz w:val="24"/>
          <w:szCs w:val="24"/>
        </w:rPr>
      </w:pPr>
      <w:r>
        <w:rPr>
          <w:sz w:val="24"/>
          <w:szCs w:val="24"/>
        </w:rPr>
        <w:t>Student ID:</w:t>
      </w:r>
      <w:r>
        <w:rPr>
          <w:sz w:val="24"/>
          <w:szCs w:val="24"/>
          <w:lang w:val="en-US"/>
        </w:rPr>
        <w:t xml:space="preserve"> 2321436</w:t>
      </w:r>
    </w:p>
    <w:p>
      <w:pPr>
        <w:pStyle w:val="Normal"/>
        <w:bidi w:val="0"/>
        <w:ind w:hanging="0" w:left="0"/>
        <w:jc w:val="center"/>
        <w:rPr>
          <w:lang w:val="en-US"/>
        </w:rPr>
      </w:pPr>
      <w:r>
        <w:rPr>
          <w:lang w:val="en-US"/>
        </w:rPr>
        <w:t>Lecturer: Md Abrar Jahin Almazi Bipon</w:t>
      </w:r>
    </w:p>
    <w:p>
      <w:pPr>
        <w:pStyle w:val="Normal"/>
        <w:bidi w:val="0"/>
        <w:spacing w:lineRule="auto" w:line="259" w:before="0" w:after="0"/>
        <w:ind w:hanging="0" w:left="0"/>
        <w:jc w:val="center"/>
        <w:rPr/>
      </w:pPr>
      <w:r>
        <w:rPr/>
      </w:r>
    </w:p>
    <w:p>
      <w:pPr>
        <w:pStyle w:val="Normal"/>
        <w:bidi w:val="0"/>
        <w:spacing w:lineRule="auto" w:line="259" w:before="0" w:after="0"/>
        <w:ind w:hanging="0" w:left="0"/>
        <w:jc w:val="center"/>
        <w:rPr/>
      </w:pPr>
      <w:r>
        <w:rPr/>
        <w:t>Submission Date</w:t>
      </w:r>
      <w:r>
        <w:rPr>
          <w:lang w:val="en-US"/>
        </w:rPr>
        <w:t>: 3 July 2026</w:t>
      </w:r>
    </w:p>
    <w:p>
      <w:pPr>
        <w:pStyle w:val="Normal"/>
        <w:bidi w:val="0"/>
        <w:spacing w:lineRule="auto" w:line="259" w:before="0" w:after="0"/>
        <w:ind w:hanging="0" w:left="0"/>
        <w:jc w:val="center"/>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sdt>
      <w:sdtPr>
        <w:docPartObj>
          <w:docPartGallery w:val="Table of Contents"/>
          <w:docPartUnique w:val="true"/>
        </w:docPartObj>
      </w:sdtPr>
      <w:sdtContent>
        <w:p>
          <w:pPr>
            <w:pStyle w:val="TOCHeading"/>
            <w:bidi w:val="0"/>
            <w:jc w:val="left"/>
            <w:rPr/>
          </w:pPr>
          <w:r>
            <w:rPr/>
            <w:t>Table of Contents</w:t>
          </w:r>
        </w:p>
        <w:p>
          <w:pPr>
            <w:pStyle w:val="TOC1"/>
            <w:tabs>
              <w:tab w:val="clear" w:pos="8640"/>
              <w:tab w:val="right" w:pos="9637" w:leader="dot"/>
            </w:tabs>
            <w:bidi w:val="0"/>
            <w:jc w:val="left"/>
            <w:rPr/>
          </w:pPr>
          <w:r>
            <w:fldChar w:fldCharType="begin"/>
          </w:r>
          <w:r>
            <w:rPr>
              <w:rStyle w:val="IndexLink"/>
            </w:rPr>
            <w:instrText xml:space="preserve"> TOC \f \o "1-9" \h</w:instrText>
          </w:r>
          <w:r>
            <w:rPr>
              <w:rStyle w:val="IndexLink"/>
            </w:rPr>
            <w:fldChar w:fldCharType="separate"/>
          </w:r>
          <w:hyperlink w:anchor="__RefHeading___Toc4830_3679431991">
            <w:r>
              <w:rPr>
                <w:rStyle w:val="IndexLink"/>
              </w:rPr>
              <w:t xml:space="preserve"> </w:t>
            </w:r>
            <w:r>
              <w:rPr>
                <w:rStyle w:val="IndexLink"/>
              </w:rPr>
              <w:t>Introduction</w:t>
              <w:tab/>
              <w:t>3</w:t>
            </w:r>
          </w:hyperlink>
        </w:p>
        <w:p>
          <w:pPr>
            <w:pStyle w:val="TOC2"/>
            <w:tabs>
              <w:tab w:val="clear" w:pos="8357"/>
              <w:tab w:val="right" w:pos="9637" w:leader="dot"/>
            </w:tabs>
            <w:bidi w:val="0"/>
            <w:jc w:val="left"/>
            <w:rPr/>
          </w:pPr>
          <w:hyperlink w:anchor="__RefHeading___Toc4832_3679431991">
            <w:r>
              <w:rPr>
                <w:rStyle w:val="IndexLink"/>
              </w:rPr>
              <w:t xml:space="preserve"> </w:t>
            </w:r>
            <w:r>
              <w:rPr>
                <w:rStyle w:val="IndexLink"/>
              </w:rPr>
              <w:t>Operational Systems versus a Data Warehouse</w:t>
              <w:tab/>
              <w:t>3</w:t>
            </w:r>
          </w:hyperlink>
        </w:p>
        <w:p>
          <w:pPr>
            <w:pStyle w:val="TOC2"/>
            <w:tabs>
              <w:tab w:val="clear" w:pos="8357"/>
              <w:tab w:val="right" w:pos="9637" w:leader="dot"/>
            </w:tabs>
            <w:bidi w:val="0"/>
            <w:jc w:val="left"/>
            <w:rPr/>
          </w:pPr>
          <w:hyperlink w:anchor="__RefHeading___Toc4834_3679431991">
            <w:r>
              <w:rPr>
                <w:rStyle w:val="IndexLink"/>
              </w:rPr>
              <w:t xml:space="preserve"> </w:t>
            </w:r>
            <w:r>
              <w:rPr>
                <w:rStyle w:val="IndexLink"/>
              </w:rPr>
              <w:t>Data warehouse architecture and integration process</w:t>
              <w:tab/>
              <w:t>4</w:t>
            </w:r>
          </w:hyperlink>
        </w:p>
        <w:p>
          <w:pPr>
            <w:pStyle w:val="TOC2"/>
            <w:tabs>
              <w:tab w:val="clear" w:pos="8357"/>
              <w:tab w:val="right" w:pos="9637" w:leader="dot"/>
            </w:tabs>
            <w:bidi w:val="0"/>
            <w:jc w:val="left"/>
            <w:rPr/>
          </w:pPr>
          <w:hyperlink w:anchor="__RefHeading___Toc3174_1235626407">
            <w:r>
              <w:rPr>
                <w:rStyle w:val="IndexLink"/>
              </w:rPr>
              <w:t xml:space="preserve"> </w:t>
            </w:r>
            <w:r>
              <w:rPr>
                <w:rStyle w:val="IndexLink"/>
              </w:rPr>
              <w:t>Normalised records versus dimensional modelling</w:t>
              <w:tab/>
              <w:t>4</w:t>
            </w:r>
          </w:hyperlink>
        </w:p>
        <w:p>
          <w:pPr>
            <w:pStyle w:val="TOC2"/>
            <w:tabs>
              <w:tab w:val="clear" w:pos="8357"/>
              <w:tab w:val="right" w:pos="9637" w:leader="dot"/>
            </w:tabs>
            <w:bidi w:val="0"/>
            <w:jc w:val="left"/>
            <w:rPr/>
          </w:pPr>
          <w:hyperlink w:anchor="__RefHeading___Toc3176_1235626407">
            <w:r>
              <w:rPr>
                <w:rStyle w:val="IndexLink"/>
              </w:rPr>
              <w:t xml:space="preserve"> </w:t>
            </w:r>
            <w:r>
              <w:rPr>
                <w:rStyle w:val="IndexLink"/>
              </w:rPr>
              <w:t>Source system identification</w:t>
              <w:tab/>
              <w:t>4</w:t>
            </w:r>
          </w:hyperlink>
        </w:p>
        <w:p>
          <w:pPr>
            <w:pStyle w:val="TOC2"/>
            <w:tabs>
              <w:tab w:val="clear" w:pos="8357"/>
              <w:tab w:val="right" w:pos="9637" w:leader="dot"/>
            </w:tabs>
            <w:bidi w:val="0"/>
            <w:jc w:val="left"/>
            <w:rPr/>
          </w:pPr>
          <w:hyperlink w:anchor="__RefHeading___Toc4838_3679431991">
            <w:r>
              <w:rPr>
                <w:rStyle w:val="IndexLink"/>
              </w:rPr>
              <w:t xml:space="preserve"> </w:t>
            </w:r>
            <w:r>
              <w:rPr>
                <w:rStyle w:val="IndexLink"/>
              </w:rPr>
              <w:t>Star schema design</w:t>
              <w:tab/>
              <w:t>6</w:t>
            </w:r>
          </w:hyperlink>
        </w:p>
        <w:p>
          <w:pPr>
            <w:pStyle w:val="TOC2"/>
            <w:tabs>
              <w:tab w:val="clear" w:pos="8357"/>
              <w:tab w:val="right" w:pos="9637" w:leader="dot"/>
            </w:tabs>
            <w:bidi w:val="0"/>
            <w:jc w:val="left"/>
            <w:rPr/>
          </w:pPr>
          <w:hyperlink w:anchor="__RefHeading___Toc3178_1235626407">
            <w:r>
              <w:rPr>
                <w:rStyle w:val="IndexLink"/>
              </w:rPr>
              <w:t xml:space="preserve"> </w:t>
            </w:r>
            <w:r>
              <w:rPr>
                <w:rStyle w:val="IndexLink"/>
              </w:rPr>
              <w:t>Data marts and schema</w:t>
              <w:tab/>
              <w:t>8</w:t>
            </w:r>
          </w:hyperlink>
        </w:p>
        <w:p>
          <w:pPr>
            <w:pStyle w:val="TOC2"/>
            <w:tabs>
              <w:tab w:val="clear" w:pos="8357"/>
              <w:tab w:val="right" w:pos="9637" w:leader="dot"/>
            </w:tabs>
            <w:bidi w:val="0"/>
            <w:jc w:val="left"/>
            <w:rPr/>
          </w:pPr>
          <w:hyperlink w:anchor="__RefHeading___Toc3180_1235626407">
            <w:r>
              <w:rPr>
                <w:rStyle w:val="IndexLink"/>
              </w:rPr>
              <w:t xml:space="preserve"> </w:t>
            </w:r>
            <w:r>
              <w:rPr>
                <w:rStyle w:val="IndexLink"/>
              </w:rPr>
              <w:t>Integration plan</w:t>
              <w:tab/>
              <w:t>9</w:t>
            </w:r>
          </w:hyperlink>
        </w:p>
        <w:p>
          <w:pPr>
            <w:pStyle w:val="TOC2"/>
            <w:tabs>
              <w:tab w:val="clear" w:pos="8357"/>
              <w:tab w:val="right" w:pos="9637" w:leader="dot"/>
            </w:tabs>
            <w:bidi w:val="0"/>
            <w:jc w:val="left"/>
            <w:rPr/>
          </w:pPr>
          <w:hyperlink w:anchor="__RefHeading___Toc3182_1235626407">
            <w:r>
              <w:rPr>
                <w:rStyle w:val="IndexLink"/>
              </w:rPr>
              <w:t xml:space="preserve"> </w:t>
            </w:r>
            <w:r>
              <w:rPr>
                <w:rStyle w:val="IndexLink"/>
              </w:rPr>
              <w:t>Data quality and governance</w:t>
              <w:tab/>
              <w:t>10</w:t>
            </w:r>
          </w:hyperlink>
        </w:p>
        <w:p>
          <w:pPr>
            <w:pStyle w:val="TOC1"/>
            <w:tabs>
              <w:tab w:val="clear" w:pos="8640"/>
              <w:tab w:val="right" w:pos="9637" w:leader="dot"/>
            </w:tabs>
            <w:bidi w:val="0"/>
            <w:jc w:val="left"/>
            <w:rPr/>
          </w:pPr>
          <w:hyperlink w:anchor="__RefHeading___Toc4840_3679431991">
            <w:r>
              <w:rPr>
                <w:rStyle w:val="IndexLink"/>
              </w:rPr>
              <w:t>Conclusion</w:t>
              <w:tab/>
              <w:t>11</w:t>
            </w:r>
          </w:hyperlink>
        </w:p>
        <w:p>
          <w:pPr>
            <w:pStyle w:val="TOC1"/>
            <w:tabs>
              <w:tab w:val="clear" w:pos="8640"/>
              <w:tab w:val="right" w:pos="9637" w:leader="dot"/>
            </w:tabs>
            <w:bidi w:val="0"/>
            <w:jc w:val="left"/>
            <w:rPr/>
          </w:pPr>
          <w:hyperlink w:anchor="__RefHeading___Toc4842_3679431991">
            <w:r>
              <w:rPr>
                <w:rStyle w:val="IndexLink"/>
              </w:rPr>
              <w:t>References</w:t>
              <w:tab/>
              <w:t>12</w:t>
            </w:r>
          </w:hyperlink>
          <w:r>
            <w:rPr>
              <w:rStyle w:val="IndexLink"/>
            </w:rPr>
            <w:fldChar w:fldCharType="end"/>
          </w:r>
        </w:p>
      </w:sdtContent>
    </w:sdt>
    <w:p>
      <w:pPr>
        <w:pStyle w:val="Normal"/>
        <w:widowControl/>
        <w:bidi w:val="0"/>
        <w:spacing w:lineRule="auto" w:line="276" w:before="0" w:after="200"/>
        <w:jc w:val="left"/>
        <w:rPr>
          <w:rFonts w:ascii="Times New Roman" w:hAnsi="Times New Roman"/>
          <w:sz w:val="24"/>
        </w:rPr>
      </w:pPr>
      <w:r>
        <w:rPr>
          <w:rFonts w:ascii="Times New Roman" w:hAnsi="Times New Roman"/>
          <w:sz w:val="24"/>
        </w:rPr>
      </w:r>
    </w:p>
    <w:p>
      <w:pPr>
        <w:pStyle w:val="Normal"/>
        <w:bidi w:val="0"/>
        <w:jc w:val="left"/>
        <w:rPr/>
      </w:pPr>
      <w:r>
        <w:rPr/>
      </w:r>
    </w:p>
    <w:p>
      <w:pPr>
        <w:pStyle w:val="Normal"/>
        <w:bidi w:val="0"/>
        <w:jc w:val="left"/>
        <w:rPr/>
      </w:pPr>
      <w:r>
        <w:rPr/>
      </w:r>
    </w:p>
    <w:p>
      <w:pPr>
        <w:pStyle w:val="Normal"/>
        <w:bidi w:val="0"/>
        <w:ind w:hanging="0" w:left="0"/>
        <w:jc w:val="left"/>
        <w:rPr>
          <w:b/>
          <w:sz w:val="26"/>
        </w:rPr>
      </w:pPr>
      <w:r>
        <w:rPr>
          <w:b/>
          <w:sz w:val="26"/>
        </w:rPr>
      </w:r>
    </w:p>
    <w:p>
      <w:pPr>
        <w:pStyle w:val="Heading1"/>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Normal"/>
        <w:bidi w:val="0"/>
        <w:ind w:hanging="0" w:left="0"/>
        <w:jc w:val="left"/>
        <w:rPr>
          <w:b/>
          <w:sz w:val="26"/>
        </w:rPr>
      </w:pPr>
      <w:r>
        <w:rPr>
          <w:b/>
          <w:sz w:val="26"/>
        </w:rPr>
      </w:r>
    </w:p>
    <w:p>
      <w:pPr>
        <w:pStyle w:val="Heading1"/>
        <w:bidi w:val="0"/>
        <w:ind w:hanging="0" w:left="0"/>
        <w:jc w:val="left"/>
        <w:rPr>
          <w:b/>
          <w:sz w:val="26"/>
        </w:rPr>
      </w:pPr>
      <w:bookmarkStart w:id="0" w:name="__RefHeading___Toc4830_3679431991"/>
      <w:bookmarkEnd w:id="0"/>
      <w:r>
        <w:rPr>
          <w:b/>
          <w:sz w:val="26"/>
        </w:rPr>
        <w:t xml:space="preserve"> </w:t>
      </w:r>
      <w:r>
        <w:rPr>
          <w:b/>
          <w:sz w:val="26"/>
        </w:rPr>
        <w:t>Introduction</w:t>
      </w:r>
    </w:p>
    <w:p>
      <w:pPr>
        <w:pStyle w:val="Normal"/>
        <w:bidi w:val="0"/>
        <w:jc w:val="left"/>
        <w:rPr/>
      </w:pPr>
      <w:r>
        <w:rPr/>
      </w:r>
    </w:p>
    <w:p>
      <w:pPr>
        <w:pStyle w:val="Normal"/>
        <w:bidi w:val="0"/>
        <w:jc w:val="left"/>
        <w:rPr/>
      </w:pPr>
      <w:r>
        <w:rPr/>
        <w:t xml:space="preserve">NHS England uses a huge amount of clinical, operational, workforce, and financial data to support strategic planning and service improvement. However, information stored in numerous systems might make it difficult for decision-makers to gain quick access to consistent and reliable insights. </w:t>
      </w:r>
    </w:p>
    <w:p>
      <w:pPr>
        <w:pStyle w:val="Normal"/>
        <w:bidi w:val="0"/>
        <w:jc w:val="left"/>
        <w:rPr/>
      </w:pPr>
      <w:r>
        <w:rPr/>
        <w:t xml:space="preserve">This research provides a strategic data warehousing system that brings these various data sources together in a secure, well-governed analytical environment. </w:t>
      </w:r>
    </w:p>
    <w:p>
      <w:pPr>
        <w:pStyle w:val="Normal"/>
        <w:bidi w:val="0"/>
        <w:jc w:val="left"/>
        <w:rPr/>
      </w:pPr>
      <w:r>
        <w:rPr/>
        <w:t xml:space="preserve">The proposed design aims to improve data quality, </w:t>
      </w:r>
      <w:r>
        <w:rPr/>
        <w:t>provide</w:t>
      </w:r>
      <w:r>
        <w:rPr/>
        <w:t xml:space="preserve"> accurate reporting and trend analysis, and enable evidence-based decision-making by </w:t>
      </w:r>
      <w:r>
        <w:rPr/>
        <w:t>deliver</w:t>
      </w:r>
      <w:r>
        <w:rPr/>
        <w:t xml:space="preserve">ing reliable dashboards and analytics. </w:t>
      </w:r>
    </w:p>
    <w:p>
      <w:pPr>
        <w:pStyle w:val="Normal"/>
        <w:bidi w:val="0"/>
        <w:jc w:val="left"/>
        <w:rPr/>
      </w:pPr>
      <w:r>
        <w:rPr/>
        <w:t>The system also complies with UK GDPR and NHS data security standards, ensuring the responsible administration of sensitive healthcare information.</w:t>
      </w:r>
    </w:p>
    <w:p>
      <w:pPr>
        <w:pStyle w:val="Normal"/>
        <w:bidi w:val="0"/>
        <w:jc w:val="left"/>
        <w:rPr/>
      </w:pPr>
      <w:r>
        <w:rPr/>
      </w:r>
    </w:p>
    <w:p>
      <w:pPr>
        <w:pStyle w:val="Heading2"/>
        <w:bidi w:val="0"/>
        <w:ind w:hanging="0" w:left="0"/>
        <w:jc w:val="left"/>
        <w:rPr>
          <w:b/>
          <w:sz w:val="26"/>
        </w:rPr>
      </w:pPr>
      <w:bookmarkStart w:id="1" w:name="__RefHeading___Toc4832_3679431991"/>
      <w:bookmarkEnd w:id="1"/>
      <w:r>
        <w:rPr>
          <w:b/>
          <w:sz w:val="26"/>
        </w:rPr>
        <w:t xml:space="preserve"> </w:t>
      </w:r>
      <w:r>
        <w:rPr>
          <w:b/>
          <w:sz w:val="26"/>
        </w:rPr>
        <w:t>Operational Systems versus a Data Warehouse</w:t>
      </w:r>
    </w:p>
    <w:p>
      <w:pPr>
        <w:pStyle w:val="Normal"/>
        <w:bidi w:val="0"/>
        <w:jc w:val="left"/>
        <w:rPr/>
      </w:pPr>
      <w:r>
        <w:rPr/>
      </w:r>
    </w:p>
    <w:p>
      <w:pPr>
        <w:pStyle w:val="Normal"/>
        <w:bidi w:val="0"/>
        <w:jc w:val="left"/>
        <w:rPr/>
      </w:pPr>
      <w:r>
        <w:rPr/>
        <w:t>Operational systems, or Online Transaction Processing (OLTP) systems, support the daily activities of NHS England by processing transactions such as patient admissions, appointments and discharges. Systems including the Electronic Patient Record (EPR) and Patient Administration System (PAS) prioritise fast, accurate transaction processing to support clinical care [1], [2].</w:t>
      </w:r>
    </w:p>
    <w:p>
      <w:pPr>
        <w:pStyle w:val="Normal"/>
        <w:bidi w:val="0"/>
        <w:jc w:val="left"/>
        <w:rPr/>
      </w:pPr>
      <w:r>
        <w:rPr/>
      </w:r>
    </w:p>
    <w:p>
      <w:pPr>
        <w:pStyle w:val="Normal"/>
        <w:bidi w:val="0"/>
        <w:jc w:val="left"/>
        <w:rPr/>
      </w:pPr>
      <w:r>
        <w:rPr/>
        <w:t>Although effective for operational activities, OLTP systems are not designed for large-scale analytical reporting. Data are distributed across multiple systems, making organisation-wide analysis complex and potentially affecting the performance of live services.</w:t>
      </w:r>
    </w:p>
    <w:p>
      <w:pPr>
        <w:pStyle w:val="Normal"/>
        <w:bidi w:val="0"/>
        <w:jc w:val="left"/>
        <w:rPr/>
      </w:pPr>
      <w:r>
        <w:rPr/>
      </w:r>
    </w:p>
    <w:p>
      <w:pPr>
        <w:pStyle w:val="Normal"/>
        <w:bidi w:val="0"/>
        <w:jc w:val="left"/>
        <w:rPr/>
      </w:pPr>
      <w:r>
        <w:rPr/>
        <w:t>A data warehouse overcomes these limitations by integrating cleansed and historical data into a central analytical repository. This enables NHS England to analyse trends, monitor organisational performance and support evidence-based decision-making without disrupting operational systems [3], [4].</w:t>
      </w:r>
    </w:p>
    <w:p>
      <w:pPr>
        <w:pStyle w:val="Normal"/>
        <w:bidi w:val="0"/>
        <w:jc w:val="left"/>
        <w:rPr/>
      </w:pPr>
      <w:r>
        <w:rPr/>
      </w:r>
    </w:p>
    <w:p>
      <w:pPr>
        <w:pStyle w:val="Normal"/>
        <w:bidi w:val="0"/>
        <w:jc w:val="left"/>
        <w:rPr/>
      </w:pPr>
      <w:r>
        <w:rPr/>
        <w:t xml:space="preserve">While modern architectures such as data lakes provide greater flexibility, they require more complex governance arrangements. Given NHS England's emphasis on data quality, regulatory compliance and consistent reporting, a governed dimensional warehouse remains the most appropriate solution. </w:t>
      </w:r>
    </w:p>
    <w:p>
      <w:pPr>
        <w:pStyle w:val="Normal"/>
        <w:bidi w:val="0"/>
        <w:jc w:val="left"/>
        <w:rPr/>
      </w:pPr>
      <w:r>
        <w:rPr/>
      </w:r>
    </w:p>
    <w:p>
      <w:pPr>
        <w:pStyle w:val="Normal"/>
        <w:bidi w:val="0"/>
        <w:jc w:val="left"/>
        <w:rPr/>
      </w:pPr>
      <w:r>
        <w:rPr/>
        <w:t>Figure 1 illustrates the relationship between operational systems and the proposed analytical environment.</w:t>
      </w:r>
    </w:p>
    <w:p>
      <w:pPr>
        <w:pStyle w:val="Normal"/>
        <w:bidi w:val="0"/>
        <w:jc w:val="left"/>
        <w:rPr/>
      </w:pPr>
      <w:r>
        <w:rPr/>
      </w:r>
    </w:p>
    <w:p>
      <w:pPr>
        <w:pStyle w:val="Normal"/>
        <w:bidi w:val="0"/>
        <w:jc w:val="left"/>
        <w:rPr/>
      </w:pPr>
      <w:r>
        <w:rPr/>
      </w:r>
    </w:p>
    <w:p>
      <w:pPr>
        <w:pStyle w:val="Normal"/>
        <w:bidi w:val="0"/>
        <w:jc w:val="left"/>
        <w:rPr>
          <w:sz w:val="20"/>
          <w:szCs w:val="20"/>
        </w:rPr>
      </w:pPr>
      <w:r>
        <w:rPr>
          <w:sz w:val="20"/>
          <w:szCs w:val="20"/>
        </w:rPr>
        <mc:AlternateContent>
          <mc:Choice Requires="wps">
            <w:drawing>
              <wp:anchor behindDoc="0" distT="1270" distB="635" distL="635" distR="1270" simplePos="0" locked="0" layoutInCell="1" allowOverlap="1" relativeHeight="30">
                <wp:simplePos x="0" y="0"/>
                <wp:positionH relativeFrom="column">
                  <wp:posOffset>46355</wp:posOffset>
                </wp:positionH>
                <wp:positionV relativeFrom="paragraph">
                  <wp:posOffset>5715</wp:posOffset>
                </wp:positionV>
                <wp:extent cx="869950" cy="551815"/>
                <wp:effectExtent l="635" t="1270" r="1270" b="635"/>
                <wp:wrapNone/>
                <wp:docPr id="2" name="Shape 1"/>
                <a:graphic xmlns:a="http://schemas.openxmlformats.org/drawingml/2006/main">
                  <a:graphicData uri="http://schemas.microsoft.com/office/word/2010/wordprocessingShape">
                    <wps:wsp>
                      <wps:cNvSpPr/>
                      <wps:spPr>
                        <a:xfrm>
                          <a:off x="0" y="0"/>
                          <a:ext cx="870120" cy="55188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Source</w:t>
                            </w:r>
                          </w:p>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Systems</w:t>
                            </w:r>
                          </w:p>
                        </w:txbxContent>
                      </wps:txbx>
                      <wps:bodyPr lIns="0" rIns="0" tIns="0" bIns="0" anchor="ctr">
                        <a:noAutofit/>
                      </wps:bodyPr>
                    </wps:wsp>
                  </a:graphicData>
                </a:graphic>
              </wp:anchor>
            </w:drawing>
          </mc:Choice>
          <mc:Fallback>
            <w:pict>
              <v:shapetype id="_x0000_t109" coordsize="21600,21600" o:spt="109" path="m,l21600,l21600,21600l,21600xe">
                <v:stroke joinstyle="miter"/>
                <v:path gradientshapeok="t" o:connecttype="rect" textboxrect="0,0,21600,21600"/>
              </v:shapetype>
              <v:shape id="shape_0" ID="Shape 1" path="m0,0l1,0l1,1l0,1xe" fillcolor="#dddddd" stroked="t" o:allowincell="f" style="position:absolute;margin-left:3.65pt;margin-top:0.45pt;width:68.45pt;height:43.4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Source</w:t>
                      </w:r>
                    </w:p>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Systems</w:t>
                      </w:r>
                    </w:p>
                  </w:txbxContent>
                </v:textbox>
                <w10:wrap type="none"/>
              </v:shape>
            </w:pict>
          </mc:Fallback>
        </mc:AlternateContent>
        <mc:AlternateContent>
          <mc:Choice Requires="wps">
            <w:drawing>
              <wp:anchor behindDoc="0" distT="635" distB="1270" distL="635" distR="1270" simplePos="0" locked="0" layoutInCell="1" allowOverlap="1" relativeHeight="32">
                <wp:simplePos x="0" y="0"/>
                <wp:positionH relativeFrom="column">
                  <wp:posOffset>2043430</wp:posOffset>
                </wp:positionH>
                <wp:positionV relativeFrom="paragraph">
                  <wp:posOffset>4445</wp:posOffset>
                </wp:positionV>
                <wp:extent cx="515620" cy="501650"/>
                <wp:effectExtent l="635" t="635" r="1270" b="1270"/>
                <wp:wrapNone/>
                <wp:docPr id="3" name="Shape 2"/>
                <a:graphic xmlns:a="http://schemas.openxmlformats.org/drawingml/2006/main">
                  <a:graphicData uri="http://schemas.microsoft.com/office/word/2010/wordprocessingShape">
                    <wps:wsp>
                      <wps:cNvSpPr/>
                      <wps:spPr>
                        <a:xfrm>
                          <a:off x="0" y="0"/>
                          <a:ext cx="515520" cy="50148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ETL</w:t>
                            </w:r>
                          </w:p>
                        </w:txbxContent>
                      </wps:txbx>
                      <wps:bodyPr lIns="0" rIns="0" tIns="0" bIns="0" anchor="ctr">
                        <a:noAutofit/>
                      </wps:bodyPr>
                    </wps:wsp>
                  </a:graphicData>
                </a:graphic>
              </wp:anchor>
            </w:drawing>
          </mc:Choice>
          <mc:Fallback>
            <w:pict>
              <v:shape id="shape_0" ID="Shape 2" path="m0,0l1,0l1,1l0,1xe" fillcolor="#dddddd" stroked="t" o:allowincell="f" style="position:absolute;margin-left:160.9pt;margin-top:0.35pt;width:40.55pt;height:39.45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ETL</w:t>
                      </w:r>
                    </w:p>
                  </w:txbxContent>
                </v:textbox>
                <w10:wrap type="none"/>
              </v:shape>
            </w:pict>
          </mc:Fallback>
        </mc:AlternateContent>
        <mc:AlternateContent>
          <mc:Choice Requires="wps">
            <w:drawing>
              <wp:anchor behindDoc="0" distT="1270" distB="635" distL="635" distR="1270" simplePos="0" locked="0" layoutInCell="1" allowOverlap="1" relativeHeight="34">
                <wp:simplePos x="0" y="0"/>
                <wp:positionH relativeFrom="column">
                  <wp:posOffset>3932555</wp:posOffset>
                </wp:positionH>
                <wp:positionV relativeFrom="paragraph">
                  <wp:posOffset>-7620</wp:posOffset>
                </wp:positionV>
                <wp:extent cx="842645" cy="507365"/>
                <wp:effectExtent l="1270" t="1270" r="635" b="635"/>
                <wp:wrapNone/>
                <wp:docPr id="4" name="Shape 4"/>
                <a:graphic xmlns:a="http://schemas.openxmlformats.org/drawingml/2006/main">
                  <a:graphicData uri="http://schemas.microsoft.com/office/word/2010/wordprocessingShape">
                    <wps:wsp>
                      <wps:cNvSpPr/>
                      <wps:spPr>
                        <a:xfrm>
                          <a:off x="0" y="0"/>
                          <a:ext cx="842760" cy="50724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Data Marts</w:t>
                            </w:r>
                          </w:p>
                        </w:txbxContent>
                      </wps:txbx>
                      <wps:bodyPr lIns="0" rIns="0" tIns="0" bIns="0" anchor="ctr">
                        <a:noAutofit/>
                      </wps:bodyPr>
                    </wps:wsp>
                  </a:graphicData>
                </a:graphic>
              </wp:anchor>
            </w:drawing>
          </mc:Choice>
          <mc:Fallback>
            <w:pict>
              <v:shape id="shape_0" ID="Shape 4" path="m0,0l1,0l1,1l0,1xe" fillcolor="#dddddd" stroked="t" o:allowincell="f" style="position:absolute;margin-left:309.65pt;margin-top:-0.6pt;width:66.3pt;height:39.9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Data Marts</w:t>
                      </w:r>
                    </w:p>
                  </w:txbxContent>
                </v:textbox>
                <w10:wrap type="none"/>
              </v:shape>
            </w:pict>
          </mc:Fallback>
        </mc:AlternateContent>
        <mc:AlternateContent>
          <mc:Choice Requires="wps">
            <w:drawing>
              <wp:anchor behindDoc="0" distT="1270" distB="635" distL="1270" distR="635" simplePos="0" locked="0" layoutInCell="1" allowOverlap="1" relativeHeight="36">
                <wp:simplePos x="0" y="0"/>
                <wp:positionH relativeFrom="column">
                  <wp:posOffset>1155700</wp:posOffset>
                </wp:positionH>
                <wp:positionV relativeFrom="paragraph">
                  <wp:posOffset>5715</wp:posOffset>
                </wp:positionV>
                <wp:extent cx="634365" cy="527685"/>
                <wp:effectExtent l="1270" t="1270" r="635" b="635"/>
                <wp:wrapNone/>
                <wp:docPr id="5" name="Shape 6"/>
                <a:graphic xmlns:a="http://schemas.openxmlformats.org/drawingml/2006/main">
                  <a:graphicData uri="http://schemas.microsoft.com/office/word/2010/wordprocessingShape">
                    <wps:wsp>
                      <wps:cNvSpPr/>
                      <wps:spPr>
                        <a:xfrm>
                          <a:off x="0" y="0"/>
                          <a:ext cx="634320" cy="52776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Staging</w:t>
                            </w:r>
                          </w:p>
                        </w:txbxContent>
                      </wps:txbx>
                      <wps:bodyPr lIns="0" rIns="0" tIns="0" bIns="0" anchor="ctr">
                        <a:noAutofit/>
                      </wps:bodyPr>
                    </wps:wsp>
                  </a:graphicData>
                </a:graphic>
              </wp:anchor>
            </w:drawing>
          </mc:Choice>
          <mc:Fallback>
            <w:pict>
              <v:shape id="shape_0" ID="Shape 6" path="m0,0l1,0l1,1l0,1xe" fillcolor="#dddddd" stroked="t" o:allowincell="f" style="position:absolute;margin-left:91pt;margin-top:0.45pt;width:49.9pt;height:41.5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Staging</w:t>
                      </w:r>
                    </w:p>
                  </w:txbxContent>
                </v:textbox>
                <w10:wrap type="none"/>
              </v:shape>
            </w:pict>
          </mc:Fallback>
        </mc:AlternateContent>
        <mc:AlternateContent>
          <mc:Choice Requires="wps">
            <w:drawing>
              <wp:anchor behindDoc="0" distT="635" distB="1270" distL="635" distR="1270" simplePos="0" locked="0" layoutInCell="1" allowOverlap="1" relativeHeight="38">
                <wp:simplePos x="0" y="0"/>
                <wp:positionH relativeFrom="column">
                  <wp:posOffset>5025390</wp:posOffset>
                </wp:positionH>
                <wp:positionV relativeFrom="paragraph">
                  <wp:posOffset>-12700</wp:posOffset>
                </wp:positionV>
                <wp:extent cx="657860" cy="495300"/>
                <wp:effectExtent l="635" t="635" r="1270" b="1270"/>
                <wp:wrapNone/>
                <wp:docPr id="6" name="Shape 5"/>
                <a:graphic xmlns:a="http://schemas.openxmlformats.org/drawingml/2006/main">
                  <a:graphicData uri="http://schemas.microsoft.com/office/word/2010/wordprocessingShape">
                    <wps:wsp>
                      <wps:cNvSpPr/>
                      <wps:spPr>
                        <a:xfrm>
                          <a:off x="0" y="0"/>
                          <a:ext cx="657720" cy="49536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Reports</w:t>
                            </w:r>
                          </w:p>
                        </w:txbxContent>
                      </wps:txbx>
                      <wps:bodyPr lIns="0" rIns="0" tIns="0" bIns="0" anchor="ctr">
                        <a:noAutofit/>
                      </wps:bodyPr>
                    </wps:wsp>
                  </a:graphicData>
                </a:graphic>
              </wp:anchor>
            </w:drawing>
          </mc:Choice>
          <mc:Fallback>
            <w:pict>
              <v:shape id="shape_0" ID="Shape 5" path="m0,0l1,0l1,1l0,1xe" fillcolor="#dddddd" stroked="t" o:allowincell="f" style="position:absolute;margin-left:395.7pt;margin-top:-1pt;width:51.75pt;height:38.95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Reports</w:t>
                      </w:r>
                    </w:p>
                  </w:txbxContent>
                </v:textbox>
                <w10:wrap type="none"/>
              </v:shape>
            </w:pict>
          </mc:Fallback>
        </mc:AlternateContent>
        <mc:AlternateContent>
          <mc:Choice Requires="wps">
            <w:drawing>
              <wp:anchor behindDoc="0" distT="1270" distB="635" distL="1270" distR="635" simplePos="0" locked="0" layoutInCell="1" allowOverlap="1" relativeHeight="40">
                <wp:simplePos x="0" y="0"/>
                <wp:positionH relativeFrom="column">
                  <wp:posOffset>2819400</wp:posOffset>
                </wp:positionH>
                <wp:positionV relativeFrom="paragraph">
                  <wp:posOffset>-1270</wp:posOffset>
                </wp:positionV>
                <wp:extent cx="864235" cy="507365"/>
                <wp:effectExtent l="1270" t="1270" r="635" b="635"/>
                <wp:wrapNone/>
                <wp:docPr id="7" name="Shape 3"/>
                <a:graphic xmlns:a="http://schemas.openxmlformats.org/drawingml/2006/main">
                  <a:graphicData uri="http://schemas.microsoft.com/office/word/2010/wordprocessingShape">
                    <wps:wsp>
                      <wps:cNvSpPr/>
                      <wps:spPr>
                        <a:xfrm>
                          <a:off x="0" y="0"/>
                          <a:ext cx="864360" cy="507240"/>
                        </a:xfrm>
                        <a:prstGeom prst="flowChartProcess">
                          <a:avLst/>
                        </a:prstGeom>
                        <a:solidFill>
                          <a:srgbClr val="dddddd"/>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Warehouse</w:t>
                            </w:r>
                          </w:p>
                        </w:txbxContent>
                      </wps:txbx>
                      <wps:bodyPr lIns="0" rIns="0" tIns="0" bIns="0" anchor="ctr">
                        <a:noAutofit/>
                      </wps:bodyPr>
                    </wps:wsp>
                  </a:graphicData>
                </a:graphic>
              </wp:anchor>
            </w:drawing>
          </mc:Choice>
          <mc:Fallback>
            <w:pict>
              <v:shape id="shape_0" ID="Shape 3" path="m0,0l1,0l1,1l0,1xe" fillcolor="#dddddd" stroked="t" o:allowincell="f" style="position:absolute;margin-left:222pt;margin-top:-0.1pt;width:68pt;height:39.9pt;mso-wrap-style:square;v-text-anchor:middle" type="_x0000_t109">
                <v:fill o:detectmouseclick="t" type="solid" color2="#222222"/>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Warehouse</w:t>
                      </w:r>
                    </w:p>
                  </w:txbxContent>
                </v:textbox>
                <w10:wrap type="none"/>
              </v:shape>
            </w:pict>
          </mc:Fallback>
        </mc:AlternateContent>
      </w:r>
    </w:p>
    <w:p>
      <w:pPr>
        <w:pStyle w:val="Normal"/>
        <w:bidi w:val="0"/>
        <w:jc w:val="left"/>
        <w:rPr>
          <w:sz w:val="20"/>
          <w:szCs w:val="20"/>
        </w:rPr>
      </w:pPr>
      <w:r>
        <w:rPr>
          <w:sz w:val="20"/>
          <w:szCs w:val="20"/>
        </w:rPr>
      </w:r>
    </w:p>
    <w:p>
      <w:pPr>
        <w:pStyle w:val="Normal"/>
        <w:bidi w:val="0"/>
        <w:jc w:val="left"/>
        <w:rPr>
          <w:sz w:val="20"/>
          <w:szCs w:val="20"/>
        </w:rPr>
      </w:pPr>
      <w:r>
        <w:rPr>
          <w:sz w:val="20"/>
          <w:szCs w:val="20"/>
        </w:rPr>
        <mc:AlternateContent>
          <mc:Choice Requires="wps">
            <w:drawing>
              <wp:anchor behindDoc="0" distT="1270" distB="635" distL="635" distR="1270" simplePos="0" locked="0" layoutInCell="1" allowOverlap="1" relativeHeight="27">
                <wp:simplePos x="0" y="0"/>
                <wp:positionH relativeFrom="column">
                  <wp:posOffset>2570480</wp:posOffset>
                </wp:positionH>
                <wp:positionV relativeFrom="paragraph">
                  <wp:posOffset>-118745</wp:posOffset>
                </wp:positionV>
                <wp:extent cx="248920" cy="98425"/>
                <wp:effectExtent l="635" t="1270" r="1270" b="635"/>
                <wp:wrapNone/>
                <wp:docPr id="8" name="Shape 17"/>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333333"/>
                        </a:solidFill>
                        <a:ln w="0">
                          <a:solidFill>
                            <a:srgbClr val="3465a4"/>
                          </a:solidFill>
                        </a:ln>
                      </wps:spPr>
                      <wps:style>
                        <a:lnRef idx="0"/>
                        <a:fillRef idx="0"/>
                        <a:effectRef idx="0"/>
                        <a:fontRef idx="minor"/>
                      </wps:style>
                      <wps:bodyPr/>
                    </wps:wsp>
                  </a:graphicData>
                </a:graphic>
              </wp:anchor>
            </w:drawing>
          </mc:Choice>
          <mc:Fallback>
            <w:pict>
              <v:shapetype id="_x0000_t13" coordsize="21600,21600" o:spt="13" adj="10800,10800" path="m0@5l@3@5l@3,l21600,10800l@3,21600l@3@6l0@6xe">
                <v:stroke joinstyle="miter"/>
                <v:formulas>
                  <v:f eqn="val 21600"/>
                  <v:f eqn="val #1"/>
                  <v:f eqn="val #0"/>
                  <v:f eqn="sum width 0 @2"/>
                  <v:f eqn="prod 1 @1 2"/>
                  <v:f eqn="sum 10800 0 @4"/>
                  <v:f eqn="sum 10800 @4 0"/>
                  <v:f eqn="prod @5 @2 10800"/>
                  <v:f eqn="sum @3 @7 0"/>
                </v:formulas>
                <v:path gradientshapeok="t" o:connecttype="rect" textboxrect="0,@5,@8,@6"/>
                <v:handles>
                  <v:h position="0,@5"/>
                  <v:h position="@3,0"/>
                </v:handles>
              </v:shapetype>
              <v:shape id="shape_0" ID="Shape 17" path="l-2147483635,-2147483631l-2147483635,0l-2147483622,-2147483632l-2147483635,-2147483623l-2147483635,-2147483629l0,-2147483629xe" fillcolor="#333333" stroked="t" o:allowincell="f" style="position:absolute;margin-left:202.4pt;margin-top:-9.35pt;width:19.55pt;height:7.7pt;mso-wrap-style:none;v-text-anchor:middle" type="_x0000_t13">
                <v:fill o:detectmouseclick="t" type="solid" color2="#cccccc"/>
                <v:stroke color="#3465a4" joinstyle="round" endcap="flat"/>
                <w10:wrap type="none"/>
              </v:shape>
            </w:pict>
          </mc:Fallback>
        </mc:AlternateContent>
        <mc:AlternateContent>
          <mc:Choice Requires="wps">
            <w:drawing>
              <wp:anchor behindDoc="0" distT="1270" distB="635" distL="635" distR="1270" simplePos="0" locked="0" layoutInCell="1" allowOverlap="1" relativeHeight="28">
                <wp:simplePos x="0" y="0"/>
                <wp:positionH relativeFrom="column">
                  <wp:posOffset>1794510</wp:posOffset>
                </wp:positionH>
                <wp:positionV relativeFrom="paragraph">
                  <wp:posOffset>-93345</wp:posOffset>
                </wp:positionV>
                <wp:extent cx="248920" cy="98425"/>
                <wp:effectExtent l="635" t="1270" r="1270" b="635"/>
                <wp:wrapNone/>
                <wp:docPr id="9" name="Shape 18"/>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333333"/>
                        </a:solidFill>
                        <a:ln w="0">
                          <a:solidFill>
                            <a:srgbClr val="3465a4"/>
                          </a:solidFill>
                        </a:ln>
                      </wps:spPr>
                      <wps:style>
                        <a:lnRef idx="0"/>
                        <a:fillRef idx="0"/>
                        <a:effectRef idx="0"/>
                        <a:fontRef idx="minor"/>
                      </wps:style>
                      <wps:bodyPr/>
                    </wps:wsp>
                  </a:graphicData>
                </a:graphic>
              </wp:anchor>
            </w:drawing>
          </mc:Choice>
          <mc:Fallback>
            <w:pict>
              <v:shape id="shape_0" ID="Shape 18" path="l-2147483635,-2147483631l-2147483635,0l-2147483622,-2147483632l-2147483635,-2147483623l-2147483635,-2147483629l0,-2147483629xe" fillcolor="#333333" stroked="t" o:allowincell="f" style="position:absolute;margin-left:141.3pt;margin-top:-7.35pt;width:19.55pt;height:7.7pt;mso-wrap-style:none;v-text-anchor:middle" type="_x0000_t13">
                <v:fill o:detectmouseclick="t" type="solid" color2="#cccccc"/>
                <v:stroke color="#3465a4" joinstyle="round" endcap="flat"/>
                <w10:wrap type="none"/>
              </v:shape>
            </w:pict>
          </mc:Fallback>
        </mc:AlternateContent>
        <mc:AlternateContent>
          <mc:Choice Requires="wps">
            <w:drawing>
              <wp:anchor behindDoc="0" distT="1270" distB="635" distL="635" distR="1270" simplePos="0" locked="0" layoutInCell="1" allowOverlap="1" relativeHeight="29">
                <wp:simplePos x="0" y="0"/>
                <wp:positionH relativeFrom="column">
                  <wp:posOffset>906780</wp:posOffset>
                </wp:positionH>
                <wp:positionV relativeFrom="paragraph">
                  <wp:posOffset>-74295</wp:posOffset>
                </wp:positionV>
                <wp:extent cx="248920" cy="98425"/>
                <wp:effectExtent l="635" t="1270" r="1270" b="635"/>
                <wp:wrapNone/>
                <wp:docPr id="10" name="Shape 19"/>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333333"/>
                        </a:solidFill>
                        <a:ln w="0">
                          <a:solidFill>
                            <a:srgbClr val="3465a4"/>
                          </a:solidFill>
                        </a:ln>
                      </wps:spPr>
                      <wps:style>
                        <a:lnRef idx="0"/>
                        <a:fillRef idx="0"/>
                        <a:effectRef idx="0"/>
                        <a:fontRef idx="minor"/>
                      </wps:style>
                      <wps:bodyPr/>
                    </wps:wsp>
                  </a:graphicData>
                </a:graphic>
              </wp:anchor>
            </w:drawing>
          </mc:Choice>
          <mc:Fallback>
            <w:pict>
              <v:shape id="shape_0" ID="Shape 19" path="l-2147483635,-2147483631l-2147483635,0l-2147483622,-2147483632l-2147483635,-2147483623l-2147483635,-2147483629l0,-2147483629xe" fillcolor="#333333" stroked="t" o:allowincell="f" style="position:absolute;margin-left:71.4pt;margin-top:-5.85pt;width:19.55pt;height:7.7pt;mso-wrap-style:none;v-text-anchor:middle" type="_x0000_t13">
                <v:fill o:detectmouseclick="t" type="solid" color2="#cccccc"/>
                <v:stroke color="#3465a4" joinstyle="round" endcap="flat"/>
                <w10:wrap type="none"/>
              </v:shape>
            </w:pict>
          </mc:Fallback>
        </mc:AlternateContent>
        <mc:AlternateContent>
          <mc:Choice Requires="wps">
            <w:drawing>
              <wp:anchor behindDoc="0" distT="1270" distB="635" distL="635" distR="1270" simplePos="0" locked="0" layoutInCell="1" allowOverlap="1" relativeHeight="42">
                <wp:simplePos x="0" y="0"/>
                <wp:positionH relativeFrom="column">
                  <wp:posOffset>4776470</wp:posOffset>
                </wp:positionH>
                <wp:positionV relativeFrom="paragraph">
                  <wp:posOffset>-125730</wp:posOffset>
                </wp:positionV>
                <wp:extent cx="248920" cy="98425"/>
                <wp:effectExtent l="635" t="1270" r="1270" b="635"/>
                <wp:wrapNone/>
                <wp:docPr id="11" name="Shape 24"/>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666666"/>
                        </a:solidFill>
                        <a:ln w="0">
                          <a:solidFill>
                            <a:srgbClr val="3465a4"/>
                          </a:solidFill>
                        </a:ln>
                      </wps:spPr>
                      <wps:style>
                        <a:lnRef idx="0"/>
                        <a:fillRef idx="0"/>
                        <a:effectRef idx="0"/>
                        <a:fontRef idx="minor"/>
                      </wps:style>
                      <wps:bodyPr/>
                    </wps:wsp>
                  </a:graphicData>
                </a:graphic>
              </wp:anchor>
            </w:drawing>
          </mc:Choice>
          <mc:Fallback>
            <w:pict>
              <v:shape id="shape_0" ID="Shape 24" path="l-2147483635,-2147483631l-2147483635,0l-2147483622,-2147483632l-2147483635,-2147483623l-2147483635,-2147483629l0,-2147483629xe" fillcolor="#666666" stroked="t" o:allowincell="f" style="position:absolute;margin-left:376.1pt;margin-top:-9.9pt;width:19.55pt;height:7.7pt;mso-wrap-style:none;v-text-anchor:middle" type="_x0000_t13">
                <v:fill o:detectmouseclick="t" type="solid" color2="#999999"/>
                <v:stroke color="#3465a4" joinstyle="round" endcap="flat"/>
                <w10:wrap type="none"/>
              </v:shape>
            </w:pict>
          </mc:Fallback>
        </mc:AlternateContent>
        <mc:AlternateContent>
          <mc:Choice Requires="wps">
            <w:drawing>
              <wp:anchor behindDoc="0" distT="1270" distB="635" distL="635" distR="1270" simplePos="0" locked="0" layoutInCell="1" allowOverlap="1" relativeHeight="43">
                <wp:simplePos x="0" y="0"/>
                <wp:positionH relativeFrom="column">
                  <wp:posOffset>3683635</wp:posOffset>
                </wp:positionH>
                <wp:positionV relativeFrom="paragraph">
                  <wp:posOffset>-125095</wp:posOffset>
                </wp:positionV>
                <wp:extent cx="248920" cy="98425"/>
                <wp:effectExtent l="635" t="1270" r="1270" b="635"/>
                <wp:wrapNone/>
                <wp:docPr id="12" name="Shape 16"/>
                <a:graphic xmlns:a="http://schemas.openxmlformats.org/drawingml/2006/main">
                  <a:graphicData uri="http://schemas.microsoft.com/office/word/2010/wordprocessingShape">
                    <wps:wsp>
                      <wps:cNvSpPr/>
                      <wps:spPr>
                        <a:xfrm>
                          <a:off x="0" y="0"/>
                          <a:ext cx="248760" cy="98280"/>
                        </a:xfrm>
                        <a:prstGeom prst="rightArrow">
                          <a:avLst>
                            <a:gd name="adj1" fmla="val 50000"/>
                            <a:gd name="adj2" fmla="val 63278"/>
                          </a:avLst>
                        </a:prstGeom>
                        <a:solidFill>
                          <a:srgbClr val="333333"/>
                        </a:solidFill>
                        <a:ln w="0">
                          <a:solidFill>
                            <a:srgbClr val="3465a4"/>
                          </a:solidFill>
                        </a:ln>
                      </wps:spPr>
                      <wps:style>
                        <a:lnRef idx="0"/>
                        <a:fillRef idx="0"/>
                        <a:effectRef idx="0"/>
                        <a:fontRef idx="minor"/>
                      </wps:style>
                      <wps:bodyPr/>
                    </wps:wsp>
                  </a:graphicData>
                </a:graphic>
              </wp:anchor>
            </w:drawing>
          </mc:Choice>
          <mc:Fallback>
            <w:pict>
              <v:shape id="shape_0" ID="Shape 16" path="l-2147483635,-2147483631l-2147483635,0l-2147483622,-2147483632l-2147483635,-2147483623l-2147483635,-2147483629l0,-2147483629xe" fillcolor="#333333" stroked="t" o:allowincell="f" style="position:absolute;margin-left:290.05pt;margin-top:-9.85pt;width:19.55pt;height:7.7pt;mso-wrap-style:none;v-text-anchor:middle" type="_x0000_t13">
                <v:fill o:detectmouseclick="t" type="solid" color2="#cccccc"/>
                <v:stroke color="#3465a4" joinstyle="round" endcap="flat"/>
                <w10:wrap type="none"/>
              </v:shape>
            </w:pict>
          </mc:Fallback>
        </mc:AlternateContent>
      </w:r>
    </w:p>
    <w:p>
      <w:pPr>
        <w:pStyle w:val="Normal"/>
        <w:bidi w:val="0"/>
        <w:jc w:val="center"/>
        <w:rPr>
          <w:sz w:val="20"/>
          <w:szCs w:val="20"/>
        </w:rPr>
      </w:pPr>
      <w:r>
        <w:rPr>
          <w:sz w:val="20"/>
          <w:szCs w:val="20"/>
        </w:rPr>
      </w:r>
    </w:p>
    <w:p>
      <w:pPr>
        <w:pStyle w:val="Normal"/>
        <w:bidi w:val="0"/>
        <w:jc w:val="left"/>
        <w:rPr>
          <w:sz w:val="20"/>
          <w:szCs w:val="20"/>
        </w:rPr>
      </w:pPr>
      <w:r>
        <w:rPr>
          <w:sz w:val="20"/>
          <w:szCs w:val="20"/>
        </w:rPr>
      </w:r>
    </w:p>
    <w:p>
      <w:pPr>
        <w:pStyle w:val="Normal"/>
        <w:bidi w:val="0"/>
        <w:jc w:val="left"/>
        <w:rPr>
          <w:sz w:val="20"/>
          <w:szCs w:val="20"/>
        </w:rPr>
      </w:pPr>
      <w:r>
        <w:rPr>
          <w:sz w:val="20"/>
          <w:szCs w:val="20"/>
        </w:rPr>
        <w:t>Figure 1: NHS England Data Warehouse Architecture</w:t>
      </w:r>
    </w:p>
    <w:p>
      <w:pPr>
        <w:pStyle w:val="Normal"/>
        <w:bidi w:val="0"/>
        <w:jc w:val="center"/>
        <w:rPr/>
      </w:pPr>
      <w:r>
        <w:rPr/>
      </w:r>
    </w:p>
    <w:p>
      <w:pPr>
        <w:pStyle w:val="Normal"/>
        <w:bidi w:val="0"/>
        <w:jc w:val="left"/>
        <w:rPr/>
      </w:pPr>
      <w:r>
        <w:rPr/>
      </w:r>
    </w:p>
    <w:p>
      <w:pPr>
        <w:pStyle w:val="Normal"/>
        <w:bidi w:val="0"/>
        <w:jc w:val="left"/>
        <w:rPr>
          <w:i/>
          <w:i/>
          <w:iCs/>
          <w:sz w:val="20"/>
          <w:szCs w:val="20"/>
          <w:u w:val="none"/>
        </w:rPr>
      </w:pPr>
      <w:r>
        <w:rPr/>
      </w:r>
    </w:p>
    <w:p>
      <w:pPr>
        <w:pStyle w:val="Normal"/>
        <w:bidi w:val="0"/>
        <w:jc w:val="left"/>
        <w:rPr>
          <w:i/>
          <w:i/>
          <w:iCs/>
          <w:sz w:val="20"/>
          <w:szCs w:val="20"/>
          <w:u w:val="none"/>
        </w:rPr>
      </w:pPr>
      <w:r>
        <w:rPr/>
      </w:r>
    </w:p>
    <w:p>
      <w:pPr>
        <w:pStyle w:val="Normal"/>
        <w:bidi w:val="0"/>
        <w:jc w:val="left"/>
        <w:rPr>
          <w:i/>
          <w:i/>
          <w:iCs/>
          <w:sz w:val="20"/>
          <w:szCs w:val="20"/>
          <w:u w:val="none"/>
        </w:rPr>
      </w:pPr>
      <w:r>
        <w:rPr/>
      </w:r>
    </w:p>
    <w:p>
      <w:pPr>
        <w:pStyle w:val="Normal"/>
        <w:bidi w:val="0"/>
        <w:jc w:val="left"/>
        <w:rPr>
          <w:i/>
          <w:i/>
          <w:iCs/>
          <w:sz w:val="20"/>
          <w:szCs w:val="20"/>
          <w:u w:val="none"/>
        </w:rPr>
      </w:pPr>
      <w:r>
        <w:rPr/>
      </w:r>
    </w:p>
    <w:p>
      <w:pPr>
        <w:pStyle w:val="Normal"/>
        <w:bidi w:val="0"/>
        <w:jc w:val="left"/>
        <w:rPr>
          <w:i/>
          <w:i/>
          <w:iCs/>
          <w:sz w:val="20"/>
          <w:szCs w:val="20"/>
          <w:u w:val="none"/>
        </w:rPr>
      </w:pPr>
      <w:r>
        <w:rPr/>
      </w:r>
    </w:p>
    <w:p>
      <w:pPr>
        <w:pStyle w:val="Normal"/>
        <w:bidi w:val="0"/>
        <w:jc w:val="left"/>
        <w:rPr>
          <w:i/>
          <w:i/>
          <w:iCs/>
          <w:sz w:val="20"/>
          <w:szCs w:val="20"/>
          <w:u w:val="none"/>
        </w:rPr>
      </w:pPr>
      <w:r>
        <w:rPr/>
      </w:r>
    </w:p>
    <w:p>
      <w:pPr>
        <w:pStyle w:val="Normal"/>
        <w:bidi w:val="0"/>
        <w:jc w:val="left"/>
        <w:rPr/>
      </w:pPr>
      <w:r>
        <w:rPr/>
      </w:r>
    </w:p>
    <w:p>
      <w:pPr>
        <w:pStyle w:val="Heading2"/>
        <w:bidi w:val="0"/>
        <w:ind w:hanging="0" w:left="0"/>
        <w:jc w:val="left"/>
        <w:rPr/>
      </w:pPr>
      <w:bookmarkStart w:id="2" w:name="__RefHeading___Toc4834_3679431991"/>
      <w:bookmarkEnd w:id="2"/>
      <w:r>
        <w:rPr/>
        <w:t xml:space="preserve"> </w:t>
      </w:r>
      <w:r>
        <w:rPr/>
        <w:t>Data warehouse architecture and integration process</w:t>
      </w:r>
    </w:p>
    <w:p>
      <w:pPr>
        <w:pStyle w:val="Normal"/>
        <w:bidi w:val="0"/>
        <w:jc w:val="left"/>
        <w:rPr/>
      </w:pPr>
      <w:r>
        <w:rPr/>
      </w:r>
    </w:p>
    <w:p>
      <w:pPr>
        <w:pStyle w:val="Normal"/>
        <w:bidi w:val="0"/>
        <w:jc w:val="left"/>
        <w:rPr/>
      </w:pPr>
      <w:r>
        <w:rPr/>
        <w:t>The proposed architecture separates data acquisition, transformation, storage and reporting into distinct layers, improving scalability, maintainability and system performance. Operational systems including the EPR, PAS, workforce, finance and specialist clinical applications provide data that are integrated into a central warehouse through a controlled Extract, Transform and Load (ETL) process.</w:t>
      </w:r>
    </w:p>
    <w:p>
      <w:pPr>
        <w:pStyle w:val="Normal"/>
        <w:bidi w:val="0"/>
        <w:jc w:val="left"/>
        <w:rPr/>
      </w:pPr>
      <w:r>
        <w:rPr/>
      </w:r>
    </w:p>
    <w:p>
      <w:pPr>
        <w:pStyle w:val="Normal"/>
        <w:bidi w:val="0"/>
        <w:jc w:val="left"/>
        <w:rPr/>
      </w:pPr>
      <w:r>
        <w:rPr/>
        <w:t>Data are first extracted into a staging area, where duplicate records are removed, missing values identified and coding standards aligned using national classifications such as ICD-10 for diagnoses, OPCS-4 for procedures, and other relevant reference codes [2]. Performing these quality checks before loading improves the reliability of analytical reporting [4], [8].</w:t>
      </w:r>
    </w:p>
    <w:p>
      <w:pPr>
        <w:pStyle w:val="Normal"/>
        <w:bidi w:val="0"/>
        <w:jc w:val="left"/>
        <w:rPr/>
      </w:pPr>
      <w:r>
        <w:rPr/>
      </w:r>
    </w:p>
    <w:p>
      <w:pPr>
        <w:pStyle w:val="Normal"/>
        <w:bidi w:val="0"/>
        <w:jc w:val="left"/>
        <w:rPr/>
      </w:pPr>
      <w:r>
        <w:rPr/>
        <w:t>The ETL process standardises information originating from multiple independent systems, creating a consistent view of organisational data. Although ETL introduces additional processing overhead, it protects operational systems from complex analytical workloads and improves confidence in reporting accuracy. Compared with cloud-based ELT approaches, ETL remains more appropriate for NHS England because data quality and governance can be assured before information enters the warehouse.</w:t>
      </w:r>
    </w:p>
    <w:p>
      <w:pPr>
        <w:pStyle w:val="Normal"/>
        <w:bidi w:val="0"/>
        <w:jc w:val="left"/>
        <w:rPr/>
      </w:pPr>
      <w:r>
        <w:rPr/>
      </w:r>
    </w:p>
    <w:p>
      <w:pPr>
        <w:pStyle w:val="Normal"/>
        <w:bidi w:val="0"/>
        <w:jc w:val="left"/>
        <w:rPr/>
      </w:pPr>
      <w:r>
        <w:rPr/>
        <w:t>The integrated warehouse supports subject-oriented data marts for operational, financial, workforce and clinical reporting. Governance is embedded throughout the architecture using role-based access control, audit logging and compliance with UK GDPR and NHS information governance requirements, ensuring that sensitive healthcare information is managed securely while supporting evidence-based decision-making.</w:t>
      </w:r>
    </w:p>
    <w:p>
      <w:pPr>
        <w:pStyle w:val="Normal"/>
        <w:bidi w:val="0"/>
        <w:jc w:val="left"/>
        <w:rPr/>
      </w:pPr>
      <w:r>
        <w:rPr/>
      </w:r>
    </w:p>
    <w:p>
      <w:pPr>
        <w:pStyle w:val="Heading2"/>
        <w:bidi w:val="0"/>
        <w:ind w:hanging="0" w:left="0"/>
        <w:jc w:val="left"/>
        <w:rPr/>
      </w:pPr>
      <w:bookmarkStart w:id="3" w:name="__RefHeading___Toc3174_1235626407"/>
      <w:bookmarkEnd w:id="3"/>
      <w:r>
        <w:rPr/>
        <w:t xml:space="preserve"> </w:t>
      </w:r>
      <w:r>
        <w:rPr/>
        <w:t>Normalised records versus dimensional modelling</w:t>
      </w:r>
    </w:p>
    <w:p>
      <w:pPr>
        <w:pStyle w:val="Normal"/>
        <w:bidi w:val="0"/>
        <w:jc w:val="left"/>
        <w:rPr/>
      </w:pPr>
      <w:r>
        <w:rPr/>
      </w:r>
    </w:p>
    <w:p>
      <w:pPr>
        <w:pStyle w:val="Normal"/>
        <w:bidi w:val="0"/>
        <w:jc w:val="left"/>
        <w:rPr/>
      </w:pPr>
      <w:r>
        <w:rPr/>
        <w:t>Operational databases are highly normalised to minimise redundancy and maintain transaction integrity. This structure is appropriate for OLTP systems but becomes inefficient for complex analytical queries involving large volumes of historical data [1], [2].</w:t>
      </w:r>
    </w:p>
    <w:p>
      <w:pPr>
        <w:pStyle w:val="Normal"/>
        <w:bidi w:val="0"/>
        <w:jc w:val="left"/>
        <w:rPr/>
      </w:pPr>
      <w:r>
        <w:rPr/>
      </w:r>
    </w:p>
    <w:p>
      <w:pPr>
        <w:pStyle w:val="Normal"/>
        <w:bidi w:val="0"/>
        <w:jc w:val="left"/>
        <w:rPr/>
      </w:pPr>
      <w:r>
        <w:rPr/>
        <w:t>Dimensional modelling addresses this limitation by organising data into fact and dimension tables that support fast and intuitive analysis. The proposed warehouse adopts a star schema, placing FACT_PATIENT_ACTIVITY at the centre of the model and surrounding it with conformed dimensions describing patients, providers, staff, diagnoses, procedures, locations, services and time.</w:t>
      </w:r>
    </w:p>
    <w:p>
      <w:pPr>
        <w:pStyle w:val="Normal"/>
        <w:bidi w:val="0"/>
        <w:jc w:val="left"/>
        <w:rPr/>
      </w:pPr>
      <w:r>
        <w:rPr/>
      </w:r>
    </w:p>
    <w:p>
      <w:pPr>
        <w:pStyle w:val="Normal"/>
        <w:bidi w:val="0"/>
        <w:jc w:val="left"/>
        <w:rPr/>
      </w:pPr>
      <w:r>
        <w:rPr/>
        <w:t>Compared with a snowflake schema, the star schema offers simpler queries and better reporting performance, making it well suited to NHS England's analytical workload. Shared conformed dimensions also ensure that operational, workforce and financial reporting remain consistent across the warehouse.</w:t>
      </w:r>
    </w:p>
    <w:p>
      <w:pPr>
        <w:pStyle w:val="Normal"/>
        <w:bidi w:val="0"/>
        <w:jc w:val="left"/>
        <w:rPr/>
      </w:pPr>
      <w:r>
        <w:rPr/>
      </w:r>
    </w:p>
    <w:p>
      <w:pPr>
        <w:pStyle w:val="Normal"/>
        <w:bidi w:val="0"/>
        <w:jc w:val="left"/>
        <w:rPr/>
      </w:pPr>
      <w:r>
        <w:rPr/>
        <w:t>Figure 2 and Table 3 illustrate the proposed dimensional model, which provides a scalable foundation for enterprise-wide reporting and performance analysis.</w:t>
      </w:r>
    </w:p>
    <w:p>
      <w:pPr>
        <w:pStyle w:val="Normal"/>
        <w:bidi w:val="0"/>
        <w:jc w:val="left"/>
        <w:rPr/>
      </w:pPr>
      <w:r>
        <w:rPr/>
      </w:r>
    </w:p>
    <w:p>
      <w:pPr>
        <w:pStyle w:val="Heading2"/>
        <w:bidi w:val="0"/>
        <w:ind w:hanging="0" w:left="0"/>
        <w:jc w:val="left"/>
        <w:rPr/>
      </w:pPr>
      <w:bookmarkStart w:id="4" w:name="__RefHeading___Toc3176_1235626407"/>
      <w:bookmarkEnd w:id="4"/>
      <w:r>
        <w:rPr/>
        <w:t xml:space="preserve"> </w:t>
      </w:r>
      <w:r>
        <w:rPr/>
        <w:t>Source system identification</w:t>
      </w:r>
    </w:p>
    <w:p>
      <w:pPr>
        <w:pStyle w:val="Normal"/>
        <w:bidi w:val="0"/>
        <w:jc w:val="left"/>
        <w:rPr/>
      </w:pPr>
      <w:r>
        <w:rPr/>
        <w:t>The effectiveness of a data warehouse depends largely on the quality and diversity of the data it integrates. NHS England operates numerous information systems that support different aspects of healthcare delivery, including patient care, administration, workforce management and financial planning. Individually, these systems provide valuable operational information; collectively, they offer a comprehensive view of organisational performance when integrated within a single analytical environment.</w:t>
      </w:r>
    </w:p>
    <w:p>
      <w:pPr>
        <w:pStyle w:val="Normal"/>
        <w:bidi w:val="0"/>
        <w:jc w:val="left"/>
        <w:rPr/>
      </w:pPr>
      <w:r>
        <w:rPr/>
      </w:r>
    </w:p>
    <w:p>
      <w:pPr>
        <w:pStyle w:val="Normal"/>
        <w:bidi w:val="0"/>
        <w:jc w:val="left"/>
        <w:rPr/>
      </w:pPr>
      <w:r>
        <w:rPr/>
        <w:t>The proposed warehouse consolidates data from the Electronic Patient Record (EPR), Patient Administration System (PAS), workforce management systems, finance systems, specialist clinical applications, the NHS Organisation Data Service (ODS), the Learn from Patient Safety Events (LFPSE) service, and relevant public health datasets. Together, these sources provide the clinical, operational, workforce and financial information required to support strategic planning, service evaluation and performance monitoring across NHS England [4], [8].</w:t>
      </w:r>
    </w:p>
    <w:p>
      <w:pPr>
        <w:pStyle w:val="Normal"/>
        <w:bidi w:val="0"/>
        <w:jc w:val="left"/>
        <w:rPr/>
      </w:pPr>
      <w:r>
        <w:rPr/>
      </w:r>
    </w:p>
    <w:p>
      <w:pPr>
        <w:pStyle w:val="Normal"/>
        <w:bidi w:val="0"/>
        <w:jc w:val="left"/>
        <w:rPr/>
      </w:pPr>
      <w:r>
        <w:rPr/>
        <w:t>Each source contributes a distinct perspective to organisational analysis. The EPR and PAS provide detailed information on patient pathways, admissions, outpatient activity and clinical outcomes. Workforce systems record staffing levels, absences and agency usage, enabling managers to examine how workforce capacity influences service delivery. Finance systems contribute information on expenditure, tariffs and budget performance, while specialist clinical systems such as laboratory and radiology applications provide additional clinical detail for service-specific analysis. Reference datasets, including NHS ODS, ensure consistent organisational coding, whereas patient safety and public health data provide valuable contextual information for governance, risk management and population health analysis.</w:t>
      </w:r>
    </w:p>
    <w:p>
      <w:pPr>
        <w:pStyle w:val="Normal"/>
        <w:bidi w:val="0"/>
        <w:jc w:val="left"/>
        <w:rPr/>
      </w:pPr>
      <w:r>
        <w:rPr/>
      </w:r>
    </w:p>
    <w:p>
      <w:pPr>
        <w:pStyle w:val="Normal"/>
        <w:bidi w:val="0"/>
        <w:jc w:val="left"/>
        <w:rPr/>
      </w:pPr>
      <w:r>
        <w:rPr/>
        <w:t>Integrating these heterogeneous data sources presents several technical challenges. Differences in data structures, coding standards, update frequencies and identifier formats can reduce consistency if they are not carefully managed. Variations in clinical terminology, organisational codes and patient identifiers may also affect the accuracy of cross-system reporting. Consequently, the integration process must incorporate robust data validation, standardisation and reconciliation procedures to ensure that information remains accurate, complete and suitable for organisational analysis.</w:t>
      </w:r>
    </w:p>
    <w:p>
      <w:pPr>
        <w:pStyle w:val="Normal"/>
        <w:bidi w:val="0"/>
        <w:jc w:val="left"/>
        <w:rPr/>
      </w:pPr>
      <w:r>
        <w:rPr/>
      </w:r>
    </w:p>
    <w:p>
      <w:pPr>
        <w:pStyle w:val="Normal"/>
        <w:bidi w:val="0"/>
        <w:jc w:val="left"/>
        <w:rPr/>
      </w:pPr>
      <w:r>
        <w:rPr/>
        <w:t>A further consideration is the balance between data completeness and data quality. Incorporating additional datasets can enhance analytical capability, but poorly governed or inconsistent data may reduce confidence in reporting outcomes. For this reason, only validated and appropriately governed data sources should be integrated into the enterprise warehouse. Applying consistent business rules and national coding standards throughout the ETL process ensures that information remains reliable and comparable across organisations and reporting periods.</w:t>
      </w:r>
    </w:p>
    <w:p>
      <w:pPr>
        <w:pStyle w:val="Normal"/>
        <w:bidi w:val="0"/>
        <w:jc w:val="left"/>
        <w:rPr/>
      </w:pPr>
      <w:r>
        <w:rPr/>
      </w:r>
    </w:p>
    <w:p>
      <w:pPr>
        <w:pStyle w:val="Normal"/>
        <w:bidi w:val="0"/>
        <w:jc w:val="left"/>
        <w:rPr/>
      </w:pPr>
      <w:r>
        <w:rPr/>
        <w:t xml:space="preserve">The principal operational systems and the data they contribute to the warehouse are summarised in Table </w:t>
      </w:r>
      <w:r>
        <w:rPr/>
        <w:t>1</w:t>
      </w:r>
      <w:r>
        <w:rPr/>
        <w:t xml:space="preserve"> illustrating how multiple independent healthcare systems combine to support a single, trusted source of information for strategic decision-making.</w:t>
      </w:r>
    </w:p>
    <w:p>
      <w:pPr>
        <w:pStyle w:val="Normal"/>
        <w:bidi w:val="0"/>
        <w:jc w:val="left"/>
        <w:rPr/>
      </w:pPr>
      <w:r>
        <w:rPr/>
      </w:r>
    </w:p>
    <w:p>
      <w:pPr>
        <w:pStyle w:val="Normal"/>
        <w:bidi w:val="0"/>
        <w:jc w:val="left"/>
        <w:rPr/>
      </w:pPr>
      <w:r>
        <w:rPr/>
      </w:r>
    </w:p>
    <w:tbl>
      <w:tblPr>
        <w:tblW w:w="8640" w:type="dxa"/>
        <w:jc w:val="left"/>
        <w:tblInd w:w="-226" w:type="dxa"/>
        <w:tblLayout w:type="fixed"/>
        <w:tblCellMar>
          <w:top w:w="0" w:type="dxa"/>
          <w:left w:w="108" w:type="dxa"/>
          <w:bottom w:w="0" w:type="dxa"/>
          <w:right w:w="108" w:type="dxa"/>
        </w:tblCellMar>
      </w:tblPr>
      <w:tblGrid>
        <w:gridCol w:w="2880"/>
        <w:gridCol w:w="2880"/>
        <w:gridCol w:w="2880"/>
      </w:tblGrid>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Source system</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What it provides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Use in the warehouse</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EPR / patient record system</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clinical history, diagnoses, procedures, outcomes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patient and activity data</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PAS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admissions, appointments, transfers, discharges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activity and pathway data</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Workforce system</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staffing, shifts, absences, agency usage</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workforce fact data</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 system</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costs, budgets, expenditure, tariffs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 fact data</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Clinical systems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lab results, radiology, theatre activity</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specialist clinical analysis</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NHS ODS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trust and site reference data</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provider dimension</w:t>
            </w:r>
          </w:p>
        </w:tc>
      </w:tr>
      <w:tr>
        <w:trPr/>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LFPSE and public health sources</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safety events and population data</w:t>
            </w:r>
          </w:p>
        </w:tc>
        <w:tc>
          <w:tcPr>
            <w:tcW w:w="288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governance and context</w:t>
            </w:r>
          </w:p>
        </w:tc>
      </w:tr>
    </w:tbl>
    <w:p>
      <w:pPr>
        <w:pStyle w:val="Normal"/>
        <w:bidi w:val="0"/>
        <w:jc w:val="left"/>
        <w:rPr>
          <w:i/>
          <w:i/>
          <w:iCs/>
          <w:sz w:val="20"/>
          <w:szCs w:val="20"/>
        </w:rPr>
      </w:pPr>
      <w:r>
        <w:rPr>
          <w:i/>
          <w:iCs/>
          <w:sz w:val="20"/>
          <w:szCs w:val="20"/>
        </w:rPr>
        <w:t xml:space="preserve">Table </w:t>
      </w:r>
      <w:r>
        <w:rPr>
          <w:i/>
          <w:iCs/>
          <w:sz w:val="20"/>
          <w:szCs w:val="20"/>
        </w:rPr>
        <w:t>1</w:t>
      </w:r>
      <w:r>
        <w:rPr>
          <w:i/>
          <w:iCs/>
          <w:sz w:val="20"/>
          <w:szCs w:val="20"/>
        </w:rPr>
        <w:t>. Source systems feeding the warehouse.</w:t>
      </w:r>
    </w:p>
    <w:p>
      <w:pPr>
        <w:pStyle w:val="Normal"/>
        <w:bidi w:val="0"/>
        <w:jc w:val="left"/>
        <w:rPr/>
      </w:pPr>
      <w:r>
        <w:rPr/>
      </w:r>
    </w:p>
    <w:p>
      <w:pPr>
        <w:pStyle w:val="Heading2"/>
        <w:bidi w:val="0"/>
        <w:ind w:hanging="0" w:left="0"/>
        <w:jc w:val="left"/>
        <w:rPr/>
      </w:pPr>
      <w:bookmarkStart w:id="5" w:name="__RefHeading___Toc4838_3679431991"/>
      <w:bookmarkEnd w:id="5"/>
      <w:r>
        <w:rPr/>
        <w:t xml:space="preserve"> </w:t>
      </w:r>
      <w:r>
        <w:rPr/>
        <w:t>Star schema design</w:t>
      </w:r>
    </w:p>
    <w:p>
      <w:pPr>
        <w:pStyle w:val="Normal"/>
        <w:bidi w:val="0"/>
        <w:jc w:val="left"/>
        <w:rPr/>
      </w:pPr>
      <w:r>
        <w:rPr/>
        <w:t>The proposed data warehouse is organised around a dimensional star schema that supports efficient analytical processing while remaining straightforward for both technical and non-technical users. Unlike highly normalised operational databases, the star schema is designed to optimise read-intensive workloads, making it particularly suitable for management reporting, performance monitoring and business intelligence applications [2], [3].</w:t>
      </w:r>
    </w:p>
    <w:p>
      <w:pPr>
        <w:pStyle w:val="Normal"/>
        <w:bidi w:val="0"/>
        <w:jc w:val="left"/>
        <w:rPr/>
      </w:pPr>
      <w:r>
        <w:rPr/>
      </w:r>
    </w:p>
    <w:p>
      <w:pPr>
        <w:pStyle w:val="Normal"/>
        <w:bidi w:val="0"/>
        <w:jc w:val="left"/>
        <w:rPr/>
      </w:pPr>
      <w:r>
        <w:rPr/>
        <w:t>At the centre of the model is the FACT_PATIENT_ACTIVITY table, which records measurable healthcare events such as admissions, outpatient attendances, length of stay, referral-to-treatment waiting times and readmissions. These measurable events form the basis of organisational performance analysis and allow NHS England to monitor service delivery consistently across different providers and reporting periods.</w:t>
      </w:r>
    </w:p>
    <w:p>
      <w:pPr>
        <w:pStyle w:val="Normal"/>
        <w:bidi w:val="0"/>
        <w:jc w:val="left"/>
        <w:rPr/>
      </w:pPr>
      <w:r>
        <w:rPr/>
      </w:r>
    </w:p>
    <w:p>
      <w:pPr>
        <w:pStyle w:val="Normal"/>
        <w:bidi w:val="0"/>
        <w:jc w:val="left"/>
        <w:rPr/>
      </w:pPr>
      <w:r>
        <w:rPr/>
        <w:t>Surrounding the central fact table are a series of conformed dimension tables describing patients, time, providers, staff, diagnoses, procedures, locations and services. These dimensions provide the contextual information required to interpret operational activity from multiple perspectives. For example, a single patient activity record can be analysed according to geographical region, clinical specialty, diagnosis, reporting period or healthcare provider without requiring complex database queries. This multidimensional approach enables decision-makers to investigate trends, compare organisational performance and identify factors influencing healthcare outcomes.</w:t>
      </w:r>
    </w:p>
    <w:p>
      <w:pPr>
        <w:pStyle w:val="Normal"/>
        <w:bidi w:val="0"/>
        <w:jc w:val="left"/>
        <w:rPr/>
      </w:pPr>
      <w:r>
        <w:rPr/>
      </w:r>
    </w:p>
    <w:p>
      <w:pPr>
        <w:pStyle w:val="Normal"/>
        <w:bidi w:val="0"/>
        <w:jc w:val="left"/>
        <w:rPr/>
      </w:pPr>
      <w:r>
        <w:rPr/>
        <w:t>A key strength of the proposed design is the use of conformed dimensions, which are shared across multiple fact tables. This allows operational, financial and workforce datasets to use common definitions for dimensions such as provider, date and staff, ensuring that performance indicators remain consistent throughout the warehouse. Without conformed dimensions, departments could develop conflicting business definitions, leading to inconsistent reporting and reduced confidence in organisational data. Their adoption therefore supports both technical consistency and effective information governance.</w:t>
      </w:r>
    </w:p>
    <w:p>
      <w:pPr>
        <w:pStyle w:val="Normal"/>
        <w:bidi w:val="0"/>
        <w:jc w:val="left"/>
        <w:rPr/>
      </w:pPr>
      <w:r>
        <w:rPr/>
      </w:r>
    </w:p>
    <w:p>
      <w:pPr>
        <w:pStyle w:val="Normal"/>
        <w:bidi w:val="0"/>
        <w:jc w:val="left"/>
        <w:rPr/>
      </w:pPr>
      <w:r>
        <w:rPr/>
        <w:t>The warehouse also incorporates additional fact tables for finance and workforce information. Rather than functioning as isolated datasets, these tables complement patient activity data by allowing analysts to examine relationships between clinical performance, staffing capacity and financial expenditure. For example, increases in waiting times can be evaluated alongside workforce shortages or budget pressures, providing a more comprehensive understanding of organisational performance than would be possible using separate operational systems.</w:t>
      </w:r>
    </w:p>
    <w:p>
      <w:pPr>
        <w:pStyle w:val="Normal"/>
        <w:bidi w:val="0"/>
        <w:jc w:val="left"/>
        <w:rPr/>
      </w:pPr>
      <w:r>
        <w:rPr/>
      </w:r>
    </w:p>
    <w:p>
      <w:pPr>
        <w:pStyle w:val="Normal"/>
        <w:bidi w:val="0"/>
        <w:jc w:val="left"/>
        <w:rPr/>
      </w:pPr>
      <w:r>
        <w:rPr/>
        <w:t>Although more complex modelling techniques, such as Data Vault or highly normalised snowflake schemas, can provide greater flexibility for large-scale enterprise integration, they often require more sophisticated querying and increase implementation complexity. For the analytical requirements of NHS England, the star schema represents a practical balance between performance, simplicity and maintainability. Its intuitive structure reduces query complexity, improves dashboard responsiveness and supports self-service reporting for analysts and management users without extensive database expertise.</w:t>
      </w:r>
    </w:p>
    <w:p>
      <w:pPr>
        <w:pStyle w:val="Normal"/>
        <w:bidi w:val="0"/>
        <w:jc w:val="left"/>
        <w:rPr/>
      </w:pPr>
      <w:r>
        <w:rPr/>
      </w:r>
    </w:p>
    <w:p>
      <w:pPr>
        <w:pStyle w:val="Normal"/>
        <w:bidi w:val="0"/>
        <w:jc w:val="left"/>
        <w:rPr/>
      </w:pPr>
      <w:r>
        <w:rPr/>
        <w:t>The proposed dimensional model therefore provides a robust foundation for enterprise analytics by integrating clinical, operational, workforce and financial information within a consistent framework. It supports efficient historical analysis, enables reliable organisational reporting and allows performance indicators to be examined across multiple dimensions without compromising usability. The complete schema is illustrated in Figure 2, while Table 3 summarises the principal fact and dimension tables that underpin the proposed warehouse design.</w:t>
      </w:r>
    </w:p>
    <w:p>
      <w:pPr>
        <w:pStyle w:val="Normal"/>
        <w:bidi w:val="0"/>
        <w:jc w:val="left"/>
        <w:rPr>
          <w:b/>
          <w:sz w:val="26"/>
        </w:rPr>
      </w:pPr>
      <w:r>
        <w:rPr>
          <w:b/>
          <w:sz w:val="26"/>
        </w:rPr>
      </w:r>
    </w:p>
    <w:p>
      <w:pPr>
        <w:pStyle w:val="Normal"/>
        <w:bidi w:val="0"/>
        <w:jc w:val="left"/>
        <w:rPr>
          <w:b/>
          <w:sz w:val="26"/>
        </w:rPr>
      </w:pPr>
      <w:r>
        <w:rPr>
          <w:b/>
          <w:sz w:val="26"/>
        </w:rPr>
      </w:r>
    </w:p>
    <w:p>
      <w:pPr>
        <w:pStyle w:val="Normal"/>
        <w:bidi w:val="0"/>
        <w:jc w:val="center"/>
        <w:rPr>
          <w:b/>
          <w:sz w:val="26"/>
        </w:rPr>
      </w:pPr>
      <w:r>
        <w:rPr>
          <w:b/>
          <w:sz w:val="26"/>
        </w:rPr>
        <w:t>NHS England Star Schema</w:t>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2">
                <wp:simplePos x="0" y="0"/>
                <wp:positionH relativeFrom="column">
                  <wp:posOffset>3124835</wp:posOffset>
                </wp:positionH>
                <wp:positionV relativeFrom="paragraph">
                  <wp:posOffset>86995</wp:posOffset>
                </wp:positionV>
                <wp:extent cx="819150" cy="438150"/>
                <wp:effectExtent l="635" t="635" r="635" b="635"/>
                <wp:wrapNone/>
                <wp:docPr id="13" name="Shape 9"/>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pPr>
                            <w:r>
                              <w:rPr>
                                <w:rFonts w:cs="Noto Sans" w:ascii="Cambria" w:hAnsi="Cambria"/>
                                <w:color w:val="000000"/>
                                <w:sz w:val="22"/>
                              </w:rPr>
                              <w:t xml:space="preserve">        </w:t>
                            </w:r>
                            <w:r>
                              <w:rPr>
                                <w:rFonts w:cs="Noto Sans" w:ascii="Cambria" w:hAnsi="Cambria"/>
                                <w:color w:val="000000"/>
                                <w:sz w:val="20"/>
                                <w:szCs w:val="20"/>
                              </w:rPr>
                              <w:t>Org</w:t>
                            </w:r>
                          </w:p>
                        </w:txbxContent>
                      </wps:txbx>
                      <wps:bodyPr lIns="0" rIns="0" tIns="0" bIns="0" anchor="ctr">
                        <a:noAutofit/>
                      </wps:bodyPr>
                    </wps:wsp>
                  </a:graphicData>
                </a:graphic>
              </wp:anchor>
            </w:drawing>
          </mc:Choice>
          <mc:Fallback>
            <w:pict>
              <v:rect id="shape_0" ID="Shape 9" path="m0,0l-2147483645,0l-2147483645,-2147483646l0,-2147483646xe" fillcolor="#729fcf" stroked="t" o:allowincell="f" style="position:absolute;margin-left:246.05pt;margin-top:6.8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pPr>
                      <w:r>
                        <w:rPr>
                          <w:rFonts w:cs="Noto Sans" w:ascii="Cambria" w:hAnsi="Cambria"/>
                          <w:color w:val="000000"/>
                          <w:sz w:val="22"/>
                        </w:rPr>
                        <w:t xml:space="preserve">        </w:t>
                      </w:r>
                      <w:r>
                        <w:rPr>
                          <w:rFonts w:cs="Noto Sans" w:ascii="Cambria" w:hAnsi="Cambria"/>
                          <w:color w:val="000000"/>
                          <w:sz w:val="20"/>
                          <w:szCs w:val="20"/>
                        </w:rPr>
                        <w:t>Org</w:t>
                      </w:r>
                    </w:p>
                  </w:txbxContent>
                </v:textbox>
                <w10:wrap type="none"/>
              </v:rect>
            </w:pict>
          </mc:Fallback>
        </mc:AlternateContent>
        <mc:AlternateContent>
          <mc:Choice Requires="wps">
            <w:drawing>
              <wp:anchor behindDoc="0" distT="635" distB="635" distL="635" distR="635" simplePos="0" locked="0" layoutInCell="1" allowOverlap="1" relativeHeight="4">
                <wp:simplePos x="0" y="0"/>
                <wp:positionH relativeFrom="column">
                  <wp:posOffset>1745615</wp:posOffset>
                </wp:positionH>
                <wp:positionV relativeFrom="paragraph">
                  <wp:posOffset>90805</wp:posOffset>
                </wp:positionV>
                <wp:extent cx="819150" cy="438150"/>
                <wp:effectExtent l="635" t="635" r="635" b="635"/>
                <wp:wrapNone/>
                <wp:docPr id="14" name="Shape 14"/>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Time</w:t>
                            </w:r>
                          </w:p>
                        </w:txbxContent>
                      </wps:txbx>
                      <wps:bodyPr lIns="0" rIns="0" tIns="0" bIns="0" anchor="ctr">
                        <a:noAutofit/>
                      </wps:bodyPr>
                    </wps:wsp>
                  </a:graphicData>
                </a:graphic>
              </wp:anchor>
            </w:drawing>
          </mc:Choice>
          <mc:Fallback>
            <w:pict>
              <v:rect id="shape_0" ID="Shape 14" path="m0,0l-2147483645,0l-2147483645,-2147483646l0,-2147483646xe" fillcolor="#729fcf" stroked="t" o:allowincell="f" style="position:absolute;margin-left:137.45pt;margin-top:7.1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Time</w:t>
                      </w:r>
                    </w:p>
                  </w:txbxContent>
                </v:textbox>
                <w10:wrap type="none"/>
              </v:rect>
            </w:pict>
          </mc:Fallback>
        </mc:AlternateContent>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23">
                <wp:simplePos x="0" y="0"/>
                <wp:positionH relativeFrom="column">
                  <wp:posOffset>2889250</wp:posOffset>
                </wp:positionH>
                <wp:positionV relativeFrom="paragraph">
                  <wp:posOffset>126365</wp:posOffset>
                </wp:positionV>
                <wp:extent cx="635000" cy="869950"/>
                <wp:effectExtent l="635" t="635" r="635" b="635"/>
                <wp:wrapNone/>
                <wp:docPr id="15" name="Horizontal line 2"/>
                <a:graphic xmlns:a="http://schemas.openxmlformats.org/drawingml/2006/main">
                  <a:graphicData uri="http://schemas.microsoft.com/office/word/2010/wordprocessingShape">
                    <wps:wsp>
                      <wps:cNvSpPr/>
                      <wps:spPr>
                        <a:xfrm flipV="1">
                          <a:off x="0" y="0"/>
                          <a:ext cx="635040" cy="87012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227.5pt,9.95pt" to="277.45pt,78.4pt" ID="Horizontal line 2" stroked="t" o:allowincell="f" style="position:absolute;flip:y">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24">
                <wp:simplePos x="0" y="0"/>
                <wp:positionH relativeFrom="column">
                  <wp:posOffset>2133600</wp:posOffset>
                </wp:positionH>
                <wp:positionV relativeFrom="paragraph">
                  <wp:posOffset>164465</wp:posOffset>
                </wp:positionV>
                <wp:extent cx="400050" cy="812800"/>
                <wp:effectExtent l="635" t="635" r="635" b="635"/>
                <wp:wrapNone/>
                <wp:docPr id="16" name="Horizontal line 9"/>
                <a:graphic xmlns:a="http://schemas.openxmlformats.org/drawingml/2006/main">
                  <a:graphicData uri="http://schemas.microsoft.com/office/word/2010/wordprocessingShape">
                    <wps:wsp>
                      <wps:cNvSpPr/>
                      <wps:spPr>
                        <a:xfrm flipH="1" flipV="1">
                          <a:off x="0" y="0"/>
                          <a:ext cx="399960" cy="81288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168pt,12.95pt" to="199.45pt,76.9pt" ID="Horizontal line 9" stroked="t" o:allowincell="f" style="position:absolute;flip:xy">
                <v:stroke color="#3465a4" joinstyle="round" endcap="flat"/>
                <v:fill o:detectmouseclick="t" on="false"/>
                <w10:wrap type="none"/>
              </v:line>
            </w:pict>
          </mc:Fallback>
        </mc:AlternateContent>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25">
                <wp:simplePos x="0" y="0"/>
                <wp:positionH relativeFrom="column">
                  <wp:posOffset>4039870</wp:posOffset>
                </wp:positionH>
                <wp:positionV relativeFrom="paragraph">
                  <wp:posOffset>167005</wp:posOffset>
                </wp:positionV>
                <wp:extent cx="819150" cy="438150"/>
                <wp:effectExtent l="635" t="635" r="635" b="635"/>
                <wp:wrapNone/>
                <wp:docPr id="17" name="Shape 8"/>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Diag</w:t>
                            </w:r>
                          </w:p>
                        </w:txbxContent>
                      </wps:txbx>
                      <wps:bodyPr lIns="0" rIns="0" tIns="0" bIns="0" anchor="ctr">
                        <a:noAutofit/>
                      </wps:bodyPr>
                    </wps:wsp>
                  </a:graphicData>
                </a:graphic>
              </wp:anchor>
            </w:drawing>
          </mc:Choice>
          <mc:Fallback>
            <w:pict>
              <v:rect id="shape_0" ID="Shape 8" path="m0,0l-2147483645,0l-2147483645,-2147483646l0,-2147483646xe" fillcolor="#729fcf" stroked="t" o:allowincell="f" style="position:absolute;margin-left:318.1pt;margin-top:13.1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Diag</w:t>
                      </w:r>
                    </w:p>
                  </w:txbxContent>
                </v:textbox>
                <w10:wrap type="none"/>
              </v:rect>
            </w:pict>
          </mc:Fallback>
        </mc:AlternateContent>
      </w:r>
    </w:p>
    <w:p>
      <w:pPr>
        <w:pStyle w:val="Normal"/>
        <w:bidi w:val="0"/>
        <w:jc w:val="left"/>
        <w:rPr>
          <w:b/>
          <w:bCs/>
          <w:i/>
          <w:i/>
          <w:iCs/>
          <w:sz w:val="24"/>
          <w:szCs w:val="24"/>
        </w:rPr>
      </w:pPr>
      <w:r>
        <w:rPr>
          <w:b/>
          <w:bCs/>
          <w:i/>
          <w:iCs/>
          <w:sz w:val="24"/>
          <w:szCs w:val="24"/>
        </w:rPr>
        <mc:AlternateContent>
          <mc:Choice Requires="wps">
            <w:drawing>
              <wp:anchor behindDoc="0" distT="0" distB="0" distL="0" distR="0" simplePos="0" locked="0" layoutInCell="1" allowOverlap="1" relativeHeight="21">
                <wp:simplePos x="0" y="0"/>
                <wp:positionH relativeFrom="column">
                  <wp:posOffset>2057400</wp:posOffset>
                </wp:positionH>
                <wp:positionV relativeFrom="paragraph">
                  <wp:posOffset>-19685</wp:posOffset>
                </wp:positionV>
                <wp:extent cx="1320800" cy="1102360"/>
                <wp:effectExtent l="635" t="635" r="1270" b="1270"/>
                <wp:wrapNone/>
                <wp:docPr id="18" name="Shape 20"/>
                <a:graphic xmlns:a="http://schemas.openxmlformats.org/drawingml/2006/main">
                  <a:graphicData uri="http://schemas.microsoft.com/office/word/2010/wordprocessingShape">
                    <wps:wsp>
                      <wps:cNvSpPr/>
                      <wps:spPr>
                        <a:xfrm>
                          <a:off x="0" y="0"/>
                          <a:ext cx="1320840" cy="1102320"/>
                        </a:xfrm>
                        <a:custGeom>
                          <a:avLst/>
                          <a:gdLst>
                            <a:gd name="textAreaLeft" fmla="*/ 171000 w 748800"/>
                            <a:gd name="textAreaRight" fmla="*/ 577800 w 748800"/>
                            <a:gd name="textAreaTop" fmla="*/ 142560 h 624960"/>
                            <a:gd name="textAreaBottom" fmla="*/ 482400 h 624960"/>
                          </a:gdLst>
                          <a:ahLst/>
                          <a:rect l="textAreaLeft" t="textAreaTop" r="textAreaRight" b="textAreaBottom"/>
                          <a:pathLst>
                            <a:path w="21600" h="21600">
                              <a:moveTo>
                                <a:pt x="0" y="10800"/>
                              </a:moveTo>
                              <a:lnTo>
                                <a:pt x="3104" y="13909"/>
                              </a:lnTo>
                              <a:lnTo>
                                <a:pt x="3163" y="18437"/>
                              </a:lnTo>
                              <a:lnTo>
                                <a:pt x="7557" y="18440"/>
                              </a:lnTo>
                              <a:lnTo>
                                <a:pt x="10800" y="21600"/>
                              </a:lnTo>
                              <a:lnTo>
                                <a:pt x="13909" y="18496"/>
                              </a:lnTo>
                              <a:lnTo>
                                <a:pt x="18437" y="18437"/>
                              </a:lnTo>
                              <a:lnTo>
                                <a:pt x="18440" y="14043"/>
                              </a:lnTo>
                              <a:lnTo>
                                <a:pt x="21600" y="10800"/>
                              </a:lnTo>
                              <a:lnTo>
                                <a:pt x="18496" y="7691"/>
                              </a:lnTo>
                              <a:lnTo>
                                <a:pt x="18437" y="3163"/>
                              </a:lnTo>
                              <a:lnTo>
                                <a:pt x="14043" y="3160"/>
                              </a:lnTo>
                              <a:lnTo>
                                <a:pt x="10800" y="0"/>
                              </a:lnTo>
                              <a:lnTo>
                                <a:pt x="7691" y="3104"/>
                              </a:lnTo>
                              <a:lnTo>
                                <a:pt x="3163" y="3163"/>
                              </a:lnTo>
                              <a:lnTo>
                                <a:pt x="3160" y="7557"/>
                              </a:lnTo>
                              <a:lnTo>
                                <a:pt x="0" y="10800"/>
                              </a:lnTo>
                              <a:close/>
                            </a:path>
                          </a:pathLst>
                        </a:custGeom>
                        <a:solidFill>
                          <a:srgbClr val="729fcf"/>
                        </a:solidFill>
                        <a:ln w="0">
                          <a:solidFill>
                            <a:srgbClr val="3465a4"/>
                          </a:solidFill>
                        </a:ln>
                      </wps:spPr>
                      <wps:style>
                        <a:lnRef idx="0"/>
                        <a:fillRef idx="0"/>
                        <a:effectRef idx="0"/>
                        <a:fontRef idx="minor"/>
                      </wps:style>
                      <wps:txbx>
                        <w:txbxContent>
                          <w:p>
                            <w:pPr>
                              <w:bidi w:val="0"/>
                              <w:spacing w:before="0" w:after="0" w:lineRule="auto" w:line="240"/>
                              <w:jc w:val="center"/>
                              <w:rPr/>
                            </w:pPr>
                            <w:r>
                              <w:rPr>
                                <w:sz w:val="20"/>
                                <w:szCs w:val="20"/>
                                <w:rFonts w:ascii="Cambria" w:hAnsi="Cambria" w:cs="Cambria"/>
                                <w:color w:val="000000"/>
                              </w:rPr>
                              <w:t xml:space="preserve">Fact: </w:t>
                            </w:r>
                          </w:p>
                          <w:p>
                            <w:pPr>
                              <w:bidi w:val="0"/>
                              <w:spacing w:before="0" w:after="0" w:lineRule="auto" w:line="240"/>
                              <w:jc w:val="center"/>
                              <w:rPr/>
                            </w:pPr>
                            <w:r>
                              <w:rPr>
                                <w:sz w:val="20"/>
                                <w:szCs w:val="20"/>
                                <w:rFonts w:ascii="Cambria" w:hAnsi="Cambria" w:cs="Cambria"/>
                                <w:color w:val="000000"/>
                              </w:rPr>
                              <w:t xml:space="preserve">Patient </w:t>
                            </w:r>
                          </w:p>
                          <w:p>
                            <w:pPr>
                              <w:bidi w:val="0"/>
                              <w:spacing w:before="0" w:after="0" w:lineRule="auto" w:line="240"/>
                              <w:jc w:val="center"/>
                              <w:rPr/>
                            </w:pPr>
                            <w:r>
                              <w:rPr>
                                <w:sz w:val="20"/>
                                <w:szCs w:val="20"/>
                                <w:rFonts w:ascii="Cambria" w:hAnsi="Cambria" w:cs="Cambria"/>
                                <w:color w:val="000000"/>
                              </w:rPr>
                              <w:t>Activity</w:t>
                            </w:r>
                          </w:p>
                        </w:txbxContent>
                      </wps:txbx>
                      <wps:bodyPr lIns="0" rIns="0" tIns="0" bIns="0" anchor="ctr">
                        <a:noAutofit/>
                      </wps:bodyPr>
                    </wps:wsp>
                  </a:graphicData>
                </a:graphic>
              </wp:anchor>
            </w:drawing>
          </mc:Choice>
          <mc:Fallback>
            <w:pict>
              <v:shapetype id="_x0000_t58" coordsize="21600,21600" o:spt="58" adj="8100" path="m,10800l@10@11l@3@6l@11@10l10800,l@12@10l@4@6l@13@11l21600,10800l@13@12l@4@7l@12@13l10800,21600l@11@13l@3@7l@10@12xe">
                <v:stroke joinstyle="miter"/>
                <v:formulas>
                  <v:f eqn="val #0"/>
                  <v:f eqn="sumangle 0 45 0"/>
                  <v:f eqn="cos 10800 @1"/>
                  <v:f eqn="sum 10800 0 @2"/>
                  <v:f eqn="sum 10800 @2 0"/>
                  <v:f eqn="sin 10800 @1"/>
                  <v:f eqn="sum 10800 0 @5"/>
                  <v:f eqn="sum 10800 @5 0"/>
                  <v:f eqn="prod @0 9239 10000"/>
                  <v:f eqn="prod @0 3827 10000"/>
                  <v:f eqn="sum 10800 0 @8"/>
                  <v:f eqn="sum 10800 0 @9"/>
                  <v:f eqn="sum 10800 @9 0"/>
                  <v:f eqn="sum 10800 @8 0"/>
                  <v:f eqn="sum 10800 0 @0"/>
                </v:formulas>
                <v:path gradientshapeok="t" o:connecttype="rect" textboxrect="@10,@10,@13,@13"/>
                <v:handles>
                  <v:h position="10800,@14"/>
                </v:handles>
              </v:shapetype>
              <v:shape id="shape_0" ID="Shape 20" fillcolor="#729fcf" stroked="t" o:allowincell="f" style="position:absolute;margin-left:162pt;margin-top:-1.55pt;width:103.95pt;height:86.75pt;mso-wrap-style:none;v-text-anchor:middle" type="_x0000_t58">
                <v:textbox>
                  <w:txbxContent>
                    <w:p>
                      <w:pPr>
                        <w:bidi w:val="0"/>
                        <w:spacing w:before="0" w:after="0" w:lineRule="auto" w:line="240"/>
                        <w:jc w:val="center"/>
                        <w:rPr/>
                      </w:pPr>
                      <w:r>
                        <w:rPr>
                          <w:sz w:val="20"/>
                          <w:szCs w:val="20"/>
                          <w:rFonts w:ascii="Cambria" w:hAnsi="Cambria" w:cs="Cambria"/>
                          <w:color w:val="000000"/>
                        </w:rPr>
                        <w:t xml:space="preserve">Fact: </w:t>
                      </w:r>
                    </w:p>
                    <w:p>
                      <w:pPr>
                        <w:bidi w:val="0"/>
                        <w:spacing w:before="0" w:after="0" w:lineRule="auto" w:line="240"/>
                        <w:jc w:val="center"/>
                        <w:rPr/>
                      </w:pPr>
                      <w:r>
                        <w:rPr>
                          <w:sz w:val="20"/>
                          <w:szCs w:val="20"/>
                          <w:rFonts w:ascii="Cambria" w:hAnsi="Cambria" w:cs="Cambria"/>
                          <w:color w:val="000000"/>
                        </w:rPr>
                        <w:t xml:space="preserve">Patient </w:t>
                      </w:r>
                    </w:p>
                    <w:p>
                      <w:pPr>
                        <w:bidi w:val="0"/>
                        <w:spacing w:before="0" w:after="0" w:lineRule="auto" w:line="240"/>
                        <w:jc w:val="center"/>
                        <w:rPr/>
                      </w:pPr>
                      <w:r>
                        <w:rPr>
                          <w:sz w:val="20"/>
                          <w:szCs w:val="20"/>
                          <w:rFonts w:ascii="Cambria" w:hAnsi="Cambria" w:cs="Cambria"/>
                          <w:color w:val="000000"/>
                        </w:rPr>
                        <w:t>Activity</w:t>
                      </w:r>
                    </w:p>
                  </w:txbxContent>
                </v:textbox>
                <v:fill o:detectmouseclick="t" color2="#8d6030"/>
                <v:stroke color="#3465a4" joinstyle="round" endcap="flat"/>
                <w10:wrap type="none"/>
              </v:shape>
            </w:pict>
          </mc:Fallback>
        </mc:AlternateContent>
        <mc:AlternateContent>
          <mc:Choice Requires="wps">
            <w:drawing>
              <wp:anchor behindDoc="0" distT="635" distB="635" distL="635" distR="635" simplePos="0" locked="0" layoutInCell="1" allowOverlap="1" relativeHeight="6">
                <wp:simplePos x="0" y="0"/>
                <wp:positionH relativeFrom="column">
                  <wp:posOffset>3013075</wp:posOffset>
                </wp:positionH>
                <wp:positionV relativeFrom="paragraph">
                  <wp:posOffset>60325</wp:posOffset>
                </wp:positionV>
                <wp:extent cx="1127125" cy="400050"/>
                <wp:effectExtent l="635" t="635" r="635" b="635"/>
                <wp:wrapNone/>
                <wp:docPr id="19" name="Horizontal line 7"/>
                <a:graphic xmlns:a="http://schemas.openxmlformats.org/drawingml/2006/main">
                  <a:graphicData uri="http://schemas.microsoft.com/office/word/2010/wordprocessingShape">
                    <wps:wsp>
                      <wps:cNvSpPr/>
                      <wps:spPr>
                        <a:xfrm flipH="1">
                          <a:off x="0" y="0"/>
                          <a:ext cx="1127160" cy="39996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237.25pt,4.75pt" to="325.95pt,36.2pt" ID="Horizontal line 7" stroked="t" o:allowincell="f" style="position:absolute;flip:x">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11">
                <wp:simplePos x="0" y="0"/>
                <wp:positionH relativeFrom="column">
                  <wp:posOffset>615950</wp:posOffset>
                </wp:positionH>
                <wp:positionV relativeFrom="paragraph">
                  <wp:posOffset>-130175</wp:posOffset>
                </wp:positionV>
                <wp:extent cx="819150" cy="438150"/>
                <wp:effectExtent l="635" t="635" r="635" b="635"/>
                <wp:wrapNone/>
                <wp:docPr id="20" name="Shape 13"/>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Patient</w:t>
                            </w:r>
                          </w:p>
                        </w:txbxContent>
                      </wps:txbx>
                      <wps:bodyPr lIns="0" rIns="0" tIns="0" bIns="0" anchor="ctr">
                        <a:noAutofit/>
                      </wps:bodyPr>
                    </wps:wsp>
                  </a:graphicData>
                </a:graphic>
              </wp:anchor>
            </w:drawing>
          </mc:Choice>
          <mc:Fallback>
            <w:pict>
              <v:rect id="shape_0" ID="Shape 13" path="m0,0l-2147483645,0l-2147483645,-2147483646l0,-2147483646xe" fillcolor="#729fcf" stroked="t" o:allowincell="f" style="position:absolute;margin-left:48.5pt;margin-top:-10.2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Patient</w:t>
                      </w:r>
                    </w:p>
                  </w:txbxContent>
                </v:textbox>
                <w10:wrap type="none"/>
              </v:rect>
            </w:pict>
          </mc:Fallback>
        </mc:AlternateContent>
        <mc:AlternateContent>
          <mc:Choice Requires="wps">
            <w:drawing>
              <wp:anchor behindDoc="0" distT="635" distB="635" distL="635" distR="635" simplePos="0" locked="0" layoutInCell="1" allowOverlap="1" relativeHeight="22">
                <wp:simplePos x="0" y="0"/>
                <wp:positionH relativeFrom="column">
                  <wp:posOffset>1403350</wp:posOffset>
                </wp:positionH>
                <wp:positionV relativeFrom="paragraph">
                  <wp:posOffset>92075</wp:posOffset>
                </wp:positionV>
                <wp:extent cx="939800" cy="349250"/>
                <wp:effectExtent l="635" t="635" r="635" b="635"/>
                <wp:wrapNone/>
                <wp:docPr id="21" name="Horizontal line 1"/>
                <a:graphic xmlns:a="http://schemas.openxmlformats.org/drawingml/2006/main">
                  <a:graphicData uri="http://schemas.microsoft.com/office/word/2010/wordprocessingShape">
                    <wps:wsp>
                      <wps:cNvSpPr/>
                      <wps:spPr>
                        <a:xfrm>
                          <a:off x="0" y="0"/>
                          <a:ext cx="939960" cy="34920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110.5pt,7.25pt" to="184.45pt,34.7pt" ID="Horizontal line 1" stroked="t" o:allowincell="f" style="position:absolute">
                <v:stroke color="#3465a4" joinstyle="round" endcap="flat"/>
                <v:fill o:detectmouseclick="t" on="false"/>
                <w10:wrap type="none"/>
              </v:line>
            </w:pict>
          </mc:Fallback>
        </mc:AlternateContent>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7">
                <wp:simplePos x="0" y="0"/>
                <wp:positionH relativeFrom="column">
                  <wp:posOffset>2940050</wp:posOffset>
                </wp:positionH>
                <wp:positionV relativeFrom="paragraph">
                  <wp:posOffset>-24765</wp:posOffset>
                </wp:positionV>
                <wp:extent cx="1377950" cy="190500"/>
                <wp:effectExtent l="635" t="635" r="635" b="635"/>
                <wp:wrapNone/>
                <wp:docPr id="22" name="Horizontal line 3"/>
                <a:graphic xmlns:a="http://schemas.openxmlformats.org/drawingml/2006/main">
                  <a:graphicData uri="http://schemas.microsoft.com/office/word/2010/wordprocessingShape">
                    <wps:wsp>
                      <wps:cNvSpPr/>
                      <wps:spPr>
                        <a:xfrm>
                          <a:off x="0" y="0"/>
                          <a:ext cx="1378080" cy="19044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231.5pt,-1.95pt" to="339.95pt,13pt" ID="Horizontal line 3" stroked="t" o:allowincell="f" style="position:absolute">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8">
                <wp:simplePos x="0" y="0"/>
                <wp:positionH relativeFrom="column">
                  <wp:posOffset>2895600</wp:posOffset>
                </wp:positionH>
                <wp:positionV relativeFrom="paragraph">
                  <wp:posOffset>155575</wp:posOffset>
                </wp:positionV>
                <wp:extent cx="666750" cy="614045"/>
                <wp:effectExtent l="635" t="635" r="635" b="635"/>
                <wp:wrapNone/>
                <wp:docPr id="23" name="Horizontal line 8"/>
                <a:graphic xmlns:a="http://schemas.openxmlformats.org/drawingml/2006/main">
                  <a:graphicData uri="http://schemas.microsoft.com/office/word/2010/wordprocessingShape">
                    <wps:wsp>
                      <wps:cNvSpPr/>
                      <wps:spPr>
                        <a:xfrm>
                          <a:off x="0" y="0"/>
                          <a:ext cx="666720" cy="61416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228pt,12.25pt" to="280.45pt,60.55pt" ID="Horizontal line 8" stroked="t" o:allowincell="f" style="position:absolute">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9">
                <wp:simplePos x="0" y="0"/>
                <wp:positionH relativeFrom="column">
                  <wp:posOffset>609600</wp:posOffset>
                </wp:positionH>
                <wp:positionV relativeFrom="paragraph">
                  <wp:posOffset>60960</wp:posOffset>
                </wp:positionV>
                <wp:extent cx="819150" cy="438150"/>
                <wp:effectExtent l="635" t="635" r="635" b="635"/>
                <wp:wrapNone/>
                <wp:docPr id="24" name="Shape 11"/>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Loc</w:t>
                            </w:r>
                          </w:p>
                        </w:txbxContent>
                      </wps:txbx>
                      <wps:bodyPr lIns="0" rIns="0" tIns="0" bIns="0" anchor="ctr">
                        <a:noAutofit/>
                      </wps:bodyPr>
                    </wps:wsp>
                  </a:graphicData>
                </a:graphic>
              </wp:anchor>
            </w:drawing>
          </mc:Choice>
          <mc:Fallback>
            <w:pict>
              <v:rect id="shape_0" ID="Shape 11" path="m0,0l-2147483645,0l-2147483645,-2147483646l0,-2147483646xe" fillcolor="#729fcf" stroked="t" o:allowincell="f" style="position:absolute;margin-left:48pt;margin-top:4.8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Loc</w:t>
                      </w:r>
                    </w:p>
                  </w:txbxContent>
                </v:textbox>
                <w10:wrap type="none"/>
              </v:rect>
            </w:pict>
          </mc:Fallback>
        </mc:AlternateContent>
        <mc:AlternateContent>
          <mc:Choice Requires="wps">
            <w:drawing>
              <wp:anchor behindDoc="0" distT="635" distB="635" distL="635" distR="635" simplePos="0" locked="0" layoutInCell="1" allowOverlap="1" relativeHeight="13">
                <wp:simplePos x="0" y="0"/>
                <wp:positionH relativeFrom="column">
                  <wp:posOffset>1428750</wp:posOffset>
                </wp:positionH>
                <wp:positionV relativeFrom="paragraph">
                  <wp:posOffset>-62865</wp:posOffset>
                </wp:positionV>
                <wp:extent cx="1022350" cy="349250"/>
                <wp:effectExtent l="635" t="635" r="635" b="635"/>
                <wp:wrapNone/>
                <wp:docPr id="25" name="Horizontal line 10"/>
                <a:graphic xmlns:a="http://schemas.openxmlformats.org/drawingml/2006/main">
                  <a:graphicData uri="http://schemas.microsoft.com/office/word/2010/wordprocessingShape">
                    <wps:wsp>
                      <wps:cNvSpPr/>
                      <wps:spPr>
                        <a:xfrm flipV="1">
                          <a:off x="0" y="0"/>
                          <a:ext cx="1022400" cy="34920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112.5pt,-4.95pt" to="192.95pt,22.5pt" ID="Horizontal line 10" stroked="t" o:allowincell="f" style="position:absolute;flip:y">
                <v:stroke color="#3465a4" joinstyle="round" endcap="flat"/>
                <v:fill o:detectmouseclick="t" on="false"/>
                <w10:wrap type="none"/>
              </v:line>
            </w:pict>
          </mc:Fallback>
        </mc:AlternateContent>
        <mc:AlternateContent>
          <mc:Choice Requires="wps">
            <w:drawing>
              <wp:anchor behindDoc="0" distT="635" distB="635" distL="635" distR="635" simplePos="0" locked="0" layoutInCell="1" allowOverlap="1" relativeHeight="14">
                <wp:simplePos x="0" y="0"/>
                <wp:positionH relativeFrom="column">
                  <wp:posOffset>4077970</wp:posOffset>
                </wp:positionH>
                <wp:positionV relativeFrom="paragraph">
                  <wp:posOffset>-24765</wp:posOffset>
                </wp:positionV>
                <wp:extent cx="819150" cy="438150"/>
                <wp:effectExtent l="635" t="635" r="635" b="635"/>
                <wp:wrapNone/>
                <wp:docPr id="26" name="Shape 10"/>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Proc</w:t>
                            </w:r>
                          </w:p>
                        </w:txbxContent>
                      </wps:txbx>
                      <wps:bodyPr lIns="0" rIns="0" tIns="0" bIns="0" anchor="ctr">
                        <a:noAutofit/>
                      </wps:bodyPr>
                    </wps:wsp>
                  </a:graphicData>
                </a:graphic>
              </wp:anchor>
            </w:drawing>
          </mc:Choice>
          <mc:Fallback>
            <w:pict>
              <v:rect id="shape_0" ID="Shape 10" path="m0,0l-2147483645,0l-2147483645,-2147483646l0,-2147483646xe" fillcolor="#729fcf" stroked="t" o:allowincell="f" style="position:absolute;margin-left:321.1pt;margin-top:-1.9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Proc</w:t>
                      </w:r>
                    </w:p>
                  </w:txbxContent>
                </v:textbox>
                <w10:wrap type="none"/>
              </v:rect>
            </w:pict>
          </mc:Fallback>
        </mc:AlternateContent>
      </w:r>
    </w:p>
    <w:p>
      <w:pPr>
        <w:pStyle w:val="Normal"/>
        <w:bidi w:val="0"/>
        <w:jc w:val="left"/>
        <w:rPr>
          <w:b/>
          <w:bCs/>
          <w:i/>
          <w:i/>
          <w:iCs/>
          <w:sz w:val="24"/>
          <w:szCs w:val="24"/>
        </w:rPr>
      </w:pPr>
      <w:r>
        <w:rPr>
          <w:b/>
          <w:bCs/>
          <w:i/>
          <w:iCs/>
          <w:sz w:val="24"/>
          <w:szCs w:val="24"/>
        </w:rPr>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20">
                <wp:simplePos x="0" y="0"/>
                <wp:positionH relativeFrom="column">
                  <wp:posOffset>2146300</wp:posOffset>
                </wp:positionH>
                <wp:positionV relativeFrom="paragraph">
                  <wp:posOffset>-130810</wp:posOffset>
                </wp:positionV>
                <wp:extent cx="292100" cy="609600"/>
                <wp:effectExtent l="635" t="635" r="635" b="635"/>
                <wp:wrapNone/>
                <wp:docPr id="27" name="Horizontal line 4"/>
                <a:graphic xmlns:a="http://schemas.openxmlformats.org/drawingml/2006/main">
                  <a:graphicData uri="http://schemas.microsoft.com/office/word/2010/wordprocessingShape">
                    <wps:wsp>
                      <wps:cNvSpPr/>
                      <wps:spPr>
                        <a:xfrm flipV="1">
                          <a:off x="0" y="0"/>
                          <a:ext cx="291960" cy="609480"/>
                        </a:xfrm>
                        <a:prstGeom prst="line">
                          <a:avLst/>
                        </a:prstGeom>
                        <a:ln w="0">
                          <a:solidFill>
                            <a:srgbClr val="3465a4"/>
                          </a:solidFill>
                        </a:ln>
                      </wps:spPr>
                      <wps:style>
                        <a:lnRef idx="0"/>
                        <a:fillRef idx="0"/>
                        <a:effectRef idx="0"/>
                        <a:fontRef idx="minor"/>
                      </wps:style>
                      <wps:bodyPr/>
                    </wps:wsp>
                  </a:graphicData>
                </a:graphic>
              </wp:anchor>
            </w:drawing>
          </mc:Choice>
          <mc:Fallback>
            <w:pict>
              <v:line id="shape_0" from="169pt,-10.3pt" to="191.95pt,37.65pt" ID="Horizontal line 4" stroked="t" o:allowincell="f" style="position:absolute;flip:y">
                <v:stroke color="#3465a4" joinstyle="round" endcap="flat"/>
                <v:fill o:detectmouseclick="t" on="false"/>
                <w10:wrap type="none"/>
              </v:line>
            </w:pict>
          </mc:Fallback>
        </mc:AlternateContent>
      </w:r>
    </w:p>
    <w:p>
      <w:pPr>
        <w:pStyle w:val="Normal"/>
        <w:bidi w:val="0"/>
        <w:jc w:val="left"/>
        <w:rPr>
          <w:b/>
          <w:bCs/>
          <w:i/>
          <w:i/>
          <w:iCs/>
          <w:sz w:val="24"/>
          <w:szCs w:val="24"/>
        </w:rPr>
      </w:pPr>
      <w:r>
        <w:rPr>
          <w:b/>
          <w:bCs/>
          <w:i/>
          <w:iCs/>
          <w:sz w:val="24"/>
          <w:szCs w:val="24"/>
        </w:rPr>
        <mc:AlternateContent>
          <mc:Choice Requires="wps">
            <w:drawing>
              <wp:anchor behindDoc="0" distT="635" distB="635" distL="635" distR="635" simplePos="0" locked="0" layoutInCell="1" allowOverlap="1" relativeHeight="16">
                <wp:simplePos x="0" y="0"/>
                <wp:positionH relativeFrom="column">
                  <wp:posOffset>1726565</wp:posOffset>
                </wp:positionH>
                <wp:positionV relativeFrom="paragraph">
                  <wp:posOffset>106680</wp:posOffset>
                </wp:positionV>
                <wp:extent cx="819150" cy="438150"/>
                <wp:effectExtent l="635" t="635" r="635" b="635"/>
                <wp:wrapNone/>
                <wp:docPr id="28" name="Shape 15"/>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Service</w:t>
                            </w:r>
                          </w:p>
                        </w:txbxContent>
                      </wps:txbx>
                      <wps:bodyPr lIns="0" rIns="0" tIns="0" bIns="0" anchor="ctr">
                        <a:noAutofit/>
                      </wps:bodyPr>
                    </wps:wsp>
                  </a:graphicData>
                </a:graphic>
              </wp:anchor>
            </w:drawing>
          </mc:Choice>
          <mc:Fallback>
            <w:pict>
              <v:rect id="shape_0" ID="Shape 15" path="m0,0l-2147483645,0l-2147483645,-2147483646l0,-2147483646xe" fillcolor="#729fcf" stroked="t" o:allowincell="f" style="position:absolute;margin-left:135.95pt;margin-top:8.4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0"/>
                          <w:szCs w:val="20"/>
                        </w:rPr>
                        <w:t xml:space="preserve">     </w:t>
                      </w:r>
                      <w:r>
                        <w:rPr>
                          <w:rFonts w:cs="Noto Sans" w:ascii="Cambria" w:hAnsi="Cambria"/>
                          <w:color w:val="000000"/>
                          <w:sz w:val="20"/>
                          <w:szCs w:val="20"/>
                        </w:rPr>
                        <w:t>Service</w:t>
                      </w:r>
                    </w:p>
                  </w:txbxContent>
                </v:textbox>
                <w10:wrap type="none"/>
              </v:rect>
            </w:pict>
          </mc:Fallback>
        </mc:AlternateContent>
      </w:r>
    </w:p>
    <w:p>
      <w:pPr>
        <w:pStyle w:val="Normal"/>
        <w:bidi w:val="0"/>
        <w:jc w:val="center"/>
        <w:rPr/>
      </w:pPr>
      <w:r>
        <w:rPr/>
        <mc:AlternateContent>
          <mc:Choice Requires="wps">
            <w:drawing>
              <wp:anchor behindDoc="0" distT="635" distB="635" distL="635" distR="635" simplePos="0" locked="0" layoutInCell="1" allowOverlap="1" relativeHeight="18">
                <wp:simplePos x="0" y="0"/>
                <wp:positionH relativeFrom="column">
                  <wp:posOffset>2935605</wp:posOffset>
                </wp:positionH>
                <wp:positionV relativeFrom="paragraph">
                  <wp:posOffset>-95250</wp:posOffset>
                </wp:positionV>
                <wp:extent cx="819150" cy="438150"/>
                <wp:effectExtent l="635" t="635" r="635" b="635"/>
                <wp:wrapNone/>
                <wp:docPr id="29" name="Shape 12"/>
                <a:graphic xmlns:a="http://schemas.openxmlformats.org/drawingml/2006/main">
                  <a:graphicData uri="http://schemas.microsoft.com/office/word/2010/wordprocessingShape">
                    <wps:wsp>
                      <wps:cNvSpPr/>
                      <wps:spPr>
                        <a:xfrm>
                          <a:off x="0" y="0"/>
                          <a:ext cx="819000" cy="438120"/>
                        </a:xfrm>
                        <a:prstGeom prst="rect">
                          <a:avLst/>
                        </a:prstGeom>
                        <a:solidFill>
                          <a:srgbClr val="729fcf"/>
                        </a:solidFill>
                        <a:ln w="0">
                          <a:solidFill>
                            <a:srgbClr val="3465a4"/>
                          </a:solidFill>
                        </a:ln>
                      </wps:spPr>
                      <wps:style>
                        <a:lnRef idx="0"/>
                        <a:fillRef idx="0"/>
                        <a:effectRef idx="0"/>
                        <a:fontRef idx="minor"/>
                      </wps:style>
                      <wps:txb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Staff</w:t>
                            </w:r>
                          </w:p>
                        </w:txbxContent>
                      </wps:txbx>
                      <wps:bodyPr lIns="0" rIns="0" tIns="0" bIns="0" anchor="ctr">
                        <a:noAutofit/>
                      </wps:bodyPr>
                    </wps:wsp>
                  </a:graphicData>
                </a:graphic>
              </wp:anchor>
            </w:drawing>
          </mc:Choice>
          <mc:Fallback>
            <w:pict>
              <v:rect id="shape_0" ID="Shape 12" path="m0,0l-2147483645,0l-2147483645,-2147483646l0,-2147483646xe" fillcolor="#729fcf" stroked="t" o:allowincell="f" style="position:absolute;margin-left:231.15pt;margin-top:-7.5pt;width:64.45pt;height:34.45pt;mso-wrap-style:square;v-text-anchor:middle">
                <v:fill o:detectmouseclick="t" type="solid" color2="#8d6030"/>
                <v:stroke color="#3465a4" joinstyle="round" endcap="flat"/>
                <v:textbox>
                  <w:txbxContent>
                    <w:p>
                      <w:pPr>
                        <w:pStyle w:val="FrameContents"/>
                        <w:bidi w:val="0"/>
                        <w:spacing w:lineRule="auto" w:line="240" w:before="0" w:after="0"/>
                        <w:jc w:val="left"/>
                        <w:rPr>
                          <w:color w:val="000000"/>
                        </w:rPr>
                      </w:pPr>
                      <w:r>
                        <w:rPr>
                          <w:rFonts w:cs="Noto Sans" w:ascii="Cambria" w:hAnsi="Cambria"/>
                          <w:color w:val="000000"/>
                          <w:sz w:val="22"/>
                        </w:rPr>
                        <w:t xml:space="preserve">       </w:t>
                      </w:r>
                      <w:r>
                        <w:rPr>
                          <w:rFonts w:cs="Noto Sans" w:ascii="Cambria" w:hAnsi="Cambria"/>
                          <w:color w:val="000000"/>
                          <w:sz w:val="22"/>
                        </w:rPr>
                        <w:t>Staff</w:t>
                      </w:r>
                    </w:p>
                  </w:txbxContent>
                </v:textbox>
                <w10:wrap type="none"/>
              </v:rect>
            </w:pict>
          </mc:Fallback>
        </mc:AlternateContent>
      </w:r>
    </w:p>
    <w:p>
      <w:pPr>
        <w:pStyle w:val="Normal"/>
        <w:bidi w:val="0"/>
        <w:jc w:val="left"/>
        <w:rPr>
          <w:i/>
          <w:i/>
          <w:iCs/>
          <w:sz w:val="20"/>
          <w:szCs w:val="20"/>
        </w:rPr>
      </w:pPr>
      <w:r>
        <w:rPr>
          <w:i/>
          <w:iCs/>
          <w:sz w:val="20"/>
          <w:szCs w:val="20"/>
        </w:rPr>
      </w:r>
    </w:p>
    <w:p>
      <w:pPr>
        <w:pStyle w:val="Normal"/>
        <w:bidi w:val="0"/>
        <w:jc w:val="left"/>
        <w:rPr>
          <w:i/>
          <w:i/>
          <w:iCs/>
          <w:sz w:val="20"/>
          <w:szCs w:val="20"/>
        </w:rPr>
      </w:pPr>
      <w:r>
        <w:rPr>
          <w:i/>
          <w:iCs/>
          <w:sz w:val="20"/>
          <w:szCs w:val="20"/>
        </w:rPr>
      </w:r>
    </w:p>
    <w:p>
      <w:pPr>
        <w:pStyle w:val="Normal"/>
        <w:bidi w:val="0"/>
        <w:jc w:val="left"/>
        <w:rPr>
          <w:i/>
          <w:i/>
          <w:iCs/>
          <w:sz w:val="20"/>
          <w:szCs w:val="20"/>
        </w:rPr>
      </w:pPr>
      <w:r>
        <w:rPr>
          <w:i/>
          <w:iCs/>
          <w:sz w:val="20"/>
          <w:szCs w:val="20"/>
        </w:rPr>
        <w:t>Figure 2. NHS England Star Schema.</w:t>
      </w:r>
    </w:p>
    <w:p>
      <w:pPr>
        <w:pStyle w:val="Normal"/>
        <w:bidi w:val="0"/>
        <w:jc w:val="left"/>
        <w:rPr/>
      </w:pPr>
      <w:r>
        <w:rPr/>
      </w:r>
    </w:p>
    <w:p>
      <w:pPr>
        <w:pStyle w:val="Normal"/>
        <w:bidi w:val="0"/>
        <w:jc w:val="left"/>
        <w:rPr/>
      </w:pPr>
      <w:r>
        <w:rPr/>
        <w:t>The central fact table should be FACT_PATIENT_ACTIVITY, because it captures the main clinical events that NHS England needs to analyse. Around it, the dimensions supply the context needed to examine activity by time, provider, staff group, diagnosis, location, and service type [1][2]. Separate fact tables such as FACT_FINANCE and FACT_WORKFORCE can reuse the same conformed dimensions, which allows financial, operational, and workforce analysis to remain consistent across the warehouse [2][3].</w:t>
      </w:r>
    </w:p>
    <w:p>
      <w:pPr>
        <w:pStyle w:val="Normal"/>
        <w:bidi w:val="0"/>
        <w:jc w:val="left"/>
        <w:rPr>
          <w:b/>
        </w:rPr>
      </w:pPr>
      <w:r>
        <w:rPr>
          <w:b/>
        </w:rPr>
      </w:r>
    </w:p>
    <w:p>
      <w:pPr>
        <w:pStyle w:val="Normal"/>
        <w:bidi w:val="0"/>
        <w:jc w:val="left"/>
        <w:rPr/>
      </w:pPr>
      <w:r>
        <w:rPr/>
        <w:t xml:space="preserve">Table </w:t>
      </w:r>
      <w:r>
        <w:rPr/>
        <w:t>2.</w:t>
      </w:r>
      <w:r>
        <w:rPr/>
        <w:t xml:space="preserve"> can be used here to show the star-schema design for NHS England in detail, illustrating a central fact table linked to conformed dimensions such as patient, date, provider, staff, diagnosis, procedure, location, and service.</w:t>
      </w:r>
    </w:p>
    <w:p>
      <w:pPr>
        <w:pStyle w:val="Normal"/>
        <w:bidi w:val="0"/>
        <w:jc w:val="left"/>
        <w:rPr/>
      </w:pPr>
      <w:r>
        <w:rPr/>
      </w:r>
    </w:p>
    <w:tbl>
      <w:tblPr>
        <w:tblW w:w="9180" w:type="dxa"/>
        <w:jc w:val="left"/>
        <w:tblInd w:w="-226" w:type="dxa"/>
        <w:tblLayout w:type="fixed"/>
        <w:tblCellMar>
          <w:top w:w="0" w:type="dxa"/>
          <w:left w:w="108" w:type="dxa"/>
          <w:bottom w:w="0" w:type="dxa"/>
          <w:right w:w="108" w:type="dxa"/>
        </w:tblCellMar>
      </w:tblPr>
      <w:tblGrid>
        <w:gridCol w:w="1724"/>
        <w:gridCol w:w="1164"/>
        <w:gridCol w:w="1992"/>
        <w:gridCol w:w="2028"/>
        <w:gridCol w:w="2272"/>
      </w:tblGrid>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Table name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Type</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Main role</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Example key fields</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center"/>
              <w:rPr>
                <w:rFonts w:eastAsia="ＭＳ 明朝"/>
                <w:b/>
                <w:bCs/>
                <w:kern w:val="0"/>
                <w:sz w:val="20"/>
                <w:szCs w:val="20"/>
                <w:lang w:val="en-US" w:eastAsia="en-US" w:bidi="ar-SA"/>
              </w:rPr>
            </w:pPr>
            <w:r>
              <w:rPr>
                <w:rFonts w:eastAsia="ＭＳ 明朝"/>
                <w:b/>
                <w:bCs/>
                <w:kern w:val="0"/>
                <w:sz w:val="20"/>
                <w:szCs w:val="20"/>
                <w:lang w:val="en-US" w:eastAsia="en-US" w:bidi="ar-SA"/>
              </w:rPr>
              <w:t>NHS England purpose</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FACT_PATIENT_ACTIVITY</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Stores measurable patient events</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activity_key, patient_key, date_key, provider_key, staff_key, diagnosis_key, procedure_key</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Tracks admissions, discharges, outpatient attendances, length of stay, RTT days, readmissions, and tariff value.</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DIM_PATIENT</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the patient</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patient_key, NHS_number, age_band, gender, ethnicity, deprivation_decile, ICS_area</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analysis by demographic group, inequality, and population health context.</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DIM_DATE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time</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date_key, date, month, quarter, year, financial_year, week</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trend analysis across days, months, quarters, and reporting periods.</w:t>
            </w:r>
          </w:p>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r>
          </w:p>
        </w:tc>
      </w:tr>
      <w:tr>
        <w:trPr/>
        <w:tc>
          <w:tcPr>
            <w:tcW w:w="1724"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DIM_PROVIDER</w:t>
            </w:r>
          </w:p>
        </w:tc>
        <w:tc>
          <w:tcPr>
            <w:tcW w:w="1164"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Trust or provider</w:t>
            </w:r>
          </w:p>
        </w:tc>
        <w:tc>
          <w:tcPr>
            <w:tcW w:w="2028"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provider_key, trust_name, site, region, specialty, care_setting</w:t>
            </w:r>
          </w:p>
        </w:tc>
        <w:tc>
          <w:tcPr>
            <w:tcW w:w="2272" w:type="dxa"/>
            <w:tcBorders>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Enables comparison across hospitals, regions, and service settings.</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DIM_STAFF</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workforce context</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staff_key, staff_id, role, band, contract_type, department</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workforce analysis, staffing pressure, and rota-related reporting.</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DIM_DIAGNOSIS</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clinical condition</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diagnosis_key, ICD10_code, description, category, chapter</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Allows analysis by diagnosis type, case mix, and clinical burden.</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DIM_PROCEDURE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treatment or intervention</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procedure_key, OPCS_code, description, procedure_group</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analysis of treatment activity and procedure-level performance.</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DIM_LOCATION</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geography and site</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location_key, hospital, ward, clinic, region, ICS</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Enables analysis by site, ward, region, and care pathway location.</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DIM_SERVICE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Dimension</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Describes service line</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service_key, service_type, specialty, care_pathway, urgency</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reporting by acute, outpatient, community, mental health, and specialist services.</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FACT_FINANCE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Stores financial measures</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finance_key, provider_key, date_key, tariff_code, cost, budget, variance</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Tracks treatment cost, tariff income, and budget adherence.</w:t>
            </w:r>
          </w:p>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r>
          </w:p>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r>
          </w:p>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FACT_WORKFORCE</w:t>
            </w:r>
          </w:p>
          <w:p>
            <w:pPr>
              <w:pStyle w:val="Normal"/>
              <w:widowControl/>
              <w:bidi w:val="0"/>
              <w:spacing w:lineRule="auto" w:line="240" w:before="0" w:after="0"/>
              <w:jc w:val="left"/>
              <w:rPr/>
            </w:pPr>
            <w:r>
              <w:rPr/>
            </w:r>
          </w:p>
          <w:p>
            <w:pPr>
              <w:pStyle w:val="Normal"/>
              <w:widowControl/>
              <w:bidi w:val="0"/>
              <w:spacing w:lineRule="auto" w:line="240" w:before="0" w:after="0"/>
              <w:jc w:val="left"/>
              <w:rPr/>
            </w:pPr>
            <w:r>
              <w:rPr/>
            </w:r>
          </w:p>
          <w:p>
            <w:pPr>
              <w:pStyle w:val="Normal"/>
              <w:widowControl/>
              <w:bidi w:val="0"/>
              <w:spacing w:lineRule="auto" w:line="240" w:before="0" w:after="0"/>
              <w:jc w:val="left"/>
              <w:rPr/>
            </w:pPr>
            <w:r>
              <w:rPr/>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Stores workforce measures</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workforce_key, staff_key, date_key, shift_hours, agency_hours, sickness_days</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Supports staffing, absence, and agency-cost analysis.</w:t>
            </w:r>
          </w:p>
        </w:tc>
      </w:tr>
      <w:tr>
        <w:trPr/>
        <w:tc>
          <w:tcPr>
            <w:tcW w:w="172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AGG_MONTHLY_PERFORMANCE</w:t>
            </w:r>
          </w:p>
        </w:tc>
        <w:tc>
          <w:tcPr>
            <w:tcW w:w="1164"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Aggregate</w:t>
            </w:r>
          </w:p>
        </w:tc>
        <w:tc>
          <w:tcPr>
            <w:tcW w:w="199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Summarises monthly indicators</w:t>
            </w:r>
          </w:p>
        </w:tc>
        <w:tc>
          <w:tcPr>
            <w:tcW w:w="2028"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month_key, provider_key, RTT_breaches, bed_occupancy_pct, readmission_rate</w:t>
            </w:r>
          </w:p>
        </w:tc>
        <w:tc>
          <w:tcPr>
            <w:tcW w:w="2272"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Provides high-level executive reporting and dashboard performance measures.</w:t>
            </w:r>
          </w:p>
        </w:tc>
      </w:tr>
    </w:tbl>
    <w:p>
      <w:pPr>
        <w:pStyle w:val="Normal"/>
        <w:bidi w:val="0"/>
        <w:jc w:val="left"/>
        <w:rPr>
          <w:b w:val="false"/>
          <w:bCs w:val="false"/>
          <w:i/>
          <w:i/>
          <w:iCs/>
          <w:sz w:val="20"/>
          <w:szCs w:val="20"/>
        </w:rPr>
      </w:pPr>
      <w:r>
        <w:rPr>
          <w:b w:val="false"/>
          <w:bCs w:val="false"/>
          <w:i/>
          <w:iCs/>
          <w:sz w:val="20"/>
          <w:szCs w:val="20"/>
        </w:rPr>
        <w:t xml:space="preserve">Table </w:t>
      </w:r>
      <w:r>
        <w:rPr>
          <w:b w:val="false"/>
          <w:bCs w:val="false"/>
          <w:i/>
          <w:iCs/>
          <w:sz w:val="20"/>
          <w:szCs w:val="20"/>
        </w:rPr>
        <w:t>2</w:t>
      </w:r>
      <w:r>
        <w:rPr>
          <w:b w:val="false"/>
          <w:bCs w:val="false"/>
          <w:i/>
          <w:iCs/>
          <w:sz w:val="20"/>
          <w:szCs w:val="20"/>
        </w:rPr>
        <w:t>. Star-schema design for NHS England.</w:t>
      </w:r>
    </w:p>
    <w:p>
      <w:pPr>
        <w:pStyle w:val="Normal"/>
        <w:bidi w:val="0"/>
        <w:jc w:val="left"/>
        <w:rPr/>
      </w:pPr>
      <w:r>
        <w:rPr/>
      </w:r>
    </w:p>
    <w:p>
      <w:pPr>
        <w:pStyle w:val="Normal"/>
        <w:bidi w:val="0"/>
        <w:jc w:val="left"/>
        <w:rPr/>
      </w:pPr>
      <w:r>
        <w:rPr/>
      </w:r>
    </w:p>
    <w:p>
      <w:pPr>
        <w:pStyle w:val="Heading2"/>
        <w:bidi w:val="0"/>
        <w:ind w:hanging="0" w:left="0"/>
        <w:jc w:val="left"/>
        <w:rPr/>
      </w:pPr>
      <w:bookmarkStart w:id="6" w:name="__RefHeading___Toc3178_1235626407"/>
      <w:bookmarkEnd w:id="6"/>
      <w:r>
        <w:rPr/>
        <w:t xml:space="preserve"> </w:t>
      </w:r>
      <w:r>
        <w:rPr/>
        <w:t>Data marts and schema</w:t>
      </w:r>
    </w:p>
    <w:p>
      <w:pPr>
        <w:pStyle w:val="Normal"/>
        <w:bidi w:val="0"/>
        <w:jc w:val="left"/>
        <w:rPr/>
      </w:pPr>
      <w:r>
        <w:rPr/>
      </w:r>
    </w:p>
    <w:p>
      <w:pPr>
        <w:pStyle w:val="Normal"/>
        <w:bidi w:val="0"/>
        <w:jc w:val="left"/>
        <w:rPr/>
      </w:pPr>
      <w:r>
        <w:rPr/>
        <w:t>Data marts improve access to enterprise data by presenting information relevant to specific management functions. Rather than querying the entire warehouse, senior managers can access focused datasets that support timely and informed decision-making.</w:t>
      </w:r>
    </w:p>
    <w:p>
      <w:pPr>
        <w:pStyle w:val="Normal"/>
        <w:bidi w:val="0"/>
        <w:jc w:val="left"/>
        <w:rPr/>
      </w:pPr>
      <w:r>
        <w:rPr/>
      </w:r>
    </w:p>
    <w:p>
      <w:pPr>
        <w:pStyle w:val="Normal"/>
        <w:bidi w:val="0"/>
        <w:jc w:val="left"/>
        <w:rPr/>
      </w:pPr>
      <w:r>
        <w:rPr/>
        <w:t>For NHS England, operational data marts provide measures such as patient flow, bed occupancy and referral-to-treatment waiting times. Financial marts support budget monitoring through expenditure, tariff and variance analysis, while clinical quality marts present indicators including readmissions, patient safety incidents and treatment outcomes. Workforce marts contribute staffing, sickness absence and agency usage data, enabling workforce performance to be evaluated alongside operational activity [3], [4], [8].</w:t>
      </w:r>
    </w:p>
    <w:p>
      <w:pPr>
        <w:pStyle w:val="Normal"/>
        <w:bidi w:val="0"/>
        <w:jc w:val="left"/>
        <w:rPr/>
      </w:pPr>
      <w:r>
        <w:rPr/>
      </w:r>
    </w:p>
    <w:p>
      <w:pPr>
        <w:pStyle w:val="Normal"/>
        <w:bidi w:val="0"/>
        <w:jc w:val="left"/>
        <w:rPr/>
      </w:pPr>
      <w:r>
        <w:rPr/>
        <w:t xml:space="preserve">By simplifying complex analytical environments, data marts improve reporting efficiency and encourage wider use of organisational data. However, independently developed marts may create inconsistent business definitions if governance is weak. Building all marts from shared conformed dimensions within the enterprise warehouse ensures consistent reporting while allowing departments to access information tailored to their operational needs. </w:t>
      </w:r>
    </w:p>
    <w:p>
      <w:pPr>
        <w:pStyle w:val="Normal"/>
        <w:bidi w:val="0"/>
        <w:jc w:val="left"/>
        <w:rPr/>
      </w:pPr>
      <w:r>
        <w:rPr/>
      </w:r>
    </w:p>
    <w:p>
      <w:pPr>
        <w:pStyle w:val="Normal"/>
        <w:bidi w:val="0"/>
        <w:jc w:val="left"/>
        <w:rPr/>
      </w:pPr>
      <w:r>
        <w:rPr/>
        <w:t xml:space="preserve">Table </w:t>
      </w:r>
      <w:r>
        <w:rPr/>
        <w:t>3.</w:t>
      </w:r>
      <w:r>
        <w:rPr/>
        <w:t xml:space="preserve"> summarises the proposed management data marts.</w:t>
      </w:r>
    </w:p>
    <w:p>
      <w:pPr>
        <w:pStyle w:val="Normal"/>
        <w:bidi w:val="0"/>
        <w:jc w:val="left"/>
        <w:rPr/>
      </w:pPr>
      <w:r>
        <w:rPr/>
      </w:r>
    </w:p>
    <w:tbl>
      <w:tblPr>
        <w:tblW w:w="8640" w:type="dxa"/>
        <w:jc w:val="left"/>
        <w:tblInd w:w="-226" w:type="dxa"/>
        <w:tblLayout w:type="fixed"/>
        <w:tblCellMar>
          <w:top w:w="0" w:type="dxa"/>
          <w:left w:w="108" w:type="dxa"/>
          <w:bottom w:w="0" w:type="dxa"/>
          <w:right w:w="108" w:type="dxa"/>
        </w:tblCellMar>
      </w:tblPr>
      <w:tblGrid>
        <w:gridCol w:w="2160"/>
        <w:gridCol w:w="2160"/>
        <w:gridCol w:w="2160"/>
        <w:gridCol w:w="2160"/>
      </w:tblGrid>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Data mart</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Primary users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Core measures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Decision use</w:t>
            </w:r>
          </w:p>
        </w:tc>
      </w:tr>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Operational</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CEO, service leads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bed occupancy, RTT, waits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capacity and flow</w:t>
            </w:r>
          </w:p>
        </w:tc>
      </w:tr>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 Director</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cost, tariff, variance</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budget control</w:t>
            </w:r>
          </w:p>
        </w:tc>
      </w:tr>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Clinical quality</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Medical Director</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readmissions, incidents, outcomes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quality improvement</w:t>
            </w:r>
          </w:p>
        </w:tc>
      </w:tr>
      <w:tr>
        <w:trPr/>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Workforce</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HR, planners</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sickness, agency, overtime</w:t>
            </w:r>
          </w:p>
        </w:tc>
        <w:tc>
          <w:tcPr>
            <w:tcW w:w="2160" w:type="dxa"/>
            <w:tcBorders>
              <w:top w:val="single" w:sz="4" w:space="0" w:color="000000"/>
              <w:left w:val="single" w:sz="4" w:space="0" w:color="000000"/>
              <w:bottom w:val="single" w:sz="4" w:space="0" w:color="000000"/>
              <w:right w:val="single" w:sz="4" w:space="0" w:color="000000"/>
            </w:tcBorders>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staffing decisions</w:t>
            </w:r>
          </w:p>
        </w:tc>
      </w:tr>
    </w:tbl>
    <w:p>
      <w:pPr>
        <w:pStyle w:val="Normal"/>
        <w:bidi w:val="0"/>
        <w:jc w:val="left"/>
        <w:rPr>
          <w:i/>
          <w:i/>
          <w:iCs/>
          <w:sz w:val="20"/>
          <w:szCs w:val="20"/>
          <w:u w:val="none"/>
        </w:rPr>
      </w:pPr>
      <w:r>
        <w:rPr>
          <w:i/>
          <w:iCs/>
          <w:sz w:val="20"/>
          <w:szCs w:val="20"/>
          <w:u w:val="none"/>
        </w:rPr>
        <w:t xml:space="preserve">Table </w:t>
      </w:r>
      <w:r>
        <w:rPr>
          <w:i/>
          <w:iCs/>
          <w:sz w:val="20"/>
          <w:szCs w:val="20"/>
          <w:u w:val="none"/>
        </w:rPr>
        <w:t>3</w:t>
      </w:r>
      <w:r>
        <w:rPr>
          <w:i/>
          <w:iCs/>
          <w:sz w:val="20"/>
          <w:szCs w:val="20"/>
          <w:u w:val="none"/>
        </w:rPr>
        <w:t>. Data marts for board reporting.</w:t>
      </w:r>
    </w:p>
    <w:p>
      <w:pPr>
        <w:pStyle w:val="Normal"/>
        <w:bidi w:val="0"/>
        <w:jc w:val="left"/>
        <w:rPr/>
      </w:pPr>
      <w:r>
        <w:rPr/>
      </w:r>
    </w:p>
    <w:p>
      <w:pPr>
        <w:pStyle w:val="Heading2"/>
        <w:bidi w:val="0"/>
        <w:ind w:hanging="0" w:left="0"/>
        <w:jc w:val="left"/>
        <w:rPr/>
      </w:pPr>
      <w:bookmarkStart w:id="7" w:name="__RefHeading___Toc3180_1235626407"/>
      <w:bookmarkEnd w:id="7"/>
      <w:r>
        <w:rPr/>
        <w:t xml:space="preserve"> </w:t>
      </w:r>
      <w:r>
        <w:rPr/>
        <w:t>Integration plan</w:t>
      </w:r>
    </w:p>
    <w:p>
      <w:pPr>
        <w:pStyle w:val="Normal"/>
        <w:bidi w:val="0"/>
        <w:jc w:val="left"/>
        <w:rPr/>
      </w:pPr>
      <w:r>
        <w:rPr/>
      </w:r>
    </w:p>
    <w:p>
      <w:pPr>
        <w:pStyle w:val="Normal"/>
        <w:bidi w:val="0"/>
        <w:jc w:val="left"/>
        <w:rPr/>
      </w:pPr>
      <w:r>
        <w:rPr/>
        <w:t>A well-designed integration strategy is fundamental to the success of any enterprise data warehouse because the quality of analytical outputs depends directly on the quality of the data being integrated. In NHS England, operational information originates from multiple independent systems that differ in structure, coding standards, update frequency and ownership. Consequently, integration involves more than simply transferring data between systems; it requires systematic validation, standardisation and reconciliation to ensure that information remains accurate, consistent and suitable for strategic analysis.</w:t>
      </w:r>
    </w:p>
    <w:p>
      <w:pPr>
        <w:pStyle w:val="Normal"/>
        <w:bidi w:val="0"/>
        <w:jc w:val="left"/>
        <w:rPr/>
      </w:pPr>
      <w:r>
        <w:rPr/>
      </w:r>
    </w:p>
    <w:p>
      <w:pPr>
        <w:pStyle w:val="Normal"/>
        <w:bidi w:val="0"/>
        <w:jc w:val="left"/>
        <w:rPr/>
      </w:pPr>
      <w:r>
        <w:rPr/>
        <w:t>The proposed integration process follows an Extract, Transform and Load (ETL) approach. Data are first extracted from operational systems into a dedicated staging environment, where they undergo validation before entering the warehouse. During transformation, duplicate records are removed, inconsistent formats are standardised, missing values are addressed where appropriate, and clinical information is aligned with nationally recognised coding standards such as ICD-10 and OPCS-4. These activities improve data quality while establishing a consistent foundation for organisation-wide reporting.</w:t>
      </w:r>
    </w:p>
    <w:p>
      <w:pPr>
        <w:pStyle w:val="Normal"/>
        <w:bidi w:val="0"/>
        <w:jc w:val="left"/>
        <w:rPr/>
      </w:pPr>
      <w:r>
        <w:rPr/>
      </w:r>
    </w:p>
    <w:p>
      <w:pPr>
        <w:pStyle w:val="Normal"/>
        <w:bidi w:val="0"/>
        <w:jc w:val="left"/>
        <w:rPr/>
      </w:pPr>
      <w:r>
        <w:rPr/>
        <w:t>One of the principal challenges during integration is the reconciliation of data generated by systems developed independently over many years. Patient identifiers, provider codes, workforce classifications and financial records may follow different structures, making direct integration unreliable. Establishing common business rules and mapping local values to national standards is therefore essential to ensure that equivalent information is interpreted consistently across the warehouse. Without these controls, reporting inaccuracies could undermine confidence in management information and reduce the effectiveness of evidence-based decision-making.</w:t>
      </w:r>
    </w:p>
    <w:p>
      <w:pPr>
        <w:pStyle w:val="Normal"/>
        <w:bidi w:val="0"/>
        <w:jc w:val="left"/>
        <w:rPr/>
      </w:pPr>
      <w:r>
        <w:rPr/>
      </w:r>
    </w:p>
    <w:p>
      <w:pPr>
        <w:pStyle w:val="Normal"/>
        <w:bidi w:val="0"/>
        <w:jc w:val="left"/>
        <w:rPr/>
      </w:pPr>
      <w:r>
        <w:rPr/>
        <w:t>The proposed loading strategy also reflects the differing operational requirements of NHS England. Patient activity and workforce information should be refreshed regularly to support operational reporting, while financial information can be updated less frequently in line with accounting cycles. This differentiated approach balances reporting requirements with system performance, ensuring that resources are used efficiently without placing unnecessary demands on operational systems.</w:t>
      </w:r>
    </w:p>
    <w:p>
      <w:pPr>
        <w:pStyle w:val="Normal"/>
        <w:bidi w:val="0"/>
        <w:jc w:val="left"/>
        <w:rPr/>
      </w:pPr>
      <w:r>
        <w:rPr/>
      </w:r>
    </w:p>
    <w:p>
      <w:pPr>
        <w:pStyle w:val="Normal"/>
        <w:bidi w:val="0"/>
        <w:jc w:val="left"/>
        <w:rPr/>
      </w:pPr>
      <w:r>
        <w:rPr/>
        <w:t>Although ETL remains the preferred approach for highly governed healthcare environments, it is not without limitations. Transformation processes require ongoing maintenance as operational systems evolve, and large-scale data processing can introduce delays between data creation and availability for reporting. Modern cloud platforms increasingly employ Extract, Load and Transform (ELT) techniques, where transformations occur after loading into scalable analytical environments. However, given NHS England's emphasis on governance, regulatory compliance and data quality, validating and standardising data before loading provides greater assurance that analytical outputs are accurate and trustworthy.</w:t>
      </w:r>
    </w:p>
    <w:p>
      <w:pPr>
        <w:pStyle w:val="Normal"/>
        <w:bidi w:val="0"/>
        <w:jc w:val="left"/>
        <w:rPr/>
      </w:pPr>
      <w:r>
        <w:rPr/>
      </w:r>
    </w:p>
    <w:p>
      <w:pPr>
        <w:pStyle w:val="Normal"/>
        <w:bidi w:val="0"/>
        <w:jc w:val="left"/>
        <w:rPr/>
      </w:pPr>
      <w:r>
        <w:rPr/>
        <w:t>The proposed integration and loading process is summarised in Table 4, which illustrates how source systems are transformed into conformed dimensions and fact tables before being loaded into the enterprise warehouse. By applying consistent transformation rules and controlled loading schedules, the proposed approach establishes a reliable analytical platform capable of supporting operational reporting, strategic planning and long-term performance evaluation across NHS England.</w:t>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t xml:space="preserve">Table </w:t>
      </w:r>
      <w:r>
        <w:rPr/>
        <w:t>4</w:t>
      </w:r>
      <w:r>
        <w:rPr/>
        <w:t xml:space="preserve"> can be used here to show the source-to-target steps more clearly.</w:t>
      </w:r>
    </w:p>
    <w:p>
      <w:pPr>
        <w:pStyle w:val="Normal"/>
        <w:bidi w:val="0"/>
        <w:jc w:val="left"/>
        <w:rPr/>
      </w:pPr>
      <w:r>
        <w:rPr/>
      </w:r>
    </w:p>
    <w:tbl>
      <w:tblPr>
        <w:tblW w:w="8640" w:type="dxa"/>
        <w:jc w:val="left"/>
        <w:tblInd w:w="-226" w:type="dxa"/>
        <w:tblLayout w:type="fixed"/>
        <w:tblCellMar>
          <w:top w:w="0" w:type="dxa"/>
          <w:left w:w="108" w:type="dxa"/>
          <w:bottom w:w="0" w:type="dxa"/>
          <w:right w:w="108" w:type="dxa"/>
        </w:tblCellMar>
      </w:tblPr>
      <w:tblGrid>
        <w:gridCol w:w="2160"/>
        <w:gridCol w:w="2160"/>
        <w:gridCol w:w="2160"/>
        <w:gridCol w:w="2160"/>
      </w:tblGrid>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Target table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Source system</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Key transformations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t>Load frequency</w:t>
            </w:r>
          </w:p>
          <w:p>
            <w:pPr>
              <w:pStyle w:val="Normal"/>
              <w:widowControl/>
              <w:bidi w:val="0"/>
              <w:spacing w:lineRule="auto" w:line="240" w:before="0" w:after="0"/>
              <w:jc w:val="left"/>
              <w:rPr>
                <w:rFonts w:eastAsia="ＭＳ 明朝"/>
                <w:b/>
                <w:bCs/>
                <w:kern w:val="0"/>
                <w:sz w:val="20"/>
                <w:szCs w:val="20"/>
                <w:lang w:val="en-US" w:eastAsia="en-US" w:bidi="ar-SA"/>
              </w:rPr>
            </w:pPr>
            <w:r>
              <w:rPr>
                <w:rFonts w:eastAsia="ＭＳ 明朝"/>
                <w:b/>
                <w:bCs/>
                <w:kern w:val="0"/>
                <w:sz w:val="20"/>
                <w:szCs w:val="20"/>
                <w:lang w:val="en-US" w:eastAsia="en-US" w:bidi="ar-SA"/>
              </w:rPr>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DIM_PATIENT</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PAS, EPR, Demographics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pPr>
            <w:r>
              <w:rPr>
                <w:rFonts w:eastAsia="ＭＳ 明朝"/>
                <w:kern w:val="0"/>
                <w:sz w:val="20"/>
                <w:szCs w:val="20"/>
                <w:lang w:val="en-US" w:eastAsia="en-US" w:bidi="ar-SA"/>
              </w:rPr>
              <w:t>de-duplicate NHS number; standardise codes; pseudonymise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Nightly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DIM_PROVIDER</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NHS ODS, directories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map codes; validate hierarchy; enrich region</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Weekly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DIM_STAFF</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ESR</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standardise bands/roles; mask identifiers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Nightly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DIM_DIAGNOSIS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Clinical coding</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map SNOMED to ICD-10; validate standards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Monthly (on code updates)</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FACT_PATIENT_ACTIVITY</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EPR, PAS, clinical systems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resolve surrogate keys; calculate LOS; filter duplicates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Nightly (near real-time for emergency data)</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FACT_FINANCE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Finance systems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apply tariff lookups; calculate variances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Monthly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FACT_WORKFORCE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ESR, rota systems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standardise shifts; calculate WTE; tag agency</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Weekly</w:t>
            </w:r>
          </w:p>
        </w:tc>
      </w:tr>
      <w:tr>
        <w:trPr/>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AGG_MONTHLY_PERFORMANCE</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Derived from fact tables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aggregate KPIs; apply target flags</w:t>
            </w:r>
          </w:p>
        </w:tc>
        <w:tc>
          <w:tcPr>
            <w:tcW w:w="2160"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bidi w:val="0"/>
              <w:spacing w:lineRule="auto" w:line="240" w:before="0" w:after="0"/>
              <w:jc w:val="left"/>
              <w:rPr>
                <w:rFonts w:eastAsia="ＭＳ 明朝"/>
                <w:kern w:val="0"/>
                <w:sz w:val="20"/>
                <w:szCs w:val="20"/>
                <w:lang w:val="en-US" w:eastAsia="en-US" w:bidi="ar-SA"/>
              </w:rPr>
            </w:pPr>
            <w:r>
              <w:rPr>
                <w:rFonts w:eastAsia="ＭＳ 明朝"/>
                <w:kern w:val="0"/>
                <w:sz w:val="20"/>
                <w:szCs w:val="20"/>
                <w:lang w:val="en-US" w:eastAsia="en-US" w:bidi="ar-SA"/>
              </w:rPr>
              <w:t>Monthly</w:t>
            </w:r>
          </w:p>
        </w:tc>
      </w:tr>
    </w:tbl>
    <w:p>
      <w:pPr>
        <w:pStyle w:val="Normal"/>
        <w:bidi w:val="0"/>
        <w:jc w:val="left"/>
        <w:rPr>
          <w:i/>
          <w:i/>
          <w:iCs/>
          <w:sz w:val="20"/>
          <w:szCs w:val="20"/>
        </w:rPr>
      </w:pPr>
      <w:r>
        <w:rPr>
          <w:i/>
          <w:iCs/>
          <w:sz w:val="20"/>
          <w:szCs w:val="20"/>
        </w:rPr>
        <w:t xml:space="preserve">Table </w:t>
      </w:r>
      <w:r>
        <w:rPr>
          <w:i/>
          <w:iCs/>
          <w:sz w:val="20"/>
          <w:szCs w:val="20"/>
        </w:rPr>
        <w:t>4</w:t>
      </w:r>
      <w:r>
        <w:rPr>
          <w:i/>
          <w:iCs/>
          <w:sz w:val="20"/>
          <w:szCs w:val="20"/>
        </w:rPr>
        <w:t>. Integration and loading plan.</w:t>
      </w:r>
    </w:p>
    <w:p>
      <w:pPr>
        <w:pStyle w:val="Normal"/>
        <w:bidi w:val="0"/>
        <w:jc w:val="left"/>
        <w:rPr>
          <w:b/>
          <w:sz w:val="26"/>
        </w:rPr>
      </w:pPr>
      <w:r>
        <w:rPr>
          <w:b/>
          <w:sz w:val="26"/>
        </w:rPr>
      </w:r>
    </w:p>
    <w:p>
      <w:pPr>
        <w:pStyle w:val="Normal"/>
        <w:bidi w:val="0"/>
        <w:jc w:val="left"/>
        <w:rPr>
          <w:b/>
          <w:sz w:val="26"/>
        </w:rPr>
      </w:pPr>
      <w:r>
        <w:rPr>
          <w:b/>
          <w:sz w:val="26"/>
        </w:rPr>
      </w:r>
    </w:p>
    <w:p>
      <w:pPr>
        <w:pStyle w:val="Heading2"/>
        <w:bidi w:val="0"/>
        <w:ind w:hanging="0" w:left="0"/>
        <w:jc w:val="left"/>
        <w:rPr/>
      </w:pPr>
      <w:bookmarkStart w:id="8" w:name="__RefHeading___Toc3182_1235626407"/>
      <w:bookmarkEnd w:id="8"/>
      <w:r>
        <w:rPr/>
        <w:t xml:space="preserve"> </w:t>
      </w:r>
      <w:r>
        <w:rPr/>
        <w:t>Data quality and governance</w:t>
      </w:r>
    </w:p>
    <w:p>
      <w:pPr>
        <w:pStyle w:val="Normal"/>
        <w:bidi w:val="0"/>
        <w:jc w:val="left"/>
        <w:rPr/>
      </w:pPr>
      <w:r>
        <w:rPr/>
      </w:r>
    </w:p>
    <w:p>
      <w:pPr>
        <w:pStyle w:val="Normal"/>
        <w:bidi w:val="0"/>
        <w:jc w:val="left"/>
        <w:rPr/>
      </w:pPr>
      <w:r>
        <w:rPr/>
        <w:t>Data quality and governance are fundamental to the success of a data warehouse because the value of analytical insights depends on the accuracy and reliability of the underlying data. Regardless of how sophisticated the warehouse architecture is, poor-quality data can lead to misleading reports, inappropriate resource allocation and ineffective decision-making. Within NHS England, where information supports both operational management and patient care, maintaining high standards of data quality is therefore a strategic as well as a technical requirement.</w:t>
      </w:r>
    </w:p>
    <w:p>
      <w:pPr>
        <w:pStyle w:val="Normal"/>
        <w:bidi w:val="0"/>
        <w:jc w:val="left"/>
        <w:rPr/>
      </w:pPr>
      <w:r>
        <w:rPr/>
      </w:r>
    </w:p>
    <w:p>
      <w:pPr>
        <w:pStyle w:val="Normal"/>
        <w:bidi w:val="0"/>
        <w:jc w:val="left"/>
        <w:rPr/>
      </w:pPr>
      <w:r>
        <w:rPr/>
        <w:t>The proposed warehouse should incorporate recognised dimensions of data quality, including accuracy, completeness, consistency, validity, timeliness and uniqueness. Clinical records must accurately reflect patient activity, mandatory fields should be complete, coding standards must be applied consistently across organisations, and information should be updated at appropriate intervals to ensure that management reports remain relevant. Applying these quality controls during the ETL process reduces errors before data enter the warehouse and increases confidence in the information presented through dashboards and analytical reports.</w:t>
      </w:r>
    </w:p>
    <w:p>
      <w:pPr>
        <w:pStyle w:val="Normal"/>
        <w:bidi w:val="0"/>
        <w:jc w:val="left"/>
        <w:rPr/>
      </w:pPr>
      <w:r>
        <w:rPr/>
      </w:r>
    </w:p>
    <w:p>
      <w:pPr>
        <w:pStyle w:val="Normal"/>
        <w:bidi w:val="0"/>
        <w:jc w:val="left"/>
        <w:rPr/>
      </w:pPr>
      <w:r>
        <w:rPr/>
        <w:t>Maintaining data quality requires continuous governance rather than one-off validation during system implementation. Data quality should be monitored through automated validation rules, exception reporting and routine audits that identify duplicate records, missing values, coding inconsistencies and unexpected changes in data volumes. Establishing measurable quality indicators enables NHS England to monitor improvements over time while providing assurance that the warehouse continues to produce reliable information for strategic decision-making.</w:t>
      </w:r>
    </w:p>
    <w:p>
      <w:pPr>
        <w:pStyle w:val="Normal"/>
        <w:bidi w:val="0"/>
        <w:jc w:val="left"/>
        <w:rPr/>
      </w:pPr>
      <w:r>
        <w:rPr/>
      </w:r>
    </w:p>
    <w:p>
      <w:pPr>
        <w:pStyle w:val="Normal"/>
        <w:bidi w:val="0"/>
        <w:jc w:val="left"/>
        <w:rPr/>
      </w:pPr>
      <w:r>
        <w:rPr/>
        <w:t>Effective governance also depends on clearly defined organisational responsibilities. Data owners should be accountable for the quality and lawful use of information within their respective domains, while data stewards oversee the implementation of data standards, metadata management and quality assurance procedures. This division of responsibility promotes accountability, supports consistent business definitions and ensures that organisational data remain trustworthy throughout their lifecycle.</w:t>
      </w:r>
    </w:p>
    <w:p>
      <w:pPr>
        <w:pStyle w:val="Normal"/>
        <w:bidi w:val="0"/>
        <w:jc w:val="left"/>
        <w:rPr/>
      </w:pPr>
      <w:r>
        <w:rPr/>
      </w:r>
    </w:p>
    <w:p>
      <w:pPr>
        <w:pStyle w:val="Normal"/>
        <w:bidi w:val="0"/>
        <w:jc w:val="left"/>
        <w:rPr/>
      </w:pPr>
      <w:r>
        <w:rPr/>
        <w:t>Because the warehouse processes highly sensitive personal and clinical information, information governance must be embedded within every stage of its design and operation. Compliance with the UK General Data Protection Regulation (UK GDPR), the Data Protection Act 2018, and the Caldicott Principles requires that personal information is processed lawfully, proportionately and only for authorised purposes. Practical safeguards should therefore include role-based access control, data pseudonymisation where appropriate, encryption during storage and transmission, comprehensive audit logging and regular access reviews. These measures protect patient confidentiality while ensuring that authorised users can access the information necessary to perform their responsibilities [6], [7], [10], [11].</w:t>
      </w:r>
    </w:p>
    <w:p>
      <w:pPr>
        <w:pStyle w:val="Normal"/>
        <w:bidi w:val="0"/>
        <w:jc w:val="left"/>
        <w:rPr/>
      </w:pPr>
      <w:r>
        <w:rPr/>
      </w:r>
    </w:p>
    <w:p>
      <w:pPr>
        <w:pStyle w:val="Normal"/>
        <w:bidi w:val="0"/>
        <w:jc w:val="left"/>
        <w:rPr/>
      </w:pPr>
      <w:r>
        <w:rPr/>
        <w:t>Metadata management also plays an important role in maintaining long-term consistency within the warehouse. Recording the origin of datasets, transformation rules, data definitions and refresh schedules improves transparency and allows analysts to understand how information has been processed before it appears in reports. Well-managed metadata supports reproducibility, simplifies troubleshooting and assists future maintenance as NHS information systems continue to evolve.</w:t>
      </w:r>
    </w:p>
    <w:p>
      <w:pPr>
        <w:pStyle w:val="Normal"/>
        <w:bidi w:val="0"/>
        <w:jc w:val="left"/>
        <w:rPr/>
      </w:pPr>
      <w:r>
        <w:rPr/>
      </w:r>
    </w:p>
    <w:p>
      <w:pPr>
        <w:pStyle w:val="Normal"/>
        <w:bidi w:val="0"/>
        <w:jc w:val="left"/>
        <w:rPr/>
      </w:pPr>
      <w:r>
        <w:rPr/>
        <w:t>Although implementing comprehensive governance introduces additional administrative and technical overhead, the benefits substantially outweigh the associated costs. Strong governance reduces reporting errors, improves organisational confidence in analytical outputs and supports compliance with statutory and regulatory obligations. For NHS England, where strategic decisions directly influence healthcare delivery and public resources, investing in robust data quality and governance is essential to ensuring that the warehouse functions as a trusted source of organisational intelligence rather than simply a repository of integrated data.</w:t>
      </w:r>
    </w:p>
    <w:p>
      <w:pPr>
        <w:pStyle w:val="Normal"/>
        <w:bidi w:val="0"/>
        <w:jc w:val="left"/>
        <w:rPr/>
      </w:pPr>
      <w:r>
        <w:rPr/>
      </w:r>
    </w:p>
    <w:p>
      <w:pPr>
        <w:pStyle w:val="Heading1"/>
        <w:bidi w:val="0"/>
        <w:ind w:hanging="0" w:left="0"/>
        <w:jc w:val="left"/>
        <w:rPr/>
      </w:pPr>
      <w:bookmarkStart w:id="9" w:name="__RefHeading___Toc4840_3679431991"/>
      <w:bookmarkEnd w:id="9"/>
      <w:r>
        <w:rPr/>
        <w:t>Conclusion</w:t>
      </w:r>
    </w:p>
    <w:p>
      <w:pPr>
        <w:pStyle w:val="Normal"/>
        <w:bidi w:val="0"/>
        <w:jc w:val="left"/>
        <w:rPr/>
      </w:pPr>
      <w:r>
        <w:rPr/>
        <w:t>A data warehouse would allow NHS England to unify fragmented operational, clinical, workforce, and financial data in a way that supports better leadership decisions. The most suitable design is a governed dimensional warehouse with conformed data marts, a carefully managed integration process, and clear data quality controls. In that form, the warehouse becomes not just a reporting tool, but a practical foundation for strategic and operational improvement.</w:t>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Normal"/>
        <w:bidi w:val="0"/>
        <w:jc w:val="left"/>
        <w:rPr/>
      </w:pPr>
      <w:r>
        <w:rPr/>
      </w:r>
    </w:p>
    <w:p>
      <w:pPr>
        <w:pStyle w:val="Heading1"/>
        <w:bidi w:val="0"/>
        <w:ind w:hanging="0" w:left="0"/>
        <w:jc w:val="left"/>
        <w:rPr/>
      </w:pPr>
      <w:bookmarkStart w:id="10" w:name="__RefHeading___Toc4842_3679431991"/>
      <w:bookmarkEnd w:id="10"/>
      <w:r>
        <w:rPr/>
        <w:t>References</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[1]</w:t>
        <w:tab/>
      </w:r>
      <w:r>
        <w:rPr>
          <w:rFonts w:ascii="Arial" w:hAnsi="Arial"/>
          <w:sz w:val="24"/>
        </w:rPr>
        <w:t xml:space="preserve">W. H. Inmon, </w:t>
      </w:r>
      <w:r>
        <w:rPr>
          <w:rFonts w:ascii="Arial" w:hAnsi="Arial"/>
          <w:i/>
          <w:sz w:val="24"/>
        </w:rPr>
        <w:t>Building the data warehouse</w:t>
      </w:r>
      <w:r>
        <w:rPr>
          <w:rFonts w:ascii="Arial" w:hAnsi="Arial"/>
          <w:sz w:val="24"/>
        </w:rPr>
        <w:t>. John Wiley &amp; Sons, 2005.</w:t>
      </w:r>
    </w:p>
    <w:p>
      <w:pPr>
        <w:pStyle w:val="Normal"/>
        <w:bidi w:val="0"/>
        <w:jc w:val="left"/>
        <w:rPr/>
      </w:pPr>
      <w:r>
        <w:rPr/>
        <w:tab/>
      </w:r>
      <w:r>
        <w:rPr>
          <w:rFonts w:eastAsia="ＭＳ 明朝" w:ascii="Arial" w:hAnsi="Arial"/>
          <w:color w:val="auto"/>
          <w:kern w:val="0"/>
          <w:sz w:val="24"/>
          <w:szCs w:val="22"/>
          <w:lang w:val="en-US" w:eastAsia="en-US" w:bidi="ar-SA"/>
        </w:rPr>
        <w:t>[Accessed: May 25. 2026].</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[2]</w:t>
        <w:tab/>
        <w:t xml:space="preserve">R. Kimball and M. Ross, </w:t>
      </w:r>
      <w:r>
        <w:rPr>
          <w:rFonts w:eastAsia="ＭＳ 明朝" w:ascii="Arial" w:hAnsi="Arial"/>
          <w:i/>
          <w:color w:val="auto"/>
          <w:kern w:val="0"/>
          <w:sz w:val="24"/>
          <w:szCs w:val="22"/>
          <w:lang w:val="en-US" w:eastAsia="en-US" w:bidi="ar-SA"/>
        </w:rPr>
        <w:t>The Data Warehouse Toolkit</w:t>
      </w:r>
      <w:r>
        <w:rPr>
          <w:rFonts w:eastAsia="ＭＳ 明朝" w:ascii="Arial" w:hAnsi="Arial"/>
          <w:color w:val="auto"/>
          <w:kern w:val="0"/>
          <w:sz w:val="24"/>
          <w:szCs w:val="22"/>
          <w:lang w:val="en-US" w:eastAsia="en-US" w:bidi="ar-SA"/>
        </w:rPr>
        <w:t xml:space="preserve">: The Definitive </w:t>
        <w:tab/>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tab/>
        <w:t xml:space="preserve">Guide to Dimensional Modeling, 3rd ed. Wiley, 2013. [Accessed: Jun. 02, </w:t>
        <w:tab/>
        <w:t>2026].</w:t>
      </w:r>
    </w:p>
    <w:p>
      <w:pPr>
        <w:pStyle w:val="Normal"/>
        <w:bidi w:val="0"/>
        <w:jc w:val="left"/>
        <w:rPr>
          <w:rFonts w:ascii="Arial" w:hAnsi="Arial" w:eastAsia="ＭＳ 明朝"/>
          <w:color w:val="auto"/>
          <w:kern w:val="0"/>
          <w:sz w:val="24"/>
          <w:szCs w:val="22"/>
          <w:lang w:val="en-US" w:eastAsia="en-US" w:bidi="ar-SA"/>
        </w:rPr>
      </w:pPr>
      <w:r>
        <w:rPr>
          <w:rFonts w:eastAsia="ＭＳ 明朝" w:ascii="Arial" w:hAnsi="Arial"/>
          <w:color w:val="auto"/>
          <w:kern w:val="0"/>
          <w:sz w:val="24"/>
          <w:szCs w:val="22"/>
          <w:lang w:val="en-US" w:eastAsia="en-US" w:bidi="ar-SA"/>
        </w:rPr>
      </w:r>
    </w:p>
    <w:p>
      <w:pPr>
        <w:pStyle w:val="Normal"/>
        <w:bidi w:val="0"/>
        <w:jc w:val="left"/>
        <w:rPr/>
      </w:pPr>
      <w:r>
        <w:rPr>
          <w:rFonts w:eastAsia="ＭＳ 明朝" w:ascii="Arial" w:hAnsi="Arial"/>
          <w:color w:val="auto"/>
          <w:kern w:val="0"/>
          <w:sz w:val="24"/>
          <w:szCs w:val="22"/>
          <w:lang w:val="en-US" w:eastAsia="en-US" w:bidi="ar-SA"/>
        </w:rPr>
        <w:t>[3]</w:t>
        <w:tab/>
      </w:r>
      <w:r>
        <w:rPr>
          <w:rFonts w:ascii="Arial" w:hAnsi="Arial"/>
          <w:sz w:val="24"/>
        </w:rPr>
        <w:t xml:space="preserve">S. Lyu, S. Craig, G. O’Reilly, and D. Taniar, “The development and use of data </w:t>
        <w:tab/>
        <w:t xml:space="preserve">warehousing in clinical settings: a scoping review,” </w:t>
      </w:r>
      <w:r>
        <w:rPr>
          <w:rFonts w:ascii="Arial" w:hAnsi="Arial"/>
          <w:i/>
          <w:sz w:val="24"/>
        </w:rPr>
        <w:t>Frontiers in Digital Health</w:t>
      </w:r>
      <w:r>
        <w:rPr>
          <w:rFonts w:ascii="Arial" w:hAnsi="Arial"/>
          <w:sz w:val="24"/>
        </w:rPr>
        <w:t xml:space="preserve">, vol. 7, </w:t>
        <w:tab/>
        <w:t xml:space="preserve">p. 1599514, Jun. 2025, doi: 10.3389/fdgth.2025.1599514. Available: </w:t>
        <w:tab/>
      </w:r>
      <w:hyperlink r:id="rId3">
        <w:r>
          <w:rPr>
            <w:rStyle w:val="Hyperlink"/>
            <w:rFonts w:ascii="Arial" w:hAnsi="Arial"/>
            <w:sz w:val="24"/>
          </w:rPr>
          <w:t>https://doi.org/10.3389/fdgth.2025.1599514</w:t>
        </w:r>
      </w:hyperlink>
      <w:r>
        <w:rPr>
          <w:rFonts w:ascii="Arial" w:hAnsi="Arial"/>
          <w:sz w:val="24"/>
        </w:rPr>
        <w:t xml:space="preserve"> </w:t>
      </w:r>
      <w:r>
        <w:rPr>
          <w:rFonts w:eastAsia="ＭＳ 明朝" w:ascii="Arial" w:hAnsi="Arial"/>
          <w:color w:val="auto"/>
          <w:kern w:val="0"/>
          <w:sz w:val="24"/>
          <w:szCs w:val="22"/>
          <w:lang w:val="en-US" w:eastAsia="en-US" w:bidi="ar-SA"/>
        </w:rPr>
        <w:t>[Accessed: Jun. 02, 2026].</w:t>
      </w:r>
    </w:p>
    <w:p>
      <w:pPr>
        <w:pStyle w:val="Normal"/>
        <w:bidi w:val="0"/>
        <w:jc w:val="left"/>
        <w:rPr>
          <w:rFonts w:ascii="Arial" w:hAnsi="Arial" w:eastAsia="ＭＳ 明朝"/>
          <w:color w:val="auto"/>
          <w:kern w:val="0"/>
          <w:sz w:val="24"/>
          <w:szCs w:val="22"/>
          <w:lang w:val="en-US" w:eastAsia="en-US" w:bidi="ar-SA"/>
        </w:rPr>
      </w:pPr>
      <w:r>
        <w:rPr/>
      </w:r>
    </w:p>
    <w:p>
      <w:pPr>
        <w:pStyle w:val="Normal"/>
        <w:bidi w:val="0"/>
        <w:jc w:val="left"/>
        <w:rPr>
          <w:rFonts w:ascii="Arial" w:hAnsi="Arial" w:eastAsia="ＭＳ 明朝"/>
          <w:color w:val="auto"/>
          <w:kern w:val="0"/>
          <w:sz w:val="24"/>
          <w:szCs w:val="22"/>
          <w:lang w:val="en-US" w:eastAsia="en-US" w:bidi="ar-SA"/>
        </w:rPr>
      </w:pPr>
      <w:r>
        <w:rPr/>
      </w:r>
    </w:p>
    <w:p>
      <w:pPr>
        <w:pStyle w:val="Normal"/>
        <w:bidi w:val="0"/>
        <w:jc w:val="left"/>
        <w:rPr/>
      </w:pPr>
      <w:r>
        <w:rPr>
          <w:rFonts w:eastAsia="ＭＳ 明朝" w:ascii="Arial" w:hAnsi="Arial"/>
          <w:color w:val="auto"/>
          <w:kern w:val="0"/>
          <w:sz w:val="24"/>
          <w:szCs w:val="22"/>
          <w:lang w:val="en-US" w:eastAsia="en-US" w:bidi="ar-SA"/>
        </w:rPr>
        <w:t>[4]</w:t>
        <w:tab/>
      </w:r>
      <w:r>
        <w:rPr>
          <w:rFonts w:eastAsia="ＭＳ 明朝" w:ascii="Arial" w:hAnsi="Arial"/>
          <w:color w:val="auto"/>
          <w:kern w:val="0"/>
          <w:sz w:val="24"/>
          <w:szCs w:val="22"/>
          <w:lang w:val="en-US" w:eastAsia="en-US" w:bidi="ar-SA"/>
        </w:rPr>
        <w:t xml:space="preserve">L. D. Ngôn, “Healthcare data integration through enterprise data warehousing: </w:t>
        <w:tab/>
        <w:t xml:space="preserve">architecture, conformance pipeline, and experimental validation for readmission </w:t>
        <w:tab/>
        <w:t xml:space="preserve">analytics,” </w:t>
      </w:r>
      <w:r>
        <w:rPr>
          <w:rFonts w:eastAsia="ＭＳ 明朝" w:ascii="Arial" w:hAnsi="Arial"/>
          <w:i/>
          <w:color w:val="auto"/>
          <w:kern w:val="0"/>
          <w:sz w:val="24"/>
          <w:szCs w:val="22"/>
          <w:lang w:val="en-US" w:eastAsia="en-US" w:bidi="ar-SA"/>
        </w:rPr>
        <w:t xml:space="preserve">International Journal of Information Technology and Computer Science </w:t>
        <w:tab/>
        <w:t>Applications</w:t>
      </w:r>
      <w:r>
        <w:rPr>
          <w:rFonts w:eastAsia="ＭＳ 明朝" w:ascii="Arial" w:hAnsi="Arial"/>
          <w:color w:val="auto"/>
          <w:kern w:val="0"/>
          <w:sz w:val="24"/>
          <w:szCs w:val="22"/>
          <w:lang w:val="en-US" w:eastAsia="en-US" w:bidi="ar-SA"/>
        </w:rPr>
        <w:t xml:space="preserve">, vol. 4, no. 1, pp. 70–82, Apr. 2026, doi: 10.58776/ijitcsa.v4i1.246. </w:t>
        <w:tab/>
        <w:t xml:space="preserve">Available: </w:t>
      </w:r>
      <w:hyperlink r:id="rId4">
        <w:r>
          <w:rPr>
            <w:rStyle w:val="Hyperlink"/>
            <w:rFonts w:eastAsia="ＭＳ 明朝" w:ascii="Arial" w:hAnsi="Arial"/>
            <w:color w:val="auto"/>
            <w:kern w:val="0"/>
            <w:sz w:val="24"/>
            <w:szCs w:val="22"/>
            <w:lang w:val="en-US" w:eastAsia="en-US" w:bidi="ar-SA"/>
          </w:rPr>
          <w:t>https://doi.org/10.58776/ijitcsa.v4i1.246</w:t>
        </w:r>
      </w:hyperlink>
      <w:r>
        <w:rPr>
          <w:rFonts w:eastAsia="ＭＳ 明朝" w:ascii="Arial" w:hAnsi="Arial"/>
          <w:color w:val="auto"/>
          <w:kern w:val="0"/>
          <w:sz w:val="24"/>
          <w:szCs w:val="22"/>
          <w:lang w:val="en-US" w:eastAsia="en-US" w:bidi="ar-SA"/>
        </w:rPr>
        <w:t xml:space="preserve"> </w:t>
      </w:r>
      <w:r>
        <w:rPr>
          <w:rFonts w:eastAsia="ＭＳ 明朝" w:ascii="Arial" w:hAnsi="Arial"/>
          <w:color w:val="auto"/>
          <w:kern w:val="0"/>
          <w:sz w:val="24"/>
          <w:szCs w:val="22"/>
          <w:lang w:val="en-US" w:eastAsia="en-US" w:bidi="ar-SA"/>
        </w:rPr>
        <w:t>[Accessed: Jun. 02, 2026].</w:t>
      </w:r>
    </w:p>
    <w:p>
      <w:pPr>
        <w:pStyle w:val="Normal"/>
        <w:bidi w:val="0"/>
        <w:jc w:val="left"/>
        <w:rPr>
          <w:rFonts w:ascii="Arial" w:hAnsi="Arial" w:eastAsia="ＭＳ 明朝"/>
          <w:color w:val="auto"/>
          <w:kern w:val="0"/>
          <w:sz w:val="24"/>
          <w:szCs w:val="22"/>
          <w:lang w:val="en-US" w:eastAsia="en-US" w:bidi="ar-SA"/>
        </w:rPr>
      </w:pPr>
      <w:r>
        <w:rPr/>
      </w:r>
    </w:p>
    <w:p>
      <w:pPr>
        <w:pStyle w:val="Normal"/>
        <w:bidi w:val="0"/>
        <w:jc w:val="left"/>
        <w:rPr>
          <w:rFonts w:ascii="Arial" w:hAnsi="Arial" w:eastAsia="ＭＳ 明朝"/>
          <w:color w:val="auto"/>
          <w:kern w:val="0"/>
          <w:sz w:val="24"/>
          <w:szCs w:val="22"/>
          <w:lang w:val="en-US" w:eastAsia="en-US" w:bidi="ar-SA"/>
        </w:rPr>
      </w:pPr>
      <w:r>
        <w:rPr/>
      </w:r>
    </w:p>
    <w:p>
      <w:pPr>
        <w:pStyle w:val="Normal"/>
        <w:bidi w:val="0"/>
        <w:jc w:val="left"/>
        <w:rPr>
          <w:rFonts w:ascii="Arial" w:hAnsi="Arial" w:eastAsia="ＭＳ 明朝"/>
          <w:color w:val="auto"/>
          <w:kern w:val="0"/>
          <w:sz w:val="24"/>
          <w:szCs w:val="22"/>
          <w:lang w:val="en-US" w:eastAsia="en-US" w:bidi="ar-SA"/>
        </w:rPr>
      </w:pPr>
      <w:r>
        <w:rPr/>
      </w:r>
    </w:p>
    <w:p>
      <w:pPr>
        <w:pStyle w:val="Normal"/>
        <w:bidi w:val="0"/>
        <w:jc w:val="left"/>
        <w:rPr/>
      </w:pPr>
      <w:r>
        <w:rPr>
          <w:rFonts w:eastAsia="ＭＳ 明朝" w:ascii="Arial" w:hAnsi="Arial"/>
          <w:color w:val="auto"/>
          <w:kern w:val="0"/>
          <w:sz w:val="24"/>
          <w:szCs w:val="22"/>
          <w:lang w:val="en-US" w:eastAsia="en-US" w:bidi="ar-SA"/>
        </w:rPr>
        <w:t>[5]</w:t>
        <w:tab/>
        <w:t xml:space="preserve">N. England, “NHS England » NHS Shropshire, Telford and Wrekin Integrated Care </w:t>
        <w:tab/>
        <w:t xml:space="preserve">Board,” Aug. 08, 2023. Available: </w:t>
      </w:r>
      <w:hyperlink r:id="rId5">
        <w:r>
          <w:rPr>
            <w:rStyle w:val="Hyperlink"/>
            <w:rFonts w:eastAsia="ＭＳ 明朝" w:ascii="Arial" w:hAnsi="Arial"/>
            <w:color w:val="auto"/>
            <w:kern w:val="0"/>
            <w:sz w:val="24"/>
            <w:szCs w:val="22"/>
            <w:lang w:val="en-US" w:eastAsia="en-US" w:bidi="ar-SA"/>
          </w:rPr>
          <w:t>https://www.england.nhs.uk/publication/nhs-</w:t>
        </w:r>
      </w:hyperlink>
      <w:r>
        <w:rPr>
          <w:rFonts w:eastAsia="ＭＳ 明朝" w:ascii="Arial" w:hAnsi="Arial"/>
          <w:color w:val="auto"/>
          <w:kern w:val="0"/>
          <w:sz w:val="24"/>
          <w:szCs w:val="22"/>
          <w:lang w:val="en-US" w:eastAsia="en-US" w:bidi="ar-SA"/>
        </w:rPr>
        <w:tab/>
        <w:t xml:space="preserve">shropshire-telford-and-wrekin-icb/. </w:t>
      </w:r>
      <w:r>
        <w:rPr>
          <w:rFonts w:eastAsia="ＭＳ 明朝" w:ascii="Arial" w:hAnsi="Arial"/>
          <w:color w:val="auto"/>
          <w:kern w:val="0"/>
          <w:sz w:val="24"/>
          <w:szCs w:val="22"/>
          <w:lang w:val="en-US" w:eastAsia="en-US" w:bidi="ar-SA"/>
        </w:rPr>
        <w:t>[Accessed: Jun. 02, 2026</w:t>
      </w:r>
      <w:r>
        <w:rPr>
          <w:rFonts w:eastAsia="ＭＳ 明朝" w:ascii="Arial" w:hAnsi="Arial"/>
          <w:color w:val="auto"/>
          <w:kern w:val="0"/>
          <w:sz w:val="24"/>
          <w:szCs w:val="22"/>
          <w:lang w:val="en-US" w:eastAsia="en-US" w:bidi="ar-SA"/>
        </w:rPr>
        <w:t>].</w:t>
      </w:r>
    </w:p>
    <w:p>
      <w:pPr>
        <w:pStyle w:val="Normal"/>
        <w:bidi w:val="0"/>
        <w:jc w:val="left"/>
        <w:rPr>
          <w:rFonts w:ascii="Arial" w:hAnsi="Arial" w:eastAsia="ＭＳ 明朝"/>
          <w:color w:val="auto"/>
          <w:kern w:val="0"/>
          <w:sz w:val="24"/>
          <w:szCs w:val="22"/>
          <w:lang w:val="en-US" w:eastAsia="en-US" w:bidi="ar-SA"/>
        </w:rPr>
      </w:pPr>
      <w:r>
        <w:rPr/>
      </w:r>
    </w:p>
    <w:p>
      <w:pPr>
        <w:pStyle w:val="Normal"/>
        <w:bidi w:val="0"/>
        <w:jc w:val="left"/>
        <w:rPr>
          <w:rFonts w:ascii="Arial" w:hAnsi="Arial" w:eastAsia="ＭＳ 明朝"/>
          <w:color w:val="auto"/>
          <w:kern w:val="0"/>
          <w:sz w:val="24"/>
          <w:szCs w:val="22"/>
          <w:lang w:val="en-US" w:eastAsia="en-US" w:bidi="ar-SA"/>
        </w:rPr>
      </w:pPr>
      <w:r>
        <w:rPr/>
      </w:r>
    </w:p>
    <w:p>
      <w:pPr>
        <w:pStyle w:val="Normal"/>
        <w:bidi w:val="0"/>
        <w:jc w:val="left"/>
        <w:rPr>
          <w:rFonts w:ascii="Arial" w:hAnsi="Arial" w:eastAsia="ＭＳ 明朝"/>
          <w:color w:val="auto"/>
          <w:kern w:val="0"/>
          <w:sz w:val="24"/>
          <w:szCs w:val="22"/>
          <w:lang w:val="en-US" w:eastAsia="en-US" w:bidi="ar-SA"/>
        </w:rPr>
      </w:pPr>
      <w:r>
        <w:rPr/>
      </w:r>
    </w:p>
    <w:p>
      <w:pPr>
        <w:pStyle w:val="Normal"/>
        <w:bidi w:val="0"/>
        <w:jc w:val="left"/>
        <w:rPr/>
      </w:pPr>
      <w:r>
        <w:rPr>
          <w:rFonts w:eastAsia="ＭＳ 明朝" w:ascii="Arial" w:hAnsi="Arial"/>
          <w:color w:val="auto"/>
          <w:kern w:val="0"/>
          <w:sz w:val="24"/>
          <w:szCs w:val="22"/>
          <w:lang w:val="en-US" w:eastAsia="en-US" w:bidi="ar-SA"/>
        </w:rPr>
        <w:t>[6]</w:t>
        <w:tab/>
      </w:r>
      <w:r>
        <w:rPr>
          <w:rFonts w:ascii="Arial" w:hAnsi="Arial"/>
          <w:i/>
        </w:rPr>
        <w:t xml:space="preserve">G. Priou, L. Lame et al., "The development and use of data </w:t>
        <w:tab/>
        <w:t xml:space="preserve">warehousing </w:t>
        <w:tab/>
      </w:r>
    </w:p>
    <w:p>
      <w:pPr>
        <w:pStyle w:val="Normal"/>
        <w:bidi w:val="0"/>
        <w:jc w:val="left"/>
        <w:rPr>
          <w:rFonts w:ascii="Arial" w:hAnsi="Arial"/>
          <w:i/>
          <w:i/>
        </w:rPr>
      </w:pPr>
      <w:r>
        <w:rPr>
          <w:rFonts w:ascii="Arial" w:hAnsi="Arial"/>
          <w:i/>
        </w:rPr>
        <w:tab/>
        <w:t xml:space="preserve">in clinical settings: a scoping review," Frontiers in Digital </w:t>
        <w:tab/>
        <w:t xml:space="preserve">Health, 2025. </w:t>
        <w:tab/>
        <w:t xml:space="preserve">Accessed: Jun. 02, 2026].doi:10.3389/fdgth.2025.1599514. </w:t>
        <w:tab/>
      </w:r>
    </w:p>
    <w:p>
      <w:pPr>
        <w:pStyle w:val="Normal"/>
        <w:bidi w:val="0"/>
        <w:jc w:val="left"/>
        <w:rPr>
          <w:rFonts w:ascii="Arial" w:hAnsi="Arial"/>
          <w:i/>
          <w:i/>
        </w:rPr>
      </w:pPr>
      <w:r>
        <w:rPr>
          <w:rFonts w:ascii="Arial" w:hAnsi="Arial"/>
          <w:i/>
        </w:rPr>
        <w:tab/>
        <w:t xml:space="preserve">[Accessed: </w:t>
        <w:tab/>
        <w:t>Jun. 02, 2026].</w:t>
      </w:r>
    </w:p>
    <w:p>
      <w:pPr>
        <w:pStyle w:val="Normal"/>
        <w:bidi w:val="0"/>
        <w:jc w:val="left"/>
        <w:rPr>
          <w:rFonts w:ascii="Arial" w:hAnsi="Arial"/>
          <w:i/>
          <w:i/>
        </w:rPr>
      </w:pPr>
      <w:r>
        <w:rPr/>
      </w:r>
    </w:p>
    <w:p>
      <w:pPr>
        <w:pStyle w:val="Normal"/>
        <w:bidi w:val="0"/>
        <w:jc w:val="left"/>
        <w:rPr>
          <w:rFonts w:ascii="Arial" w:hAnsi="Arial"/>
          <w:i/>
          <w:i/>
        </w:rPr>
      </w:pPr>
      <w:r>
        <w:rPr/>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w:t>
      </w:r>
      <w:r>
        <w:rPr>
          <w:rFonts w:ascii="Arial" w:hAnsi="Arial"/>
          <w:i/>
        </w:rPr>
        <w:t>7</w:t>
      </w:r>
      <w:r>
        <w:rPr>
          <w:rFonts w:ascii="Arial" w:hAnsi="Arial"/>
          <w:i/>
        </w:rPr>
        <w:t>]</w:t>
        <w:tab/>
        <w:t xml:space="preserve">NHS England, "Information Governance and Data Protection," 2024. [Online]. </w:t>
        <w:tab/>
        <w:t xml:space="preserve">Available: </w:t>
      </w:r>
      <w:hyperlink r:id="rId6">
        <w:r>
          <w:rPr>
            <w:rStyle w:val="Hyperlink"/>
            <w:rFonts w:ascii="Arial" w:hAnsi="Arial"/>
            <w:i/>
          </w:rPr>
          <w:t>https://www.england.nhs.uk/long-read/</w:t>
        </w:r>
      </w:hyperlink>
      <w:hyperlink r:id="rId7">
        <w:r>
          <w:rPr>
            <w:rStyle w:val="Hyperlink"/>
            <w:rFonts w:ascii="Arial" w:hAnsi="Arial"/>
            <w:i/>
          </w:rPr>
          <w:t>information-</w:t>
        </w:r>
      </w:hyperlink>
    </w:p>
    <w:p>
      <w:pPr>
        <w:pStyle w:val="Normal"/>
        <w:bidi w:val="0"/>
        <w:jc w:val="left"/>
        <w:rPr>
          <w:rFonts w:ascii="Arial" w:hAnsi="Arial"/>
          <w:i/>
          <w:i/>
        </w:rPr>
      </w:pPr>
      <w:r>
        <w:rPr>
          <w:rFonts w:ascii="Arial" w:hAnsi="Arial"/>
          <w:i/>
        </w:rPr>
        <w:tab/>
      </w:r>
      <w:hyperlink r:id="rId8">
        <w:r>
          <w:rPr>
            <w:rStyle w:val="Hyperlink"/>
            <w:rFonts w:ascii="Arial" w:hAnsi="Arial"/>
            <w:i/>
          </w:rPr>
          <w:t>governance-and-data-protection/</w:t>
        </w:r>
      </w:hyperlink>
      <w:r>
        <w:rPr>
          <w:rFonts w:ascii="Arial" w:hAnsi="Arial"/>
          <w:i/>
        </w:rPr>
        <w:t>. [Accessed: Jun. 05,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
    </w:p>
    <w:p>
      <w:pPr>
        <w:pStyle w:val="Normal"/>
        <w:bidi w:val="0"/>
        <w:jc w:val="left"/>
        <w:rPr>
          <w:rFonts w:ascii="Arial" w:hAnsi="Arial"/>
          <w:i/>
          <w:i/>
        </w:rPr>
      </w:pPr>
      <w:r>
        <w:rPr>
          <w:rFonts w:ascii="Arial" w:hAnsi="Arial"/>
          <w:i/>
        </w:rPr>
        <w:t>[</w:t>
      </w:r>
      <w:r>
        <w:rPr>
          <w:rFonts w:ascii="Arial" w:hAnsi="Arial"/>
          <w:i/>
        </w:rPr>
        <w:t>8</w:t>
      </w:r>
      <w:r>
        <w:rPr>
          <w:rFonts w:ascii="Arial" w:hAnsi="Arial"/>
          <w:i/>
        </w:rPr>
        <w:t>]</w:t>
        <w:tab/>
        <w:t xml:space="preserve">T. Ravipati, N. E. Andrew, V. Srikanth and R. Beare, "Challenges in public </w:t>
        <w:tab/>
        <w:t xml:space="preserve">healthcare research data warehouse integration and operationalisation," </w:t>
        <w:tab/>
        <w:t xml:space="preserve">International Journal of Population Data Science, vol. 7, no. 3, 2022. </w:t>
        <w:tab/>
      </w:r>
      <w:hyperlink r:id="rId9">
        <w:r>
          <w:rPr>
            <w:rStyle w:val="Hyperlink"/>
            <w:rFonts w:ascii="Arial" w:hAnsi="Arial"/>
            <w:i/>
          </w:rPr>
          <w:t>doi:10.23889/ijpeds.v7i3.1859.</w:t>
        </w:r>
      </w:hyperlink>
      <w:r>
        <w:rPr>
          <w:rFonts w:ascii="Arial" w:hAnsi="Arial"/>
          <w:i/>
        </w:rPr>
        <w:t xml:space="preserve"> [Accessed: Jun. </w:t>
      </w:r>
      <w:r>
        <w:rPr>
          <w:rFonts w:ascii="Arial" w:hAnsi="Arial"/>
          <w:i/>
        </w:rPr>
        <w:t>10</w:t>
      </w:r>
      <w:r>
        <w:rPr>
          <w:rFonts w:ascii="Arial" w:hAnsi="Arial"/>
          <w:i/>
        </w:rPr>
        <w:t>,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w:t>
      </w:r>
      <w:r>
        <w:rPr>
          <w:rFonts w:ascii="Arial" w:hAnsi="Arial"/>
          <w:i/>
        </w:rPr>
        <w:t>9</w:t>
      </w:r>
      <w:r>
        <w:rPr>
          <w:rFonts w:ascii="Arial" w:hAnsi="Arial"/>
          <w:i/>
        </w:rPr>
        <w:t>]</w:t>
        <w:tab/>
        <w:t xml:space="preserve">NHS Shropshire, Telford and Wrekin ICB, Data and Analytics Strategy </w:t>
        <w:tab/>
        <w:t>2025–</w:t>
        <w:tab/>
        <w:t>2030, 2025. [Online]. Available:</w:t>
        <w:tab/>
      </w:r>
      <w:hyperlink r:id="rId10">
        <w:r>
          <w:rPr>
            <w:rStyle w:val="Hyperlink"/>
            <w:rFonts w:ascii="Arial" w:hAnsi="Arial"/>
            <w:i/>
          </w:rPr>
          <w:t>https://www.shropshire</w:t>
        </w:r>
      </w:hyperlink>
      <w:hyperlink r:id="rId11">
        <w:r>
          <w:rPr>
            <w:rStyle w:val="Hyperlink"/>
            <w:rFonts w:ascii="Arial" w:hAnsi="Arial"/>
            <w:i/>
          </w:rPr>
          <w:t>telford</w:t>
        </w:r>
      </w:hyperlink>
    </w:p>
    <w:p>
      <w:pPr>
        <w:pStyle w:val="Normal"/>
        <w:bidi w:val="0"/>
        <w:jc w:val="left"/>
        <w:rPr>
          <w:rFonts w:ascii="Arial" w:hAnsi="Arial"/>
          <w:i/>
          <w:i/>
        </w:rPr>
      </w:pPr>
      <w:r>
        <w:rPr>
          <w:rFonts w:ascii="Arial" w:hAnsi="Arial"/>
          <w:i/>
        </w:rPr>
        <w:tab/>
      </w:r>
      <w:hyperlink r:id="rId12">
        <w:r>
          <w:rPr>
            <w:rStyle w:val="Hyperlink"/>
            <w:rFonts w:ascii="Arial" w:hAnsi="Arial"/>
            <w:i/>
          </w:rPr>
          <w:t>andwrekin.nhs.uk/</w:t>
        </w:r>
      </w:hyperlink>
      <w:hyperlink r:id="rId13">
        <w:r>
          <w:rPr>
            <w:rStyle w:val="Hyperlink"/>
            <w:rFonts w:ascii="Arial" w:hAnsi="Arial"/>
            <w:i/>
          </w:rPr>
          <w:t>wp-content/uploads/NHS-STW-Data-Strategy.pdf</w:t>
        </w:r>
      </w:hyperlink>
      <w:r>
        <w:rPr>
          <w:rFonts w:ascii="Arial" w:hAnsi="Arial"/>
          <w:i/>
        </w:rPr>
        <w:t xml:space="preserve">. </w:t>
      </w:r>
    </w:p>
    <w:p>
      <w:pPr>
        <w:pStyle w:val="Normal"/>
        <w:bidi w:val="0"/>
        <w:jc w:val="left"/>
        <w:rPr>
          <w:rFonts w:ascii="Arial" w:hAnsi="Arial"/>
          <w:i/>
          <w:i/>
        </w:rPr>
      </w:pPr>
      <w:r>
        <w:rPr>
          <w:rFonts w:ascii="Arial" w:hAnsi="Arial"/>
          <w:i/>
        </w:rPr>
        <w:tab/>
        <w:t>[Accessed: Jun. 10,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w:t>
      </w:r>
      <w:r>
        <w:rPr>
          <w:rFonts w:ascii="Arial" w:hAnsi="Arial"/>
          <w:i/>
        </w:rPr>
        <w:t>10</w:t>
      </w:r>
      <w:r>
        <w:rPr>
          <w:rFonts w:ascii="Arial" w:hAnsi="Arial"/>
          <w:i/>
        </w:rPr>
        <w:t>]</w:t>
        <w:tab/>
        <w:t xml:space="preserve">Health Research Authority, "Data protection and information governance," </w:t>
        <w:tab/>
        <w:t xml:space="preserve">2024. [Online]. Available: </w:t>
      </w:r>
      <w:hyperlink r:id="rId14">
        <w:r>
          <w:rPr>
            <w:rStyle w:val="Hyperlink"/>
            <w:rFonts w:ascii="Arial" w:hAnsi="Arial"/>
            <w:i/>
          </w:rPr>
          <w:t>https://www.hra.nhs.uk/planning-and-improving-</w:t>
        </w:r>
      </w:hyperlink>
      <w:r>
        <w:rPr>
          <w:rFonts w:ascii="Arial" w:hAnsi="Arial"/>
          <w:i/>
        </w:rPr>
        <w:tab/>
        <w:t>research/policies-standards-legislation/data-protection-and-information-</w:t>
        <w:tab/>
        <w:t>governance/. [Accessed: Jun. 15, 2026].</w:t>
      </w:r>
    </w:p>
    <w:p>
      <w:pPr>
        <w:pStyle w:val="Normal"/>
        <w:bidi w:val="0"/>
        <w:jc w:val="left"/>
        <w:rPr>
          <w:rFonts w:ascii="Arial" w:hAnsi="Arial"/>
          <w:i/>
          <w:i/>
        </w:rPr>
      </w:pPr>
      <w:r>
        <w:rPr>
          <w:rFonts w:ascii="Arial" w:hAnsi="Arial"/>
          <w:i/>
        </w:rPr>
      </w:r>
    </w:p>
    <w:p>
      <w:pPr>
        <w:pStyle w:val="Normal"/>
        <w:bidi w:val="0"/>
        <w:jc w:val="left"/>
        <w:rPr>
          <w:rFonts w:ascii="Arial" w:hAnsi="Arial"/>
          <w:i/>
          <w:i/>
        </w:rPr>
      </w:pPr>
      <w:r>
        <w:rPr>
          <w:rFonts w:ascii="Arial" w:hAnsi="Arial"/>
          <w:i/>
        </w:rPr>
        <w:t>[1</w:t>
      </w:r>
      <w:r>
        <w:rPr>
          <w:rFonts w:ascii="Arial" w:hAnsi="Arial"/>
          <w:i/>
        </w:rPr>
        <w:t>1</w:t>
      </w:r>
      <w:r>
        <w:rPr>
          <w:rFonts w:ascii="Arial" w:hAnsi="Arial"/>
          <w:i/>
        </w:rPr>
        <w:t>]</w:t>
        <w:tab/>
        <w:t xml:space="preserve">National Data Guardian, National Data Guardian 2023–2024 Report, </w:t>
        <w:tab/>
        <w:t xml:space="preserve">2024. </w:t>
        <w:tab/>
        <w:t>[Online]. Available:</w:t>
      </w:r>
      <w:hyperlink r:id="rId15">
        <w:r>
          <w:rPr>
            <w:rStyle w:val="Hyperlink"/>
            <w:rFonts w:ascii="Arial" w:hAnsi="Arial"/>
            <w:i/>
          </w:rPr>
          <w:t>https://www.gov.uk/government/</w:t>
        </w:r>
      </w:hyperlink>
      <w:hyperlink r:id="rId16">
        <w:r>
          <w:rPr>
            <w:rStyle w:val="Hyperlink"/>
            <w:rFonts w:ascii="Arial" w:hAnsi="Arial"/>
            <w:i/>
          </w:rPr>
          <w:t>publications/</w:t>
        </w:r>
      </w:hyperlink>
    </w:p>
    <w:p>
      <w:pPr>
        <w:pStyle w:val="Normal"/>
        <w:bidi w:val="0"/>
        <w:spacing w:before="0" w:after="200"/>
        <w:jc w:val="left"/>
        <w:rPr>
          <w:rFonts w:ascii="Arial" w:hAnsi="Arial"/>
          <w:i/>
          <w:i/>
        </w:rPr>
      </w:pPr>
      <w:r>
        <w:rPr>
          <w:rFonts w:ascii="Arial" w:hAnsi="Arial"/>
          <w:i/>
        </w:rPr>
        <w:tab/>
      </w:r>
      <w:hyperlink r:id="rId17">
        <w:r>
          <w:rPr>
            <w:rStyle w:val="Hyperlink"/>
            <w:rFonts w:ascii="Arial" w:hAnsi="Arial"/>
            <w:i/>
          </w:rPr>
          <w:t>national-data-guardian-2023-2024-report/</w:t>
        </w:r>
      </w:hyperlink>
      <w:r>
        <w:rPr>
          <w:rFonts w:ascii="Arial" w:hAnsi="Arial"/>
          <w:i/>
        </w:rPr>
        <w:t>. [Accessed: Jun. 19, 2026].</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variable"/>
  </w:font>
  <w:font w:name="Liberation Sans">
    <w:altName w:val="Arial"/>
    <w:charset w:val="01"/>
    <w:family w:val="swiss"/>
    <w:pitch w:val="variable"/>
  </w:font>
  <w:font w:name="Arial">
    <w:charset w:val="01"/>
    <w:family w:val="roman"/>
    <w:pitch w:val="variable"/>
  </w:font>
  <w:font w:name="Times New Roman">
    <w:charset w:val="01"/>
    <w:family w:val="roman"/>
    <w:pitch w:val="variable"/>
  </w:font>
  <w:font w:name="Cambria">
    <w:charset w:val="01"/>
    <w:family w:val="roman"/>
    <w:pitch w:val="variable"/>
  </w:font>
  <w:font w:name="Arial">
    <w:charset w:val="01"/>
    <w:family w:val="auto"/>
    <w:pitch w:val="default"/>
  </w:font>
</w:fonts>
</file>

<file path=word/settings.xml><?xml version="1.0" encoding="utf-8"?>
<w:settings xmlns:w="http://schemas.openxmlformats.org/wordprocessingml/2006/main">
  <w:zoom w:percent="150"/>
  <w:defaultTabStop w:val="709"/>
  <w:autoHyphenation w:val="true"/>
  <w:compat>
    <w:compatSetting w:name="compatibilityMode" w:uri="http://schemas.microsoft.com/office/word" w:val="12"/>
  </w:compat>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oto Serif CJK SC" w:cs="Noto Sans Devanagari"/>
        <w:kern w:val="2"/>
        <w:sz w:val="24"/>
        <w:szCs w:val="24"/>
        <w:lang w:val="en-GB" w:eastAsia="zh-CN" w:bidi="hi-IN"/>
      </w:rPr>
    </w:rPrDefault>
    <w:pPrDefault>
      <w:pPr>
        <w:widowControl/>
        <w:suppressAutoHyphens w:val="true"/>
      </w:pPr>
    </w:pPrDefault>
  </w:docDefaults>
  <w:style w:type="paragraph" w:styleId="Normal">
    <w:name w:val="Normal"/>
    <w:qFormat/>
    <w:pPr>
      <w:widowControl/>
      <w:kinsoku w:val="true"/>
      <w:overflowPunct w:val="true"/>
      <w:autoSpaceDE w:val="true"/>
      <w:bidi w:val="0"/>
    </w:pPr>
    <w:rPr>
      <w:rFonts w:ascii="Liberation Serif" w:hAnsi="Liberation Serif" w:eastAsia="Noto Serif CJK SC" w:cs="Noto Sans Devanagari"/>
      <w:color w:val="auto"/>
      <w:kern w:val="2"/>
      <w:sz w:val="24"/>
      <w:szCs w:val="24"/>
      <w:lang w:val="en-GB" w:eastAsia="zh-CN" w:bidi="hi-IN"/>
    </w:rPr>
  </w:style>
  <w:style w:type="paragraph" w:styleId="Heading1">
    <w:name w:val="Heading 1"/>
    <w:basedOn w:val="Normal"/>
    <w:next w:val="Normal"/>
    <w:qFormat/>
    <w:pPr>
      <w:keepNext w:val="true"/>
      <w:keepLines/>
      <w:numPr>
        <w:ilvl w:val="0"/>
        <w:numId w:val="0"/>
      </w:numPr>
      <w:spacing w:before="480" w:after="0"/>
      <w:outlineLvl w:val="0"/>
    </w:pPr>
    <w:rPr>
      <w:rFonts w:ascii="Calibri" w:hAnsi="Calibri" w:eastAsia="ＭＳ ゴシック" w:cs="DejaVu Sans"/>
      <w:b/>
      <w:bCs/>
      <w:color w:themeColor="accent1" w:themeShade="bf" w:val="365F91"/>
      <w:sz w:val="28"/>
      <w:szCs w:val="28"/>
    </w:rPr>
  </w:style>
  <w:style w:type="paragraph" w:styleId="Heading2">
    <w:name w:val="Heading 2"/>
    <w:basedOn w:val="Normal"/>
    <w:next w:val="Normal"/>
    <w:qFormat/>
    <w:pPr>
      <w:keepNext w:val="true"/>
      <w:keepLines/>
      <w:numPr>
        <w:ilvl w:val="0"/>
        <w:numId w:val="0"/>
      </w:numPr>
      <w:spacing w:before="200" w:after="0"/>
      <w:outlineLvl w:val="1"/>
    </w:pPr>
    <w:rPr>
      <w:rFonts w:ascii="Calibri" w:hAnsi="Calibri" w:eastAsia="ＭＳ ゴシック" w:cs="DejaVu Sans"/>
      <w:b/>
      <w:bCs/>
      <w:color w:themeColor="accent1" w:val="4F81BD"/>
      <w:sz w:val="26"/>
      <w:szCs w:val="26"/>
    </w:rPr>
  </w:style>
  <w:style w:type="character" w:styleId="Hyperlink">
    <w:name w:val="Hyperlink"/>
    <w:rPr>
      <w:color w:val="000080"/>
      <w:u w:val="single"/>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Noto Sans CJK SC" w:cs="Noto Sans Devanagari"/>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styleId="Index">
    <w:name w:val="Index"/>
    <w:basedOn w:val="Normal"/>
    <w:qFormat/>
    <w:pPr>
      <w:suppressLineNumbers/>
    </w:pPr>
    <w:rPr>
      <w:rFonts w:cs="Noto Sans Devanagari"/>
    </w:rPr>
  </w:style>
  <w:style w:type="paragraph" w:styleId="FrameContents">
    <w:name w:val="Frame Contents"/>
    <w:basedOn w:val="Normal"/>
    <w:qFormat/>
    <w:pPr/>
    <w:rPr/>
  </w:style>
  <w:style w:type="paragraph" w:styleId="TableContents">
    <w:name w:val="Table Contents"/>
    <w:basedOn w:val="Normal"/>
    <w:qFormat/>
    <w:pPr>
      <w:widowControl w:val="false"/>
      <w:suppressLineNumbers/>
    </w:pPr>
    <w:rPr/>
  </w:style>
  <w:style w:type="paragraph" w:styleId="TOCHeading">
    <w:name w:val="TOC Heading"/>
    <w:basedOn w:val="Heading1"/>
    <w:next w:val="Normal"/>
    <w:qFormat/>
    <w:pPr>
      <w:outlineLvl w:val="9"/>
    </w:pPr>
    <w:rPr/>
  </w:style>
  <w:style w:type="paragraph" w:styleId="TOC1">
    <w:name w:val="TOC 1"/>
    <w:basedOn w:val="Index"/>
    <w:pPr>
      <w:tabs>
        <w:tab w:val="clear" w:pos="709"/>
        <w:tab w:val="right" w:pos="8640" w:leader="dot"/>
      </w:tabs>
      <w:ind w:hanging="0" w:left="0"/>
    </w:pPr>
    <w:rPr/>
  </w:style>
  <w:style w:type="paragraph" w:styleId="TOC2">
    <w:name w:val="TOC 2"/>
    <w:basedOn w:val="Index"/>
    <w:pPr>
      <w:tabs>
        <w:tab w:val="clear" w:pos="709"/>
        <w:tab w:val="right" w:pos="8640" w:leader="dot"/>
      </w:tabs>
      <w:ind w:hanging="0" w:left="283"/>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doi.org/10.3389/fdgth.2025.1599514" TargetMode="External"/><Relationship Id="rId4" Type="http://schemas.openxmlformats.org/officeDocument/2006/relationships/hyperlink" Target="https://doi.org/10.58776/ijitcsa.v4i1.246" TargetMode="External"/><Relationship Id="rId5" Type="http://schemas.openxmlformats.org/officeDocument/2006/relationships/hyperlink" Target="https://www.england.nhs.uk/publication/nhs-" TargetMode="External"/><Relationship Id="rId6" Type="http://schemas.openxmlformats.org/officeDocument/2006/relationships/hyperlink" Target="https://www.england.nhs.uk/long-read/" TargetMode="External"/><Relationship Id="rId7" Type="http://schemas.openxmlformats.org/officeDocument/2006/relationships/hyperlink" Target="https://www.england.nhs.uk/long-read/information-governance-and-data-protection/" TargetMode="External"/><Relationship Id="rId8" Type="http://schemas.openxmlformats.org/officeDocument/2006/relationships/hyperlink" Target="https://www.england.nhs.uk/long-read/information-governance-and-data-protection/" TargetMode="External"/><Relationship Id="rId9" Type="http://schemas.openxmlformats.org/officeDocument/2006/relationships/hyperlink" Target="https://doi.org/10.23889/ijpeds.v7i3.1859." TargetMode="External"/><Relationship Id="rId10" Type="http://schemas.openxmlformats.org/officeDocument/2006/relationships/hyperlink" Target="https://www.shropshire/" TargetMode="External"/><Relationship Id="rId11" Type="http://schemas.openxmlformats.org/officeDocument/2006/relationships/hyperlink" Target="https://www.shropshiretelfordandwrekin.nhs.uk/" TargetMode="External"/><Relationship Id="rId12" Type="http://schemas.openxmlformats.org/officeDocument/2006/relationships/hyperlink" Target="https://www.shropshiretelfordandwrekin.nhs.uk/" TargetMode="External"/><Relationship Id="rId13" Type="http://schemas.openxmlformats.org/officeDocument/2006/relationships/hyperlink" Target="https://www.shropshiretelfordandwrekin.nhs.uk/wp-content/uploads/NHS-STW-Data-Strategy.pdf" TargetMode="External"/><Relationship Id="rId14" Type="http://schemas.openxmlformats.org/officeDocument/2006/relationships/hyperlink" Target="https://www.hra.nhs.uk/planning-and-improving-" TargetMode="External"/><Relationship Id="rId15" Type="http://schemas.openxmlformats.org/officeDocument/2006/relationships/hyperlink" Target="https://www.gov.uk/government/" TargetMode="External"/><Relationship Id="rId16" Type="http://schemas.openxmlformats.org/officeDocument/2006/relationships/hyperlink" Target="https://www.gov.uk/government/publications/national-data-guardian-2023-2024-report/" TargetMode="External"/><Relationship Id="rId17" Type="http://schemas.openxmlformats.org/officeDocument/2006/relationships/hyperlink" Target="https://www.gov.uk/government/publications/national-data-guardian-2023-2024-report/" TargetMode="External"/><Relationship Id="rId18" Type="http://schemas.openxmlformats.org/officeDocument/2006/relationships/fontTable" Target="fontTable.xml"/><Relationship Id="rId19" Type="http://schemas.openxmlformats.org/officeDocument/2006/relationships/settings" Target="settings.xml"/><Relationship Id="rId20"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104</TotalTime>
  <Application>LibreOffice/24.2.7.2$Linux_X86_64 LibreOffice_project/420$Build-2</Application>
  <AppVersion>15.0000</AppVersion>
  <Pages>13</Pages>
  <Words>3797</Words>
  <Characters>26446</Characters>
  <CharactersWithSpaces>30105</CharactersWithSpaces>
  <Paragraphs>269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2026-07-03T11:49:21Z</dcterms:created>
  <dc:creator/>
  <dc:description/>
  <dc:language>en-GB</dc:language>
  <cp:lastModifiedBy/>
  <dcterms:modified xsi:type="dcterms:W3CDTF">2026-07-03T14:01:16Z</dcterms:modified>
  <cp:revision>32</cp:revision>
  <dc:subject/>
  <dc:title/>
</cp:coreProperties>
</file>