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4472C4" w:themeColor="accent1"/>
          <w:kern w:val="2"/>
          <w:sz w:val="24"/>
          <w:szCs w:val="24"/>
          <w14:ligatures w14:val="standardContextual"/>
        </w:rPr>
        <w:id w:val="-617600376"/>
        <w:docPartObj>
          <w:docPartGallery w:val="Cover Pages"/>
          <w:docPartUnique/>
        </w:docPartObj>
      </w:sdtPr>
      <w:sdtEndPr>
        <w:rPr>
          <w:color w:val="auto"/>
        </w:rPr>
      </w:sdtEndPr>
      <w:sdtContent>
        <w:p w14:paraId="2B8CE7BF" w14:textId="0C27CAB8" w:rsidR="004D3045" w:rsidRDefault="004D3045">
          <w:pPr>
            <w:pStyle w:val="NoSpacing"/>
            <w:spacing w:before="1540" w:after="240"/>
            <w:jc w:val="center"/>
            <w:rPr>
              <w:color w:val="4472C4" w:themeColor="accent1"/>
            </w:rPr>
          </w:pPr>
          <w:r>
            <w:rPr>
              <w:noProof/>
              <w:color w:val="4472C4" w:themeColor="accent1"/>
            </w:rPr>
            <w:drawing>
              <wp:inline distT="0" distB="0" distL="0" distR="0" wp14:anchorId="13AAC18C" wp14:editId="18CFD58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F5FC4F24B4F4063ADF07B3A65B9597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7A36486" w14:textId="34D31310" w:rsidR="004D3045" w:rsidRDefault="004D304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Principles and Practices of Data security, Governance and Compliance on Nature Green</w:t>
              </w:r>
            </w:p>
          </w:sdtContent>
        </w:sdt>
        <w:sdt>
          <w:sdtPr>
            <w:rPr>
              <w:color w:val="4472C4" w:themeColor="accent1"/>
              <w:sz w:val="28"/>
              <w:szCs w:val="28"/>
            </w:rPr>
            <w:alias w:val="Subtitle"/>
            <w:tag w:val=""/>
            <w:id w:val="328029620"/>
            <w:placeholder>
              <w:docPart w:val="6CE9594A500E43C2BF1E5356E652EDCF"/>
            </w:placeholder>
            <w:dataBinding w:prefixMappings="xmlns:ns0='http://purl.org/dc/elements/1.1/' xmlns:ns1='http://schemas.openxmlformats.org/package/2006/metadata/core-properties' " w:xpath="/ns1:coreProperties[1]/ns0:subject[1]" w:storeItemID="{6C3C8BC8-F283-45AE-878A-BAB7291924A1}"/>
            <w:text/>
          </w:sdtPr>
          <w:sdtContent>
            <w:p w14:paraId="3254563A" w14:textId="54D91C21" w:rsidR="004D3045" w:rsidRDefault="004D3045">
              <w:pPr>
                <w:pStyle w:val="NoSpacing"/>
                <w:jc w:val="center"/>
                <w:rPr>
                  <w:color w:val="4472C4" w:themeColor="accent1"/>
                  <w:sz w:val="28"/>
                  <w:szCs w:val="28"/>
                </w:rPr>
              </w:pPr>
              <w:r w:rsidRPr="004D3045">
                <w:rPr>
                  <w:color w:val="4472C4" w:themeColor="accent1"/>
                  <w:sz w:val="28"/>
                  <w:szCs w:val="28"/>
                </w:rPr>
                <w:t>Module:</w:t>
              </w:r>
              <w:r>
                <w:rPr>
                  <w:color w:val="4472C4" w:themeColor="accent1"/>
                  <w:sz w:val="28"/>
                  <w:szCs w:val="28"/>
                </w:rPr>
                <w:t xml:space="preserve"> </w:t>
              </w:r>
              <w:r w:rsidRPr="004D3045">
                <w:rPr>
                  <w:color w:val="4472C4" w:themeColor="accent1"/>
                  <w:sz w:val="28"/>
                  <w:szCs w:val="28"/>
                </w:rPr>
                <w:t>Data Security, Governance and Compliance</w:t>
              </w:r>
            </w:p>
          </w:sdtContent>
        </w:sdt>
        <w:p w14:paraId="687CB7F9" w14:textId="51DA5E81" w:rsidR="004D3045" w:rsidRPr="008B0F5E" w:rsidRDefault="008B0F5E">
          <w:pPr>
            <w:pStyle w:val="NoSpacing"/>
            <w:spacing w:before="480"/>
            <w:jc w:val="center"/>
            <w:rPr>
              <w:color w:val="4472C4" w:themeColor="accent1"/>
              <w:sz w:val="24"/>
              <w:szCs w:val="24"/>
            </w:rPr>
          </w:pPr>
          <w:r w:rsidRPr="008B0F5E">
            <w:rPr>
              <w:color w:val="4472C4" w:themeColor="accent1"/>
              <w:sz w:val="24"/>
              <w:szCs w:val="24"/>
            </w:rPr>
            <w:t xml:space="preserve"> KETAN MANUBHAI </w:t>
          </w:r>
          <w:r w:rsidR="00FE51DF">
            <w:rPr>
              <w:color w:val="4472C4" w:themeColor="accent1"/>
              <w:sz w:val="24"/>
              <w:szCs w:val="24"/>
            </w:rPr>
            <w:t xml:space="preserve">PANCHAL </w:t>
          </w:r>
          <w:r w:rsidRPr="008B0F5E">
            <w:rPr>
              <w:color w:val="4472C4" w:themeColor="accent1"/>
              <w:sz w:val="24"/>
              <w:szCs w:val="24"/>
            </w:rPr>
            <w:t>- 2509903</w:t>
          </w:r>
        </w:p>
        <w:p w14:paraId="1E6B7E5A" w14:textId="284AA51C" w:rsidR="004D3045" w:rsidRPr="004D3045" w:rsidRDefault="008B0F5E" w:rsidP="004D3045">
          <w:pPr>
            <w:spacing w:after="160" w:line="278" w:lineRule="auto"/>
            <w:jc w:val="left"/>
            <w:rPr>
              <w:rFonts w:eastAsiaTheme="majorEastAsia" w:cstheme="majorBidi"/>
              <w:b/>
              <w:color w:val="000000" w:themeColor="text1"/>
              <w:sz w:val="32"/>
              <w:szCs w:val="40"/>
            </w:rPr>
          </w:pPr>
          <w:r>
            <w:rPr>
              <w:noProof/>
              <w:color w:val="4472C4" w:themeColor="accent1"/>
            </w:rPr>
            <w:drawing>
              <wp:anchor distT="0" distB="0" distL="114300" distR="114300" simplePos="0" relativeHeight="251658240" behindDoc="1" locked="0" layoutInCell="1" allowOverlap="1" wp14:anchorId="0983FFEF" wp14:editId="11DA5945">
                <wp:simplePos x="0" y="0"/>
                <wp:positionH relativeFrom="column">
                  <wp:posOffset>2590800</wp:posOffset>
                </wp:positionH>
                <wp:positionV relativeFrom="paragraph">
                  <wp:posOffset>494030</wp:posOffset>
                </wp:positionV>
                <wp:extent cx="758825" cy="478790"/>
                <wp:effectExtent l="0" t="0" r="3175" b="0"/>
                <wp:wrapNone/>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4D3045">
            <w:br w:type="page"/>
          </w:r>
        </w:p>
      </w:sdtContent>
    </w:sdt>
    <w:sdt>
      <w:sdtPr>
        <w:rPr>
          <w:rFonts w:ascii="Times New Roman" w:eastAsiaTheme="minorHAnsi" w:hAnsi="Times New Roman" w:cstheme="minorBidi"/>
          <w:color w:val="auto"/>
          <w:kern w:val="2"/>
          <w:sz w:val="24"/>
          <w:szCs w:val="24"/>
          <w14:ligatures w14:val="standardContextual"/>
        </w:rPr>
        <w:id w:val="-2102790952"/>
        <w:docPartObj>
          <w:docPartGallery w:val="Table of Contents"/>
          <w:docPartUnique/>
        </w:docPartObj>
      </w:sdtPr>
      <w:sdtEndPr>
        <w:rPr>
          <w:b/>
          <w:bCs/>
          <w:noProof/>
        </w:rPr>
      </w:sdtEndPr>
      <w:sdtContent>
        <w:p w14:paraId="1CDB017D" w14:textId="300BF7B8" w:rsidR="004D3045" w:rsidRDefault="004D3045">
          <w:pPr>
            <w:pStyle w:val="TOCHeading"/>
          </w:pPr>
          <w:r>
            <w:t>Table of Contents</w:t>
          </w:r>
        </w:p>
        <w:p w14:paraId="4305007B" w14:textId="0C96D7C7" w:rsidR="00976E58" w:rsidRDefault="004D3045">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17664727" w:history="1">
            <w:r w:rsidR="00976E58" w:rsidRPr="00C74C7E">
              <w:rPr>
                <w:rStyle w:val="Hyperlink"/>
                <w:noProof/>
              </w:rPr>
              <w:t>Abstract</w:t>
            </w:r>
            <w:r w:rsidR="00976E58">
              <w:rPr>
                <w:noProof/>
                <w:webHidden/>
              </w:rPr>
              <w:tab/>
            </w:r>
            <w:r w:rsidR="00976E58">
              <w:rPr>
                <w:noProof/>
                <w:webHidden/>
              </w:rPr>
              <w:fldChar w:fldCharType="begin"/>
            </w:r>
            <w:r w:rsidR="00976E58">
              <w:rPr>
                <w:noProof/>
                <w:webHidden/>
              </w:rPr>
              <w:instrText xml:space="preserve"> PAGEREF _Toc217664727 \h </w:instrText>
            </w:r>
            <w:r w:rsidR="00976E58">
              <w:rPr>
                <w:noProof/>
                <w:webHidden/>
              </w:rPr>
            </w:r>
            <w:r w:rsidR="00976E58">
              <w:rPr>
                <w:noProof/>
                <w:webHidden/>
              </w:rPr>
              <w:fldChar w:fldCharType="separate"/>
            </w:r>
            <w:r w:rsidR="00976E58">
              <w:rPr>
                <w:noProof/>
                <w:webHidden/>
              </w:rPr>
              <w:t>1</w:t>
            </w:r>
            <w:r w:rsidR="00976E58">
              <w:rPr>
                <w:noProof/>
                <w:webHidden/>
              </w:rPr>
              <w:fldChar w:fldCharType="end"/>
            </w:r>
          </w:hyperlink>
        </w:p>
        <w:p w14:paraId="31F04A79" w14:textId="73D77C77" w:rsidR="00976E58" w:rsidRDefault="00976E58">
          <w:pPr>
            <w:pStyle w:val="TOC1"/>
            <w:tabs>
              <w:tab w:val="left" w:pos="480"/>
              <w:tab w:val="right" w:leader="dot" w:pos="9350"/>
            </w:tabs>
            <w:rPr>
              <w:rFonts w:asciiTheme="minorHAnsi" w:eastAsiaTheme="minorEastAsia" w:hAnsiTheme="minorHAnsi"/>
              <w:noProof/>
            </w:rPr>
          </w:pPr>
          <w:hyperlink w:anchor="_Toc217664728" w:history="1">
            <w:r w:rsidRPr="00C74C7E">
              <w:rPr>
                <w:rStyle w:val="Hyperlink"/>
                <w:noProof/>
              </w:rPr>
              <w:t>1.</w:t>
            </w:r>
            <w:r>
              <w:rPr>
                <w:rFonts w:asciiTheme="minorHAnsi" w:eastAsiaTheme="minorEastAsia" w:hAnsiTheme="minorHAnsi"/>
                <w:noProof/>
              </w:rPr>
              <w:tab/>
            </w:r>
            <w:r w:rsidRPr="00C74C7E">
              <w:rPr>
                <w:rStyle w:val="Hyperlink"/>
                <w:noProof/>
              </w:rPr>
              <w:t>Introduction</w:t>
            </w:r>
            <w:r>
              <w:rPr>
                <w:noProof/>
                <w:webHidden/>
              </w:rPr>
              <w:tab/>
            </w:r>
            <w:r>
              <w:rPr>
                <w:noProof/>
                <w:webHidden/>
              </w:rPr>
              <w:fldChar w:fldCharType="begin"/>
            </w:r>
            <w:r>
              <w:rPr>
                <w:noProof/>
                <w:webHidden/>
              </w:rPr>
              <w:instrText xml:space="preserve"> PAGEREF _Toc217664728 \h </w:instrText>
            </w:r>
            <w:r>
              <w:rPr>
                <w:noProof/>
                <w:webHidden/>
              </w:rPr>
            </w:r>
            <w:r>
              <w:rPr>
                <w:noProof/>
                <w:webHidden/>
              </w:rPr>
              <w:fldChar w:fldCharType="separate"/>
            </w:r>
            <w:r>
              <w:rPr>
                <w:noProof/>
                <w:webHidden/>
              </w:rPr>
              <w:t>2</w:t>
            </w:r>
            <w:r>
              <w:rPr>
                <w:noProof/>
                <w:webHidden/>
              </w:rPr>
              <w:fldChar w:fldCharType="end"/>
            </w:r>
          </w:hyperlink>
        </w:p>
        <w:p w14:paraId="6A65CAFD" w14:textId="163E216C" w:rsidR="00976E58" w:rsidRDefault="00976E58">
          <w:pPr>
            <w:pStyle w:val="TOC1"/>
            <w:tabs>
              <w:tab w:val="left" w:pos="480"/>
              <w:tab w:val="right" w:leader="dot" w:pos="9350"/>
            </w:tabs>
            <w:rPr>
              <w:rFonts w:asciiTheme="minorHAnsi" w:eastAsiaTheme="minorEastAsia" w:hAnsiTheme="minorHAnsi"/>
              <w:noProof/>
            </w:rPr>
          </w:pPr>
          <w:hyperlink w:anchor="_Toc217664729" w:history="1">
            <w:r w:rsidRPr="00C74C7E">
              <w:rPr>
                <w:rStyle w:val="Hyperlink"/>
                <w:noProof/>
              </w:rPr>
              <w:t>2.</w:t>
            </w:r>
            <w:r>
              <w:rPr>
                <w:rFonts w:asciiTheme="minorHAnsi" w:eastAsiaTheme="minorEastAsia" w:hAnsiTheme="minorHAnsi"/>
                <w:noProof/>
              </w:rPr>
              <w:tab/>
            </w:r>
            <w:r w:rsidRPr="00C74C7E">
              <w:rPr>
                <w:rStyle w:val="Hyperlink"/>
                <w:noProof/>
              </w:rPr>
              <w:t>Literature Review</w:t>
            </w:r>
            <w:r>
              <w:rPr>
                <w:noProof/>
                <w:webHidden/>
              </w:rPr>
              <w:tab/>
            </w:r>
            <w:r>
              <w:rPr>
                <w:noProof/>
                <w:webHidden/>
              </w:rPr>
              <w:fldChar w:fldCharType="begin"/>
            </w:r>
            <w:r>
              <w:rPr>
                <w:noProof/>
                <w:webHidden/>
              </w:rPr>
              <w:instrText xml:space="preserve"> PAGEREF _Toc217664729 \h </w:instrText>
            </w:r>
            <w:r>
              <w:rPr>
                <w:noProof/>
                <w:webHidden/>
              </w:rPr>
            </w:r>
            <w:r>
              <w:rPr>
                <w:noProof/>
                <w:webHidden/>
              </w:rPr>
              <w:fldChar w:fldCharType="separate"/>
            </w:r>
            <w:r>
              <w:rPr>
                <w:noProof/>
                <w:webHidden/>
              </w:rPr>
              <w:t>3</w:t>
            </w:r>
            <w:r>
              <w:rPr>
                <w:noProof/>
                <w:webHidden/>
              </w:rPr>
              <w:fldChar w:fldCharType="end"/>
            </w:r>
          </w:hyperlink>
        </w:p>
        <w:p w14:paraId="5E292D3E" w14:textId="35F79105" w:rsidR="00976E58" w:rsidRDefault="00976E58">
          <w:pPr>
            <w:pStyle w:val="TOC2"/>
            <w:tabs>
              <w:tab w:val="left" w:pos="960"/>
              <w:tab w:val="right" w:leader="dot" w:pos="9350"/>
            </w:tabs>
            <w:rPr>
              <w:rFonts w:asciiTheme="minorHAnsi" w:eastAsiaTheme="minorEastAsia" w:hAnsiTheme="minorHAnsi"/>
              <w:noProof/>
            </w:rPr>
          </w:pPr>
          <w:hyperlink w:anchor="_Toc217664730" w:history="1">
            <w:r w:rsidRPr="00C74C7E">
              <w:rPr>
                <w:rStyle w:val="Hyperlink"/>
                <w:noProof/>
              </w:rPr>
              <w:t>2.1.</w:t>
            </w:r>
            <w:r>
              <w:rPr>
                <w:rFonts w:asciiTheme="minorHAnsi" w:eastAsiaTheme="minorEastAsia" w:hAnsiTheme="minorHAnsi"/>
                <w:noProof/>
              </w:rPr>
              <w:tab/>
            </w:r>
            <w:r w:rsidRPr="00C74C7E">
              <w:rPr>
                <w:rStyle w:val="Hyperlink"/>
                <w:noProof/>
              </w:rPr>
              <w:t>ITIL Framework and Service Management</w:t>
            </w:r>
            <w:r>
              <w:rPr>
                <w:noProof/>
                <w:webHidden/>
              </w:rPr>
              <w:tab/>
            </w:r>
            <w:r>
              <w:rPr>
                <w:noProof/>
                <w:webHidden/>
              </w:rPr>
              <w:fldChar w:fldCharType="begin"/>
            </w:r>
            <w:r>
              <w:rPr>
                <w:noProof/>
                <w:webHidden/>
              </w:rPr>
              <w:instrText xml:space="preserve"> PAGEREF _Toc217664730 \h </w:instrText>
            </w:r>
            <w:r>
              <w:rPr>
                <w:noProof/>
                <w:webHidden/>
              </w:rPr>
            </w:r>
            <w:r>
              <w:rPr>
                <w:noProof/>
                <w:webHidden/>
              </w:rPr>
              <w:fldChar w:fldCharType="separate"/>
            </w:r>
            <w:r>
              <w:rPr>
                <w:noProof/>
                <w:webHidden/>
              </w:rPr>
              <w:t>3</w:t>
            </w:r>
            <w:r>
              <w:rPr>
                <w:noProof/>
                <w:webHidden/>
              </w:rPr>
              <w:fldChar w:fldCharType="end"/>
            </w:r>
          </w:hyperlink>
        </w:p>
        <w:p w14:paraId="6CB97B7D" w14:textId="4426FBA6" w:rsidR="00976E58" w:rsidRDefault="00976E58">
          <w:pPr>
            <w:pStyle w:val="TOC2"/>
            <w:tabs>
              <w:tab w:val="left" w:pos="960"/>
              <w:tab w:val="right" w:leader="dot" w:pos="9350"/>
            </w:tabs>
            <w:rPr>
              <w:rFonts w:asciiTheme="minorHAnsi" w:eastAsiaTheme="minorEastAsia" w:hAnsiTheme="minorHAnsi"/>
              <w:noProof/>
            </w:rPr>
          </w:pPr>
          <w:hyperlink w:anchor="_Toc217664731" w:history="1">
            <w:r w:rsidRPr="00C74C7E">
              <w:rPr>
                <w:rStyle w:val="Hyperlink"/>
                <w:noProof/>
              </w:rPr>
              <w:t>2.2.</w:t>
            </w:r>
            <w:r>
              <w:rPr>
                <w:rFonts w:asciiTheme="minorHAnsi" w:eastAsiaTheme="minorEastAsia" w:hAnsiTheme="minorHAnsi"/>
                <w:noProof/>
              </w:rPr>
              <w:tab/>
            </w:r>
            <w:r w:rsidRPr="00C74C7E">
              <w:rPr>
                <w:rStyle w:val="Hyperlink"/>
                <w:noProof/>
              </w:rPr>
              <w:t>ISO/IEC 27000 Series: Governance, Risk, and Security Controls</w:t>
            </w:r>
            <w:r>
              <w:rPr>
                <w:noProof/>
                <w:webHidden/>
              </w:rPr>
              <w:tab/>
            </w:r>
            <w:r>
              <w:rPr>
                <w:noProof/>
                <w:webHidden/>
              </w:rPr>
              <w:fldChar w:fldCharType="begin"/>
            </w:r>
            <w:r>
              <w:rPr>
                <w:noProof/>
                <w:webHidden/>
              </w:rPr>
              <w:instrText xml:space="preserve"> PAGEREF _Toc217664731 \h </w:instrText>
            </w:r>
            <w:r>
              <w:rPr>
                <w:noProof/>
                <w:webHidden/>
              </w:rPr>
            </w:r>
            <w:r>
              <w:rPr>
                <w:noProof/>
                <w:webHidden/>
              </w:rPr>
              <w:fldChar w:fldCharType="separate"/>
            </w:r>
            <w:r>
              <w:rPr>
                <w:noProof/>
                <w:webHidden/>
              </w:rPr>
              <w:t>4</w:t>
            </w:r>
            <w:r>
              <w:rPr>
                <w:noProof/>
                <w:webHidden/>
              </w:rPr>
              <w:fldChar w:fldCharType="end"/>
            </w:r>
          </w:hyperlink>
        </w:p>
        <w:p w14:paraId="22C34DB1" w14:textId="20360326" w:rsidR="00976E58" w:rsidRDefault="00976E58">
          <w:pPr>
            <w:pStyle w:val="TOC2"/>
            <w:tabs>
              <w:tab w:val="left" w:pos="960"/>
              <w:tab w:val="right" w:leader="dot" w:pos="9350"/>
            </w:tabs>
            <w:rPr>
              <w:rFonts w:asciiTheme="minorHAnsi" w:eastAsiaTheme="minorEastAsia" w:hAnsiTheme="minorHAnsi"/>
              <w:noProof/>
            </w:rPr>
          </w:pPr>
          <w:hyperlink w:anchor="_Toc217664732" w:history="1">
            <w:r w:rsidRPr="00C74C7E">
              <w:rPr>
                <w:rStyle w:val="Hyperlink"/>
                <w:noProof/>
              </w:rPr>
              <w:t>2.3.</w:t>
            </w:r>
            <w:r>
              <w:rPr>
                <w:rFonts w:asciiTheme="minorHAnsi" w:eastAsiaTheme="minorEastAsia" w:hAnsiTheme="minorHAnsi"/>
                <w:noProof/>
              </w:rPr>
              <w:tab/>
            </w:r>
            <w:r w:rsidRPr="00C74C7E">
              <w:rPr>
                <w:rStyle w:val="Hyperlink"/>
                <w:noProof/>
              </w:rPr>
              <w:t>COBIT 2019 for Strategic IT Governance</w:t>
            </w:r>
            <w:r>
              <w:rPr>
                <w:noProof/>
                <w:webHidden/>
              </w:rPr>
              <w:tab/>
            </w:r>
            <w:r>
              <w:rPr>
                <w:noProof/>
                <w:webHidden/>
              </w:rPr>
              <w:fldChar w:fldCharType="begin"/>
            </w:r>
            <w:r>
              <w:rPr>
                <w:noProof/>
                <w:webHidden/>
              </w:rPr>
              <w:instrText xml:space="preserve"> PAGEREF _Toc217664732 \h </w:instrText>
            </w:r>
            <w:r>
              <w:rPr>
                <w:noProof/>
                <w:webHidden/>
              </w:rPr>
            </w:r>
            <w:r>
              <w:rPr>
                <w:noProof/>
                <w:webHidden/>
              </w:rPr>
              <w:fldChar w:fldCharType="separate"/>
            </w:r>
            <w:r>
              <w:rPr>
                <w:noProof/>
                <w:webHidden/>
              </w:rPr>
              <w:t>6</w:t>
            </w:r>
            <w:r>
              <w:rPr>
                <w:noProof/>
                <w:webHidden/>
              </w:rPr>
              <w:fldChar w:fldCharType="end"/>
            </w:r>
          </w:hyperlink>
        </w:p>
        <w:p w14:paraId="39884CB4" w14:textId="18432FB4" w:rsidR="00976E58" w:rsidRDefault="00976E58">
          <w:pPr>
            <w:pStyle w:val="TOC2"/>
            <w:tabs>
              <w:tab w:val="left" w:pos="960"/>
              <w:tab w:val="right" w:leader="dot" w:pos="9350"/>
            </w:tabs>
            <w:rPr>
              <w:rFonts w:asciiTheme="minorHAnsi" w:eastAsiaTheme="minorEastAsia" w:hAnsiTheme="minorHAnsi"/>
              <w:noProof/>
            </w:rPr>
          </w:pPr>
          <w:hyperlink w:anchor="_Toc217664733" w:history="1">
            <w:r w:rsidRPr="00C74C7E">
              <w:rPr>
                <w:rStyle w:val="Hyperlink"/>
                <w:noProof/>
              </w:rPr>
              <w:t>2.4.</w:t>
            </w:r>
            <w:r>
              <w:rPr>
                <w:rFonts w:asciiTheme="minorHAnsi" w:eastAsiaTheme="minorEastAsia" w:hAnsiTheme="minorHAnsi"/>
                <w:noProof/>
              </w:rPr>
              <w:tab/>
            </w:r>
            <w:r w:rsidRPr="00C74C7E">
              <w:rPr>
                <w:rStyle w:val="Hyperlink"/>
                <w:noProof/>
              </w:rPr>
              <w:t>Data Governance and Privacy Protection</w:t>
            </w:r>
            <w:r>
              <w:rPr>
                <w:noProof/>
                <w:webHidden/>
              </w:rPr>
              <w:tab/>
            </w:r>
            <w:r>
              <w:rPr>
                <w:noProof/>
                <w:webHidden/>
              </w:rPr>
              <w:fldChar w:fldCharType="begin"/>
            </w:r>
            <w:r>
              <w:rPr>
                <w:noProof/>
                <w:webHidden/>
              </w:rPr>
              <w:instrText xml:space="preserve"> PAGEREF _Toc217664733 \h </w:instrText>
            </w:r>
            <w:r>
              <w:rPr>
                <w:noProof/>
                <w:webHidden/>
              </w:rPr>
            </w:r>
            <w:r>
              <w:rPr>
                <w:noProof/>
                <w:webHidden/>
              </w:rPr>
              <w:fldChar w:fldCharType="separate"/>
            </w:r>
            <w:r>
              <w:rPr>
                <w:noProof/>
                <w:webHidden/>
              </w:rPr>
              <w:t>7</w:t>
            </w:r>
            <w:r>
              <w:rPr>
                <w:noProof/>
                <w:webHidden/>
              </w:rPr>
              <w:fldChar w:fldCharType="end"/>
            </w:r>
          </w:hyperlink>
        </w:p>
        <w:p w14:paraId="3CF36138" w14:textId="15AEE103" w:rsidR="00976E58" w:rsidRDefault="00976E58">
          <w:pPr>
            <w:pStyle w:val="TOC2"/>
            <w:tabs>
              <w:tab w:val="left" w:pos="960"/>
              <w:tab w:val="right" w:leader="dot" w:pos="9350"/>
            </w:tabs>
            <w:rPr>
              <w:rFonts w:asciiTheme="minorHAnsi" w:eastAsiaTheme="minorEastAsia" w:hAnsiTheme="minorHAnsi"/>
              <w:noProof/>
            </w:rPr>
          </w:pPr>
          <w:hyperlink w:anchor="_Toc217664734" w:history="1">
            <w:r w:rsidRPr="00C74C7E">
              <w:rPr>
                <w:rStyle w:val="Hyperlink"/>
                <w:noProof/>
              </w:rPr>
              <w:t>2.5.</w:t>
            </w:r>
            <w:r>
              <w:rPr>
                <w:rFonts w:asciiTheme="minorHAnsi" w:eastAsiaTheme="minorEastAsia" w:hAnsiTheme="minorHAnsi"/>
                <w:noProof/>
              </w:rPr>
              <w:tab/>
            </w:r>
            <w:r w:rsidRPr="00C74C7E">
              <w:rPr>
                <w:rStyle w:val="Hyperlink"/>
                <w:noProof/>
              </w:rPr>
              <w:t>Comparative Evaluation of Frameworks</w:t>
            </w:r>
            <w:r>
              <w:rPr>
                <w:noProof/>
                <w:webHidden/>
              </w:rPr>
              <w:tab/>
            </w:r>
            <w:r>
              <w:rPr>
                <w:noProof/>
                <w:webHidden/>
              </w:rPr>
              <w:fldChar w:fldCharType="begin"/>
            </w:r>
            <w:r>
              <w:rPr>
                <w:noProof/>
                <w:webHidden/>
              </w:rPr>
              <w:instrText xml:space="preserve"> PAGEREF _Toc217664734 \h </w:instrText>
            </w:r>
            <w:r>
              <w:rPr>
                <w:noProof/>
                <w:webHidden/>
              </w:rPr>
            </w:r>
            <w:r>
              <w:rPr>
                <w:noProof/>
                <w:webHidden/>
              </w:rPr>
              <w:fldChar w:fldCharType="separate"/>
            </w:r>
            <w:r>
              <w:rPr>
                <w:noProof/>
                <w:webHidden/>
              </w:rPr>
              <w:t>8</w:t>
            </w:r>
            <w:r>
              <w:rPr>
                <w:noProof/>
                <w:webHidden/>
              </w:rPr>
              <w:fldChar w:fldCharType="end"/>
            </w:r>
          </w:hyperlink>
        </w:p>
        <w:p w14:paraId="5FE5744A" w14:textId="62C8510E" w:rsidR="00976E58" w:rsidRDefault="00976E58">
          <w:pPr>
            <w:pStyle w:val="TOC1"/>
            <w:tabs>
              <w:tab w:val="left" w:pos="480"/>
              <w:tab w:val="right" w:leader="dot" w:pos="9350"/>
            </w:tabs>
            <w:rPr>
              <w:rFonts w:asciiTheme="minorHAnsi" w:eastAsiaTheme="minorEastAsia" w:hAnsiTheme="minorHAnsi"/>
              <w:noProof/>
            </w:rPr>
          </w:pPr>
          <w:hyperlink w:anchor="_Toc217664735" w:history="1">
            <w:r w:rsidRPr="00C74C7E">
              <w:rPr>
                <w:rStyle w:val="Hyperlink"/>
                <w:noProof/>
              </w:rPr>
              <w:t>3.</w:t>
            </w:r>
            <w:r>
              <w:rPr>
                <w:rFonts w:asciiTheme="minorHAnsi" w:eastAsiaTheme="minorEastAsia" w:hAnsiTheme="minorHAnsi"/>
                <w:noProof/>
              </w:rPr>
              <w:tab/>
            </w:r>
            <w:r w:rsidRPr="00C74C7E">
              <w:rPr>
                <w:rStyle w:val="Hyperlink"/>
                <w:noProof/>
              </w:rPr>
              <w:t>Proposed Security Approach</w:t>
            </w:r>
            <w:r>
              <w:rPr>
                <w:noProof/>
                <w:webHidden/>
              </w:rPr>
              <w:tab/>
            </w:r>
            <w:r>
              <w:rPr>
                <w:noProof/>
                <w:webHidden/>
              </w:rPr>
              <w:fldChar w:fldCharType="begin"/>
            </w:r>
            <w:r>
              <w:rPr>
                <w:noProof/>
                <w:webHidden/>
              </w:rPr>
              <w:instrText xml:space="preserve"> PAGEREF _Toc217664735 \h </w:instrText>
            </w:r>
            <w:r>
              <w:rPr>
                <w:noProof/>
                <w:webHidden/>
              </w:rPr>
            </w:r>
            <w:r>
              <w:rPr>
                <w:noProof/>
                <w:webHidden/>
              </w:rPr>
              <w:fldChar w:fldCharType="separate"/>
            </w:r>
            <w:r>
              <w:rPr>
                <w:noProof/>
                <w:webHidden/>
              </w:rPr>
              <w:t>9</w:t>
            </w:r>
            <w:r>
              <w:rPr>
                <w:noProof/>
                <w:webHidden/>
              </w:rPr>
              <w:fldChar w:fldCharType="end"/>
            </w:r>
          </w:hyperlink>
        </w:p>
        <w:p w14:paraId="00AB17A6" w14:textId="0BC6BFF1" w:rsidR="00976E58" w:rsidRDefault="00976E58">
          <w:pPr>
            <w:pStyle w:val="TOC2"/>
            <w:tabs>
              <w:tab w:val="left" w:pos="960"/>
              <w:tab w:val="right" w:leader="dot" w:pos="9350"/>
            </w:tabs>
            <w:rPr>
              <w:rFonts w:asciiTheme="minorHAnsi" w:eastAsiaTheme="minorEastAsia" w:hAnsiTheme="minorHAnsi"/>
              <w:noProof/>
            </w:rPr>
          </w:pPr>
          <w:hyperlink w:anchor="_Toc217664736" w:history="1">
            <w:r w:rsidRPr="00C74C7E">
              <w:rPr>
                <w:rStyle w:val="Hyperlink"/>
                <w:noProof/>
              </w:rPr>
              <w:t>3.1.</w:t>
            </w:r>
            <w:r>
              <w:rPr>
                <w:rFonts w:asciiTheme="minorHAnsi" w:eastAsiaTheme="minorEastAsia" w:hAnsiTheme="minorHAnsi"/>
                <w:noProof/>
              </w:rPr>
              <w:tab/>
            </w:r>
            <w:r w:rsidRPr="00C74C7E">
              <w:rPr>
                <w:rStyle w:val="Hyperlink"/>
                <w:noProof/>
              </w:rPr>
              <w:t>Integrating ITIL for Operational Efficiency</w:t>
            </w:r>
            <w:r>
              <w:rPr>
                <w:noProof/>
                <w:webHidden/>
              </w:rPr>
              <w:tab/>
            </w:r>
            <w:r>
              <w:rPr>
                <w:noProof/>
                <w:webHidden/>
              </w:rPr>
              <w:fldChar w:fldCharType="begin"/>
            </w:r>
            <w:r>
              <w:rPr>
                <w:noProof/>
                <w:webHidden/>
              </w:rPr>
              <w:instrText xml:space="preserve"> PAGEREF _Toc217664736 \h </w:instrText>
            </w:r>
            <w:r>
              <w:rPr>
                <w:noProof/>
                <w:webHidden/>
              </w:rPr>
            </w:r>
            <w:r>
              <w:rPr>
                <w:noProof/>
                <w:webHidden/>
              </w:rPr>
              <w:fldChar w:fldCharType="separate"/>
            </w:r>
            <w:r>
              <w:rPr>
                <w:noProof/>
                <w:webHidden/>
              </w:rPr>
              <w:t>9</w:t>
            </w:r>
            <w:r>
              <w:rPr>
                <w:noProof/>
                <w:webHidden/>
              </w:rPr>
              <w:fldChar w:fldCharType="end"/>
            </w:r>
          </w:hyperlink>
        </w:p>
        <w:p w14:paraId="3EB6E9D6" w14:textId="37F56A29" w:rsidR="00976E58" w:rsidRDefault="00976E58">
          <w:pPr>
            <w:pStyle w:val="TOC2"/>
            <w:tabs>
              <w:tab w:val="left" w:pos="960"/>
              <w:tab w:val="right" w:leader="dot" w:pos="9350"/>
            </w:tabs>
            <w:rPr>
              <w:rFonts w:asciiTheme="minorHAnsi" w:eastAsiaTheme="minorEastAsia" w:hAnsiTheme="minorHAnsi"/>
              <w:noProof/>
            </w:rPr>
          </w:pPr>
          <w:hyperlink w:anchor="_Toc217664737" w:history="1">
            <w:r w:rsidRPr="00C74C7E">
              <w:rPr>
                <w:rStyle w:val="Hyperlink"/>
                <w:noProof/>
              </w:rPr>
              <w:t>3.2.</w:t>
            </w:r>
            <w:r>
              <w:rPr>
                <w:rFonts w:asciiTheme="minorHAnsi" w:eastAsiaTheme="minorEastAsia" w:hAnsiTheme="minorHAnsi"/>
                <w:noProof/>
              </w:rPr>
              <w:tab/>
            </w:r>
            <w:r w:rsidRPr="00C74C7E">
              <w:rPr>
                <w:rStyle w:val="Hyperlink"/>
                <w:noProof/>
              </w:rPr>
              <w:t>ISO/IEC 27000 Series for Risk and Compliance</w:t>
            </w:r>
            <w:r>
              <w:rPr>
                <w:noProof/>
                <w:webHidden/>
              </w:rPr>
              <w:tab/>
            </w:r>
            <w:r>
              <w:rPr>
                <w:noProof/>
                <w:webHidden/>
              </w:rPr>
              <w:fldChar w:fldCharType="begin"/>
            </w:r>
            <w:r>
              <w:rPr>
                <w:noProof/>
                <w:webHidden/>
              </w:rPr>
              <w:instrText xml:space="preserve"> PAGEREF _Toc217664737 \h </w:instrText>
            </w:r>
            <w:r>
              <w:rPr>
                <w:noProof/>
                <w:webHidden/>
              </w:rPr>
            </w:r>
            <w:r>
              <w:rPr>
                <w:noProof/>
                <w:webHidden/>
              </w:rPr>
              <w:fldChar w:fldCharType="separate"/>
            </w:r>
            <w:r>
              <w:rPr>
                <w:noProof/>
                <w:webHidden/>
              </w:rPr>
              <w:t>10</w:t>
            </w:r>
            <w:r>
              <w:rPr>
                <w:noProof/>
                <w:webHidden/>
              </w:rPr>
              <w:fldChar w:fldCharType="end"/>
            </w:r>
          </w:hyperlink>
        </w:p>
        <w:p w14:paraId="0A3588DE" w14:textId="77C0FD73" w:rsidR="00976E58" w:rsidRDefault="00976E58">
          <w:pPr>
            <w:pStyle w:val="TOC2"/>
            <w:tabs>
              <w:tab w:val="left" w:pos="960"/>
              <w:tab w:val="right" w:leader="dot" w:pos="9350"/>
            </w:tabs>
            <w:rPr>
              <w:rFonts w:asciiTheme="minorHAnsi" w:eastAsiaTheme="minorEastAsia" w:hAnsiTheme="minorHAnsi"/>
              <w:noProof/>
            </w:rPr>
          </w:pPr>
          <w:hyperlink w:anchor="_Toc217664738" w:history="1">
            <w:r w:rsidRPr="00C74C7E">
              <w:rPr>
                <w:rStyle w:val="Hyperlink"/>
                <w:noProof/>
              </w:rPr>
              <w:t>3.3.</w:t>
            </w:r>
            <w:r>
              <w:rPr>
                <w:rFonts w:asciiTheme="minorHAnsi" w:eastAsiaTheme="minorEastAsia" w:hAnsiTheme="minorHAnsi"/>
                <w:noProof/>
              </w:rPr>
              <w:tab/>
            </w:r>
            <w:r w:rsidRPr="00C74C7E">
              <w:rPr>
                <w:rStyle w:val="Hyperlink"/>
                <w:noProof/>
              </w:rPr>
              <w:t>COBIT 2019 for Strategic Governance</w:t>
            </w:r>
            <w:r>
              <w:rPr>
                <w:noProof/>
                <w:webHidden/>
              </w:rPr>
              <w:tab/>
            </w:r>
            <w:r>
              <w:rPr>
                <w:noProof/>
                <w:webHidden/>
              </w:rPr>
              <w:fldChar w:fldCharType="begin"/>
            </w:r>
            <w:r>
              <w:rPr>
                <w:noProof/>
                <w:webHidden/>
              </w:rPr>
              <w:instrText xml:space="preserve"> PAGEREF _Toc217664738 \h </w:instrText>
            </w:r>
            <w:r>
              <w:rPr>
                <w:noProof/>
                <w:webHidden/>
              </w:rPr>
            </w:r>
            <w:r>
              <w:rPr>
                <w:noProof/>
                <w:webHidden/>
              </w:rPr>
              <w:fldChar w:fldCharType="separate"/>
            </w:r>
            <w:r>
              <w:rPr>
                <w:noProof/>
                <w:webHidden/>
              </w:rPr>
              <w:t>10</w:t>
            </w:r>
            <w:r>
              <w:rPr>
                <w:noProof/>
                <w:webHidden/>
              </w:rPr>
              <w:fldChar w:fldCharType="end"/>
            </w:r>
          </w:hyperlink>
        </w:p>
        <w:p w14:paraId="42D06E96" w14:textId="33B5E029" w:rsidR="00976E58" w:rsidRDefault="00976E58">
          <w:pPr>
            <w:pStyle w:val="TOC2"/>
            <w:tabs>
              <w:tab w:val="left" w:pos="960"/>
              <w:tab w:val="right" w:leader="dot" w:pos="9350"/>
            </w:tabs>
            <w:rPr>
              <w:rFonts w:asciiTheme="minorHAnsi" w:eastAsiaTheme="minorEastAsia" w:hAnsiTheme="minorHAnsi"/>
              <w:noProof/>
            </w:rPr>
          </w:pPr>
          <w:hyperlink w:anchor="_Toc217664739" w:history="1">
            <w:r w:rsidRPr="00C74C7E">
              <w:rPr>
                <w:rStyle w:val="Hyperlink"/>
                <w:noProof/>
              </w:rPr>
              <w:t>3.4.</w:t>
            </w:r>
            <w:r>
              <w:rPr>
                <w:rFonts w:asciiTheme="minorHAnsi" w:eastAsiaTheme="minorEastAsia" w:hAnsiTheme="minorHAnsi"/>
                <w:noProof/>
              </w:rPr>
              <w:tab/>
            </w:r>
            <w:r w:rsidRPr="00C74C7E">
              <w:rPr>
                <w:rStyle w:val="Hyperlink"/>
                <w:noProof/>
              </w:rPr>
              <w:t>Data Governance and Privacy-First Practices</w:t>
            </w:r>
            <w:r>
              <w:rPr>
                <w:noProof/>
                <w:webHidden/>
              </w:rPr>
              <w:tab/>
            </w:r>
            <w:r>
              <w:rPr>
                <w:noProof/>
                <w:webHidden/>
              </w:rPr>
              <w:fldChar w:fldCharType="begin"/>
            </w:r>
            <w:r>
              <w:rPr>
                <w:noProof/>
                <w:webHidden/>
              </w:rPr>
              <w:instrText xml:space="preserve"> PAGEREF _Toc217664739 \h </w:instrText>
            </w:r>
            <w:r>
              <w:rPr>
                <w:noProof/>
                <w:webHidden/>
              </w:rPr>
            </w:r>
            <w:r>
              <w:rPr>
                <w:noProof/>
                <w:webHidden/>
              </w:rPr>
              <w:fldChar w:fldCharType="separate"/>
            </w:r>
            <w:r>
              <w:rPr>
                <w:noProof/>
                <w:webHidden/>
              </w:rPr>
              <w:t>11</w:t>
            </w:r>
            <w:r>
              <w:rPr>
                <w:noProof/>
                <w:webHidden/>
              </w:rPr>
              <w:fldChar w:fldCharType="end"/>
            </w:r>
          </w:hyperlink>
        </w:p>
        <w:p w14:paraId="512F4456" w14:textId="3FC2A891" w:rsidR="00976E58" w:rsidRDefault="00976E58">
          <w:pPr>
            <w:pStyle w:val="TOC2"/>
            <w:tabs>
              <w:tab w:val="left" w:pos="960"/>
              <w:tab w:val="right" w:leader="dot" w:pos="9350"/>
            </w:tabs>
            <w:rPr>
              <w:rFonts w:asciiTheme="minorHAnsi" w:eastAsiaTheme="minorEastAsia" w:hAnsiTheme="minorHAnsi"/>
              <w:noProof/>
            </w:rPr>
          </w:pPr>
          <w:hyperlink w:anchor="_Toc217664740" w:history="1">
            <w:r w:rsidRPr="00C74C7E">
              <w:rPr>
                <w:rStyle w:val="Hyperlink"/>
                <w:noProof/>
              </w:rPr>
              <w:t>3.5.</w:t>
            </w:r>
            <w:r>
              <w:rPr>
                <w:rFonts w:asciiTheme="minorHAnsi" w:eastAsiaTheme="minorEastAsia" w:hAnsiTheme="minorHAnsi"/>
                <w:noProof/>
              </w:rPr>
              <w:tab/>
            </w:r>
            <w:r w:rsidRPr="00C74C7E">
              <w:rPr>
                <w:rStyle w:val="Hyperlink"/>
                <w:noProof/>
              </w:rPr>
              <w:t>Integrated Hybrid Security Framework</w:t>
            </w:r>
            <w:r>
              <w:rPr>
                <w:noProof/>
                <w:webHidden/>
              </w:rPr>
              <w:tab/>
            </w:r>
            <w:r>
              <w:rPr>
                <w:noProof/>
                <w:webHidden/>
              </w:rPr>
              <w:fldChar w:fldCharType="begin"/>
            </w:r>
            <w:r>
              <w:rPr>
                <w:noProof/>
                <w:webHidden/>
              </w:rPr>
              <w:instrText xml:space="preserve"> PAGEREF _Toc217664740 \h </w:instrText>
            </w:r>
            <w:r>
              <w:rPr>
                <w:noProof/>
                <w:webHidden/>
              </w:rPr>
            </w:r>
            <w:r>
              <w:rPr>
                <w:noProof/>
                <w:webHidden/>
              </w:rPr>
              <w:fldChar w:fldCharType="separate"/>
            </w:r>
            <w:r>
              <w:rPr>
                <w:noProof/>
                <w:webHidden/>
              </w:rPr>
              <w:t>12</w:t>
            </w:r>
            <w:r>
              <w:rPr>
                <w:noProof/>
                <w:webHidden/>
              </w:rPr>
              <w:fldChar w:fldCharType="end"/>
            </w:r>
          </w:hyperlink>
        </w:p>
        <w:p w14:paraId="1D5D7AE6" w14:textId="38C24BE4" w:rsidR="00976E58" w:rsidRDefault="00976E58">
          <w:pPr>
            <w:pStyle w:val="TOC2"/>
            <w:tabs>
              <w:tab w:val="left" w:pos="960"/>
              <w:tab w:val="right" w:leader="dot" w:pos="9350"/>
            </w:tabs>
            <w:rPr>
              <w:rFonts w:asciiTheme="minorHAnsi" w:eastAsiaTheme="minorEastAsia" w:hAnsiTheme="minorHAnsi"/>
              <w:noProof/>
            </w:rPr>
          </w:pPr>
          <w:hyperlink w:anchor="_Toc217664741" w:history="1">
            <w:r w:rsidRPr="00C74C7E">
              <w:rPr>
                <w:rStyle w:val="Hyperlink"/>
                <w:noProof/>
              </w:rPr>
              <w:t>3.6.</w:t>
            </w:r>
            <w:r>
              <w:rPr>
                <w:rFonts w:asciiTheme="minorHAnsi" w:eastAsiaTheme="minorEastAsia" w:hAnsiTheme="minorHAnsi"/>
                <w:noProof/>
              </w:rPr>
              <w:tab/>
            </w:r>
            <w:r w:rsidRPr="00C74C7E">
              <w:rPr>
                <w:rStyle w:val="Hyperlink"/>
                <w:noProof/>
              </w:rPr>
              <w:t>Practical Implementation Considerations</w:t>
            </w:r>
            <w:r>
              <w:rPr>
                <w:noProof/>
                <w:webHidden/>
              </w:rPr>
              <w:tab/>
            </w:r>
            <w:r>
              <w:rPr>
                <w:noProof/>
                <w:webHidden/>
              </w:rPr>
              <w:fldChar w:fldCharType="begin"/>
            </w:r>
            <w:r>
              <w:rPr>
                <w:noProof/>
                <w:webHidden/>
              </w:rPr>
              <w:instrText xml:space="preserve"> PAGEREF _Toc217664741 \h </w:instrText>
            </w:r>
            <w:r>
              <w:rPr>
                <w:noProof/>
                <w:webHidden/>
              </w:rPr>
            </w:r>
            <w:r>
              <w:rPr>
                <w:noProof/>
                <w:webHidden/>
              </w:rPr>
              <w:fldChar w:fldCharType="separate"/>
            </w:r>
            <w:r>
              <w:rPr>
                <w:noProof/>
                <w:webHidden/>
              </w:rPr>
              <w:t>13</w:t>
            </w:r>
            <w:r>
              <w:rPr>
                <w:noProof/>
                <w:webHidden/>
              </w:rPr>
              <w:fldChar w:fldCharType="end"/>
            </w:r>
          </w:hyperlink>
        </w:p>
        <w:p w14:paraId="2640935C" w14:textId="6A82C287" w:rsidR="00976E58" w:rsidRDefault="00976E58">
          <w:pPr>
            <w:pStyle w:val="TOC2"/>
            <w:tabs>
              <w:tab w:val="left" w:pos="960"/>
              <w:tab w:val="right" w:leader="dot" w:pos="9350"/>
            </w:tabs>
            <w:rPr>
              <w:rFonts w:asciiTheme="minorHAnsi" w:eastAsiaTheme="minorEastAsia" w:hAnsiTheme="minorHAnsi"/>
              <w:noProof/>
            </w:rPr>
          </w:pPr>
          <w:hyperlink w:anchor="_Toc217664742" w:history="1">
            <w:r w:rsidRPr="00C74C7E">
              <w:rPr>
                <w:rStyle w:val="Hyperlink"/>
                <w:noProof/>
              </w:rPr>
              <w:t>3.7.</w:t>
            </w:r>
            <w:r>
              <w:rPr>
                <w:rFonts w:asciiTheme="minorHAnsi" w:eastAsiaTheme="minorEastAsia" w:hAnsiTheme="minorHAnsi"/>
                <w:noProof/>
              </w:rPr>
              <w:tab/>
            </w:r>
            <w:r w:rsidRPr="00C74C7E">
              <w:rPr>
                <w:rStyle w:val="Hyperlink"/>
                <w:noProof/>
              </w:rPr>
              <w:t>Justification and Anticipated Outcomes</w:t>
            </w:r>
            <w:r>
              <w:rPr>
                <w:noProof/>
                <w:webHidden/>
              </w:rPr>
              <w:tab/>
            </w:r>
            <w:r>
              <w:rPr>
                <w:noProof/>
                <w:webHidden/>
              </w:rPr>
              <w:fldChar w:fldCharType="begin"/>
            </w:r>
            <w:r>
              <w:rPr>
                <w:noProof/>
                <w:webHidden/>
              </w:rPr>
              <w:instrText xml:space="preserve"> PAGEREF _Toc217664742 \h </w:instrText>
            </w:r>
            <w:r>
              <w:rPr>
                <w:noProof/>
                <w:webHidden/>
              </w:rPr>
            </w:r>
            <w:r>
              <w:rPr>
                <w:noProof/>
                <w:webHidden/>
              </w:rPr>
              <w:fldChar w:fldCharType="separate"/>
            </w:r>
            <w:r>
              <w:rPr>
                <w:noProof/>
                <w:webHidden/>
              </w:rPr>
              <w:t>14</w:t>
            </w:r>
            <w:r>
              <w:rPr>
                <w:noProof/>
                <w:webHidden/>
              </w:rPr>
              <w:fldChar w:fldCharType="end"/>
            </w:r>
          </w:hyperlink>
        </w:p>
        <w:p w14:paraId="1662070B" w14:textId="4928CD97" w:rsidR="00976E58" w:rsidRDefault="00976E58">
          <w:pPr>
            <w:pStyle w:val="TOC1"/>
            <w:tabs>
              <w:tab w:val="left" w:pos="480"/>
              <w:tab w:val="right" w:leader="dot" w:pos="9350"/>
            </w:tabs>
            <w:rPr>
              <w:rFonts w:asciiTheme="minorHAnsi" w:eastAsiaTheme="minorEastAsia" w:hAnsiTheme="minorHAnsi"/>
              <w:noProof/>
            </w:rPr>
          </w:pPr>
          <w:hyperlink w:anchor="_Toc217664743" w:history="1">
            <w:r w:rsidRPr="00C74C7E">
              <w:rPr>
                <w:rStyle w:val="Hyperlink"/>
                <w:noProof/>
              </w:rPr>
              <w:t>4.</w:t>
            </w:r>
            <w:r>
              <w:rPr>
                <w:rFonts w:asciiTheme="minorHAnsi" w:eastAsiaTheme="minorEastAsia" w:hAnsiTheme="minorHAnsi"/>
                <w:noProof/>
              </w:rPr>
              <w:tab/>
            </w:r>
            <w:r w:rsidRPr="00C74C7E">
              <w:rPr>
                <w:rStyle w:val="Hyperlink"/>
                <w:noProof/>
              </w:rPr>
              <w:t>Critique, Analysis, and Discussion: The Importance of Evolving Regulations and Standards</w:t>
            </w:r>
            <w:r>
              <w:rPr>
                <w:noProof/>
                <w:webHidden/>
              </w:rPr>
              <w:tab/>
            </w:r>
            <w:r>
              <w:rPr>
                <w:noProof/>
                <w:webHidden/>
              </w:rPr>
              <w:fldChar w:fldCharType="begin"/>
            </w:r>
            <w:r>
              <w:rPr>
                <w:noProof/>
                <w:webHidden/>
              </w:rPr>
              <w:instrText xml:space="preserve"> PAGEREF _Toc217664743 \h </w:instrText>
            </w:r>
            <w:r>
              <w:rPr>
                <w:noProof/>
                <w:webHidden/>
              </w:rPr>
            </w:r>
            <w:r>
              <w:rPr>
                <w:noProof/>
                <w:webHidden/>
              </w:rPr>
              <w:fldChar w:fldCharType="separate"/>
            </w:r>
            <w:r>
              <w:rPr>
                <w:noProof/>
                <w:webHidden/>
              </w:rPr>
              <w:t>14</w:t>
            </w:r>
            <w:r>
              <w:rPr>
                <w:noProof/>
                <w:webHidden/>
              </w:rPr>
              <w:fldChar w:fldCharType="end"/>
            </w:r>
          </w:hyperlink>
        </w:p>
        <w:p w14:paraId="49B4E393" w14:textId="3DF62BEF" w:rsidR="00976E58" w:rsidRDefault="00976E58">
          <w:pPr>
            <w:pStyle w:val="TOC1"/>
            <w:tabs>
              <w:tab w:val="left" w:pos="480"/>
              <w:tab w:val="right" w:leader="dot" w:pos="9350"/>
            </w:tabs>
            <w:rPr>
              <w:rFonts w:asciiTheme="minorHAnsi" w:eastAsiaTheme="minorEastAsia" w:hAnsiTheme="minorHAnsi"/>
              <w:noProof/>
            </w:rPr>
          </w:pPr>
          <w:hyperlink w:anchor="_Toc217664744" w:history="1">
            <w:r w:rsidRPr="00C74C7E">
              <w:rPr>
                <w:rStyle w:val="Hyperlink"/>
                <w:noProof/>
              </w:rPr>
              <w:t>5.</w:t>
            </w:r>
            <w:r>
              <w:rPr>
                <w:rFonts w:asciiTheme="minorHAnsi" w:eastAsiaTheme="minorEastAsia" w:hAnsiTheme="minorHAnsi"/>
                <w:noProof/>
              </w:rPr>
              <w:tab/>
            </w:r>
            <w:r w:rsidRPr="00C74C7E">
              <w:rPr>
                <w:rStyle w:val="Hyperlink"/>
                <w:noProof/>
              </w:rPr>
              <w:t>Conclusion</w:t>
            </w:r>
            <w:r>
              <w:rPr>
                <w:noProof/>
                <w:webHidden/>
              </w:rPr>
              <w:tab/>
            </w:r>
            <w:r>
              <w:rPr>
                <w:noProof/>
                <w:webHidden/>
              </w:rPr>
              <w:fldChar w:fldCharType="begin"/>
            </w:r>
            <w:r>
              <w:rPr>
                <w:noProof/>
                <w:webHidden/>
              </w:rPr>
              <w:instrText xml:space="preserve"> PAGEREF _Toc217664744 \h </w:instrText>
            </w:r>
            <w:r>
              <w:rPr>
                <w:noProof/>
                <w:webHidden/>
              </w:rPr>
            </w:r>
            <w:r>
              <w:rPr>
                <w:noProof/>
                <w:webHidden/>
              </w:rPr>
              <w:fldChar w:fldCharType="separate"/>
            </w:r>
            <w:r>
              <w:rPr>
                <w:noProof/>
                <w:webHidden/>
              </w:rPr>
              <w:t>17</w:t>
            </w:r>
            <w:r>
              <w:rPr>
                <w:noProof/>
                <w:webHidden/>
              </w:rPr>
              <w:fldChar w:fldCharType="end"/>
            </w:r>
          </w:hyperlink>
        </w:p>
        <w:p w14:paraId="3B8B492E" w14:textId="2B0613BD" w:rsidR="00976E58" w:rsidRDefault="00976E58">
          <w:pPr>
            <w:pStyle w:val="TOC1"/>
            <w:tabs>
              <w:tab w:val="right" w:leader="dot" w:pos="9350"/>
            </w:tabs>
            <w:rPr>
              <w:rFonts w:asciiTheme="minorHAnsi" w:eastAsiaTheme="minorEastAsia" w:hAnsiTheme="minorHAnsi"/>
              <w:noProof/>
            </w:rPr>
          </w:pPr>
          <w:hyperlink w:anchor="_Toc217664745" w:history="1">
            <w:r w:rsidRPr="00C74C7E">
              <w:rPr>
                <w:rStyle w:val="Hyperlink"/>
                <w:noProof/>
              </w:rPr>
              <w:t>References</w:t>
            </w:r>
            <w:r>
              <w:rPr>
                <w:noProof/>
                <w:webHidden/>
              </w:rPr>
              <w:tab/>
            </w:r>
            <w:r>
              <w:rPr>
                <w:noProof/>
                <w:webHidden/>
              </w:rPr>
              <w:fldChar w:fldCharType="begin"/>
            </w:r>
            <w:r>
              <w:rPr>
                <w:noProof/>
                <w:webHidden/>
              </w:rPr>
              <w:instrText xml:space="preserve"> PAGEREF _Toc217664745 \h </w:instrText>
            </w:r>
            <w:r>
              <w:rPr>
                <w:noProof/>
                <w:webHidden/>
              </w:rPr>
            </w:r>
            <w:r>
              <w:rPr>
                <w:noProof/>
                <w:webHidden/>
              </w:rPr>
              <w:fldChar w:fldCharType="separate"/>
            </w:r>
            <w:r>
              <w:rPr>
                <w:noProof/>
                <w:webHidden/>
              </w:rPr>
              <w:t>18</w:t>
            </w:r>
            <w:r>
              <w:rPr>
                <w:noProof/>
                <w:webHidden/>
              </w:rPr>
              <w:fldChar w:fldCharType="end"/>
            </w:r>
          </w:hyperlink>
        </w:p>
        <w:p w14:paraId="18D4D421" w14:textId="69834E30" w:rsidR="004D3045" w:rsidRDefault="004D3045">
          <w:r>
            <w:rPr>
              <w:b/>
              <w:bCs/>
              <w:noProof/>
            </w:rPr>
            <w:fldChar w:fldCharType="end"/>
          </w:r>
        </w:p>
      </w:sdtContent>
    </w:sdt>
    <w:p w14:paraId="34890128" w14:textId="60725D20" w:rsidR="004D3045" w:rsidRDefault="004D3045" w:rsidP="004D3045">
      <w:pPr>
        <w:rPr>
          <w:rFonts w:eastAsiaTheme="majorEastAsia" w:cstheme="majorBidi"/>
          <w:color w:val="000000" w:themeColor="text1"/>
          <w:sz w:val="32"/>
          <w:szCs w:val="40"/>
        </w:rPr>
      </w:pPr>
    </w:p>
    <w:p w14:paraId="557D0152" w14:textId="3BA142B6" w:rsidR="000B556D" w:rsidRPr="000B556D" w:rsidRDefault="000B556D" w:rsidP="00A01967">
      <w:pPr>
        <w:pStyle w:val="Heading1"/>
      </w:pPr>
      <w:bookmarkStart w:id="0" w:name="_Toc217664727"/>
      <w:r w:rsidRPr="000B556D">
        <w:lastRenderedPageBreak/>
        <w:t>Abstract</w:t>
      </w:r>
      <w:bookmarkEnd w:id="0"/>
      <w:r w:rsidRPr="000B556D">
        <w:t xml:space="preserve"> </w:t>
      </w:r>
    </w:p>
    <w:p w14:paraId="41CB82B5" w14:textId="011C6BEA" w:rsidR="00E331F3" w:rsidRPr="00E331F3" w:rsidRDefault="00204B3E" w:rsidP="00E331F3">
      <w:r w:rsidRPr="00204B3E">
        <w:t>The report focuses on how to apply well-known security and governance frameworks, such as ITIL, the ISO/IEC 27000 series, COBIT 2019, and data governance principles, to create a unique security governance and compliance model for Nature Green. The study uses the latest academic and professional publications to judge the current situation critically and to put forward a hybrid framework that integrates security governance with business strategy. The result shows the urgent need for regulations and standards to keep changing along with the cyber threats, technological advancements, and complexities in regulation. The model suggested, in a practical sense, improves operational resilience through better incident response, more effective risk management, and measurable gains in audit readiness and service level agreement (SLA) performance. The whole framework, therefore, views information security governance as a strategic facilitator of long-term organizational resilience rather than just a technical function</w:t>
      </w:r>
      <w:r w:rsidR="00E331F3" w:rsidRPr="00E331F3">
        <w:t>.</w:t>
      </w:r>
    </w:p>
    <w:p w14:paraId="3F233D47" w14:textId="76993114" w:rsidR="00204B3E" w:rsidRDefault="000B556D" w:rsidP="003979D7">
      <w:pPr>
        <w:pStyle w:val="Heading1"/>
        <w:numPr>
          <w:ilvl w:val="0"/>
          <w:numId w:val="9"/>
        </w:numPr>
      </w:pPr>
      <w:bookmarkStart w:id="1" w:name="_Toc217664728"/>
      <w:r w:rsidRPr="000B556D">
        <w:t>Introduction</w:t>
      </w:r>
      <w:bookmarkEnd w:id="1"/>
    </w:p>
    <w:p w14:paraId="0BC88940" w14:textId="045B0EC0" w:rsidR="00204B3E" w:rsidRDefault="00204B3E" w:rsidP="00204B3E">
      <w:r>
        <w:t>Nature Green is functioning in a highly digitalized and interconnected business environment where the use of information systems enables operational efficiency, customer engagement, and strategic decision-making. The use of digital platforms, cloud services, and data-driven processes is on the rise in organizations, so that information security is no longer a concern of technical nature only but rather a matter of governance that directly influences the organization’s resilience, compliance with regulations, and trust among stakeholders</w:t>
      </w:r>
      <w:r w:rsidR="00AC66CB">
        <w:t xml:space="preserve"> (</w:t>
      </w:r>
      <w:proofErr w:type="spellStart"/>
      <w:r w:rsidR="00AC66CB">
        <w:t>Sargiotis</w:t>
      </w:r>
      <w:proofErr w:type="spellEnd"/>
      <w:r w:rsidR="00AC66CB">
        <w:t>, 2024; Naik, 2023)</w:t>
      </w:r>
      <w:r>
        <w:t>. Nature Green, consequently, is increasingly susceptible to cyber threats, data breaches, and regulatory non-compliance leading to the adoption of a structured and flexible approach to information security governance.</w:t>
      </w:r>
    </w:p>
    <w:p w14:paraId="43D39B64" w14:textId="23DDFA0A" w:rsidR="00204B3E" w:rsidRDefault="00204B3E" w:rsidP="00204B3E">
      <w:r>
        <w:t xml:space="preserve">The established frameworks ITIL, ISO/IEC 27000 series, and COBIT 2019 are providing recognized best practice guidance for the managing of IT services, controlling of information security risks, and the aligning of IT activities with business objectives. Yet, when these frameworks are applied individually, they reveal difficulties since no one standard has a thorough address to the operational efficiency, strategic oversight, and regulatory compliance at the same time. This indicates the urgency of an integrated governance approach that mixes up operational processes, risk management, and executive accountability to fit within a coherent security model suited for the organizational context. </w:t>
      </w:r>
    </w:p>
    <w:p w14:paraId="2B212AEC" w14:textId="085A289A" w:rsidR="000B556D" w:rsidRPr="008B7593" w:rsidRDefault="00204B3E" w:rsidP="000B556D">
      <w:r>
        <w:lastRenderedPageBreak/>
        <w:t>The report has three objectives. First, it critically investigates the applicability of ITIL and the ISO/IEC 27000 series in fulfilling Nature Green’s security and compliance requirements</w:t>
      </w:r>
      <w:r w:rsidR="00AC66CB">
        <w:t xml:space="preserve"> (Osakwe et al., 2025; Folorunso et al., 2024)</w:t>
      </w:r>
      <w:r>
        <w:t>. Second, it presents a customized hybrid security governance framework that incorporates ITIL, ISO/IEC 27000, COBIT 2019, data governance principles, and so on to ensure operational resilience and strategic alignment</w:t>
      </w:r>
      <w:r w:rsidR="00AC66CB">
        <w:t xml:space="preserve"> (Sharma, 2025)</w:t>
      </w:r>
      <w:r>
        <w:t>.</w:t>
      </w:r>
      <w:r w:rsidR="00AC66CB">
        <w:t xml:space="preserve"> Finally</w:t>
      </w:r>
      <w:r w:rsidR="00AC66CB" w:rsidRPr="00AC66CB">
        <w:t>, the report evaluates the necessity of the ever-changing regulations and standards by stating that adaptive governance is a prerequisite for both the control of new cyber risks and the securing of regulatory compliance</w:t>
      </w:r>
      <w:r w:rsidR="00AC66CB">
        <w:t xml:space="preserve"> (Nayak et al., 2025)</w:t>
      </w:r>
      <w:r w:rsidR="00AC66CB" w:rsidRPr="00AC66CB">
        <w:t>. The phrase ISO/IEC 27000 series is, for the sake of clarity in concepts, employed to designate ISO/IEC 27001, ISO/IEC 27002, and ISO/IEC 27005 all through the report</w:t>
      </w:r>
      <w:r w:rsidR="008B7593">
        <w:t>.</w:t>
      </w:r>
    </w:p>
    <w:p w14:paraId="5FE3084D" w14:textId="4B495E73" w:rsidR="000B556D" w:rsidRPr="000B556D" w:rsidRDefault="00205B19" w:rsidP="004A372D">
      <w:pPr>
        <w:pStyle w:val="Heading1"/>
        <w:numPr>
          <w:ilvl w:val="0"/>
          <w:numId w:val="9"/>
        </w:numPr>
      </w:pPr>
      <w:bookmarkStart w:id="2" w:name="_Toc217664729"/>
      <w:r>
        <w:t>Literature Review</w:t>
      </w:r>
      <w:bookmarkEnd w:id="2"/>
      <w:r>
        <w:t xml:space="preserve"> </w:t>
      </w:r>
    </w:p>
    <w:p w14:paraId="087B442E" w14:textId="3D211742" w:rsidR="00205B19" w:rsidRPr="00205B19" w:rsidRDefault="00775671" w:rsidP="00205B19">
      <w:r w:rsidRPr="00775671">
        <w:t xml:space="preserve">Throughout the literature, it is indicated that effective information security governance cannot be sustained by a single framework alone but needs to incorporate operational service management, formalized risk and security controls, strategic governance oversight and data governance mechanisms. </w:t>
      </w:r>
      <w:r w:rsidR="00435A32" w:rsidRPr="00435A32">
        <w:t xml:space="preserve">These elements are addressed by frameworks like ITIL, ISO/IEC 27000, COBIT 2019, and data governance models, which are therefore rigorously </w:t>
      </w:r>
      <w:r w:rsidR="00AC66CB" w:rsidRPr="00435A32">
        <w:t>analyzed</w:t>
      </w:r>
      <w:r w:rsidR="00435A32" w:rsidRPr="00435A32">
        <w:t xml:space="preserve"> to support their integrated application</w:t>
      </w:r>
      <w:r w:rsidR="00205B19" w:rsidRPr="00205B19">
        <w:t>.</w:t>
      </w:r>
    </w:p>
    <w:p w14:paraId="1ED3A39F" w14:textId="009627B2" w:rsidR="003377B8" w:rsidRPr="003377B8" w:rsidRDefault="003377B8" w:rsidP="004A372D">
      <w:pPr>
        <w:pStyle w:val="Heading2"/>
        <w:numPr>
          <w:ilvl w:val="1"/>
          <w:numId w:val="9"/>
        </w:numPr>
      </w:pPr>
      <w:bookmarkStart w:id="3" w:name="_Toc217664730"/>
      <w:r w:rsidRPr="003377B8">
        <w:t>ITIL Framework and Service Management</w:t>
      </w:r>
      <w:bookmarkEnd w:id="3"/>
    </w:p>
    <w:p w14:paraId="7572B080" w14:textId="77777777" w:rsidR="00862A3B" w:rsidRDefault="00862A3B" w:rsidP="00862A3B">
      <w:r>
        <w:t>The ITIL framework, with its latest version, ITIL 4, is still the most reliable method for aligning IT operations with company goals and for the best practice in IT incident management, change control, continuous service improvement, and service continuity (Ernawati &amp; Wang, 2023; Lopes et al., 2024). For Nature Green, ITIL not only aids in the efficient usage of resources but also allows smooth running of processes, that is, the very IT services that are supporting the supply chains, customer interactions, and internal communications are delivered always and with minimum downtime. Table 2.1 presents the integration of ITIL processes with security measures to minimize the disruption of operations. The monitoring of IT processes through ITIL is, on the other hand, a guarantee of timely incident responses and iterative improvements as confirmed by the empirical studies (Al-</w:t>
      </w:r>
      <w:proofErr w:type="spellStart"/>
      <w:r>
        <w:t>Ashmoery</w:t>
      </w:r>
      <w:proofErr w:type="spellEnd"/>
      <w:r>
        <w:t xml:space="preserve"> et al., 2021).</w:t>
      </w:r>
    </w:p>
    <w:p w14:paraId="7EC04050" w14:textId="49098C87" w:rsidR="00862A3B" w:rsidRPr="00862A3B" w:rsidRDefault="00862A3B" w:rsidP="00862A3B">
      <w:pPr>
        <w:pStyle w:val="Caption"/>
        <w:keepNext/>
        <w:jc w:val="center"/>
        <w:rPr>
          <w:b/>
          <w:bCs/>
          <w:i w:val="0"/>
          <w:iCs w:val="0"/>
          <w:color w:val="auto"/>
          <w:sz w:val="22"/>
          <w:szCs w:val="22"/>
        </w:rPr>
      </w:pPr>
      <w:r w:rsidRPr="00862A3B">
        <w:rPr>
          <w:b/>
          <w:bCs/>
          <w:i w:val="0"/>
          <w:iCs w:val="0"/>
          <w:color w:val="auto"/>
          <w:sz w:val="22"/>
          <w:szCs w:val="22"/>
        </w:rPr>
        <w:lastRenderedPageBreak/>
        <w:t xml:space="preserve">Table </w:t>
      </w:r>
      <w:r>
        <w:rPr>
          <w:b/>
          <w:bCs/>
          <w:i w:val="0"/>
          <w:iCs w:val="0"/>
          <w:color w:val="auto"/>
          <w:sz w:val="22"/>
          <w:szCs w:val="22"/>
        </w:rPr>
        <w:t>2.</w:t>
      </w:r>
      <w:r w:rsidRPr="00862A3B">
        <w:rPr>
          <w:b/>
          <w:bCs/>
          <w:i w:val="0"/>
          <w:iCs w:val="0"/>
          <w:color w:val="auto"/>
          <w:sz w:val="22"/>
          <w:szCs w:val="22"/>
        </w:rPr>
        <w:fldChar w:fldCharType="begin"/>
      </w:r>
      <w:r w:rsidRPr="00862A3B">
        <w:rPr>
          <w:b/>
          <w:bCs/>
          <w:i w:val="0"/>
          <w:iCs w:val="0"/>
          <w:color w:val="auto"/>
          <w:sz w:val="22"/>
          <w:szCs w:val="22"/>
        </w:rPr>
        <w:instrText xml:space="preserve"> SEQ Table \* ARABIC </w:instrText>
      </w:r>
      <w:r w:rsidRPr="00862A3B">
        <w:rPr>
          <w:b/>
          <w:bCs/>
          <w:i w:val="0"/>
          <w:iCs w:val="0"/>
          <w:color w:val="auto"/>
          <w:sz w:val="22"/>
          <w:szCs w:val="22"/>
        </w:rPr>
        <w:fldChar w:fldCharType="separate"/>
      </w:r>
      <w:r w:rsidRPr="00862A3B">
        <w:rPr>
          <w:b/>
          <w:bCs/>
          <w:i w:val="0"/>
          <w:iCs w:val="0"/>
          <w:noProof/>
          <w:color w:val="auto"/>
          <w:sz w:val="22"/>
          <w:szCs w:val="22"/>
        </w:rPr>
        <w:t>1</w:t>
      </w:r>
      <w:r w:rsidRPr="00862A3B">
        <w:rPr>
          <w:b/>
          <w:bCs/>
          <w:i w:val="0"/>
          <w:iCs w:val="0"/>
          <w:color w:val="auto"/>
          <w:sz w:val="22"/>
          <w:szCs w:val="22"/>
        </w:rPr>
        <w:fldChar w:fldCharType="end"/>
      </w:r>
      <w:r>
        <w:rPr>
          <w:b/>
          <w:bCs/>
          <w:i w:val="0"/>
          <w:iCs w:val="0"/>
          <w:color w:val="auto"/>
          <w:sz w:val="22"/>
          <w:szCs w:val="22"/>
        </w:rPr>
        <w:t>:</w:t>
      </w:r>
      <w:r w:rsidRPr="00862A3B">
        <w:rPr>
          <w:b/>
          <w:bCs/>
          <w:i w:val="0"/>
          <w:iCs w:val="0"/>
          <w:color w:val="auto"/>
          <w:sz w:val="22"/>
          <w:szCs w:val="22"/>
        </w:rPr>
        <w:t xml:space="preserve"> ITIL Operational Benefits for Nature Green</w:t>
      </w:r>
    </w:p>
    <w:tbl>
      <w:tblPr>
        <w:tblStyle w:val="TableGridLight"/>
        <w:tblW w:w="0" w:type="auto"/>
        <w:jc w:val="center"/>
        <w:tblLook w:val="04A0" w:firstRow="1" w:lastRow="0" w:firstColumn="1" w:lastColumn="0" w:noHBand="0" w:noVBand="1"/>
      </w:tblPr>
      <w:tblGrid>
        <w:gridCol w:w="2240"/>
        <w:gridCol w:w="3494"/>
        <w:gridCol w:w="3616"/>
      </w:tblGrid>
      <w:tr w:rsidR="00862A3B" w:rsidRPr="00862A3B" w14:paraId="4A0AC776" w14:textId="77777777" w:rsidTr="008B3527">
        <w:trPr>
          <w:jc w:val="center"/>
        </w:trPr>
        <w:tc>
          <w:tcPr>
            <w:tcW w:w="0" w:type="auto"/>
            <w:hideMark/>
          </w:tcPr>
          <w:p w14:paraId="16578749" w14:textId="77777777" w:rsidR="00862A3B" w:rsidRPr="00862A3B" w:rsidRDefault="00862A3B" w:rsidP="008B3527">
            <w:pPr>
              <w:jc w:val="center"/>
              <w:rPr>
                <w:b/>
                <w:bCs/>
                <w:sz w:val="22"/>
                <w:szCs w:val="22"/>
              </w:rPr>
            </w:pPr>
            <w:r w:rsidRPr="00862A3B">
              <w:rPr>
                <w:b/>
                <w:bCs/>
                <w:sz w:val="22"/>
                <w:szCs w:val="22"/>
              </w:rPr>
              <w:t>ITIL Process</w:t>
            </w:r>
          </w:p>
        </w:tc>
        <w:tc>
          <w:tcPr>
            <w:tcW w:w="0" w:type="auto"/>
            <w:hideMark/>
          </w:tcPr>
          <w:p w14:paraId="36EDC819" w14:textId="77777777" w:rsidR="00862A3B" w:rsidRPr="00862A3B" w:rsidRDefault="00862A3B" w:rsidP="008B3527">
            <w:pPr>
              <w:jc w:val="center"/>
              <w:rPr>
                <w:b/>
                <w:bCs/>
                <w:sz w:val="22"/>
                <w:szCs w:val="22"/>
              </w:rPr>
            </w:pPr>
            <w:r w:rsidRPr="00862A3B">
              <w:rPr>
                <w:b/>
                <w:bCs/>
                <w:sz w:val="22"/>
                <w:szCs w:val="22"/>
              </w:rPr>
              <w:t>Security Integration</w:t>
            </w:r>
          </w:p>
        </w:tc>
        <w:tc>
          <w:tcPr>
            <w:tcW w:w="0" w:type="auto"/>
            <w:hideMark/>
          </w:tcPr>
          <w:p w14:paraId="5B2232FC" w14:textId="77777777" w:rsidR="00862A3B" w:rsidRPr="00862A3B" w:rsidRDefault="00862A3B" w:rsidP="008B3527">
            <w:pPr>
              <w:jc w:val="center"/>
              <w:rPr>
                <w:b/>
                <w:bCs/>
                <w:sz w:val="22"/>
                <w:szCs w:val="22"/>
              </w:rPr>
            </w:pPr>
            <w:r w:rsidRPr="00862A3B">
              <w:rPr>
                <w:b/>
                <w:bCs/>
                <w:sz w:val="22"/>
                <w:szCs w:val="22"/>
              </w:rPr>
              <w:t>Expected Outcome</w:t>
            </w:r>
          </w:p>
        </w:tc>
      </w:tr>
      <w:tr w:rsidR="00862A3B" w:rsidRPr="00862A3B" w14:paraId="55DAC2E4" w14:textId="77777777" w:rsidTr="008B3527">
        <w:trPr>
          <w:jc w:val="center"/>
        </w:trPr>
        <w:tc>
          <w:tcPr>
            <w:tcW w:w="0" w:type="auto"/>
            <w:hideMark/>
          </w:tcPr>
          <w:p w14:paraId="1A92D283" w14:textId="77777777" w:rsidR="00862A3B" w:rsidRPr="00862A3B" w:rsidRDefault="00862A3B" w:rsidP="008B3527">
            <w:pPr>
              <w:jc w:val="center"/>
              <w:rPr>
                <w:sz w:val="22"/>
                <w:szCs w:val="22"/>
              </w:rPr>
            </w:pPr>
            <w:r w:rsidRPr="00862A3B">
              <w:rPr>
                <w:sz w:val="22"/>
                <w:szCs w:val="22"/>
              </w:rPr>
              <w:t>Incident Management</w:t>
            </w:r>
          </w:p>
        </w:tc>
        <w:tc>
          <w:tcPr>
            <w:tcW w:w="0" w:type="auto"/>
            <w:hideMark/>
          </w:tcPr>
          <w:p w14:paraId="0DA29A80" w14:textId="77777777" w:rsidR="00862A3B" w:rsidRPr="00862A3B" w:rsidRDefault="00862A3B" w:rsidP="008B3527">
            <w:pPr>
              <w:jc w:val="center"/>
              <w:rPr>
                <w:sz w:val="22"/>
                <w:szCs w:val="22"/>
              </w:rPr>
            </w:pPr>
            <w:r w:rsidRPr="00862A3B">
              <w:rPr>
                <w:sz w:val="22"/>
                <w:szCs w:val="22"/>
              </w:rPr>
              <w:t>Automated threat logging and real-time response</w:t>
            </w:r>
          </w:p>
        </w:tc>
        <w:tc>
          <w:tcPr>
            <w:tcW w:w="0" w:type="auto"/>
            <w:hideMark/>
          </w:tcPr>
          <w:p w14:paraId="320DC8BD" w14:textId="77777777" w:rsidR="00862A3B" w:rsidRPr="00862A3B" w:rsidRDefault="00862A3B" w:rsidP="008B3527">
            <w:pPr>
              <w:jc w:val="center"/>
              <w:rPr>
                <w:sz w:val="22"/>
                <w:szCs w:val="22"/>
              </w:rPr>
            </w:pPr>
            <w:r w:rsidRPr="00862A3B">
              <w:rPr>
                <w:sz w:val="22"/>
                <w:szCs w:val="22"/>
              </w:rPr>
              <w:t>Reduced downtime and rapid containment of security incidents</w:t>
            </w:r>
          </w:p>
        </w:tc>
      </w:tr>
      <w:tr w:rsidR="00862A3B" w:rsidRPr="00862A3B" w14:paraId="7DD5977B" w14:textId="77777777" w:rsidTr="008B3527">
        <w:trPr>
          <w:jc w:val="center"/>
        </w:trPr>
        <w:tc>
          <w:tcPr>
            <w:tcW w:w="0" w:type="auto"/>
            <w:hideMark/>
          </w:tcPr>
          <w:p w14:paraId="44738290" w14:textId="77777777" w:rsidR="00862A3B" w:rsidRPr="00862A3B" w:rsidRDefault="00862A3B" w:rsidP="008B3527">
            <w:pPr>
              <w:jc w:val="center"/>
              <w:rPr>
                <w:sz w:val="22"/>
                <w:szCs w:val="22"/>
              </w:rPr>
            </w:pPr>
            <w:r w:rsidRPr="00862A3B">
              <w:rPr>
                <w:sz w:val="22"/>
                <w:szCs w:val="22"/>
              </w:rPr>
              <w:t>Change Management</w:t>
            </w:r>
          </w:p>
        </w:tc>
        <w:tc>
          <w:tcPr>
            <w:tcW w:w="0" w:type="auto"/>
            <w:hideMark/>
          </w:tcPr>
          <w:p w14:paraId="1E64B112" w14:textId="77777777" w:rsidR="00862A3B" w:rsidRPr="00862A3B" w:rsidRDefault="00862A3B" w:rsidP="008B3527">
            <w:pPr>
              <w:jc w:val="center"/>
              <w:rPr>
                <w:sz w:val="22"/>
                <w:szCs w:val="22"/>
              </w:rPr>
            </w:pPr>
            <w:r w:rsidRPr="00862A3B">
              <w:rPr>
                <w:sz w:val="22"/>
                <w:szCs w:val="22"/>
              </w:rPr>
              <w:t>Security impact assessment integrated into change approvals</w:t>
            </w:r>
          </w:p>
        </w:tc>
        <w:tc>
          <w:tcPr>
            <w:tcW w:w="0" w:type="auto"/>
            <w:hideMark/>
          </w:tcPr>
          <w:p w14:paraId="17E9C274" w14:textId="77777777" w:rsidR="00862A3B" w:rsidRPr="00862A3B" w:rsidRDefault="00862A3B" w:rsidP="008B3527">
            <w:pPr>
              <w:jc w:val="center"/>
              <w:rPr>
                <w:sz w:val="22"/>
                <w:szCs w:val="22"/>
              </w:rPr>
            </w:pPr>
            <w:r w:rsidRPr="00862A3B">
              <w:rPr>
                <w:sz w:val="22"/>
                <w:szCs w:val="22"/>
              </w:rPr>
              <w:t>Secure system updates with minimal vulnerability exposure</w:t>
            </w:r>
          </w:p>
        </w:tc>
      </w:tr>
      <w:tr w:rsidR="00862A3B" w:rsidRPr="00862A3B" w14:paraId="0175E054" w14:textId="77777777" w:rsidTr="008B3527">
        <w:trPr>
          <w:jc w:val="center"/>
        </w:trPr>
        <w:tc>
          <w:tcPr>
            <w:tcW w:w="0" w:type="auto"/>
            <w:hideMark/>
          </w:tcPr>
          <w:p w14:paraId="0621447F" w14:textId="77777777" w:rsidR="00862A3B" w:rsidRPr="00862A3B" w:rsidRDefault="00862A3B" w:rsidP="008B3527">
            <w:pPr>
              <w:jc w:val="center"/>
              <w:rPr>
                <w:sz w:val="22"/>
                <w:szCs w:val="22"/>
              </w:rPr>
            </w:pPr>
            <w:r w:rsidRPr="00862A3B">
              <w:rPr>
                <w:sz w:val="22"/>
                <w:szCs w:val="22"/>
              </w:rPr>
              <w:t>Continual Service Improvement</w:t>
            </w:r>
          </w:p>
        </w:tc>
        <w:tc>
          <w:tcPr>
            <w:tcW w:w="0" w:type="auto"/>
            <w:hideMark/>
          </w:tcPr>
          <w:p w14:paraId="454D6486" w14:textId="3DC0446E" w:rsidR="00862A3B" w:rsidRPr="00862A3B" w:rsidRDefault="00862A3B" w:rsidP="008B3527">
            <w:pPr>
              <w:jc w:val="center"/>
              <w:rPr>
                <w:sz w:val="22"/>
                <w:szCs w:val="22"/>
              </w:rPr>
            </w:pPr>
            <w:r w:rsidRPr="00862A3B">
              <w:rPr>
                <w:sz w:val="22"/>
                <w:szCs w:val="22"/>
              </w:rPr>
              <w:t xml:space="preserve">Post-incident analysis and workflow </w:t>
            </w:r>
            <w:r w:rsidR="001D24CA" w:rsidRPr="00862A3B">
              <w:rPr>
                <w:sz w:val="22"/>
                <w:szCs w:val="22"/>
              </w:rPr>
              <w:t>optimization</w:t>
            </w:r>
          </w:p>
        </w:tc>
        <w:tc>
          <w:tcPr>
            <w:tcW w:w="0" w:type="auto"/>
            <w:hideMark/>
          </w:tcPr>
          <w:p w14:paraId="45163ED9" w14:textId="77777777" w:rsidR="00862A3B" w:rsidRPr="00862A3B" w:rsidRDefault="00862A3B" w:rsidP="008B3527">
            <w:pPr>
              <w:jc w:val="center"/>
              <w:rPr>
                <w:sz w:val="22"/>
                <w:szCs w:val="22"/>
              </w:rPr>
            </w:pPr>
            <w:r w:rsidRPr="00862A3B">
              <w:rPr>
                <w:sz w:val="22"/>
                <w:szCs w:val="22"/>
              </w:rPr>
              <w:t>Enhanced policies and reduced risk exposure</w:t>
            </w:r>
          </w:p>
        </w:tc>
      </w:tr>
    </w:tbl>
    <w:p w14:paraId="402128A8" w14:textId="1EC4C8BE" w:rsidR="00862A3B" w:rsidRDefault="00862A3B" w:rsidP="00862A3B">
      <w:r>
        <w:t xml:space="preserve">Nevertheless, ITIL is not extensive in its provision of technical security controls thus the need for incorporating ISO/IEC 27001 or NIST frameworks to govern comprehensively (Möller, 2023; White &amp; </w:t>
      </w:r>
      <w:proofErr w:type="spellStart"/>
      <w:r>
        <w:t>Sjelin</w:t>
      </w:r>
      <w:proofErr w:type="spellEnd"/>
      <w:r>
        <w:t xml:space="preserve">, 2022). Such integration allows the operational processes to consist of features like automated threat detection, logging of anomalous activities, and compliance with regulatory requirements. For instance, the incident management module of ITIL can support ISO 27001-compliant incident response protocols, thereby bridging the operational-security gap. </w:t>
      </w:r>
      <w:r w:rsidRPr="00862A3B">
        <w:t>The ITIL V4 Service Lifecycle</w:t>
      </w:r>
      <w:r w:rsidR="001D24CA">
        <w:t xml:space="preserve"> </w:t>
      </w:r>
      <w:r w:rsidRPr="00862A3B">
        <w:t>is depicted in Figure 2.1.</w:t>
      </w:r>
    </w:p>
    <w:p w14:paraId="0D9357DE" w14:textId="678F6A8D" w:rsidR="00862A3B" w:rsidRDefault="00976E58" w:rsidP="00976E58">
      <w:pPr>
        <w:keepNext/>
        <w:jc w:val="center"/>
      </w:pPr>
      <w:r w:rsidRPr="00976E58">
        <w:rPr>
          <w:noProof/>
        </w:rPr>
        <w:drawing>
          <wp:inline distT="0" distB="0" distL="0" distR="0" wp14:anchorId="5F9F13EC" wp14:editId="0AB2936B">
            <wp:extent cx="3213100" cy="3070069"/>
            <wp:effectExtent l="0" t="0" r="6350" b="0"/>
            <wp:docPr id="1200670779" name="Picture 1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670779" name="Picture 10" descr="A screenshot of a computer scree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4205" cy="3071125"/>
                    </a:xfrm>
                    <a:prstGeom prst="rect">
                      <a:avLst/>
                    </a:prstGeom>
                    <a:noFill/>
                    <a:ln>
                      <a:noFill/>
                    </a:ln>
                  </pic:spPr>
                </pic:pic>
              </a:graphicData>
            </a:graphic>
          </wp:inline>
        </w:drawing>
      </w:r>
    </w:p>
    <w:p w14:paraId="4C5A0D2C" w14:textId="0E60E2F3" w:rsidR="00862A3B" w:rsidRPr="00862A3B" w:rsidRDefault="00862A3B" w:rsidP="00862A3B">
      <w:pPr>
        <w:pStyle w:val="Caption"/>
        <w:jc w:val="center"/>
        <w:rPr>
          <w:b/>
          <w:bCs/>
          <w:i w:val="0"/>
          <w:iCs w:val="0"/>
          <w:color w:val="auto"/>
          <w:sz w:val="22"/>
          <w:szCs w:val="22"/>
        </w:rPr>
      </w:pPr>
      <w:r w:rsidRPr="00862A3B">
        <w:rPr>
          <w:b/>
          <w:bCs/>
          <w:i w:val="0"/>
          <w:iCs w:val="0"/>
          <w:color w:val="auto"/>
          <w:sz w:val="22"/>
          <w:szCs w:val="22"/>
        </w:rPr>
        <w:t>Figure 2.</w:t>
      </w:r>
      <w:r w:rsidRPr="00862A3B">
        <w:rPr>
          <w:b/>
          <w:bCs/>
          <w:i w:val="0"/>
          <w:iCs w:val="0"/>
          <w:color w:val="auto"/>
          <w:sz w:val="22"/>
          <w:szCs w:val="22"/>
        </w:rPr>
        <w:fldChar w:fldCharType="begin"/>
      </w:r>
      <w:r w:rsidRPr="00862A3B">
        <w:rPr>
          <w:b/>
          <w:bCs/>
          <w:i w:val="0"/>
          <w:iCs w:val="0"/>
          <w:color w:val="auto"/>
          <w:sz w:val="22"/>
          <w:szCs w:val="22"/>
        </w:rPr>
        <w:instrText xml:space="preserve"> SEQ Figure \* ARABIC </w:instrText>
      </w:r>
      <w:r w:rsidRPr="00862A3B">
        <w:rPr>
          <w:b/>
          <w:bCs/>
          <w:i w:val="0"/>
          <w:iCs w:val="0"/>
          <w:color w:val="auto"/>
          <w:sz w:val="22"/>
          <w:szCs w:val="22"/>
        </w:rPr>
        <w:fldChar w:fldCharType="separate"/>
      </w:r>
      <w:r>
        <w:rPr>
          <w:b/>
          <w:bCs/>
          <w:i w:val="0"/>
          <w:iCs w:val="0"/>
          <w:noProof/>
          <w:color w:val="auto"/>
          <w:sz w:val="22"/>
          <w:szCs w:val="22"/>
        </w:rPr>
        <w:t>1</w:t>
      </w:r>
      <w:r w:rsidRPr="00862A3B">
        <w:rPr>
          <w:b/>
          <w:bCs/>
          <w:i w:val="0"/>
          <w:iCs w:val="0"/>
          <w:color w:val="auto"/>
          <w:sz w:val="22"/>
          <w:szCs w:val="22"/>
        </w:rPr>
        <w:fldChar w:fldCharType="end"/>
      </w:r>
      <w:r>
        <w:rPr>
          <w:b/>
          <w:bCs/>
          <w:i w:val="0"/>
          <w:iCs w:val="0"/>
          <w:color w:val="auto"/>
          <w:sz w:val="22"/>
          <w:szCs w:val="22"/>
        </w:rPr>
        <w:t>:</w:t>
      </w:r>
      <w:r w:rsidRPr="00862A3B">
        <w:rPr>
          <w:b/>
          <w:bCs/>
          <w:i w:val="0"/>
          <w:iCs w:val="0"/>
          <w:color w:val="auto"/>
          <w:sz w:val="22"/>
          <w:szCs w:val="22"/>
        </w:rPr>
        <w:t xml:space="preserve"> ITIL V4 Service Lifecycle</w:t>
      </w:r>
    </w:p>
    <w:p w14:paraId="00FFB18D" w14:textId="536615FE" w:rsidR="003377B8" w:rsidRPr="003377B8" w:rsidRDefault="00862A3B" w:rsidP="004A372D">
      <w:pPr>
        <w:pStyle w:val="Heading2"/>
        <w:numPr>
          <w:ilvl w:val="1"/>
          <w:numId w:val="9"/>
        </w:numPr>
      </w:pPr>
      <w:r>
        <w:lastRenderedPageBreak/>
        <w:t xml:space="preserve"> </w:t>
      </w:r>
      <w:bookmarkStart w:id="4" w:name="_Toc217664731"/>
      <w:r w:rsidR="003377B8" w:rsidRPr="003377B8">
        <w:t>ISO/IEC 27000 Series: Governance, Risk, and Security Controls</w:t>
      </w:r>
      <w:bookmarkEnd w:id="4"/>
    </w:p>
    <w:p w14:paraId="45529318" w14:textId="322B7A8F" w:rsidR="00862A3B" w:rsidRDefault="00862A3B" w:rsidP="00862A3B">
      <w:r>
        <w:t>The ISO/IEC 27000 series provide organized recommendations for the management of information security. ISO 27001 specifies the ISMS requirements focusing on risk assessment and management strategies, while ISO 27002 makes the processing of controls in the IT sectors, mainly including the areas of access control, encryption, and incident management (Junaid, 2023; Koza, 2022). The purpose and application of each standard are summarized in Table 2.2.</w:t>
      </w:r>
    </w:p>
    <w:p w14:paraId="5D3CE68C" w14:textId="77777777" w:rsidR="00862A3B" w:rsidRPr="003377B8" w:rsidRDefault="00862A3B" w:rsidP="00862A3B">
      <w:pPr>
        <w:jc w:val="center"/>
      </w:pPr>
      <w:r w:rsidRPr="003377B8">
        <w:rPr>
          <w:b/>
          <w:bCs/>
        </w:rPr>
        <w:t>Table 2.2: ISO 27000 Series Applications</w:t>
      </w:r>
    </w:p>
    <w:tbl>
      <w:tblPr>
        <w:tblStyle w:val="TableGridLight"/>
        <w:tblW w:w="0" w:type="auto"/>
        <w:jc w:val="center"/>
        <w:tblLook w:val="04A0" w:firstRow="1" w:lastRow="0" w:firstColumn="1" w:lastColumn="0" w:noHBand="0" w:noVBand="1"/>
      </w:tblPr>
      <w:tblGrid>
        <w:gridCol w:w="1438"/>
        <w:gridCol w:w="2509"/>
        <w:gridCol w:w="5403"/>
      </w:tblGrid>
      <w:tr w:rsidR="00862A3B" w:rsidRPr="003377B8" w14:paraId="46C02671" w14:textId="77777777" w:rsidTr="00862A3B">
        <w:trPr>
          <w:jc w:val="center"/>
        </w:trPr>
        <w:tc>
          <w:tcPr>
            <w:tcW w:w="0" w:type="auto"/>
            <w:hideMark/>
          </w:tcPr>
          <w:p w14:paraId="04657C54" w14:textId="77777777" w:rsidR="00862A3B" w:rsidRPr="00862A3B" w:rsidRDefault="00862A3B" w:rsidP="00862A3B">
            <w:pPr>
              <w:jc w:val="center"/>
              <w:rPr>
                <w:b/>
                <w:bCs/>
                <w:sz w:val="22"/>
                <w:szCs w:val="22"/>
              </w:rPr>
            </w:pPr>
            <w:r w:rsidRPr="00862A3B">
              <w:rPr>
                <w:b/>
                <w:bCs/>
                <w:sz w:val="22"/>
                <w:szCs w:val="22"/>
              </w:rPr>
              <w:t>Standard</w:t>
            </w:r>
          </w:p>
        </w:tc>
        <w:tc>
          <w:tcPr>
            <w:tcW w:w="0" w:type="auto"/>
            <w:hideMark/>
          </w:tcPr>
          <w:p w14:paraId="445F5278" w14:textId="77777777" w:rsidR="00862A3B" w:rsidRPr="00862A3B" w:rsidRDefault="00862A3B" w:rsidP="00862A3B">
            <w:pPr>
              <w:jc w:val="center"/>
              <w:rPr>
                <w:b/>
                <w:bCs/>
                <w:sz w:val="22"/>
                <w:szCs w:val="22"/>
              </w:rPr>
            </w:pPr>
            <w:r w:rsidRPr="00862A3B">
              <w:rPr>
                <w:b/>
                <w:bCs/>
                <w:sz w:val="22"/>
                <w:szCs w:val="22"/>
              </w:rPr>
              <w:t>Purpose</w:t>
            </w:r>
          </w:p>
        </w:tc>
        <w:tc>
          <w:tcPr>
            <w:tcW w:w="0" w:type="auto"/>
            <w:hideMark/>
          </w:tcPr>
          <w:p w14:paraId="17EBA907" w14:textId="77777777" w:rsidR="00862A3B" w:rsidRPr="00862A3B" w:rsidRDefault="00862A3B" w:rsidP="00862A3B">
            <w:pPr>
              <w:jc w:val="center"/>
              <w:rPr>
                <w:b/>
                <w:bCs/>
                <w:sz w:val="22"/>
                <w:szCs w:val="22"/>
              </w:rPr>
            </w:pPr>
            <w:r w:rsidRPr="00862A3B">
              <w:rPr>
                <w:b/>
                <w:bCs/>
                <w:sz w:val="22"/>
                <w:szCs w:val="22"/>
              </w:rPr>
              <w:t>Operational Application</w:t>
            </w:r>
          </w:p>
        </w:tc>
      </w:tr>
      <w:tr w:rsidR="00862A3B" w:rsidRPr="003377B8" w14:paraId="4B2786CA" w14:textId="77777777" w:rsidTr="00862A3B">
        <w:trPr>
          <w:jc w:val="center"/>
        </w:trPr>
        <w:tc>
          <w:tcPr>
            <w:tcW w:w="0" w:type="auto"/>
            <w:hideMark/>
          </w:tcPr>
          <w:p w14:paraId="548FA008" w14:textId="77777777" w:rsidR="00862A3B" w:rsidRPr="00862A3B" w:rsidRDefault="00862A3B" w:rsidP="00862A3B">
            <w:pPr>
              <w:jc w:val="center"/>
              <w:rPr>
                <w:sz w:val="22"/>
                <w:szCs w:val="22"/>
              </w:rPr>
            </w:pPr>
            <w:r w:rsidRPr="00862A3B">
              <w:rPr>
                <w:sz w:val="22"/>
                <w:szCs w:val="22"/>
              </w:rPr>
              <w:t>ISO/IEC 27001</w:t>
            </w:r>
          </w:p>
        </w:tc>
        <w:tc>
          <w:tcPr>
            <w:tcW w:w="0" w:type="auto"/>
            <w:hideMark/>
          </w:tcPr>
          <w:p w14:paraId="24FB2AB9" w14:textId="77777777" w:rsidR="00862A3B" w:rsidRPr="00862A3B" w:rsidRDefault="00862A3B" w:rsidP="00862A3B">
            <w:pPr>
              <w:jc w:val="center"/>
              <w:rPr>
                <w:sz w:val="22"/>
                <w:szCs w:val="22"/>
              </w:rPr>
            </w:pPr>
            <w:r w:rsidRPr="00862A3B">
              <w:rPr>
                <w:sz w:val="22"/>
                <w:szCs w:val="22"/>
              </w:rPr>
              <w:t>ISMS requirements</w:t>
            </w:r>
          </w:p>
        </w:tc>
        <w:tc>
          <w:tcPr>
            <w:tcW w:w="0" w:type="auto"/>
            <w:hideMark/>
          </w:tcPr>
          <w:p w14:paraId="52A2D08D" w14:textId="77777777" w:rsidR="00862A3B" w:rsidRPr="00862A3B" w:rsidRDefault="00862A3B" w:rsidP="00862A3B">
            <w:pPr>
              <w:jc w:val="center"/>
              <w:rPr>
                <w:sz w:val="22"/>
                <w:szCs w:val="22"/>
              </w:rPr>
            </w:pPr>
            <w:r w:rsidRPr="00862A3B">
              <w:rPr>
                <w:sz w:val="22"/>
                <w:szCs w:val="22"/>
              </w:rPr>
              <w:t>Provides a structured approach to risk identification, assessment, and treatment</w:t>
            </w:r>
          </w:p>
        </w:tc>
      </w:tr>
      <w:tr w:rsidR="00862A3B" w:rsidRPr="003377B8" w14:paraId="54C052BA" w14:textId="77777777" w:rsidTr="00862A3B">
        <w:trPr>
          <w:jc w:val="center"/>
        </w:trPr>
        <w:tc>
          <w:tcPr>
            <w:tcW w:w="0" w:type="auto"/>
            <w:hideMark/>
          </w:tcPr>
          <w:p w14:paraId="466ADDDB" w14:textId="77777777" w:rsidR="00862A3B" w:rsidRPr="00862A3B" w:rsidRDefault="00862A3B" w:rsidP="00862A3B">
            <w:pPr>
              <w:jc w:val="center"/>
              <w:rPr>
                <w:sz w:val="22"/>
                <w:szCs w:val="22"/>
              </w:rPr>
            </w:pPr>
            <w:r w:rsidRPr="00862A3B">
              <w:rPr>
                <w:sz w:val="22"/>
                <w:szCs w:val="22"/>
              </w:rPr>
              <w:t>ISO/IEC 27002</w:t>
            </w:r>
          </w:p>
        </w:tc>
        <w:tc>
          <w:tcPr>
            <w:tcW w:w="0" w:type="auto"/>
            <w:hideMark/>
          </w:tcPr>
          <w:p w14:paraId="0CCDF8AC" w14:textId="77777777" w:rsidR="00862A3B" w:rsidRPr="00862A3B" w:rsidRDefault="00862A3B" w:rsidP="00862A3B">
            <w:pPr>
              <w:jc w:val="center"/>
              <w:rPr>
                <w:sz w:val="22"/>
                <w:szCs w:val="22"/>
              </w:rPr>
            </w:pPr>
            <w:r w:rsidRPr="00862A3B">
              <w:rPr>
                <w:sz w:val="22"/>
                <w:szCs w:val="22"/>
              </w:rPr>
              <w:t>Security control guidance</w:t>
            </w:r>
          </w:p>
        </w:tc>
        <w:tc>
          <w:tcPr>
            <w:tcW w:w="0" w:type="auto"/>
            <w:hideMark/>
          </w:tcPr>
          <w:p w14:paraId="54C9975B" w14:textId="77777777" w:rsidR="00862A3B" w:rsidRPr="00862A3B" w:rsidRDefault="00862A3B" w:rsidP="00862A3B">
            <w:pPr>
              <w:jc w:val="center"/>
              <w:rPr>
                <w:sz w:val="22"/>
                <w:szCs w:val="22"/>
              </w:rPr>
            </w:pPr>
            <w:r w:rsidRPr="00862A3B">
              <w:rPr>
                <w:sz w:val="22"/>
                <w:szCs w:val="22"/>
              </w:rPr>
              <w:t>Implements technical and procedural controls across IT systems</w:t>
            </w:r>
          </w:p>
        </w:tc>
      </w:tr>
      <w:tr w:rsidR="00862A3B" w:rsidRPr="003377B8" w14:paraId="6B1F8F02" w14:textId="77777777" w:rsidTr="00862A3B">
        <w:trPr>
          <w:jc w:val="center"/>
        </w:trPr>
        <w:tc>
          <w:tcPr>
            <w:tcW w:w="0" w:type="auto"/>
            <w:hideMark/>
          </w:tcPr>
          <w:p w14:paraId="71328D26" w14:textId="77777777" w:rsidR="00862A3B" w:rsidRPr="00862A3B" w:rsidRDefault="00862A3B" w:rsidP="00862A3B">
            <w:pPr>
              <w:jc w:val="center"/>
              <w:rPr>
                <w:sz w:val="22"/>
                <w:szCs w:val="22"/>
              </w:rPr>
            </w:pPr>
            <w:r w:rsidRPr="00862A3B">
              <w:rPr>
                <w:sz w:val="22"/>
                <w:szCs w:val="22"/>
              </w:rPr>
              <w:t>ISO/IEC 27005</w:t>
            </w:r>
          </w:p>
        </w:tc>
        <w:tc>
          <w:tcPr>
            <w:tcW w:w="0" w:type="auto"/>
            <w:hideMark/>
          </w:tcPr>
          <w:p w14:paraId="3B5DD401" w14:textId="77777777" w:rsidR="00862A3B" w:rsidRPr="00862A3B" w:rsidRDefault="00862A3B" w:rsidP="00862A3B">
            <w:pPr>
              <w:jc w:val="center"/>
              <w:rPr>
                <w:sz w:val="22"/>
                <w:szCs w:val="22"/>
              </w:rPr>
            </w:pPr>
            <w:r w:rsidRPr="00862A3B">
              <w:rPr>
                <w:sz w:val="22"/>
                <w:szCs w:val="22"/>
              </w:rPr>
              <w:t>Risk management methodology</w:t>
            </w:r>
          </w:p>
        </w:tc>
        <w:tc>
          <w:tcPr>
            <w:tcW w:w="0" w:type="auto"/>
            <w:hideMark/>
          </w:tcPr>
          <w:p w14:paraId="199B051B" w14:textId="77777777" w:rsidR="00862A3B" w:rsidRPr="00862A3B" w:rsidRDefault="00862A3B" w:rsidP="00862A3B">
            <w:pPr>
              <w:jc w:val="center"/>
              <w:rPr>
                <w:sz w:val="22"/>
                <w:szCs w:val="22"/>
              </w:rPr>
            </w:pPr>
            <w:r w:rsidRPr="00862A3B">
              <w:rPr>
                <w:sz w:val="22"/>
                <w:szCs w:val="22"/>
              </w:rPr>
              <w:t>Guides structured analysis and mitigation planning</w:t>
            </w:r>
          </w:p>
        </w:tc>
      </w:tr>
    </w:tbl>
    <w:p w14:paraId="1A4736F8" w14:textId="140E1198" w:rsidR="003377B8" w:rsidRPr="003377B8" w:rsidRDefault="00862A3B" w:rsidP="00862A3B">
      <w:r>
        <w:t>In the case of Nature Green, the ISO 27001 standard makes sure that the most important company data like the data of customers and suppliers is recognized, categorized, and protected with systematic methods while ISO 27002 supplies the operational guidance to comply with the standard and reduce the probability of risks to a minimum (</w:t>
      </w:r>
      <w:proofErr w:type="spellStart"/>
      <w:r>
        <w:t>Kostulak</w:t>
      </w:r>
      <w:proofErr w:type="spellEnd"/>
      <w:r>
        <w:t>, 2023). It has been proven that companies that get the ISO 27001 certificate are perceived as having better governance and more structured risk management processes and better compliance; therefore, it is relevant to consider the security measures taken as aligned with the business goals. The Risk Management Cycle, which is based on the ISO 27001 standards, is illustrated in Figure 2.2 and highlights the processes of Risk Identification, Risk Analysis, Risk Treatment, and Continuous Monitoring &amp; Review</w:t>
      </w:r>
      <w:r w:rsidR="003377B8" w:rsidRPr="003377B8">
        <w:t>.</w:t>
      </w:r>
    </w:p>
    <w:p w14:paraId="081ECC82" w14:textId="5ADAA6DA" w:rsidR="00862A3B" w:rsidRDefault="00870118" w:rsidP="00870118">
      <w:pPr>
        <w:keepNext/>
        <w:jc w:val="center"/>
      </w:pPr>
      <w:r w:rsidRPr="00870118">
        <w:rPr>
          <w:noProof/>
        </w:rPr>
        <w:lastRenderedPageBreak/>
        <w:drawing>
          <wp:inline distT="0" distB="0" distL="0" distR="0" wp14:anchorId="2AF5C218" wp14:editId="6F0CD880">
            <wp:extent cx="1797050" cy="3816350"/>
            <wp:effectExtent l="0" t="0" r="0" b="0"/>
            <wp:docPr id="1976349496" name="Picture 8"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349496" name="Picture 8"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7050" cy="3816350"/>
                    </a:xfrm>
                    <a:prstGeom prst="rect">
                      <a:avLst/>
                    </a:prstGeom>
                    <a:noFill/>
                    <a:ln>
                      <a:noFill/>
                    </a:ln>
                  </pic:spPr>
                </pic:pic>
              </a:graphicData>
            </a:graphic>
          </wp:inline>
        </w:drawing>
      </w:r>
    </w:p>
    <w:p w14:paraId="42BBED0B" w14:textId="4AC76A92" w:rsidR="00862A3B" w:rsidRPr="00862A3B" w:rsidRDefault="00862A3B" w:rsidP="00862A3B">
      <w:pPr>
        <w:pStyle w:val="Caption"/>
        <w:jc w:val="center"/>
        <w:rPr>
          <w:b/>
          <w:bCs/>
          <w:i w:val="0"/>
          <w:iCs w:val="0"/>
          <w:color w:val="auto"/>
          <w:sz w:val="22"/>
          <w:szCs w:val="22"/>
        </w:rPr>
      </w:pPr>
      <w:r w:rsidRPr="00862A3B">
        <w:rPr>
          <w:b/>
          <w:bCs/>
          <w:i w:val="0"/>
          <w:iCs w:val="0"/>
          <w:color w:val="auto"/>
          <w:sz w:val="22"/>
          <w:szCs w:val="22"/>
        </w:rPr>
        <w:t xml:space="preserve">Figure </w:t>
      </w:r>
      <w:r w:rsidRPr="00862A3B">
        <w:rPr>
          <w:b/>
          <w:bCs/>
          <w:i w:val="0"/>
          <w:iCs w:val="0"/>
          <w:color w:val="auto"/>
          <w:sz w:val="22"/>
          <w:szCs w:val="22"/>
        </w:rPr>
        <w:fldChar w:fldCharType="begin"/>
      </w:r>
      <w:r w:rsidRPr="00862A3B">
        <w:rPr>
          <w:b/>
          <w:bCs/>
          <w:i w:val="0"/>
          <w:iCs w:val="0"/>
          <w:color w:val="auto"/>
          <w:sz w:val="22"/>
          <w:szCs w:val="22"/>
        </w:rPr>
        <w:instrText xml:space="preserve"> SEQ Figure \* ARABIC </w:instrText>
      </w:r>
      <w:r w:rsidRPr="00862A3B">
        <w:rPr>
          <w:b/>
          <w:bCs/>
          <w:i w:val="0"/>
          <w:iCs w:val="0"/>
          <w:color w:val="auto"/>
          <w:sz w:val="22"/>
          <w:szCs w:val="22"/>
        </w:rPr>
        <w:fldChar w:fldCharType="separate"/>
      </w:r>
      <w:r w:rsidRPr="00862A3B">
        <w:rPr>
          <w:b/>
          <w:bCs/>
          <w:i w:val="0"/>
          <w:iCs w:val="0"/>
          <w:noProof/>
          <w:color w:val="auto"/>
          <w:sz w:val="22"/>
          <w:szCs w:val="22"/>
        </w:rPr>
        <w:t>2</w:t>
      </w:r>
      <w:r w:rsidRPr="00862A3B">
        <w:rPr>
          <w:b/>
          <w:bCs/>
          <w:i w:val="0"/>
          <w:iCs w:val="0"/>
          <w:color w:val="auto"/>
          <w:sz w:val="22"/>
          <w:szCs w:val="22"/>
        </w:rPr>
        <w:fldChar w:fldCharType="end"/>
      </w:r>
      <w:r w:rsidRPr="00862A3B">
        <w:rPr>
          <w:b/>
          <w:bCs/>
          <w:i w:val="0"/>
          <w:iCs w:val="0"/>
          <w:color w:val="auto"/>
          <w:sz w:val="22"/>
          <w:szCs w:val="22"/>
        </w:rPr>
        <w:t>.2: Risk Management Cycle</w:t>
      </w:r>
    </w:p>
    <w:p w14:paraId="4B5DE851" w14:textId="6E2DA8D3" w:rsidR="003377B8" w:rsidRPr="003377B8" w:rsidRDefault="00E440CF" w:rsidP="004A372D">
      <w:pPr>
        <w:pStyle w:val="Heading2"/>
        <w:numPr>
          <w:ilvl w:val="1"/>
          <w:numId w:val="9"/>
        </w:numPr>
      </w:pPr>
      <w:r>
        <w:t xml:space="preserve"> </w:t>
      </w:r>
      <w:bookmarkStart w:id="5" w:name="_Toc217664732"/>
      <w:r w:rsidR="003377B8" w:rsidRPr="003377B8">
        <w:t>COBIT 2019 for Strategic IT Governance</w:t>
      </w:r>
      <w:bookmarkEnd w:id="5"/>
    </w:p>
    <w:p w14:paraId="5F308BD1" w14:textId="6B309DAA" w:rsidR="00A96ED6" w:rsidRDefault="00A96ED6" w:rsidP="00A96ED6">
      <w:r w:rsidRPr="00A96ED6">
        <w:t xml:space="preserve">COBIT 2019 facilitates the governance of IT on a strategic level, connecting the data from the operations to the top management decision-making. Also, it guarantees that the organization is synchronized with its goals (Metin, Sevim &amp; Wynn, 2025). The application of COBIT domains to Nature Green is shown in Table 2.3. When the organization combines COBIT with ISO 27001, it gains the benefit of strategic oversight and at the same time, it is compliant with the operations. The loop feedback is where KPIs like SLA adherence, incident response times, and audit scores inform governance decisions (Rusman, </w:t>
      </w:r>
      <w:proofErr w:type="spellStart"/>
      <w:r w:rsidRPr="00A96ED6">
        <w:t>Nadlifatin</w:t>
      </w:r>
      <w:proofErr w:type="spellEnd"/>
      <w:r w:rsidRPr="00A96ED6">
        <w:t xml:space="preserve"> &amp; </w:t>
      </w:r>
      <w:proofErr w:type="spellStart"/>
      <w:r w:rsidRPr="00A96ED6">
        <w:t>Subriadi</w:t>
      </w:r>
      <w:proofErr w:type="spellEnd"/>
      <w:r w:rsidRPr="00A96ED6">
        <w:t xml:space="preserve">, 2022). </w:t>
      </w:r>
    </w:p>
    <w:p w14:paraId="618B7739" w14:textId="27220542" w:rsidR="003377B8" w:rsidRPr="00A96ED6" w:rsidRDefault="003377B8" w:rsidP="00E440CF">
      <w:pPr>
        <w:jc w:val="center"/>
        <w:rPr>
          <w:sz w:val="22"/>
          <w:szCs w:val="22"/>
        </w:rPr>
      </w:pPr>
      <w:r w:rsidRPr="00A96ED6">
        <w:rPr>
          <w:b/>
          <w:bCs/>
          <w:sz w:val="22"/>
          <w:szCs w:val="22"/>
        </w:rPr>
        <w:t>Table 2.3: COBIT Governance Alignment for Nature Green</w:t>
      </w:r>
    </w:p>
    <w:tbl>
      <w:tblPr>
        <w:tblStyle w:val="TableGridLight"/>
        <w:tblW w:w="0" w:type="auto"/>
        <w:tblLook w:val="04A0" w:firstRow="1" w:lastRow="0" w:firstColumn="1" w:lastColumn="0" w:noHBand="0" w:noVBand="1"/>
      </w:tblPr>
      <w:tblGrid>
        <w:gridCol w:w="2347"/>
        <w:gridCol w:w="3151"/>
        <w:gridCol w:w="3852"/>
      </w:tblGrid>
      <w:tr w:rsidR="003377B8" w:rsidRPr="003377B8" w14:paraId="2D2BA9F2" w14:textId="77777777" w:rsidTr="00E440CF">
        <w:tc>
          <w:tcPr>
            <w:tcW w:w="0" w:type="auto"/>
            <w:hideMark/>
          </w:tcPr>
          <w:p w14:paraId="3E699FC5" w14:textId="77777777" w:rsidR="003377B8" w:rsidRPr="00E440CF" w:rsidRDefault="003377B8" w:rsidP="00E440CF">
            <w:pPr>
              <w:jc w:val="center"/>
              <w:rPr>
                <w:b/>
                <w:bCs/>
                <w:sz w:val="22"/>
                <w:szCs w:val="22"/>
              </w:rPr>
            </w:pPr>
            <w:r w:rsidRPr="00E440CF">
              <w:rPr>
                <w:b/>
                <w:bCs/>
                <w:sz w:val="22"/>
                <w:szCs w:val="22"/>
              </w:rPr>
              <w:t>COBIT Domain</w:t>
            </w:r>
          </w:p>
        </w:tc>
        <w:tc>
          <w:tcPr>
            <w:tcW w:w="0" w:type="auto"/>
            <w:hideMark/>
          </w:tcPr>
          <w:p w14:paraId="75232F24" w14:textId="77777777" w:rsidR="003377B8" w:rsidRPr="00E440CF" w:rsidRDefault="003377B8" w:rsidP="00E440CF">
            <w:pPr>
              <w:jc w:val="center"/>
              <w:rPr>
                <w:b/>
                <w:bCs/>
                <w:sz w:val="22"/>
                <w:szCs w:val="22"/>
              </w:rPr>
            </w:pPr>
            <w:r w:rsidRPr="00E440CF">
              <w:rPr>
                <w:b/>
                <w:bCs/>
                <w:sz w:val="22"/>
                <w:szCs w:val="22"/>
              </w:rPr>
              <w:t>Application</w:t>
            </w:r>
          </w:p>
        </w:tc>
        <w:tc>
          <w:tcPr>
            <w:tcW w:w="0" w:type="auto"/>
            <w:hideMark/>
          </w:tcPr>
          <w:p w14:paraId="61D46B77" w14:textId="77777777" w:rsidR="003377B8" w:rsidRPr="00E440CF" w:rsidRDefault="003377B8" w:rsidP="00E440CF">
            <w:pPr>
              <w:jc w:val="center"/>
              <w:rPr>
                <w:b/>
                <w:bCs/>
                <w:sz w:val="22"/>
                <w:szCs w:val="22"/>
              </w:rPr>
            </w:pPr>
            <w:r w:rsidRPr="00E440CF">
              <w:rPr>
                <w:b/>
                <w:bCs/>
                <w:sz w:val="22"/>
                <w:szCs w:val="22"/>
              </w:rPr>
              <w:t>Expected Outcome</w:t>
            </w:r>
          </w:p>
        </w:tc>
      </w:tr>
      <w:tr w:rsidR="003377B8" w:rsidRPr="003377B8" w14:paraId="24085E88" w14:textId="77777777" w:rsidTr="00E440CF">
        <w:tc>
          <w:tcPr>
            <w:tcW w:w="0" w:type="auto"/>
            <w:hideMark/>
          </w:tcPr>
          <w:p w14:paraId="7F236A19" w14:textId="77777777" w:rsidR="003377B8" w:rsidRPr="00E440CF" w:rsidRDefault="003377B8" w:rsidP="00E440CF">
            <w:pPr>
              <w:jc w:val="center"/>
              <w:rPr>
                <w:sz w:val="22"/>
                <w:szCs w:val="22"/>
              </w:rPr>
            </w:pPr>
            <w:r w:rsidRPr="00E440CF">
              <w:rPr>
                <w:sz w:val="22"/>
                <w:szCs w:val="22"/>
              </w:rPr>
              <w:t>EDM (Evaluate, Direct, Monitor)</w:t>
            </w:r>
          </w:p>
        </w:tc>
        <w:tc>
          <w:tcPr>
            <w:tcW w:w="0" w:type="auto"/>
            <w:hideMark/>
          </w:tcPr>
          <w:p w14:paraId="0CAA4256" w14:textId="77777777" w:rsidR="003377B8" w:rsidRPr="00E440CF" w:rsidRDefault="003377B8" w:rsidP="00E440CF">
            <w:pPr>
              <w:jc w:val="center"/>
              <w:rPr>
                <w:sz w:val="22"/>
                <w:szCs w:val="22"/>
              </w:rPr>
            </w:pPr>
            <w:r w:rsidRPr="00E440CF">
              <w:rPr>
                <w:sz w:val="22"/>
                <w:szCs w:val="22"/>
              </w:rPr>
              <w:t>Executive oversight of IT risks</w:t>
            </w:r>
          </w:p>
        </w:tc>
        <w:tc>
          <w:tcPr>
            <w:tcW w:w="0" w:type="auto"/>
            <w:hideMark/>
          </w:tcPr>
          <w:p w14:paraId="7ABF9D74" w14:textId="77777777" w:rsidR="003377B8" w:rsidRPr="00E440CF" w:rsidRDefault="003377B8" w:rsidP="00E440CF">
            <w:pPr>
              <w:jc w:val="center"/>
              <w:rPr>
                <w:sz w:val="22"/>
                <w:szCs w:val="22"/>
              </w:rPr>
            </w:pPr>
            <w:r w:rsidRPr="00E440CF">
              <w:rPr>
                <w:sz w:val="22"/>
                <w:szCs w:val="22"/>
              </w:rPr>
              <w:t>Strategic alignment and informed decision-making</w:t>
            </w:r>
          </w:p>
        </w:tc>
      </w:tr>
      <w:tr w:rsidR="003377B8" w:rsidRPr="003377B8" w14:paraId="57FA3D42" w14:textId="77777777" w:rsidTr="00E440CF">
        <w:tc>
          <w:tcPr>
            <w:tcW w:w="0" w:type="auto"/>
            <w:hideMark/>
          </w:tcPr>
          <w:p w14:paraId="701F56C1" w14:textId="24F9D753" w:rsidR="003377B8" w:rsidRPr="00E440CF" w:rsidRDefault="003377B8" w:rsidP="00E440CF">
            <w:pPr>
              <w:jc w:val="center"/>
              <w:rPr>
                <w:sz w:val="22"/>
                <w:szCs w:val="22"/>
              </w:rPr>
            </w:pPr>
            <w:r w:rsidRPr="00E440CF">
              <w:rPr>
                <w:sz w:val="22"/>
                <w:szCs w:val="22"/>
              </w:rPr>
              <w:lastRenderedPageBreak/>
              <w:t xml:space="preserve">APO (Align, Plan, </w:t>
            </w:r>
            <w:r w:rsidR="00870118" w:rsidRPr="00E440CF">
              <w:rPr>
                <w:sz w:val="22"/>
                <w:szCs w:val="22"/>
              </w:rPr>
              <w:t>Organize</w:t>
            </w:r>
            <w:r w:rsidRPr="00E440CF">
              <w:rPr>
                <w:sz w:val="22"/>
                <w:szCs w:val="22"/>
              </w:rPr>
              <w:t>)</w:t>
            </w:r>
          </w:p>
        </w:tc>
        <w:tc>
          <w:tcPr>
            <w:tcW w:w="0" w:type="auto"/>
            <w:hideMark/>
          </w:tcPr>
          <w:p w14:paraId="7D5011A9" w14:textId="77777777" w:rsidR="003377B8" w:rsidRPr="00E440CF" w:rsidRDefault="003377B8" w:rsidP="00E440CF">
            <w:pPr>
              <w:jc w:val="center"/>
              <w:rPr>
                <w:sz w:val="22"/>
                <w:szCs w:val="22"/>
              </w:rPr>
            </w:pPr>
            <w:r w:rsidRPr="00E440CF">
              <w:rPr>
                <w:sz w:val="22"/>
                <w:szCs w:val="22"/>
              </w:rPr>
              <w:t>Resource and process alignment</w:t>
            </w:r>
          </w:p>
        </w:tc>
        <w:tc>
          <w:tcPr>
            <w:tcW w:w="0" w:type="auto"/>
            <w:hideMark/>
          </w:tcPr>
          <w:p w14:paraId="03C281CD" w14:textId="14602C86" w:rsidR="003377B8" w:rsidRPr="00E440CF" w:rsidRDefault="00870118" w:rsidP="00E440CF">
            <w:pPr>
              <w:jc w:val="center"/>
              <w:rPr>
                <w:sz w:val="22"/>
                <w:szCs w:val="22"/>
              </w:rPr>
            </w:pPr>
            <w:r w:rsidRPr="00E440CF">
              <w:rPr>
                <w:sz w:val="22"/>
                <w:szCs w:val="22"/>
              </w:rPr>
              <w:t>Optimized</w:t>
            </w:r>
            <w:r w:rsidR="003377B8" w:rsidRPr="00E440CF">
              <w:rPr>
                <w:sz w:val="22"/>
                <w:szCs w:val="22"/>
              </w:rPr>
              <w:t xml:space="preserve"> IT operations and effective allocation of resources</w:t>
            </w:r>
          </w:p>
        </w:tc>
      </w:tr>
      <w:tr w:rsidR="003377B8" w:rsidRPr="003377B8" w14:paraId="7CE06485" w14:textId="77777777" w:rsidTr="00E440CF">
        <w:tc>
          <w:tcPr>
            <w:tcW w:w="0" w:type="auto"/>
            <w:hideMark/>
          </w:tcPr>
          <w:p w14:paraId="360CF820" w14:textId="77777777" w:rsidR="003377B8" w:rsidRPr="00E440CF" w:rsidRDefault="003377B8" w:rsidP="00E440CF">
            <w:pPr>
              <w:jc w:val="center"/>
              <w:rPr>
                <w:sz w:val="22"/>
                <w:szCs w:val="22"/>
              </w:rPr>
            </w:pPr>
            <w:r w:rsidRPr="00E440CF">
              <w:rPr>
                <w:sz w:val="22"/>
                <w:szCs w:val="22"/>
              </w:rPr>
              <w:t>DSS (Deliver, Service, Support)</w:t>
            </w:r>
          </w:p>
        </w:tc>
        <w:tc>
          <w:tcPr>
            <w:tcW w:w="0" w:type="auto"/>
            <w:hideMark/>
          </w:tcPr>
          <w:p w14:paraId="2A97B3BA" w14:textId="77777777" w:rsidR="003377B8" w:rsidRPr="00E440CF" w:rsidRDefault="003377B8" w:rsidP="00E440CF">
            <w:pPr>
              <w:jc w:val="center"/>
              <w:rPr>
                <w:sz w:val="22"/>
                <w:szCs w:val="22"/>
              </w:rPr>
            </w:pPr>
            <w:r w:rsidRPr="00E440CF">
              <w:rPr>
                <w:sz w:val="22"/>
                <w:szCs w:val="22"/>
              </w:rPr>
              <w:t>Operational performance and risk management</w:t>
            </w:r>
          </w:p>
        </w:tc>
        <w:tc>
          <w:tcPr>
            <w:tcW w:w="0" w:type="auto"/>
            <w:hideMark/>
          </w:tcPr>
          <w:p w14:paraId="18D6A0B8" w14:textId="77777777" w:rsidR="003377B8" w:rsidRPr="00E440CF" w:rsidRDefault="003377B8" w:rsidP="00E440CF">
            <w:pPr>
              <w:jc w:val="center"/>
              <w:rPr>
                <w:sz w:val="22"/>
                <w:szCs w:val="22"/>
              </w:rPr>
            </w:pPr>
            <w:r w:rsidRPr="00E440CF">
              <w:rPr>
                <w:sz w:val="22"/>
                <w:szCs w:val="22"/>
              </w:rPr>
              <w:t>Enhanced service reliability and operational efficiency</w:t>
            </w:r>
          </w:p>
        </w:tc>
      </w:tr>
    </w:tbl>
    <w:p w14:paraId="3FE3839F" w14:textId="6C0DA1A9" w:rsidR="00E440CF" w:rsidRDefault="00A96ED6" w:rsidP="00A96ED6">
      <w:r w:rsidRPr="00A96ED6">
        <w:t>A conceptual mapping in Figure 2.3 reveals the linkage between COBIT 2019 governance goals and ISO 27001 controls, showing that strategic oversight is complimenting security measures on the operational level.</w:t>
      </w:r>
    </w:p>
    <w:p w14:paraId="5658B04F" w14:textId="7DD8A72C" w:rsidR="00E440CF" w:rsidRDefault="00E440CF" w:rsidP="00E440CF">
      <w:pPr>
        <w:jc w:val="center"/>
        <w:rPr>
          <w:b/>
          <w:bCs/>
        </w:rPr>
      </w:pPr>
      <w:r w:rsidRPr="00E440CF">
        <w:rPr>
          <w:b/>
          <w:bCs/>
          <w:noProof/>
        </w:rPr>
        <w:drawing>
          <wp:inline distT="0" distB="0" distL="0" distR="0" wp14:anchorId="5DE51301" wp14:editId="51A31C61">
            <wp:extent cx="5262465" cy="972656"/>
            <wp:effectExtent l="0" t="0" r="0" b="0"/>
            <wp:docPr id="727254631" name="Picture 8"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254631" name="Picture 8" descr="A diagram of a diagram&#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1571" cy="978036"/>
                    </a:xfrm>
                    <a:prstGeom prst="rect">
                      <a:avLst/>
                    </a:prstGeom>
                    <a:noFill/>
                    <a:ln>
                      <a:noFill/>
                    </a:ln>
                  </pic:spPr>
                </pic:pic>
              </a:graphicData>
            </a:graphic>
          </wp:inline>
        </w:drawing>
      </w:r>
    </w:p>
    <w:p w14:paraId="3AA54461" w14:textId="78AA7F53" w:rsidR="00E440CF" w:rsidRPr="00A96ED6" w:rsidRDefault="00E440CF" w:rsidP="00E440CF">
      <w:pPr>
        <w:jc w:val="center"/>
        <w:rPr>
          <w:b/>
          <w:bCs/>
          <w:sz w:val="22"/>
          <w:szCs w:val="22"/>
        </w:rPr>
      </w:pPr>
      <w:r w:rsidRPr="00A96ED6">
        <w:rPr>
          <w:b/>
          <w:bCs/>
          <w:sz w:val="22"/>
          <w:szCs w:val="22"/>
        </w:rPr>
        <w:t>Figure 2.3: COBIT 2019 Conceptual Mapping to ISO 27001</w:t>
      </w:r>
    </w:p>
    <w:p w14:paraId="74F38613" w14:textId="1049DF48" w:rsidR="003377B8" w:rsidRPr="003377B8" w:rsidRDefault="003377B8" w:rsidP="004A372D">
      <w:pPr>
        <w:pStyle w:val="Heading2"/>
        <w:numPr>
          <w:ilvl w:val="1"/>
          <w:numId w:val="9"/>
        </w:numPr>
      </w:pPr>
      <w:r w:rsidRPr="003377B8">
        <w:t xml:space="preserve"> </w:t>
      </w:r>
      <w:bookmarkStart w:id="6" w:name="_Toc217664733"/>
      <w:r w:rsidRPr="003377B8">
        <w:t>Data Governance and Privacy Protection</w:t>
      </w:r>
      <w:bookmarkEnd w:id="6"/>
    </w:p>
    <w:p w14:paraId="3E4DCC23" w14:textId="524D225A" w:rsidR="00A96ED6" w:rsidRDefault="00A96ED6" w:rsidP="003377B8">
      <w:r w:rsidRPr="00A96ED6">
        <w:t xml:space="preserve">Effective data governance guarantees data correctness, protection, and adherence to regulations. For Nature Green, customer data protection is the priority and thus the focus of the data governance practice, which includes data classification, role-based access, continuous monitoring, and auditing of compliance with GDPR, ISO, and local regulations (Naik, 2023; </w:t>
      </w:r>
      <w:proofErr w:type="spellStart"/>
      <w:r w:rsidRPr="00A96ED6">
        <w:t>Oluoha</w:t>
      </w:r>
      <w:proofErr w:type="spellEnd"/>
      <w:r w:rsidRPr="00A96ED6">
        <w:t xml:space="preserve"> et al., 2023). Table 2.4 lists the major principles. Such governance reinforces ITIL and ISO standards by harmonizing data quality, security, and compliance with the goals of the organization, thereby winning the trust of the stakeholders and ensuring efficient operational processes. </w:t>
      </w:r>
    </w:p>
    <w:p w14:paraId="58522A11" w14:textId="77777777" w:rsidR="00A96ED6" w:rsidRPr="00A96ED6" w:rsidRDefault="00A96ED6" w:rsidP="00A96ED6">
      <w:pPr>
        <w:jc w:val="center"/>
        <w:rPr>
          <w:sz w:val="22"/>
          <w:szCs w:val="22"/>
        </w:rPr>
      </w:pPr>
      <w:r w:rsidRPr="00A96ED6">
        <w:rPr>
          <w:b/>
          <w:bCs/>
          <w:sz w:val="22"/>
          <w:szCs w:val="22"/>
        </w:rPr>
        <w:t>Table 2.4: Data Governance Principles Applied to Nature Green</w:t>
      </w:r>
    </w:p>
    <w:tbl>
      <w:tblPr>
        <w:tblStyle w:val="TableGridLight"/>
        <w:tblW w:w="0" w:type="auto"/>
        <w:tblLook w:val="04A0" w:firstRow="1" w:lastRow="0" w:firstColumn="1" w:lastColumn="0" w:noHBand="0" w:noVBand="1"/>
      </w:tblPr>
      <w:tblGrid>
        <w:gridCol w:w="2312"/>
        <w:gridCol w:w="6859"/>
      </w:tblGrid>
      <w:tr w:rsidR="00A96ED6" w:rsidRPr="003377B8" w14:paraId="61B1113C" w14:textId="77777777" w:rsidTr="008B3527">
        <w:tc>
          <w:tcPr>
            <w:tcW w:w="0" w:type="auto"/>
            <w:hideMark/>
          </w:tcPr>
          <w:p w14:paraId="6324ACA9" w14:textId="77777777" w:rsidR="00A96ED6" w:rsidRPr="00A96ED6" w:rsidRDefault="00A96ED6" w:rsidP="008B3527">
            <w:pPr>
              <w:jc w:val="center"/>
              <w:rPr>
                <w:b/>
                <w:bCs/>
                <w:sz w:val="22"/>
                <w:szCs w:val="22"/>
              </w:rPr>
            </w:pPr>
            <w:r w:rsidRPr="00A96ED6">
              <w:rPr>
                <w:b/>
                <w:bCs/>
                <w:sz w:val="22"/>
                <w:szCs w:val="22"/>
              </w:rPr>
              <w:t>Principle</w:t>
            </w:r>
          </w:p>
        </w:tc>
        <w:tc>
          <w:tcPr>
            <w:tcW w:w="0" w:type="auto"/>
            <w:hideMark/>
          </w:tcPr>
          <w:p w14:paraId="1100AB1C" w14:textId="77777777" w:rsidR="00A96ED6" w:rsidRPr="00A96ED6" w:rsidRDefault="00A96ED6" w:rsidP="008B3527">
            <w:pPr>
              <w:jc w:val="center"/>
              <w:rPr>
                <w:b/>
                <w:bCs/>
                <w:sz w:val="22"/>
                <w:szCs w:val="22"/>
              </w:rPr>
            </w:pPr>
            <w:r w:rsidRPr="00A96ED6">
              <w:rPr>
                <w:b/>
                <w:bCs/>
                <w:sz w:val="22"/>
                <w:szCs w:val="22"/>
              </w:rPr>
              <w:t>Application</w:t>
            </w:r>
          </w:p>
        </w:tc>
      </w:tr>
      <w:tr w:rsidR="00A96ED6" w:rsidRPr="003377B8" w14:paraId="512AA4E8" w14:textId="77777777" w:rsidTr="008B3527">
        <w:tc>
          <w:tcPr>
            <w:tcW w:w="0" w:type="auto"/>
            <w:hideMark/>
          </w:tcPr>
          <w:p w14:paraId="60EF1040" w14:textId="77777777" w:rsidR="00A96ED6" w:rsidRPr="00A96ED6" w:rsidRDefault="00A96ED6" w:rsidP="008B3527">
            <w:pPr>
              <w:jc w:val="center"/>
              <w:rPr>
                <w:sz w:val="22"/>
                <w:szCs w:val="22"/>
              </w:rPr>
            </w:pPr>
            <w:r w:rsidRPr="00A96ED6">
              <w:rPr>
                <w:sz w:val="22"/>
                <w:szCs w:val="22"/>
              </w:rPr>
              <w:t>Data Classification</w:t>
            </w:r>
          </w:p>
        </w:tc>
        <w:tc>
          <w:tcPr>
            <w:tcW w:w="0" w:type="auto"/>
            <w:hideMark/>
          </w:tcPr>
          <w:p w14:paraId="4E4F3ED7" w14:textId="5CEB57E9" w:rsidR="00A96ED6" w:rsidRPr="00A96ED6" w:rsidRDefault="00A96ED6" w:rsidP="008B3527">
            <w:pPr>
              <w:jc w:val="center"/>
              <w:rPr>
                <w:sz w:val="22"/>
                <w:szCs w:val="22"/>
              </w:rPr>
            </w:pPr>
            <w:r w:rsidRPr="00A96ED6">
              <w:rPr>
                <w:sz w:val="22"/>
                <w:szCs w:val="22"/>
              </w:rPr>
              <w:t>Categorization of customer and supplier data by sensitivity</w:t>
            </w:r>
          </w:p>
        </w:tc>
      </w:tr>
      <w:tr w:rsidR="00AC66CB" w:rsidRPr="003377B8" w14:paraId="4FE026C7" w14:textId="77777777" w:rsidTr="008B3527">
        <w:tc>
          <w:tcPr>
            <w:tcW w:w="0" w:type="auto"/>
          </w:tcPr>
          <w:p w14:paraId="40359B68" w14:textId="27B39A03" w:rsidR="00AC66CB" w:rsidRPr="00A96ED6" w:rsidRDefault="00AC66CB" w:rsidP="00AC66CB">
            <w:pPr>
              <w:jc w:val="center"/>
              <w:rPr>
                <w:sz w:val="22"/>
                <w:szCs w:val="22"/>
              </w:rPr>
            </w:pPr>
            <w:r w:rsidRPr="00A96ED6">
              <w:rPr>
                <w:sz w:val="22"/>
                <w:szCs w:val="22"/>
              </w:rPr>
              <w:t>Regulatory Compliance</w:t>
            </w:r>
          </w:p>
        </w:tc>
        <w:tc>
          <w:tcPr>
            <w:tcW w:w="0" w:type="auto"/>
          </w:tcPr>
          <w:p w14:paraId="6397C151" w14:textId="30283291" w:rsidR="00AC66CB" w:rsidRPr="00A96ED6" w:rsidRDefault="00AC66CB" w:rsidP="00AC66CB">
            <w:pPr>
              <w:jc w:val="center"/>
              <w:rPr>
                <w:sz w:val="22"/>
                <w:szCs w:val="22"/>
              </w:rPr>
            </w:pPr>
            <w:r w:rsidRPr="00A96ED6">
              <w:rPr>
                <w:sz w:val="22"/>
                <w:szCs w:val="22"/>
              </w:rPr>
              <w:t>Continuous monitoring and reporting for GDPR, ISO, and local regulations</w:t>
            </w:r>
          </w:p>
        </w:tc>
      </w:tr>
      <w:tr w:rsidR="00A96ED6" w:rsidRPr="003377B8" w14:paraId="01BF768F" w14:textId="77777777" w:rsidTr="008B3527">
        <w:tc>
          <w:tcPr>
            <w:tcW w:w="0" w:type="auto"/>
            <w:hideMark/>
          </w:tcPr>
          <w:p w14:paraId="6C053A36" w14:textId="77777777" w:rsidR="00A96ED6" w:rsidRPr="00A96ED6" w:rsidRDefault="00A96ED6" w:rsidP="008B3527">
            <w:pPr>
              <w:jc w:val="center"/>
              <w:rPr>
                <w:sz w:val="22"/>
                <w:szCs w:val="22"/>
              </w:rPr>
            </w:pPr>
            <w:r w:rsidRPr="00A96ED6">
              <w:rPr>
                <w:sz w:val="22"/>
                <w:szCs w:val="22"/>
              </w:rPr>
              <w:t>Access Control</w:t>
            </w:r>
          </w:p>
        </w:tc>
        <w:tc>
          <w:tcPr>
            <w:tcW w:w="0" w:type="auto"/>
            <w:hideMark/>
          </w:tcPr>
          <w:p w14:paraId="1F9712F8" w14:textId="77777777" w:rsidR="00A96ED6" w:rsidRPr="00A96ED6" w:rsidRDefault="00A96ED6" w:rsidP="008B3527">
            <w:pPr>
              <w:jc w:val="center"/>
              <w:rPr>
                <w:sz w:val="22"/>
                <w:szCs w:val="22"/>
              </w:rPr>
            </w:pPr>
            <w:r w:rsidRPr="00A96ED6">
              <w:rPr>
                <w:sz w:val="22"/>
                <w:szCs w:val="22"/>
              </w:rPr>
              <w:t>Role-based access aligned with job responsibilities</w:t>
            </w:r>
          </w:p>
        </w:tc>
      </w:tr>
    </w:tbl>
    <w:p w14:paraId="491FD03E" w14:textId="6484B629" w:rsidR="00AC66CB" w:rsidRDefault="00AC66CB" w:rsidP="00AC66CB">
      <w:pPr>
        <w:jc w:val="left"/>
      </w:pPr>
      <w:r w:rsidRPr="00AC66CB">
        <w:t>The Privacy-First Data Governance Model is illustrated in Figure 2.4.</w:t>
      </w:r>
    </w:p>
    <w:p w14:paraId="5294A6BC" w14:textId="077896A3" w:rsidR="00A96ED6" w:rsidRPr="00A96ED6" w:rsidRDefault="00870118" w:rsidP="00870118">
      <w:pPr>
        <w:jc w:val="center"/>
      </w:pPr>
      <w:r w:rsidRPr="00870118">
        <w:rPr>
          <w:noProof/>
        </w:rPr>
        <w:lastRenderedPageBreak/>
        <w:drawing>
          <wp:inline distT="0" distB="0" distL="0" distR="0" wp14:anchorId="6F9FD064" wp14:editId="35B81C94">
            <wp:extent cx="1352550" cy="2944066"/>
            <wp:effectExtent l="0" t="0" r="0" b="8890"/>
            <wp:docPr id="1325032119" name="Picture 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32119" name="Picture 6" descr="A screenshot of a phon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3172" cy="2945419"/>
                    </a:xfrm>
                    <a:prstGeom prst="rect">
                      <a:avLst/>
                    </a:prstGeom>
                    <a:noFill/>
                    <a:ln>
                      <a:noFill/>
                    </a:ln>
                  </pic:spPr>
                </pic:pic>
              </a:graphicData>
            </a:graphic>
          </wp:inline>
        </w:drawing>
      </w:r>
    </w:p>
    <w:p w14:paraId="512F50E4" w14:textId="492B2E6C" w:rsidR="00A96ED6" w:rsidRPr="00A96ED6" w:rsidRDefault="00A96ED6" w:rsidP="00A96ED6">
      <w:pPr>
        <w:jc w:val="center"/>
        <w:rPr>
          <w:b/>
          <w:bCs/>
          <w:sz w:val="22"/>
          <w:szCs w:val="22"/>
        </w:rPr>
      </w:pPr>
      <w:r w:rsidRPr="00A96ED6">
        <w:rPr>
          <w:b/>
          <w:bCs/>
          <w:sz w:val="22"/>
          <w:szCs w:val="22"/>
        </w:rPr>
        <w:t>Figure 2.4: Privacy-First Data Governance Model</w:t>
      </w:r>
    </w:p>
    <w:p w14:paraId="05214FB1" w14:textId="67BAA648" w:rsidR="003377B8" w:rsidRPr="003377B8" w:rsidRDefault="003377B8" w:rsidP="004A372D">
      <w:pPr>
        <w:pStyle w:val="Heading2"/>
        <w:numPr>
          <w:ilvl w:val="1"/>
          <w:numId w:val="9"/>
        </w:numPr>
      </w:pPr>
      <w:bookmarkStart w:id="7" w:name="_Toc217664734"/>
      <w:r w:rsidRPr="003377B8">
        <w:t>Comparative Evaluation of Frameworks</w:t>
      </w:r>
      <w:bookmarkEnd w:id="7"/>
    </w:p>
    <w:p w14:paraId="69FADED6" w14:textId="14F1E3E3" w:rsidR="003377B8" w:rsidRPr="003377B8" w:rsidRDefault="00AC66CB" w:rsidP="003377B8">
      <w:r w:rsidRPr="00AC66CB">
        <w:t>It is impossible to govern operational efficiency, risk management, strategic governance, and regulatory compliance altogether with one framework</w:t>
      </w:r>
      <w:r>
        <w:t xml:space="preserve"> </w:t>
      </w:r>
      <w:r w:rsidRPr="00AC66CB">
        <w:t>(Metin, Sevim &amp; Wynn, 2025</w:t>
      </w:r>
      <w:r>
        <w:t>)</w:t>
      </w:r>
      <w:r w:rsidRPr="00AC66CB">
        <w:t>. A comparative analysis of strengths, weaknesses, and Nature Green's suitability has been presented in Table 2.5. Different academic sources advocate the merging of ITIL, ISO/IEC 27000, COBIT, and data governance into a single methodology as the most effective way to enhance service delivery, fortify compliance, and secure strategic supervision</w:t>
      </w:r>
      <w:r>
        <w:t>.</w:t>
      </w:r>
    </w:p>
    <w:p w14:paraId="5843B805" w14:textId="77777777" w:rsidR="003377B8" w:rsidRPr="00A96ED6" w:rsidRDefault="003377B8" w:rsidP="00A96ED6">
      <w:pPr>
        <w:jc w:val="center"/>
        <w:rPr>
          <w:sz w:val="22"/>
          <w:szCs w:val="22"/>
        </w:rPr>
      </w:pPr>
      <w:r w:rsidRPr="00A96ED6">
        <w:rPr>
          <w:b/>
          <w:bCs/>
          <w:sz w:val="22"/>
          <w:szCs w:val="22"/>
        </w:rPr>
        <w:t>Table 2.5: Comparative Framework Evaluation for Nature Green</w:t>
      </w:r>
    </w:p>
    <w:tbl>
      <w:tblPr>
        <w:tblStyle w:val="TableGridLight"/>
        <w:tblW w:w="0" w:type="auto"/>
        <w:tblLook w:val="04A0" w:firstRow="1" w:lastRow="0" w:firstColumn="1" w:lastColumn="0" w:noHBand="0" w:noVBand="1"/>
      </w:tblPr>
      <w:tblGrid>
        <w:gridCol w:w="1664"/>
        <w:gridCol w:w="3396"/>
        <w:gridCol w:w="3095"/>
        <w:gridCol w:w="1195"/>
      </w:tblGrid>
      <w:tr w:rsidR="003377B8" w:rsidRPr="003377B8" w14:paraId="10053AF4" w14:textId="77777777" w:rsidTr="00A96ED6">
        <w:tc>
          <w:tcPr>
            <w:tcW w:w="0" w:type="auto"/>
            <w:hideMark/>
          </w:tcPr>
          <w:p w14:paraId="38F77075" w14:textId="77777777" w:rsidR="003377B8" w:rsidRPr="00A96ED6" w:rsidRDefault="003377B8" w:rsidP="00A96ED6">
            <w:pPr>
              <w:jc w:val="center"/>
              <w:rPr>
                <w:b/>
                <w:bCs/>
                <w:sz w:val="22"/>
                <w:szCs w:val="22"/>
              </w:rPr>
            </w:pPr>
            <w:r w:rsidRPr="00A96ED6">
              <w:rPr>
                <w:b/>
                <w:bCs/>
                <w:sz w:val="22"/>
                <w:szCs w:val="22"/>
              </w:rPr>
              <w:t>Framework</w:t>
            </w:r>
          </w:p>
        </w:tc>
        <w:tc>
          <w:tcPr>
            <w:tcW w:w="0" w:type="auto"/>
            <w:hideMark/>
          </w:tcPr>
          <w:p w14:paraId="07A20DC7" w14:textId="77777777" w:rsidR="003377B8" w:rsidRPr="00A96ED6" w:rsidRDefault="003377B8" w:rsidP="00A96ED6">
            <w:pPr>
              <w:jc w:val="center"/>
              <w:rPr>
                <w:b/>
                <w:bCs/>
                <w:sz w:val="22"/>
                <w:szCs w:val="22"/>
              </w:rPr>
            </w:pPr>
            <w:r w:rsidRPr="00A96ED6">
              <w:rPr>
                <w:b/>
                <w:bCs/>
                <w:sz w:val="22"/>
                <w:szCs w:val="22"/>
              </w:rPr>
              <w:t>Strengths</w:t>
            </w:r>
          </w:p>
        </w:tc>
        <w:tc>
          <w:tcPr>
            <w:tcW w:w="0" w:type="auto"/>
            <w:hideMark/>
          </w:tcPr>
          <w:p w14:paraId="6EF73387" w14:textId="77777777" w:rsidR="003377B8" w:rsidRPr="00A96ED6" w:rsidRDefault="003377B8" w:rsidP="00A96ED6">
            <w:pPr>
              <w:jc w:val="center"/>
              <w:rPr>
                <w:b/>
                <w:bCs/>
                <w:sz w:val="22"/>
                <w:szCs w:val="22"/>
              </w:rPr>
            </w:pPr>
            <w:r w:rsidRPr="00A96ED6">
              <w:rPr>
                <w:b/>
                <w:bCs/>
                <w:sz w:val="22"/>
                <w:szCs w:val="22"/>
              </w:rPr>
              <w:t>Weaknesses</w:t>
            </w:r>
          </w:p>
        </w:tc>
        <w:tc>
          <w:tcPr>
            <w:tcW w:w="0" w:type="auto"/>
            <w:hideMark/>
          </w:tcPr>
          <w:p w14:paraId="1C80B0A4" w14:textId="77777777" w:rsidR="003377B8" w:rsidRPr="00A96ED6" w:rsidRDefault="003377B8" w:rsidP="00A96ED6">
            <w:pPr>
              <w:jc w:val="center"/>
              <w:rPr>
                <w:b/>
                <w:bCs/>
                <w:sz w:val="22"/>
                <w:szCs w:val="22"/>
              </w:rPr>
            </w:pPr>
            <w:r w:rsidRPr="00A96ED6">
              <w:rPr>
                <w:b/>
                <w:bCs/>
                <w:sz w:val="22"/>
                <w:szCs w:val="22"/>
              </w:rPr>
              <w:t>Suitability</w:t>
            </w:r>
          </w:p>
        </w:tc>
      </w:tr>
      <w:tr w:rsidR="003377B8" w:rsidRPr="003377B8" w14:paraId="34E7E31B" w14:textId="77777777" w:rsidTr="00A96ED6">
        <w:tc>
          <w:tcPr>
            <w:tcW w:w="0" w:type="auto"/>
            <w:hideMark/>
          </w:tcPr>
          <w:p w14:paraId="33B35F09" w14:textId="77777777" w:rsidR="003377B8" w:rsidRPr="00A96ED6" w:rsidRDefault="003377B8" w:rsidP="00A96ED6">
            <w:pPr>
              <w:jc w:val="center"/>
              <w:rPr>
                <w:sz w:val="22"/>
                <w:szCs w:val="22"/>
              </w:rPr>
            </w:pPr>
            <w:r w:rsidRPr="00A96ED6">
              <w:rPr>
                <w:sz w:val="22"/>
                <w:szCs w:val="22"/>
              </w:rPr>
              <w:t>ITIL</w:t>
            </w:r>
          </w:p>
        </w:tc>
        <w:tc>
          <w:tcPr>
            <w:tcW w:w="0" w:type="auto"/>
            <w:hideMark/>
          </w:tcPr>
          <w:p w14:paraId="03519F2F" w14:textId="77777777" w:rsidR="003377B8" w:rsidRPr="00A96ED6" w:rsidRDefault="003377B8" w:rsidP="00A96ED6">
            <w:pPr>
              <w:jc w:val="center"/>
              <w:rPr>
                <w:sz w:val="22"/>
                <w:szCs w:val="22"/>
              </w:rPr>
            </w:pPr>
            <w:r w:rsidRPr="00A96ED6">
              <w:rPr>
                <w:sz w:val="22"/>
                <w:szCs w:val="22"/>
              </w:rPr>
              <w:t>Operational efficiency, service continuity</w:t>
            </w:r>
          </w:p>
        </w:tc>
        <w:tc>
          <w:tcPr>
            <w:tcW w:w="0" w:type="auto"/>
            <w:hideMark/>
          </w:tcPr>
          <w:p w14:paraId="6D54896A" w14:textId="77777777" w:rsidR="003377B8" w:rsidRPr="00A96ED6" w:rsidRDefault="003377B8" w:rsidP="00A96ED6">
            <w:pPr>
              <w:jc w:val="center"/>
              <w:rPr>
                <w:sz w:val="22"/>
                <w:szCs w:val="22"/>
              </w:rPr>
            </w:pPr>
            <w:r w:rsidRPr="00A96ED6">
              <w:rPr>
                <w:sz w:val="22"/>
                <w:szCs w:val="22"/>
              </w:rPr>
              <w:t>Limited security controls</w:t>
            </w:r>
          </w:p>
        </w:tc>
        <w:tc>
          <w:tcPr>
            <w:tcW w:w="0" w:type="auto"/>
            <w:hideMark/>
          </w:tcPr>
          <w:p w14:paraId="5F28A251" w14:textId="77777777" w:rsidR="003377B8" w:rsidRPr="00A96ED6" w:rsidRDefault="003377B8" w:rsidP="00A96ED6">
            <w:pPr>
              <w:jc w:val="center"/>
              <w:rPr>
                <w:sz w:val="22"/>
                <w:szCs w:val="22"/>
              </w:rPr>
            </w:pPr>
            <w:r w:rsidRPr="00A96ED6">
              <w:rPr>
                <w:sz w:val="22"/>
                <w:szCs w:val="22"/>
              </w:rPr>
              <w:t>High</w:t>
            </w:r>
          </w:p>
        </w:tc>
      </w:tr>
      <w:tr w:rsidR="003377B8" w:rsidRPr="003377B8" w14:paraId="5D697A2D" w14:textId="77777777" w:rsidTr="00A96ED6">
        <w:tc>
          <w:tcPr>
            <w:tcW w:w="0" w:type="auto"/>
            <w:hideMark/>
          </w:tcPr>
          <w:p w14:paraId="3F0048F1" w14:textId="77777777" w:rsidR="003377B8" w:rsidRPr="00A96ED6" w:rsidRDefault="003377B8" w:rsidP="00A96ED6">
            <w:pPr>
              <w:jc w:val="center"/>
              <w:rPr>
                <w:sz w:val="22"/>
                <w:szCs w:val="22"/>
              </w:rPr>
            </w:pPr>
            <w:r w:rsidRPr="00A96ED6">
              <w:rPr>
                <w:sz w:val="22"/>
                <w:szCs w:val="22"/>
              </w:rPr>
              <w:t>ISO/IEC 27000</w:t>
            </w:r>
          </w:p>
        </w:tc>
        <w:tc>
          <w:tcPr>
            <w:tcW w:w="0" w:type="auto"/>
            <w:hideMark/>
          </w:tcPr>
          <w:p w14:paraId="08FB1FFE" w14:textId="77777777" w:rsidR="003377B8" w:rsidRPr="00A96ED6" w:rsidRDefault="003377B8" w:rsidP="00A96ED6">
            <w:pPr>
              <w:jc w:val="center"/>
              <w:rPr>
                <w:sz w:val="22"/>
                <w:szCs w:val="22"/>
              </w:rPr>
            </w:pPr>
            <w:r w:rsidRPr="00A96ED6">
              <w:rPr>
                <w:sz w:val="22"/>
                <w:szCs w:val="22"/>
              </w:rPr>
              <w:t>Structured risk management, compliance</w:t>
            </w:r>
          </w:p>
        </w:tc>
        <w:tc>
          <w:tcPr>
            <w:tcW w:w="0" w:type="auto"/>
            <w:hideMark/>
          </w:tcPr>
          <w:p w14:paraId="25070FF8" w14:textId="77777777" w:rsidR="003377B8" w:rsidRPr="00A96ED6" w:rsidRDefault="003377B8" w:rsidP="00A96ED6">
            <w:pPr>
              <w:jc w:val="center"/>
              <w:rPr>
                <w:sz w:val="22"/>
                <w:szCs w:val="22"/>
              </w:rPr>
            </w:pPr>
            <w:r w:rsidRPr="00A96ED6">
              <w:rPr>
                <w:sz w:val="22"/>
                <w:szCs w:val="22"/>
              </w:rPr>
              <w:t>Implementation complexity</w:t>
            </w:r>
          </w:p>
        </w:tc>
        <w:tc>
          <w:tcPr>
            <w:tcW w:w="0" w:type="auto"/>
            <w:hideMark/>
          </w:tcPr>
          <w:p w14:paraId="1AFC5584" w14:textId="77777777" w:rsidR="003377B8" w:rsidRPr="00A96ED6" w:rsidRDefault="003377B8" w:rsidP="00A96ED6">
            <w:pPr>
              <w:jc w:val="center"/>
              <w:rPr>
                <w:sz w:val="22"/>
                <w:szCs w:val="22"/>
              </w:rPr>
            </w:pPr>
            <w:r w:rsidRPr="00A96ED6">
              <w:rPr>
                <w:sz w:val="22"/>
                <w:szCs w:val="22"/>
              </w:rPr>
              <w:t>High</w:t>
            </w:r>
          </w:p>
        </w:tc>
      </w:tr>
      <w:tr w:rsidR="003377B8" w:rsidRPr="003377B8" w14:paraId="3F2110B3" w14:textId="77777777" w:rsidTr="00A96ED6">
        <w:tc>
          <w:tcPr>
            <w:tcW w:w="0" w:type="auto"/>
            <w:hideMark/>
          </w:tcPr>
          <w:p w14:paraId="3280E64B" w14:textId="77777777" w:rsidR="003377B8" w:rsidRPr="00A96ED6" w:rsidRDefault="003377B8" w:rsidP="00A96ED6">
            <w:pPr>
              <w:jc w:val="center"/>
              <w:rPr>
                <w:sz w:val="22"/>
                <w:szCs w:val="22"/>
              </w:rPr>
            </w:pPr>
            <w:r w:rsidRPr="00A96ED6">
              <w:rPr>
                <w:sz w:val="22"/>
                <w:szCs w:val="22"/>
              </w:rPr>
              <w:t>COBIT 2019</w:t>
            </w:r>
          </w:p>
        </w:tc>
        <w:tc>
          <w:tcPr>
            <w:tcW w:w="0" w:type="auto"/>
            <w:hideMark/>
          </w:tcPr>
          <w:p w14:paraId="160F8BD6" w14:textId="77777777" w:rsidR="003377B8" w:rsidRPr="00A96ED6" w:rsidRDefault="003377B8" w:rsidP="00A96ED6">
            <w:pPr>
              <w:jc w:val="center"/>
              <w:rPr>
                <w:sz w:val="22"/>
                <w:szCs w:val="22"/>
              </w:rPr>
            </w:pPr>
            <w:r w:rsidRPr="00A96ED6">
              <w:rPr>
                <w:sz w:val="22"/>
                <w:szCs w:val="22"/>
              </w:rPr>
              <w:t>Strategic alignment, KPI-driven oversight</w:t>
            </w:r>
          </w:p>
        </w:tc>
        <w:tc>
          <w:tcPr>
            <w:tcW w:w="0" w:type="auto"/>
            <w:hideMark/>
          </w:tcPr>
          <w:p w14:paraId="6D745A3F" w14:textId="77777777" w:rsidR="003377B8" w:rsidRPr="00A96ED6" w:rsidRDefault="003377B8" w:rsidP="00A96ED6">
            <w:pPr>
              <w:jc w:val="center"/>
              <w:rPr>
                <w:sz w:val="22"/>
                <w:szCs w:val="22"/>
              </w:rPr>
            </w:pPr>
            <w:r w:rsidRPr="00A96ED6">
              <w:rPr>
                <w:sz w:val="22"/>
                <w:szCs w:val="22"/>
              </w:rPr>
              <w:t>Limited technical detail</w:t>
            </w:r>
          </w:p>
        </w:tc>
        <w:tc>
          <w:tcPr>
            <w:tcW w:w="0" w:type="auto"/>
            <w:hideMark/>
          </w:tcPr>
          <w:p w14:paraId="23B703FF" w14:textId="77777777" w:rsidR="003377B8" w:rsidRPr="00A96ED6" w:rsidRDefault="003377B8" w:rsidP="00A96ED6">
            <w:pPr>
              <w:jc w:val="center"/>
              <w:rPr>
                <w:sz w:val="22"/>
                <w:szCs w:val="22"/>
              </w:rPr>
            </w:pPr>
            <w:r w:rsidRPr="00A96ED6">
              <w:rPr>
                <w:sz w:val="22"/>
                <w:szCs w:val="22"/>
              </w:rPr>
              <w:t>Medium</w:t>
            </w:r>
          </w:p>
        </w:tc>
      </w:tr>
      <w:tr w:rsidR="003377B8" w:rsidRPr="003377B8" w14:paraId="6BCE0F48" w14:textId="77777777" w:rsidTr="00A96ED6">
        <w:tc>
          <w:tcPr>
            <w:tcW w:w="0" w:type="auto"/>
            <w:hideMark/>
          </w:tcPr>
          <w:p w14:paraId="728A6C4E" w14:textId="77777777" w:rsidR="003377B8" w:rsidRPr="00A96ED6" w:rsidRDefault="003377B8" w:rsidP="00A96ED6">
            <w:pPr>
              <w:jc w:val="center"/>
              <w:rPr>
                <w:sz w:val="22"/>
                <w:szCs w:val="22"/>
              </w:rPr>
            </w:pPr>
            <w:r w:rsidRPr="00A96ED6">
              <w:rPr>
                <w:sz w:val="22"/>
                <w:szCs w:val="22"/>
              </w:rPr>
              <w:lastRenderedPageBreak/>
              <w:t>Data Governance</w:t>
            </w:r>
          </w:p>
        </w:tc>
        <w:tc>
          <w:tcPr>
            <w:tcW w:w="0" w:type="auto"/>
            <w:hideMark/>
          </w:tcPr>
          <w:p w14:paraId="4369DEE7" w14:textId="77777777" w:rsidR="003377B8" w:rsidRPr="00A96ED6" w:rsidRDefault="003377B8" w:rsidP="00A96ED6">
            <w:pPr>
              <w:jc w:val="center"/>
              <w:rPr>
                <w:sz w:val="22"/>
                <w:szCs w:val="22"/>
              </w:rPr>
            </w:pPr>
            <w:r w:rsidRPr="00A96ED6">
              <w:rPr>
                <w:sz w:val="22"/>
                <w:szCs w:val="22"/>
              </w:rPr>
              <w:t>Privacy, regulatory adherence</w:t>
            </w:r>
          </w:p>
        </w:tc>
        <w:tc>
          <w:tcPr>
            <w:tcW w:w="0" w:type="auto"/>
            <w:hideMark/>
          </w:tcPr>
          <w:p w14:paraId="4F99136B" w14:textId="059F7275" w:rsidR="003377B8" w:rsidRPr="00A96ED6" w:rsidRDefault="003377B8" w:rsidP="00A96ED6">
            <w:pPr>
              <w:jc w:val="center"/>
              <w:rPr>
                <w:sz w:val="22"/>
                <w:szCs w:val="22"/>
              </w:rPr>
            </w:pPr>
            <w:r w:rsidRPr="00A96ED6">
              <w:rPr>
                <w:sz w:val="22"/>
                <w:szCs w:val="22"/>
              </w:rPr>
              <w:t xml:space="preserve">Requires </w:t>
            </w:r>
            <w:r w:rsidR="00A96ED6" w:rsidRPr="00A96ED6">
              <w:rPr>
                <w:sz w:val="22"/>
                <w:szCs w:val="22"/>
              </w:rPr>
              <w:t>organization</w:t>
            </w:r>
            <w:r w:rsidRPr="00A96ED6">
              <w:rPr>
                <w:sz w:val="22"/>
                <w:szCs w:val="22"/>
              </w:rPr>
              <w:t>-wide adoption</w:t>
            </w:r>
          </w:p>
        </w:tc>
        <w:tc>
          <w:tcPr>
            <w:tcW w:w="0" w:type="auto"/>
            <w:hideMark/>
          </w:tcPr>
          <w:p w14:paraId="3E8ABEFF" w14:textId="77777777" w:rsidR="003377B8" w:rsidRPr="00A96ED6" w:rsidRDefault="003377B8" w:rsidP="00A96ED6">
            <w:pPr>
              <w:jc w:val="center"/>
              <w:rPr>
                <w:sz w:val="22"/>
                <w:szCs w:val="22"/>
              </w:rPr>
            </w:pPr>
            <w:r w:rsidRPr="00A96ED6">
              <w:rPr>
                <w:sz w:val="22"/>
                <w:szCs w:val="22"/>
              </w:rPr>
              <w:t>High</w:t>
            </w:r>
          </w:p>
        </w:tc>
      </w:tr>
    </w:tbl>
    <w:p w14:paraId="6DDA8F4E" w14:textId="6829FAC1" w:rsidR="003377B8" w:rsidRDefault="003377B8" w:rsidP="004A372D">
      <w:pPr>
        <w:pStyle w:val="Heading1"/>
        <w:numPr>
          <w:ilvl w:val="0"/>
          <w:numId w:val="9"/>
        </w:numPr>
      </w:pPr>
      <w:bookmarkStart w:id="8" w:name="_Toc217664735"/>
      <w:r w:rsidRPr="003377B8">
        <w:t>Proposed Security Approach</w:t>
      </w:r>
      <w:bookmarkEnd w:id="8"/>
      <w:r w:rsidRPr="003377B8">
        <w:t xml:space="preserve"> </w:t>
      </w:r>
    </w:p>
    <w:p w14:paraId="46CAFA96" w14:textId="4A9D7941" w:rsidR="00805416" w:rsidRPr="00805416" w:rsidRDefault="00805416" w:rsidP="00805416">
      <w:pPr>
        <w:rPr>
          <w:rFonts w:eastAsiaTheme="majorEastAsia" w:cstheme="majorBidi"/>
          <w:b/>
          <w:color w:val="000000" w:themeColor="text1"/>
          <w:sz w:val="28"/>
          <w:szCs w:val="32"/>
        </w:rPr>
      </w:pPr>
      <w:r w:rsidRPr="00805416">
        <w:t xml:space="preserve">This section presents a hybrid security model for Nature Green that covers operational, strategic, and compliance areas </w:t>
      </w:r>
      <w:r w:rsidR="00870118" w:rsidRPr="00805416">
        <w:t>to</w:t>
      </w:r>
      <w:r w:rsidRPr="00805416">
        <w:t xml:space="preserve"> safeguard information assets. The model creates a robust security ecosystem by combining ITIL for operational efficiency, ISO/IEC 27000 for risk and compliance, COBIT 2019 for strategic governance, and data governance for privacy and regulatory adherence.</w:t>
      </w:r>
    </w:p>
    <w:p w14:paraId="74B8A841" w14:textId="1DAE67A6" w:rsidR="003377B8" w:rsidRPr="003377B8" w:rsidRDefault="003377B8" w:rsidP="004A372D">
      <w:pPr>
        <w:pStyle w:val="Heading2"/>
        <w:numPr>
          <w:ilvl w:val="1"/>
          <w:numId w:val="9"/>
        </w:numPr>
      </w:pPr>
      <w:bookmarkStart w:id="9" w:name="_Toc217664736"/>
      <w:r w:rsidRPr="003377B8">
        <w:t>Integrating ITIL for Operational Efficiency</w:t>
      </w:r>
      <w:bookmarkEnd w:id="9"/>
    </w:p>
    <w:p w14:paraId="135F3B83" w14:textId="3B4EB885" w:rsidR="004A372D" w:rsidRDefault="00805416" w:rsidP="003377B8">
      <w:r w:rsidRPr="00805416">
        <w:t>ITIL is the operational backbone that underpins the model, setting a uniform standard across the board for IT service delivery and embedding security in the daily practices, thus securing continuous operations, faster incident resolution, and organized change management</w:t>
      </w:r>
      <w:r>
        <w:t xml:space="preserve"> </w:t>
      </w:r>
      <w:r w:rsidR="004A372D" w:rsidRPr="004A372D">
        <w:t>(Al-</w:t>
      </w:r>
      <w:proofErr w:type="spellStart"/>
      <w:r w:rsidR="004A372D" w:rsidRPr="004A372D">
        <w:t>Ashmoery</w:t>
      </w:r>
      <w:proofErr w:type="spellEnd"/>
      <w:r w:rsidR="004A372D" w:rsidRPr="004A372D">
        <w:t xml:space="preserve"> et al., 2021). The incident management processes are set up in such a way that they will automatically find and record possible security events, causing instant alerts to be sent to the security teams. The operational integration of ITIL and the expected results for Nature Green are shown in Table 3.1.</w:t>
      </w:r>
    </w:p>
    <w:p w14:paraId="24D9A528" w14:textId="319A9BFE" w:rsidR="003377B8" w:rsidRPr="003377B8" w:rsidRDefault="003377B8" w:rsidP="004A372D">
      <w:pPr>
        <w:jc w:val="center"/>
      </w:pPr>
      <w:r w:rsidRPr="003377B8">
        <w:rPr>
          <w:b/>
          <w:bCs/>
        </w:rPr>
        <w:t>Table 3.1: ITIL Operational Integration for Nature Green</w:t>
      </w:r>
    </w:p>
    <w:tbl>
      <w:tblPr>
        <w:tblStyle w:val="TableGridLight"/>
        <w:tblW w:w="0" w:type="auto"/>
        <w:jc w:val="center"/>
        <w:tblLook w:val="04A0" w:firstRow="1" w:lastRow="0" w:firstColumn="1" w:lastColumn="0" w:noHBand="0" w:noVBand="1"/>
      </w:tblPr>
      <w:tblGrid>
        <w:gridCol w:w="2611"/>
        <w:gridCol w:w="3075"/>
        <w:gridCol w:w="3664"/>
      </w:tblGrid>
      <w:tr w:rsidR="003377B8" w:rsidRPr="003377B8" w14:paraId="6A4217E9" w14:textId="77777777" w:rsidTr="004A372D">
        <w:trPr>
          <w:jc w:val="center"/>
        </w:trPr>
        <w:tc>
          <w:tcPr>
            <w:tcW w:w="0" w:type="auto"/>
            <w:hideMark/>
          </w:tcPr>
          <w:p w14:paraId="4CA1ADCC" w14:textId="77777777" w:rsidR="003377B8" w:rsidRPr="004A372D" w:rsidRDefault="003377B8" w:rsidP="004A372D">
            <w:pPr>
              <w:jc w:val="center"/>
              <w:rPr>
                <w:b/>
                <w:bCs/>
                <w:sz w:val="22"/>
                <w:szCs w:val="22"/>
              </w:rPr>
            </w:pPr>
            <w:r w:rsidRPr="004A372D">
              <w:rPr>
                <w:b/>
                <w:bCs/>
                <w:sz w:val="22"/>
                <w:szCs w:val="22"/>
              </w:rPr>
              <w:t>ITIL Process</w:t>
            </w:r>
          </w:p>
        </w:tc>
        <w:tc>
          <w:tcPr>
            <w:tcW w:w="0" w:type="auto"/>
            <w:hideMark/>
          </w:tcPr>
          <w:p w14:paraId="719542C6" w14:textId="77777777" w:rsidR="003377B8" w:rsidRPr="004A372D" w:rsidRDefault="003377B8" w:rsidP="004A372D">
            <w:pPr>
              <w:jc w:val="center"/>
              <w:rPr>
                <w:b/>
                <w:bCs/>
                <w:sz w:val="22"/>
                <w:szCs w:val="22"/>
              </w:rPr>
            </w:pPr>
            <w:r w:rsidRPr="004A372D">
              <w:rPr>
                <w:b/>
                <w:bCs/>
                <w:sz w:val="22"/>
                <w:szCs w:val="22"/>
              </w:rPr>
              <w:t>Security Integration</w:t>
            </w:r>
          </w:p>
        </w:tc>
        <w:tc>
          <w:tcPr>
            <w:tcW w:w="0" w:type="auto"/>
            <w:hideMark/>
          </w:tcPr>
          <w:p w14:paraId="062F93B4" w14:textId="77777777" w:rsidR="003377B8" w:rsidRPr="004A372D" w:rsidRDefault="003377B8" w:rsidP="004A372D">
            <w:pPr>
              <w:jc w:val="center"/>
              <w:rPr>
                <w:b/>
                <w:bCs/>
                <w:sz w:val="22"/>
                <w:szCs w:val="22"/>
              </w:rPr>
            </w:pPr>
            <w:r w:rsidRPr="004A372D">
              <w:rPr>
                <w:b/>
                <w:bCs/>
                <w:sz w:val="22"/>
                <w:szCs w:val="22"/>
              </w:rPr>
              <w:t>Expected Outcome</w:t>
            </w:r>
          </w:p>
        </w:tc>
      </w:tr>
      <w:tr w:rsidR="003377B8" w:rsidRPr="003377B8" w14:paraId="16F24705" w14:textId="77777777" w:rsidTr="004A372D">
        <w:trPr>
          <w:jc w:val="center"/>
        </w:trPr>
        <w:tc>
          <w:tcPr>
            <w:tcW w:w="0" w:type="auto"/>
            <w:hideMark/>
          </w:tcPr>
          <w:p w14:paraId="049C3657" w14:textId="77777777" w:rsidR="003377B8" w:rsidRPr="004A372D" w:rsidRDefault="003377B8" w:rsidP="004A372D">
            <w:pPr>
              <w:jc w:val="center"/>
              <w:rPr>
                <w:sz w:val="22"/>
                <w:szCs w:val="22"/>
              </w:rPr>
            </w:pPr>
            <w:r w:rsidRPr="004A372D">
              <w:rPr>
                <w:sz w:val="22"/>
                <w:szCs w:val="22"/>
              </w:rPr>
              <w:t>Incident Management</w:t>
            </w:r>
          </w:p>
        </w:tc>
        <w:tc>
          <w:tcPr>
            <w:tcW w:w="0" w:type="auto"/>
            <w:hideMark/>
          </w:tcPr>
          <w:p w14:paraId="77DD6245" w14:textId="77777777" w:rsidR="003377B8" w:rsidRPr="004A372D" w:rsidRDefault="003377B8" w:rsidP="004A372D">
            <w:pPr>
              <w:jc w:val="center"/>
              <w:rPr>
                <w:sz w:val="22"/>
                <w:szCs w:val="22"/>
              </w:rPr>
            </w:pPr>
            <w:r w:rsidRPr="004A372D">
              <w:rPr>
                <w:sz w:val="22"/>
                <w:szCs w:val="22"/>
              </w:rPr>
              <w:t>Automated threat detection and logging</w:t>
            </w:r>
          </w:p>
        </w:tc>
        <w:tc>
          <w:tcPr>
            <w:tcW w:w="0" w:type="auto"/>
            <w:hideMark/>
          </w:tcPr>
          <w:p w14:paraId="030FF9E4" w14:textId="77777777" w:rsidR="003377B8" w:rsidRPr="004A372D" w:rsidRDefault="003377B8" w:rsidP="004A372D">
            <w:pPr>
              <w:jc w:val="center"/>
              <w:rPr>
                <w:sz w:val="22"/>
                <w:szCs w:val="22"/>
              </w:rPr>
            </w:pPr>
            <w:r w:rsidRPr="004A372D">
              <w:rPr>
                <w:sz w:val="22"/>
                <w:szCs w:val="22"/>
              </w:rPr>
              <w:t>Reduced downtime and rapid threat containment</w:t>
            </w:r>
          </w:p>
        </w:tc>
      </w:tr>
      <w:tr w:rsidR="003377B8" w:rsidRPr="003377B8" w14:paraId="3BD5B74C" w14:textId="77777777" w:rsidTr="004A372D">
        <w:trPr>
          <w:jc w:val="center"/>
        </w:trPr>
        <w:tc>
          <w:tcPr>
            <w:tcW w:w="0" w:type="auto"/>
            <w:hideMark/>
          </w:tcPr>
          <w:p w14:paraId="679B3E38" w14:textId="77777777" w:rsidR="003377B8" w:rsidRPr="004A372D" w:rsidRDefault="003377B8" w:rsidP="004A372D">
            <w:pPr>
              <w:jc w:val="center"/>
              <w:rPr>
                <w:sz w:val="22"/>
                <w:szCs w:val="22"/>
              </w:rPr>
            </w:pPr>
            <w:r w:rsidRPr="004A372D">
              <w:rPr>
                <w:sz w:val="22"/>
                <w:szCs w:val="22"/>
              </w:rPr>
              <w:t>Change Management</w:t>
            </w:r>
          </w:p>
        </w:tc>
        <w:tc>
          <w:tcPr>
            <w:tcW w:w="0" w:type="auto"/>
            <w:hideMark/>
          </w:tcPr>
          <w:p w14:paraId="49AECC0D" w14:textId="77777777" w:rsidR="003377B8" w:rsidRPr="004A372D" w:rsidRDefault="003377B8" w:rsidP="004A372D">
            <w:pPr>
              <w:jc w:val="center"/>
              <w:rPr>
                <w:sz w:val="22"/>
                <w:szCs w:val="22"/>
              </w:rPr>
            </w:pPr>
            <w:r w:rsidRPr="004A372D">
              <w:rPr>
                <w:sz w:val="22"/>
                <w:szCs w:val="22"/>
              </w:rPr>
              <w:t>Security risk assessment</w:t>
            </w:r>
          </w:p>
        </w:tc>
        <w:tc>
          <w:tcPr>
            <w:tcW w:w="0" w:type="auto"/>
            <w:hideMark/>
          </w:tcPr>
          <w:p w14:paraId="51D6E32B" w14:textId="77777777" w:rsidR="003377B8" w:rsidRPr="004A372D" w:rsidRDefault="003377B8" w:rsidP="004A372D">
            <w:pPr>
              <w:jc w:val="center"/>
              <w:rPr>
                <w:sz w:val="22"/>
                <w:szCs w:val="22"/>
              </w:rPr>
            </w:pPr>
            <w:r w:rsidRPr="004A372D">
              <w:rPr>
                <w:sz w:val="22"/>
                <w:szCs w:val="22"/>
              </w:rPr>
              <w:t>Secure deployment of updates and patches</w:t>
            </w:r>
          </w:p>
        </w:tc>
      </w:tr>
      <w:tr w:rsidR="003377B8" w:rsidRPr="003377B8" w14:paraId="3938310E" w14:textId="77777777" w:rsidTr="004A372D">
        <w:trPr>
          <w:jc w:val="center"/>
        </w:trPr>
        <w:tc>
          <w:tcPr>
            <w:tcW w:w="0" w:type="auto"/>
            <w:hideMark/>
          </w:tcPr>
          <w:p w14:paraId="10E5ADD0" w14:textId="77777777" w:rsidR="003377B8" w:rsidRPr="004A372D" w:rsidRDefault="003377B8" w:rsidP="004A372D">
            <w:pPr>
              <w:jc w:val="center"/>
              <w:rPr>
                <w:sz w:val="22"/>
                <w:szCs w:val="22"/>
              </w:rPr>
            </w:pPr>
            <w:r w:rsidRPr="004A372D">
              <w:rPr>
                <w:sz w:val="22"/>
                <w:szCs w:val="22"/>
              </w:rPr>
              <w:t>Continual Service Improvement</w:t>
            </w:r>
          </w:p>
        </w:tc>
        <w:tc>
          <w:tcPr>
            <w:tcW w:w="0" w:type="auto"/>
            <w:hideMark/>
          </w:tcPr>
          <w:p w14:paraId="5649B7D0" w14:textId="77777777" w:rsidR="003377B8" w:rsidRPr="004A372D" w:rsidRDefault="003377B8" w:rsidP="004A372D">
            <w:pPr>
              <w:jc w:val="center"/>
              <w:rPr>
                <w:sz w:val="22"/>
                <w:szCs w:val="22"/>
              </w:rPr>
            </w:pPr>
            <w:r w:rsidRPr="004A372D">
              <w:rPr>
                <w:sz w:val="22"/>
                <w:szCs w:val="22"/>
              </w:rPr>
              <w:t>Post-incident analysis</w:t>
            </w:r>
          </w:p>
        </w:tc>
        <w:tc>
          <w:tcPr>
            <w:tcW w:w="0" w:type="auto"/>
            <w:hideMark/>
          </w:tcPr>
          <w:p w14:paraId="651D89B1" w14:textId="77777777" w:rsidR="003377B8" w:rsidRPr="004A372D" w:rsidRDefault="003377B8" w:rsidP="004A372D">
            <w:pPr>
              <w:jc w:val="center"/>
              <w:rPr>
                <w:sz w:val="22"/>
                <w:szCs w:val="22"/>
              </w:rPr>
            </w:pPr>
            <w:r w:rsidRPr="004A372D">
              <w:rPr>
                <w:sz w:val="22"/>
                <w:szCs w:val="22"/>
              </w:rPr>
              <w:t>Improved security policies and risk awareness</w:t>
            </w:r>
          </w:p>
        </w:tc>
      </w:tr>
    </w:tbl>
    <w:p w14:paraId="4493B740" w14:textId="0CB8C1D7" w:rsidR="002744F1" w:rsidRDefault="004A372D" w:rsidP="002744F1">
      <w:r w:rsidRPr="004A372D">
        <w:t>ITIL, by consolidating alerts from various sources, helps in reducing Mean Time to Respond (MTTR) to incidents. For example, treating unauthorized access attempts as high-priority incidents allows them to escalate within minutes which, in turn, improves SLA adherence and operational resilience. Another aspect is that the integration of security risk assessments into the change management process will prevent the introduction of misconfigurations, which are a major cause of data breaches in hybrid environments, during system updates. Nature Green, through post-</w:t>
      </w:r>
      <w:r w:rsidRPr="004A372D">
        <w:lastRenderedPageBreak/>
        <w:t>incident reviews, iteratively refines processes and consequently, the service quality and security awareness across operating teams are enhanced</w:t>
      </w:r>
      <w:r w:rsidR="002744F1" w:rsidRPr="002744F1">
        <w:t>.</w:t>
      </w:r>
    </w:p>
    <w:p w14:paraId="5841AC60" w14:textId="1457034B" w:rsidR="003377B8" w:rsidRPr="003377B8" w:rsidRDefault="003377B8" w:rsidP="004A372D">
      <w:pPr>
        <w:pStyle w:val="Heading2"/>
        <w:numPr>
          <w:ilvl w:val="1"/>
          <w:numId w:val="9"/>
        </w:numPr>
      </w:pPr>
      <w:r w:rsidRPr="003377B8">
        <w:t xml:space="preserve"> </w:t>
      </w:r>
      <w:bookmarkStart w:id="10" w:name="_Toc217664737"/>
      <w:r w:rsidRPr="003377B8">
        <w:t>ISO/IEC 27000 Series for Risk and Compliance</w:t>
      </w:r>
      <w:bookmarkEnd w:id="10"/>
    </w:p>
    <w:p w14:paraId="1972E250" w14:textId="6C7ED9DE" w:rsidR="003377B8" w:rsidRPr="003377B8" w:rsidRDefault="004A372D" w:rsidP="003377B8">
      <w:r w:rsidRPr="004A372D">
        <w:t>ISO/IEC 27001 and 27002 constitute the regulatory compliance and risk management basis of the hybrid framework. ISO 27001 specifies the conditions for the functioning of an Information Security Management System (ISMS), giving priority to systematic risk detection, evaluation, and controlling, and at the same time ISO 27002 offers operational control through such measures as access management, encryption, incident response, and business continuity (</w:t>
      </w:r>
      <w:proofErr w:type="spellStart"/>
      <w:r w:rsidRPr="004A372D">
        <w:t>Kostulak</w:t>
      </w:r>
      <w:proofErr w:type="spellEnd"/>
      <w:r w:rsidRPr="004A372D">
        <w:t>, 2023; Junaid, 2023). The key steps in implementation along with the expected payoffs are depicted in Table 3.2</w:t>
      </w:r>
      <w:r w:rsidR="003377B8" w:rsidRPr="003377B8">
        <w:t>.</w:t>
      </w:r>
    </w:p>
    <w:p w14:paraId="6760CDD5" w14:textId="77777777" w:rsidR="003377B8" w:rsidRPr="003377B8" w:rsidRDefault="003377B8" w:rsidP="004A372D">
      <w:pPr>
        <w:jc w:val="center"/>
      </w:pPr>
      <w:r w:rsidRPr="003377B8">
        <w:rPr>
          <w:b/>
          <w:bCs/>
        </w:rPr>
        <w:t>Table 3.2: ISO/IEC 27000 Implementation Steps for Nature Green</w:t>
      </w:r>
    </w:p>
    <w:tbl>
      <w:tblPr>
        <w:tblStyle w:val="TableGridLight"/>
        <w:tblW w:w="0" w:type="auto"/>
        <w:jc w:val="center"/>
        <w:tblLook w:val="04A0" w:firstRow="1" w:lastRow="0" w:firstColumn="1" w:lastColumn="0" w:noHBand="0" w:noVBand="1"/>
      </w:tblPr>
      <w:tblGrid>
        <w:gridCol w:w="2326"/>
        <w:gridCol w:w="3562"/>
        <w:gridCol w:w="3462"/>
      </w:tblGrid>
      <w:tr w:rsidR="003377B8" w:rsidRPr="004A372D" w14:paraId="21BC339A" w14:textId="77777777" w:rsidTr="004A372D">
        <w:trPr>
          <w:jc w:val="center"/>
        </w:trPr>
        <w:tc>
          <w:tcPr>
            <w:tcW w:w="0" w:type="auto"/>
            <w:hideMark/>
          </w:tcPr>
          <w:p w14:paraId="07C55C1E" w14:textId="77777777" w:rsidR="003377B8" w:rsidRPr="004A372D" w:rsidRDefault="003377B8" w:rsidP="004A372D">
            <w:pPr>
              <w:jc w:val="center"/>
              <w:rPr>
                <w:b/>
                <w:bCs/>
                <w:sz w:val="22"/>
                <w:szCs w:val="22"/>
              </w:rPr>
            </w:pPr>
            <w:r w:rsidRPr="004A372D">
              <w:rPr>
                <w:b/>
                <w:bCs/>
                <w:sz w:val="22"/>
                <w:szCs w:val="22"/>
              </w:rPr>
              <w:t>Step</w:t>
            </w:r>
          </w:p>
        </w:tc>
        <w:tc>
          <w:tcPr>
            <w:tcW w:w="0" w:type="auto"/>
            <w:hideMark/>
          </w:tcPr>
          <w:p w14:paraId="396BA86A" w14:textId="77777777" w:rsidR="003377B8" w:rsidRPr="004A372D" w:rsidRDefault="003377B8" w:rsidP="004A372D">
            <w:pPr>
              <w:jc w:val="center"/>
              <w:rPr>
                <w:b/>
                <w:bCs/>
                <w:sz w:val="22"/>
                <w:szCs w:val="22"/>
              </w:rPr>
            </w:pPr>
            <w:r w:rsidRPr="004A372D">
              <w:rPr>
                <w:b/>
                <w:bCs/>
                <w:sz w:val="22"/>
                <w:szCs w:val="22"/>
              </w:rPr>
              <w:t>Description</w:t>
            </w:r>
          </w:p>
        </w:tc>
        <w:tc>
          <w:tcPr>
            <w:tcW w:w="0" w:type="auto"/>
            <w:hideMark/>
          </w:tcPr>
          <w:p w14:paraId="7228C937" w14:textId="77777777" w:rsidR="003377B8" w:rsidRPr="004A372D" w:rsidRDefault="003377B8" w:rsidP="004A372D">
            <w:pPr>
              <w:jc w:val="center"/>
              <w:rPr>
                <w:b/>
                <w:bCs/>
                <w:sz w:val="22"/>
                <w:szCs w:val="22"/>
              </w:rPr>
            </w:pPr>
            <w:r w:rsidRPr="004A372D">
              <w:rPr>
                <w:b/>
                <w:bCs/>
                <w:sz w:val="22"/>
                <w:szCs w:val="22"/>
              </w:rPr>
              <w:t>Expected Outcome</w:t>
            </w:r>
          </w:p>
        </w:tc>
      </w:tr>
      <w:tr w:rsidR="003377B8" w:rsidRPr="004A372D" w14:paraId="700C6485" w14:textId="77777777" w:rsidTr="004A372D">
        <w:trPr>
          <w:jc w:val="center"/>
        </w:trPr>
        <w:tc>
          <w:tcPr>
            <w:tcW w:w="0" w:type="auto"/>
            <w:hideMark/>
          </w:tcPr>
          <w:p w14:paraId="4C144EB8" w14:textId="77777777" w:rsidR="003377B8" w:rsidRPr="004A372D" w:rsidRDefault="003377B8" w:rsidP="004A372D">
            <w:pPr>
              <w:jc w:val="center"/>
              <w:rPr>
                <w:sz w:val="22"/>
                <w:szCs w:val="22"/>
              </w:rPr>
            </w:pPr>
            <w:r w:rsidRPr="004A372D">
              <w:rPr>
                <w:sz w:val="22"/>
                <w:szCs w:val="22"/>
              </w:rPr>
              <w:t>Risk Assessment &amp; Asset Inventory</w:t>
            </w:r>
          </w:p>
        </w:tc>
        <w:tc>
          <w:tcPr>
            <w:tcW w:w="0" w:type="auto"/>
            <w:hideMark/>
          </w:tcPr>
          <w:p w14:paraId="421CD664" w14:textId="77777777" w:rsidR="003377B8" w:rsidRPr="004A372D" w:rsidRDefault="003377B8" w:rsidP="004A372D">
            <w:pPr>
              <w:jc w:val="center"/>
              <w:rPr>
                <w:sz w:val="22"/>
                <w:szCs w:val="22"/>
              </w:rPr>
            </w:pPr>
            <w:r w:rsidRPr="004A372D">
              <w:rPr>
                <w:sz w:val="22"/>
                <w:szCs w:val="22"/>
              </w:rPr>
              <w:t>Identify and classify critical IT and data assets</w:t>
            </w:r>
          </w:p>
        </w:tc>
        <w:tc>
          <w:tcPr>
            <w:tcW w:w="0" w:type="auto"/>
            <w:hideMark/>
          </w:tcPr>
          <w:p w14:paraId="6759833B" w14:textId="791BC747" w:rsidR="003377B8" w:rsidRPr="004A372D" w:rsidRDefault="003377B8" w:rsidP="004A372D">
            <w:pPr>
              <w:jc w:val="center"/>
              <w:rPr>
                <w:sz w:val="22"/>
                <w:szCs w:val="22"/>
              </w:rPr>
            </w:pPr>
            <w:r w:rsidRPr="004A372D">
              <w:rPr>
                <w:sz w:val="22"/>
                <w:szCs w:val="22"/>
              </w:rPr>
              <w:t xml:space="preserve">Accurate risk </w:t>
            </w:r>
            <w:r w:rsidR="004A372D" w:rsidRPr="004A372D">
              <w:rPr>
                <w:sz w:val="22"/>
                <w:szCs w:val="22"/>
              </w:rPr>
              <w:t>prioritization</w:t>
            </w:r>
            <w:r w:rsidRPr="004A372D">
              <w:rPr>
                <w:sz w:val="22"/>
                <w:szCs w:val="22"/>
              </w:rPr>
              <w:t xml:space="preserve"> and mitigation planning</w:t>
            </w:r>
          </w:p>
        </w:tc>
      </w:tr>
      <w:tr w:rsidR="003377B8" w:rsidRPr="004A372D" w14:paraId="78530DD8" w14:textId="77777777" w:rsidTr="004A372D">
        <w:trPr>
          <w:jc w:val="center"/>
        </w:trPr>
        <w:tc>
          <w:tcPr>
            <w:tcW w:w="0" w:type="auto"/>
            <w:hideMark/>
          </w:tcPr>
          <w:p w14:paraId="26792659" w14:textId="77777777" w:rsidR="003377B8" w:rsidRPr="004A372D" w:rsidRDefault="003377B8" w:rsidP="004A372D">
            <w:pPr>
              <w:jc w:val="center"/>
              <w:rPr>
                <w:sz w:val="22"/>
                <w:szCs w:val="22"/>
              </w:rPr>
            </w:pPr>
            <w:r w:rsidRPr="004A372D">
              <w:rPr>
                <w:sz w:val="22"/>
                <w:szCs w:val="22"/>
              </w:rPr>
              <w:t>Control Selection &amp; Deployment</w:t>
            </w:r>
          </w:p>
        </w:tc>
        <w:tc>
          <w:tcPr>
            <w:tcW w:w="0" w:type="auto"/>
            <w:hideMark/>
          </w:tcPr>
          <w:p w14:paraId="10C0EAB1" w14:textId="77777777" w:rsidR="003377B8" w:rsidRPr="004A372D" w:rsidRDefault="003377B8" w:rsidP="004A372D">
            <w:pPr>
              <w:jc w:val="center"/>
              <w:rPr>
                <w:sz w:val="22"/>
                <w:szCs w:val="22"/>
              </w:rPr>
            </w:pPr>
            <w:r w:rsidRPr="004A372D">
              <w:rPr>
                <w:sz w:val="22"/>
                <w:szCs w:val="22"/>
              </w:rPr>
              <w:t>Implement ISO 27002 controls (e.g., encryption, access control)</w:t>
            </w:r>
          </w:p>
        </w:tc>
        <w:tc>
          <w:tcPr>
            <w:tcW w:w="0" w:type="auto"/>
            <w:hideMark/>
          </w:tcPr>
          <w:p w14:paraId="53F85148" w14:textId="77777777" w:rsidR="003377B8" w:rsidRPr="004A372D" w:rsidRDefault="003377B8" w:rsidP="004A372D">
            <w:pPr>
              <w:jc w:val="center"/>
              <w:rPr>
                <w:sz w:val="22"/>
                <w:szCs w:val="22"/>
              </w:rPr>
            </w:pPr>
            <w:r w:rsidRPr="004A372D">
              <w:rPr>
                <w:sz w:val="22"/>
                <w:szCs w:val="22"/>
              </w:rPr>
              <w:t>Enhanced technical and procedural security measures</w:t>
            </w:r>
          </w:p>
        </w:tc>
      </w:tr>
      <w:tr w:rsidR="003377B8" w:rsidRPr="004A372D" w14:paraId="38F87262" w14:textId="77777777" w:rsidTr="004A372D">
        <w:trPr>
          <w:jc w:val="center"/>
        </w:trPr>
        <w:tc>
          <w:tcPr>
            <w:tcW w:w="0" w:type="auto"/>
            <w:hideMark/>
          </w:tcPr>
          <w:p w14:paraId="25471DBE" w14:textId="77777777" w:rsidR="003377B8" w:rsidRPr="004A372D" w:rsidRDefault="003377B8" w:rsidP="004A372D">
            <w:pPr>
              <w:jc w:val="center"/>
              <w:rPr>
                <w:sz w:val="22"/>
                <w:szCs w:val="22"/>
              </w:rPr>
            </w:pPr>
            <w:r w:rsidRPr="004A372D">
              <w:rPr>
                <w:sz w:val="22"/>
                <w:szCs w:val="22"/>
              </w:rPr>
              <w:t>Monitoring &amp; Auditing</w:t>
            </w:r>
          </w:p>
        </w:tc>
        <w:tc>
          <w:tcPr>
            <w:tcW w:w="0" w:type="auto"/>
            <w:hideMark/>
          </w:tcPr>
          <w:p w14:paraId="344CC8AF" w14:textId="77777777" w:rsidR="003377B8" w:rsidRPr="004A372D" w:rsidRDefault="003377B8" w:rsidP="004A372D">
            <w:pPr>
              <w:jc w:val="center"/>
              <w:rPr>
                <w:sz w:val="22"/>
                <w:szCs w:val="22"/>
              </w:rPr>
            </w:pPr>
            <w:r w:rsidRPr="004A372D">
              <w:rPr>
                <w:sz w:val="22"/>
                <w:szCs w:val="22"/>
              </w:rPr>
              <w:t>Continuous evaluation and compliance checks</w:t>
            </w:r>
          </w:p>
        </w:tc>
        <w:tc>
          <w:tcPr>
            <w:tcW w:w="0" w:type="auto"/>
            <w:hideMark/>
          </w:tcPr>
          <w:p w14:paraId="00BBA012" w14:textId="77777777" w:rsidR="003377B8" w:rsidRPr="004A372D" w:rsidRDefault="003377B8" w:rsidP="004A372D">
            <w:pPr>
              <w:jc w:val="center"/>
              <w:rPr>
                <w:sz w:val="22"/>
                <w:szCs w:val="22"/>
              </w:rPr>
            </w:pPr>
            <w:r w:rsidRPr="004A372D">
              <w:rPr>
                <w:sz w:val="22"/>
                <w:szCs w:val="22"/>
              </w:rPr>
              <w:t>Maintained regulatory compliance and improved risk posture</w:t>
            </w:r>
          </w:p>
        </w:tc>
      </w:tr>
    </w:tbl>
    <w:p w14:paraId="62CFA416" w14:textId="5FA1DD93" w:rsidR="002744F1" w:rsidRDefault="004E5898" w:rsidP="002744F1">
      <w:r w:rsidRPr="004E5898">
        <w:t>The implementation of ISO 27001 allows Nature Green to focus on its most critical risks such as the cloud data leakage and the insider misuse of personal devices. To elaborate, the unauthorized access to customer records that are cloud-based is regarded as a high-likelihood and high-impact risk that subsequently necessitates the application of encryption, multi-factor authentication, and improved monitoring. Regular auditing and flexible policy amendment guarantee that the operational controls are upgraded in line with the upcoming threats and the compliance is kept up with GDPR, ISO standards, and local regulations (Verdugo et al., 2023)</w:t>
      </w:r>
      <w:r w:rsidR="002744F1" w:rsidRPr="002744F1">
        <w:t>.</w:t>
      </w:r>
    </w:p>
    <w:p w14:paraId="62A4B0C4" w14:textId="04FDD041" w:rsidR="003377B8" w:rsidRPr="003377B8" w:rsidRDefault="003377B8" w:rsidP="004E5898">
      <w:pPr>
        <w:pStyle w:val="Heading2"/>
        <w:numPr>
          <w:ilvl w:val="1"/>
          <w:numId w:val="9"/>
        </w:numPr>
      </w:pPr>
      <w:r w:rsidRPr="003377B8">
        <w:t xml:space="preserve"> </w:t>
      </w:r>
      <w:bookmarkStart w:id="11" w:name="_Toc217664738"/>
      <w:r w:rsidRPr="003377B8">
        <w:t>COBIT 2019 for Strategic Governance</w:t>
      </w:r>
      <w:bookmarkEnd w:id="11"/>
    </w:p>
    <w:p w14:paraId="68025F22" w14:textId="77777777" w:rsidR="004E5898" w:rsidRDefault="004E5898" w:rsidP="003377B8">
      <w:r w:rsidRPr="004E5898">
        <w:t xml:space="preserve">COBIT 2019, unlike ITIL and ISO 27000, which only deal with operational and compliance aspects, offers a strategic governance layer. COBIT sets governance and KPIs, as well as accountability structures, thereby allowing the management to control IT risks and making it easier </w:t>
      </w:r>
      <w:r w:rsidRPr="004E5898">
        <w:lastRenderedPageBreak/>
        <w:t>for IT to be aligned with the organizational goals (Metin, Sevim &amp; Wynn, 2025). Nature Green's governance is illustrated in Table 3.3, which shows the support of COBIT domains.</w:t>
      </w:r>
    </w:p>
    <w:p w14:paraId="77F36D9F" w14:textId="7ABAB6C3" w:rsidR="003377B8" w:rsidRPr="003377B8" w:rsidRDefault="003377B8" w:rsidP="004E5898">
      <w:pPr>
        <w:jc w:val="center"/>
      </w:pPr>
      <w:r w:rsidRPr="003377B8">
        <w:rPr>
          <w:b/>
          <w:bCs/>
        </w:rPr>
        <w:t>Table 3.3: COBIT Governance Alignment for Nature Green</w:t>
      </w:r>
    </w:p>
    <w:tbl>
      <w:tblPr>
        <w:tblStyle w:val="TableGridLight"/>
        <w:tblW w:w="0" w:type="auto"/>
        <w:tblLook w:val="04A0" w:firstRow="1" w:lastRow="0" w:firstColumn="1" w:lastColumn="0" w:noHBand="0" w:noVBand="1"/>
      </w:tblPr>
      <w:tblGrid>
        <w:gridCol w:w="1553"/>
        <w:gridCol w:w="3574"/>
        <w:gridCol w:w="4223"/>
      </w:tblGrid>
      <w:tr w:rsidR="003377B8" w:rsidRPr="004E5898" w14:paraId="6F66B7D3" w14:textId="77777777" w:rsidTr="004E5898">
        <w:tc>
          <w:tcPr>
            <w:tcW w:w="0" w:type="auto"/>
            <w:hideMark/>
          </w:tcPr>
          <w:p w14:paraId="50C16A91" w14:textId="77777777" w:rsidR="003377B8" w:rsidRPr="004E5898" w:rsidRDefault="003377B8" w:rsidP="004E5898">
            <w:pPr>
              <w:jc w:val="center"/>
              <w:rPr>
                <w:b/>
                <w:bCs/>
                <w:sz w:val="22"/>
                <w:szCs w:val="22"/>
              </w:rPr>
            </w:pPr>
            <w:r w:rsidRPr="004E5898">
              <w:rPr>
                <w:b/>
                <w:bCs/>
                <w:sz w:val="22"/>
                <w:szCs w:val="22"/>
              </w:rPr>
              <w:t>COBIT Domain</w:t>
            </w:r>
          </w:p>
        </w:tc>
        <w:tc>
          <w:tcPr>
            <w:tcW w:w="0" w:type="auto"/>
            <w:hideMark/>
          </w:tcPr>
          <w:p w14:paraId="2722159E" w14:textId="77777777" w:rsidR="003377B8" w:rsidRPr="004E5898" w:rsidRDefault="003377B8" w:rsidP="004E5898">
            <w:pPr>
              <w:jc w:val="center"/>
              <w:rPr>
                <w:b/>
                <w:bCs/>
                <w:sz w:val="22"/>
                <w:szCs w:val="22"/>
              </w:rPr>
            </w:pPr>
            <w:r w:rsidRPr="004E5898">
              <w:rPr>
                <w:b/>
                <w:bCs/>
                <w:sz w:val="22"/>
                <w:szCs w:val="22"/>
              </w:rPr>
              <w:t>Application</w:t>
            </w:r>
          </w:p>
        </w:tc>
        <w:tc>
          <w:tcPr>
            <w:tcW w:w="0" w:type="auto"/>
            <w:hideMark/>
          </w:tcPr>
          <w:p w14:paraId="61A4192D" w14:textId="77777777" w:rsidR="003377B8" w:rsidRPr="004E5898" w:rsidRDefault="003377B8" w:rsidP="004E5898">
            <w:pPr>
              <w:jc w:val="center"/>
              <w:rPr>
                <w:b/>
                <w:bCs/>
                <w:sz w:val="22"/>
                <w:szCs w:val="22"/>
              </w:rPr>
            </w:pPr>
            <w:r w:rsidRPr="004E5898">
              <w:rPr>
                <w:b/>
                <w:bCs/>
                <w:sz w:val="22"/>
                <w:szCs w:val="22"/>
              </w:rPr>
              <w:t>Expected Outcome</w:t>
            </w:r>
          </w:p>
        </w:tc>
      </w:tr>
      <w:tr w:rsidR="003377B8" w:rsidRPr="004E5898" w14:paraId="4E0D796F" w14:textId="77777777" w:rsidTr="004E5898">
        <w:tc>
          <w:tcPr>
            <w:tcW w:w="0" w:type="auto"/>
            <w:hideMark/>
          </w:tcPr>
          <w:p w14:paraId="52A709BF" w14:textId="77777777" w:rsidR="003377B8" w:rsidRPr="004E5898" w:rsidRDefault="003377B8" w:rsidP="004E5898">
            <w:pPr>
              <w:jc w:val="center"/>
              <w:rPr>
                <w:sz w:val="22"/>
                <w:szCs w:val="22"/>
              </w:rPr>
            </w:pPr>
            <w:r w:rsidRPr="004E5898">
              <w:rPr>
                <w:sz w:val="22"/>
                <w:szCs w:val="22"/>
              </w:rPr>
              <w:t>EDM</w:t>
            </w:r>
          </w:p>
        </w:tc>
        <w:tc>
          <w:tcPr>
            <w:tcW w:w="0" w:type="auto"/>
            <w:hideMark/>
          </w:tcPr>
          <w:p w14:paraId="6D2DB408" w14:textId="77777777" w:rsidR="003377B8" w:rsidRPr="004E5898" w:rsidRDefault="003377B8" w:rsidP="004E5898">
            <w:pPr>
              <w:jc w:val="center"/>
              <w:rPr>
                <w:sz w:val="22"/>
                <w:szCs w:val="22"/>
              </w:rPr>
            </w:pPr>
            <w:r w:rsidRPr="004E5898">
              <w:rPr>
                <w:sz w:val="22"/>
                <w:szCs w:val="22"/>
              </w:rPr>
              <w:t>Executive oversight of IT risks</w:t>
            </w:r>
          </w:p>
        </w:tc>
        <w:tc>
          <w:tcPr>
            <w:tcW w:w="0" w:type="auto"/>
            <w:hideMark/>
          </w:tcPr>
          <w:p w14:paraId="0D609A55" w14:textId="77777777" w:rsidR="003377B8" w:rsidRPr="004E5898" w:rsidRDefault="003377B8" w:rsidP="004E5898">
            <w:pPr>
              <w:jc w:val="center"/>
              <w:rPr>
                <w:sz w:val="22"/>
                <w:szCs w:val="22"/>
              </w:rPr>
            </w:pPr>
            <w:r w:rsidRPr="004E5898">
              <w:rPr>
                <w:sz w:val="22"/>
                <w:szCs w:val="22"/>
              </w:rPr>
              <w:t>Strategic decision-making informed by risk data</w:t>
            </w:r>
          </w:p>
        </w:tc>
      </w:tr>
      <w:tr w:rsidR="003377B8" w:rsidRPr="004E5898" w14:paraId="363A3583" w14:textId="77777777" w:rsidTr="004E5898">
        <w:tc>
          <w:tcPr>
            <w:tcW w:w="0" w:type="auto"/>
            <w:hideMark/>
          </w:tcPr>
          <w:p w14:paraId="75F866E5" w14:textId="77777777" w:rsidR="003377B8" w:rsidRPr="004E5898" w:rsidRDefault="003377B8" w:rsidP="004E5898">
            <w:pPr>
              <w:jc w:val="center"/>
              <w:rPr>
                <w:sz w:val="22"/>
                <w:szCs w:val="22"/>
              </w:rPr>
            </w:pPr>
            <w:r w:rsidRPr="004E5898">
              <w:rPr>
                <w:sz w:val="22"/>
                <w:szCs w:val="22"/>
              </w:rPr>
              <w:t>APO</w:t>
            </w:r>
          </w:p>
        </w:tc>
        <w:tc>
          <w:tcPr>
            <w:tcW w:w="0" w:type="auto"/>
            <w:hideMark/>
          </w:tcPr>
          <w:p w14:paraId="55905BA5" w14:textId="77777777" w:rsidR="003377B8" w:rsidRPr="004E5898" w:rsidRDefault="003377B8" w:rsidP="004E5898">
            <w:pPr>
              <w:jc w:val="center"/>
              <w:rPr>
                <w:sz w:val="22"/>
                <w:szCs w:val="22"/>
              </w:rPr>
            </w:pPr>
            <w:r w:rsidRPr="004E5898">
              <w:rPr>
                <w:sz w:val="22"/>
                <w:szCs w:val="22"/>
              </w:rPr>
              <w:t>Resource &amp; process alignment</w:t>
            </w:r>
          </w:p>
        </w:tc>
        <w:tc>
          <w:tcPr>
            <w:tcW w:w="0" w:type="auto"/>
            <w:hideMark/>
          </w:tcPr>
          <w:p w14:paraId="1E18BDE8" w14:textId="700A1B18" w:rsidR="003377B8" w:rsidRPr="004E5898" w:rsidRDefault="004E5898" w:rsidP="004E5898">
            <w:pPr>
              <w:jc w:val="center"/>
              <w:rPr>
                <w:sz w:val="22"/>
                <w:szCs w:val="22"/>
              </w:rPr>
            </w:pPr>
            <w:r w:rsidRPr="004E5898">
              <w:rPr>
                <w:sz w:val="22"/>
                <w:szCs w:val="22"/>
              </w:rPr>
              <w:t>Optimized</w:t>
            </w:r>
            <w:r w:rsidR="003377B8" w:rsidRPr="004E5898">
              <w:rPr>
                <w:sz w:val="22"/>
                <w:szCs w:val="22"/>
              </w:rPr>
              <w:t xml:space="preserve"> allocation of IT and operational resources</w:t>
            </w:r>
          </w:p>
        </w:tc>
      </w:tr>
      <w:tr w:rsidR="003377B8" w:rsidRPr="004E5898" w14:paraId="1E45E409" w14:textId="77777777" w:rsidTr="004E5898">
        <w:tc>
          <w:tcPr>
            <w:tcW w:w="0" w:type="auto"/>
            <w:hideMark/>
          </w:tcPr>
          <w:p w14:paraId="7223C053" w14:textId="77777777" w:rsidR="003377B8" w:rsidRPr="004E5898" w:rsidRDefault="003377B8" w:rsidP="004E5898">
            <w:pPr>
              <w:jc w:val="center"/>
              <w:rPr>
                <w:sz w:val="22"/>
                <w:szCs w:val="22"/>
              </w:rPr>
            </w:pPr>
            <w:r w:rsidRPr="004E5898">
              <w:rPr>
                <w:sz w:val="22"/>
                <w:szCs w:val="22"/>
              </w:rPr>
              <w:t>DSS</w:t>
            </w:r>
          </w:p>
        </w:tc>
        <w:tc>
          <w:tcPr>
            <w:tcW w:w="0" w:type="auto"/>
            <w:hideMark/>
          </w:tcPr>
          <w:p w14:paraId="609612E8" w14:textId="77777777" w:rsidR="003377B8" w:rsidRPr="004E5898" w:rsidRDefault="003377B8" w:rsidP="004E5898">
            <w:pPr>
              <w:jc w:val="center"/>
              <w:rPr>
                <w:sz w:val="22"/>
                <w:szCs w:val="22"/>
              </w:rPr>
            </w:pPr>
            <w:r w:rsidRPr="004E5898">
              <w:rPr>
                <w:sz w:val="22"/>
                <w:szCs w:val="22"/>
              </w:rPr>
              <w:t>Operational performance &amp; risk management</w:t>
            </w:r>
          </w:p>
        </w:tc>
        <w:tc>
          <w:tcPr>
            <w:tcW w:w="0" w:type="auto"/>
            <w:hideMark/>
          </w:tcPr>
          <w:p w14:paraId="786037B4" w14:textId="77777777" w:rsidR="003377B8" w:rsidRPr="004E5898" w:rsidRDefault="003377B8" w:rsidP="004E5898">
            <w:pPr>
              <w:jc w:val="center"/>
              <w:rPr>
                <w:sz w:val="22"/>
                <w:szCs w:val="22"/>
              </w:rPr>
            </w:pPr>
            <w:r w:rsidRPr="004E5898">
              <w:rPr>
                <w:sz w:val="22"/>
                <w:szCs w:val="22"/>
              </w:rPr>
              <w:t>Improved reliability of services and adherence to SLAs</w:t>
            </w:r>
          </w:p>
        </w:tc>
      </w:tr>
    </w:tbl>
    <w:p w14:paraId="01AE2998" w14:textId="4607403D" w:rsidR="002744F1" w:rsidRDefault="004E5898" w:rsidP="002744F1">
      <w:r w:rsidRPr="004E5898">
        <w:t>COBIT acts as a complement to ISO 27001 in a way that guarantees the operational security controls are shaped up by the highest-level strategic decisions. The use of governance metrics such as incident response times, percentages of ISO compliance, and rates of audit non-conformance among others enable management to consider cybersecurity as a top-level responsibility. The synchronization of the governance activities leads to the evolution of governance maturity, the increase of responsibility, and the usual case where IT operations are in line with business objectives (</w:t>
      </w:r>
      <w:proofErr w:type="spellStart"/>
      <w:r w:rsidRPr="004E5898">
        <w:t>Wattimury</w:t>
      </w:r>
      <w:proofErr w:type="spellEnd"/>
      <w:r w:rsidRPr="004E5898">
        <w:t xml:space="preserve"> &amp; Faza, 2023)</w:t>
      </w:r>
      <w:r w:rsidR="002744F1" w:rsidRPr="002744F1">
        <w:t>.</w:t>
      </w:r>
    </w:p>
    <w:p w14:paraId="519559B0" w14:textId="4371FDA2" w:rsidR="003377B8" w:rsidRPr="003377B8" w:rsidRDefault="003377B8" w:rsidP="004E5898">
      <w:pPr>
        <w:pStyle w:val="Heading2"/>
        <w:numPr>
          <w:ilvl w:val="1"/>
          <w:numId w:val="9"/>
        </w:numPr>
      </w:pPr>
      <w:bookmarkStart w:id="12" w:name="_Toc217664739"/>
      <w:r w:rsidRPr="003377B8">
        <w:t>Data Governance and Privacy-First Practices</w:t>
      </w:r>
      <w:bookmarkEnd w:id="12"/>
    </w:p>
    <w:p w14:paraId="217D007E" w14:textId="77777777" w:rsidR="004E5898" w:rsidRDefault="004E5898" w:rsidP="003377B8">
      <w:r w:rsidRPr="004E5898">
        <w:t>Data governance protects confidential data and secures compliance with regulations. Nature Green adopts a privacy-first approach by applying different layers of data sensitivity, controlling access based on roles, keeping track of compliance, and carrying out audits to check adherence to policies (</w:t>
      </w:r>
      <w:proofErr w:type="spellStart"/>
      <w:r w:rsidRPr="004E5898">
        <w:t>Sargiotis</w:t>
      </w:r>
      <w:proofErr w:type="spellEnd"/>
      <w:r w:rsidRPr="004E5898">
        <w:t xml:space="preserve">, 2024; </w:t>
      </w:r>
      <w:proofErr w:type="spellStart"/>
      <w:r w:rsidRPr="004E5898">
        <w:t>Oluoha</w:t>
      </w:r>
      <w:proofErr w:type="spellEnd"/>
      <w:r w:rsidRPr="004E5898">
        <w:t xml:space="preserve"> et al., 2023). The model’s processes and expected outcomes are presented in Table 3.4.</w:t>
      </w:r>
    </w:p>
    <w:p w14:paraId="04492779" w14:textId="4891EEA5" w:rsidR="003377B8" w:rsidRPr="003377B8" w:rsidRDefault="003377B8" w:rsidP="004E5898">
      <w:pPr>
        <w:jc w:val="center"/>
      </w:pPr>
      <w:r w:rsidRPr="003377B8">
        <w:rPr>
          <w:b/>
          <w:bCs/>
        </w:rPr>
        <w:t>Table 3.4: Privacy-First Data Governance Model</w:t>
      </w:r>
    </w:p>
    <w:tbl>
      <w:tblPr>
        <w:tblStyle w:val="TableGridLight"/>
        <w:tblW w:w="0" w:type="auto"/>
        <w:tblLook w:val="04A0" w:firstRow="1" w:lastRow="0" w:firstColumn="1" w:lastColumn="0" w:noHBand="0" w:noVBand="1"/>
      </w:tblPr>
      <w:tblGrid>
        <w:gridCol w:w="1987"/>
        <w:gridCol w:w="4349"/>
        <w:gridCol w:w="3014"/>
      </w:tblGrid>
      <w:tr w:rsidR="003377B8" w:rsidRPr="004E5898" w14:paraId="69E63DE6" w14:textId="77777777" w:rsidTr="004E5898">
        <w:tc>
          <w:tcPr>
            <w:tcW w:w="0" w:type="auto"/>
            <w:hideMark/>
          </w:tcPr>
          <w:p w14:paraId="057C095A" w14:textId="77777777" w:rsidR="003377B8" w:rsidRPr="004E5898" w:rsidRDefault="003377B8" w:rsidP="004E5898">
            <w:pPr>
              <w:jc w:val="center"/>
              <w:rPr>
                <w:b/>
                <w:bCs/>
                <w:sz w:val="22"/>
                <w:szCs w:val="22"/>
              </w:rPr>
            </w:pPr>
            <w:r w:rsidRPr="004E5898">
              <w:rPr>
                <w:b/>
                <w:bCs/>
                <w:sz w:val="22"/>
                <w:szCs w:val="22"/>
              </w:rPr>
              <w:t>Process</w:t>
            </w:r>
          </w:p>
        </w:tc>
        <w:tc>
          <w:tcPr>
            <w:tcW w:w="0" w:type="auto"/>
            <w:hideMark/>
          </w:tcPr>
          <w:p w14:paraId="027F849C" w14:textId="77777777" w:rsidR="003377B8" w:rsidRPr="004E5898" w:rsidRDefault="003377B8" w:rsidP="004E5898">
            <w:pPr>
              <w:jc w:val="center"/>
              <w:rPr>
                <w:b/>
                <w:bCs/>
                <w:sz w:val="22"/>
                <w:szCs w:val="22"/>
              </w:rPr>
            </w:pPr>
            <w:r w:rsidRPr="004E5898">
              <w:rPr>
                <w:b/>
                <w:bCs/>
                <w:sz w:val="22"/>
                <w:szCs w:val="22"/>
              </w:rPr>
              <w:t>Description</w:t>
            </w:r>
          </w:p>
        </w:tc>
        <w:tc>
          <w:tcPr>
            <w:tcW w:w="0" w:type="auto"/>
            <w:hideMark/>
          </w:tcPr>
          <w:p w14:paraId="710F1003" w14:textId="77777777" w:rsidR="003377B8" w:rsidRPr="004E5898" w:rsidRDefault="003377B8" w:rsidP="004E5898">
            <w:pPr>
              <w:jc w:val="center"/>
              <w:rPr>
                <w:b/>
                <w:bCs/>
                <w:sz w:val="22"/>
                <w:szCs w:val="22"/>
              </w:rPr>
            </w:pPr>
            <w:r w:rsidRPr="004E5898">
              <w:rPr>
                <w:b/>
                <w:bCs/>
                <w:sz w:val="22"/>
                <w:szCs w:val="22"/>
              </w:rPr>
              <w:t>Expected Outcome</w:t>
            </w:r>
          </w:p>
        </w:tc>
      </w:tr>
      <w:tr w:rsidR="003377B8" w:rsidRPr="004E5898" w14:paraId="688C079C" w14:textId="77777777" w:rsidTr="004E5898">
        <w:tc>
          <w:tcPr>
            <w:tcW w:w="0" w:type="auto"/>
            <w:hideMark/>
          </w:tcPr>
          <w:p w14:paraId="40E1863C" w14:textId="77777777" w:rsidR="003377B8" w:rsidRPr="004E5898" w:rsidRDefault="003377B8" w:rsidP="004E5898">
            <w:pPr>
              <w:jc w:val="center"/>
              <w:rPr>
                <w:sz w:val="22"/>
                <w:szCs w:val="22"/>
              </w:rPr>
            </w:pPr>
            <w:r w:rsidRPr="004E5898">
              <w:rPr>
                <w:sz w:val="22"/>
                <w:szCs w:val="22"/>
              </w:rPr>
              <w:t>Data Classification</w:t>
            </w:r>
          </w:p>
        </w:tc>
        <w:tc>
          <w:tcPr>
            <w:tcW w:w="0" w:type="auto"/>
            <w:hideMark/>
          </w:tcPr>
          <w:p w14:paraId="26E771EE" w14:textId="4A32D998" w:rsidR="003377B8" w:rsidRPr="004E5898" w:rsidRDefault="004E5898" w:rsidP="004E5898">
            <w:pPr>
              <w:jc w:val="center"/>
              <w:rPr>
                <w:sz w:val="22"/>
                <w:szCs w:val="22"/>
              </w:rPr>
            </w:pPr>
            <w:r w:rsidRPr="004E5898">
              <w:rPr>
                <w:sz w:val="22"/>
                <w:szCs w:val="22"/>
              </w:rPr>
              <w:t>Categorize</w:t>
            </w:r>
            <w:r w:rsidR="003377B8" w:rsidRPr="004E5898">
              <w:rPr>
                <w:sz w:val="22"/>
                <w:szCs w:val="22"/>
              </w:rPr>
              <w:t xml:space="preserve"> all data based on sensitivity</w:t>
            </w:r>
          </w:p>
        </w:tc>
        <w:tc>
          <w:tcPr>
            <w:tcW w:w="0" w:type="auto"/>
            <w:hideMark/>
          </w:tcPr>
          <w:p w14:paraId="180A91E7" w14:textId="13340870" w:rsidR="003377B8" w:rsidRPr="004E5898" w:rsidRDefault="003377B8" w:rsidP="004E5898">
            <w:pPr>
              <w:jc w:val="center"/>
              <w:rPr>
                <w:sz w:val="22"/>
                <w:szCs w:val="22"/>
              </w:rPr>
            </w:pPr>
            <w:r w:rsidRPr="004E5898">
              <w:rPr>
                <w:sz w:val="22"/>
                <w:szCs w:val="22"/>
              </w:rPr>
              <w:t xml:space="preserve">Improved </w:t>
            </w:r>
            <w:r w:rsidR="004E5898" w:rsidRPr="004E5898">
              <w:rPr>
                <w:sz w:val="22"/>
                <w:szCs w:val="22"/>
              </w:rPr>
              <w:t>prioritization</w:t>
            </w:r>
            <w:r w:rsidRPr="004E5898">
              <w:rPr>
                <w:sz w:val="22"/>
                <w:szCs w:val="22"/>
              </w:rPr>
              <w:t xml:space="preserve"> of security controls</w:t>
            </w:r>
          </w:p>
        </w:tc>
      </w:tr>
      <w:tr w:rsidR="003377B8" w:rsidRPr="004E5898" w14:paraId="74611C8A" w14:textId="77777777" w:rsidTr="004E5898">
        <w:tc>
          <w:tcPr>
            <w:tcW w:w="0" w:type="auto"/>
            <w:hideMark/>
          </w:tcPr>
          <w:p w14:paraId="5F0CCA74" w14:textId="77777777" w:rsidR="003377B8" w:rsidRPr="004E5898" w:rsidRDefault="003377B8" w:rsidP="004E5898">
            <w:pPr>
              <w:jc w:val="center"/>
              <w:rPr>
                <w:sz w:val="22"/>
                <w:szCs w:val="22"/>
              </w:rPr>
            </w:pPr>
            <w:r w:rsidRPr="004E5898">
              <w:rPr>
                <w:sz w:val="22"/>
                <w:szCs w:val="22"/>
              </w:rPr>
              <w:lastRenderedPageBreak/>
              <w:t>Access Control</w:t>
            </w:r>
          </w:p>
        </w:tc>
        <w:tc>
          <w:tcPr>
            <w:tcW w:w="0" w:type="auto"/>
            <w:hideMark/>
          </w:tcPr>
          <w:p w14:paraId="08BFBBBB" w14:textId="77777777" w:rsidR="003377B8" w:rsidRPr="004E5898" w:rsidRDefault="003377B8" w:rsidP="004E5898">
            <w:pPr>
              <w:jc w:val="center"/>
              <w:rPr>
                <w:sz w:val="22"/>
                <w:szCs w:val="22"/>
              </w:rPr>
            </w:pPr>
            <w:r w:rsidRPr="004E5898">
              <w:rPr>
                <w:sz w:val="22"/>
                <w:szCs w:val="22"/>
              </w:rPr>
              <w:t>Implement role-based access aligned with business responsibilities</w:t>
            </w:r>
          </w:p>
        </w:tc>
        <w:tc>
          <w:tcPr>
            <w:tcW w:w="0" w:type="auto"/>
            <w:hideMark/>
          </w:tcPr>
          <w:p w14:paraId="3E91A483" w14:textId="7C9DEA4C" w:rsidR="003377B8" w:rsidRPr="004E5898" w:rsidRDefault="003377B8" w:rsidP="004E5898">
            <w:pPr>
              <w:jc w:val="center"/>
              <w:rPr>
                <w:sz w:val="22"/>
                <w:szCs w:val="22"/>
              </w:rPr>
            </w:pPr>
            <w:r w:rsidRPr="004E5898">
              <w:rPr>
                <w:sz w:val="22"/>
                <w:szCs w:val="22"/>
              </w:rPr>
              <w:t xml:space="preserve">Reduced risk of </w:t>
            </w:r>
            <w:r w:rsidR="004E5898" w:rsidRPr="004E5898">
              <w:rPr>
                <w:sz w:val="22"/>
                <w:szCs w:val="22"/>
              </w:rPr>
              <w:t>unauthorized</w:t>
            </w:r>
            <w:r w:rsidRPr="004E5898">
              <w:rPr>
                <w:sz w:val="22"/>
                <w:szCs w:val="22"/>
              </w:rPr>
              <w:t xml:space="preserve"> access</w:t>
            </w:r>
          </w:p>
        </w:tc>
      </w:tr>
      <w:tr w:rsidR="003377B8" w:rsidRPr="004E5898" w14:paraId="1BC0CCF8" w14:textId="77777777" w:rsidTr="004E5898">
        <w:tc>
          <w:tcPr>
            <w:tcW w:w="0" w:type="auto"/>
            <w:hideMark/>
          </w:tcPr>
          <w:p w14:paraId="4C90CA00" w14:textId="77777777" w:rsidR="003377B8" w:rsidRPr="004E5898" w:rsidRDefault="003377B8" w:rsidP="004E5898">
            <w:pPr>
              <w:jc w:val="center"/>
              <w:rPr>
                <w:sz w:val="22"/>
                <w:szCs w:val="22"/>
              </w:rPr>
            </w:pPr>
            <w:r w:rsidRPr="004E5898">
              <w:rPr>
                <w:sz w:val="22"/>
                <w:szCs w:val="22"/>
              </w:rPr>
              <w:t>Compliance Monitoring</w:t>
            </w:r>
          </w:p>
        </w:tc>
        <w:tc>
          <w:tcPr>
            <w:tcW w:w="0" w:type="auto"/>
            <w:hideMark/>
          </w:tcPr>
          <w:p w14:paraId="69A2432E" w14:textId="77777777" w:rsidR="003377B8" w:rsidRPr="004E5898" w:rsidRDefault="003377B8" w:rsidP="004E5898">
            <w:pPr>
              <w:jc w:val="center"/>
              <w:rPr>
                <w:sz w:val="22"/>
                <w:szCs w:val="22"/>
              </w:rPr>
            </w:pPr>
            <w:r w:rsidRPr="004E5898">
              <w:rPr>
                <w:sz w:val="22"/>
                <w:szCs w:val="22"/>
              </w:rPr>
              <w:t>Automated tracking against GDPR &amp; ISO 27001</w:t>
            </w:r>
          </w:p>
        </w:tc>
        <w:tc>
          <w:tcPr>
            <w:tcW w:w="0" w:type="auto"/>
            <w:hideMark/>
          </w:tcPr>
          <w:p w14:paraId="10F82C1B" w14:textId="77777777" w:rsidR="003377B8" w:rsidRPr="004E5898" w:rsidRDefault="003377B8" w:rsidP="004E5898">
            <w:pPr>
              <w:jc w:val="center"/>
              <w:rPr>
                <w:sz w:val="22"/>
                <w:szCs w:val="22"/>
              </w:rPr>
            </w:pPr>
            <w:r w:rsidRPr="004E5898">
              <w:rPr>
                <w:sz w:val="22"/>
                <w:szCs w:val="22"/>
              </w:rPr>
              <w:t>Continuous compliance and audit readiness</w:t>
            </w:r>
          </w:p>
        </w:tc>
      </w:tr>
    </w:tbl>
    <w:p w14:paraId="4E8412AB" w14:textId="21A45A4A" w:rsidR="003377B8" w:rsidRPr="003377B8" w:rsidRDefault="004E5898" w:rsidP="003377B8">
      <w:r w:rsidRPr="004E5898">
        <w:t>The integration of data governance with ITIL and ISO processes, from the very beginning, embeds privacy controls in the business operations, thus guaranteeing compliance with the laws while permitting the data and business intelligence initiatives to be supported. Metrics such as the number of access violations and the count of audit exceptions carry on giving continuous insights into the performance of privacy, thus reducing the risks related to reputation and regulation (Sharma &amp; Sharma, 2025; Naik, 2023)</w:t>
      </w:r>
      <w:r w:rsidR="003377B8" w:rsidRPr="003377B8">
        <w:t>.</w:t>
      </w:r>
    </w:p>
    <w:p w14:paraId="46C6DBE1" w14:textId="49FACF9A" w:rsidR="003377B8" w:rsidRPr="003377B8" w:rsidRDefault="003377B8" w:rsidP="004E5898">
      <w:pPr>
        <w:pStyle w:val="Heading2"/>
        <w:numPr>
          <w:ilvl w:val="1"/>
          <w:numId w:val="9"/>
        </w:numPr>
      </w:pPr>
      <w:bookmarkStart w:id="13" w:name="_Toc217664740"/>
      <w:r w:rsidRPr="003377B8">
        <w:t>Integrated Hybrid Security Framework</w:t>
      </w:r>
      <w:bookmarkEnd w:id="13"/>
    </w:p>
    <w:p w14:paraId="2B36A182" w14:textId="3C807A15" w:rsidR="003377B8" w:rsidRPr="003377B8" w:rsidRDefault="004E5898" w:rsidP="003377B8">
      <w:r w:rsidRPr="004E5898">
        <w:t>The hybrid framework merges ITIL, ISO/IEC 27000, COBIT 2019, and data governance to tackle operational efficiency, risk reduction, strategic visibility, and compliance with rules and regulations at the same time. The components and expected advantages are displayed in Table 3.5</w:t>
      </w:r>
      <w:r w:rsidR="003377B8" w:rsidRPr="003377B8">
        <w:t>.</w:t>
      </w:r>
    </w:p>
    <w:p w14:paraId="69DEC6D3" w14:textId="77777777" w:rsidR="003377B8" w:rsidRPr="003377B8" w:rsidRDefault="003377B8" w:rsidP="004E5898">
      <w:pPr>
        <w:jc w:val="center"/>
      </w:pPr>
      <w:r w:rsidRPr="003377B8">
        <w:rPr>
          <w:b/>
          <w:bCs/>
        </w:rPr>
        <w:t>Table 3.5: Integrated Security Framework</w:t>
      </w:r>
    </w:p>
    <w:tbl>
      <w:tblPr>
        <w:tblStyle w:val="TableGridLight"/>
        <w:tblW w:w="0" w:type="auto"/>
        <w:jc w:val="center"/>
        <w:tblLook w:val="04A0" w:firstRow="1" w:lastRow="0" w:firstColumn="1" w:lastColumn="0" w:noHBand="0" w:noVBand="1"/>
      </w:tblPr>
      <w:tblGrid>
        <w:gridCol w:w="1653"/>
        <w:gridCol w:w="2705"/>
        <w:gridCol w:w="4992"/>
      </w:tblGrid>
      <w:tr w:rsidR="003377B8" w:rsidRPr="004E5898" w14:paraId="3624743A" w14:textId="77777777" w:rsidTr="004E5898">
        <w:trPr>
          <w:jc w:val="center"/>
        </w:trPr>
        <w:tc>
          <w:tcPr>
            <w:tcW w:w="0" w:type="auto"/>
            <w:hideMark/>
          </w:tcPr>
          <w:p w14:paraId="227E7B40" w14:textId="77777777" w:rsidR="003377B8" w:rsidRPr="004E5898" w:rsidRDefault="003377B8" w:rsidP="004E5898">
            <w:pPr>
              <w:jc w:val="center"/>
              <w:rPr>
                <w:b/>
                <w:bCs/>
                <w:sz w:val="22"/>
                <w:szCs w:val="22"/>
              </w:rPr>
            </w:pPr>
            <w:r w:rsidRPr="004E5898">
              <w:rPr>
                <w:b/>
                <w:bCs/>
                <w:sz w:val="22"/>
                <w:szCs w:val="22"/>
              </w:rPr>
              <w:t>Component</w:t>
            </w:r>
          </w:p>
        </w:tc>
        <w:tc>
          <w:tcPr>
            <w:tcW w:w="0" w:type="auto"/>
            <w:hideMark/>
          </w:tcPr>
          <w:p w14:paraId="694AFD9F" w14:textId="77777777" w:rsidR="003377B8" w:rsidRPr="004E5898" w:rsidRDefault="003377B8" w:rsidP="004E5898">
            <w:pPr>
              <w:jc w:val="center"/>
              <w:rPr>
                <w:b/>
                <w:bCs/>
                <w:sz w:val="22"/>
                <w:szCs w:val="22"/>
              </w:rPr>
            </w:pPr>
            <w:r w:rsidRPr="004E5898">
              <w:rPr>
                <w:b/>
                <w:bCs/>
                <w:sz w:val="22"/>
                <w:szCs w:val="22"/>
              </w:rPr>
              <w:t>Role in Security Governance</w:t>
            </w:r>
          </w:p>
        </w:tc>
        <w:tc>
          <w:tcPr>
            <w:tcW w:w="0" w:type="auto"/>
            <w:hideMark/>
          </w:tcPr>
          <w:p w14:paraId="7CF09F84" w14:textId="77777777" w:rsidR="003377B8" w:rsidRPr="004E5898" w:rsidRDefault="003377B8" w:rsidP="004E5898">
            <w:pPr>
              <w:jc w:val="center"/>
              <w:rPr>
                <w:b/>
                <w:bCs/>
                <w:sz w:val="22"/>
                <w:szCs w:val="22"/>
              </w:rPr>
            </w:pPr>
            <w:r w:rsidRPr="004E5898">
              <w:rPr>
                <w:b/>
                <w:bCs/>
                <w:sz w:val="22"/>
                <w:szCs w:val="22"/>
              </w:rPr>
              <w:t>Expected Benefit</w:t>
            </w:r>
          </w:p>
        </w:tc>
      </w:tr>
      <w:tr w:rsidR="003377B8" w:rsidRPr="004E5898" w14:paraId="5831E3A5" w14:textId="77777777" w:rsidTr="004E5898">
        <w:trPr>
          <w:jc w:val="center"/>
        </w:trPr>
        <w:tc>
          <w:tcPr>
            <w:tcW w:w="0" w:type="auto"/>
            <w:hideMark/>
          </w:tcPr>
          <w:p w14:paraId="2F8BB6DA" w14:textId="77777777" w:rsidR="003377B8" w:rsidRPr="004E5898" w:rsidRDefault="003377B8" w:rsidP="004E5898">
            <w:pPr>
              <w:jc w:val="center"/>
              <w:rPr>
                <w:sz w:val="22"/>
                <w:szCs w:val="22"/>
              </w:rPr>
            </w:pPr>
            <w:r w:rsidRPr="004E5898">
              <w:rPr>
                <w:sz w:val="22"/>
                <w:szCs w:val="22"/>
              </w:rPr>
              <w:t>ITIL</w:t>
            </w:r>
          </w:p>
        </w:tc>
        <w:tc>
          <w:tcPr>
            <w:tcW w:w="0" w:type="auto"/>
            <w:hideMark/>
          </w:tcPr>
          <w:p w14:paraId="1DF2A49C" w14:textId="77777777" w:rsidR="003377B8" w:rsidRPr="004E5898" w:rsidRDefault="003377B8" w:rsidP="004E5898">
            <w:pPr>
              <w:jc w:val="center"/>
              <w:rPr>
                <w:sz w:val="22"/>
                <w:szCs w:val="22"/>
              </w:rPr>
            </w:pPr>
            <w:r w:rsidRPr="004E5898">
              <w:rPr>
                <w:sz w:val="22"/>
                <w:szCs w:val="22"/>
              </w:rPr>
              <w:t>Operational management</w:t>
            </w:r>
          </w:p>
        </w:tc>
        <w:tc>
          <w:tcPr>
            <w:tcW w:w="0" w:type="auto"/>
            <w:hideMark/>
          </w:tcPr>
          <w:p w14:paraId="00A1BF3B" w14:textId="77777777" w:rsidR="003377B8" w:rsidRPr="004E5898" w:rsidRDefault="003377B8" w:rsidP="004E5898">
            <w:pPr>
              <w:jc w:val="center"/>
              <w:rPr>
                <w:sz w:val="22"/>
                <w:szCs w:val="22"/>
              </w:rPr>
            </w:pPr>
            <w:r w:rsidRPr="004E5898">
              <w:rPr>
                <w:sz w:val="22"/>
                <w:szCs w:val="22"/>
              </w:rPr>
              <w:t>Ensures continuous service availability and operational efficiency</w:t>
            </w:r>
          </w:p>
        </w:tc>
      </w:tr>
      <w:tr w:rsidR="003377B8" w:rsidRPr="004E5898" w14:paraId="1D7250A4" w14:textId="77777777" w:rsidTr="004E5898">
        <w:trPr>
          <w:jc w:val="center"/>
        </w:trPr>
        <w:tc>
          <w:tcPr>
            <w:tcW w:w="0" w:type="auto"/>
            <w:hideMark/>
          </w:tcPr>
          <w:p w14:paraId="0CF7070A" w14:textId="77777777" w:rsidR="003377B8" w:rsidRPr="004E5898" w:rsidRDefault="003377B8" w:rsidP="004E5898">
            <w:pPr>
              <w:jc w:val="center"/>
              <w:rPr>
                <w:sz w:val="22"/>
                <w:szCs w:val="22"/>
              </w:rPr>
            </w:pPr>
            <w:r w:rsidRPr="004E5898">
              <w:rPr>
                <w:sz w:val="22"/>
                <w:szCs w:val="22"/>
              </w:rPr>
              <w:t>ISO/IEC 27001</w:t>
            </w:r>
          </w:p>
        </w:tc>
        <w:tc>
          <w:tcPr>
            <w:tcW w:w="0" w:type="auto"/>
            <w:hideMark/>
          </w:tcPr>
          <w:p w14:paraId="7BD5BE41" w14:textId="77777777" w:rsidR="003377B8" w:rsidRPr="004E5898" w:rsidRDefault="003377B8" w:rsidP="004E5898">
            <w:pPr>
              <w:jc w:val="center"/>
              <w:rPr>
                <w:sz w:val="22"/>
                <w:szCs w:val="22"/>
              </w:rPr>
            </w:pPr>
            <w:r w:rsidRPr="004E5898">
              <w:rPr>
                <w:sz w:val="22"/>
                <w:szCs w:val="22"/>
              </w:rPr>
              <w:t>Risk management &amp; compliance</w:t>
            </w:r>
          </w:p>
        </w:tc>
        <w:tc>
          <w:tcPr>
            <w:tcW w:w="0" w:type="auto"/>
            <w:hideMark/>
          </w:tcPr>
          <w:p w14:paraId="51F0C996" w14:textId="1C31EBAA" w:rsidR="003377B8" w:rsidRPr="004E5898" w:rsidRDefault="003377B8" w:rsidP="004E5898">
            <w:pPr>
              <w:jc w:val="center"/>
              <w:rPr>
                <w:sz w:val="22"/>
                <w:szCs w:val="22"/>
              </w:rPr>
            </w:pPr>
            <w:r w:rsidRPr="004E5898">
              <w:rPr>
                <w:sz w:val="22"/>
                <w:szCs w:val="22"/>
              </w:rPr>
              <w:t xml:space="preserve">Provides structured risk mitigation and </w:t>
            </w:r>
            <w:r w:rsidR="00870118" w:rsidRPr="004E5898">
              <w:rPr>
                <w:sz w:val="22"/>
                <w:szCs w:val="22"/>
              </w:rPr>
              <w:t>formalized</w:t>
            </w:r>
            <w:r w:rsidRPr="004E5898">
              <w:rPr>
                <w:sz w:val="22"/>
                <w:szCs w:val="22"/>
              </w:rPr>
              <w:t xml:space="preserve"> compliance</w:t>
            </w:r>
          </w:p>
        </w:tc>
      </w:tr>
      <w:tr w:rsidR="003377B8" w:rsidRPr="004E5898" w14:paraId="78DED949" w14:textId="77777777" w:rsidTr="004E5898">
        <w:trPr>
          <w:jc w:val="center"/>
        </w:trPr>
        <w:tc>
          <w:tcPr>
            <w:tcW w:w="0" w:type="auto"/>
            <w:hideMark/>
          </w:tcPr>
          <w:p w14:paraId="458C728D" w14:textId="77777777" w:rsidR="003377B8" w:rsidRPr="004E5898" w:rsidRDefault="003377B8" w:rsidP="004E5898">
            <w:pPr>
              <w:jc w:val="center"/>
              <w:rPr>
                <w:sz w:val="22"/>
                <w:szCs w:val="22"/>
              </w:rPr>
            </w:pPr>
            <w:r w:rsidRPr="004E5898">
              <w:rPr>
                <w:sz w:val="22"/>
                <w:szCs w:val="22"/>
              </w:rPr>
              <w:t>COBIT 2019</w:t>
            </w:r>
          </w:p>
        </w:tc>
        <w:tc>
          <w:tcPr>
            <w:tcW w:w="0" w:type="auto"/>
            <w:hideMark/>
          </w:tcPr>
          <w:p w14:paraId="3813764C" w14:textId="77777777" w:rsidR="003377B8" w:rsidRPr="004E5898" w:rsidRDefault="003377B8" w:rsidP="004E5898">
            <w:pPr>
              <w:jc w:val="center"/>
              <w:rPr>
                <w:sz w:val="22"/>
                <w:szCs w:val="22"/>
              </w:rPr>
            </w:pPr>
            <w:r w:rsidRPr="004E5898">
              <w:rPr>
                <w:sz w:val="22"/>
                <w:szCs w:val="22"/>
              </w:rPr>
              <w:t>Strategic oversight</w:t>
            </w:r>
          </w:p>
        </w:tc>
        <w:tc>
          <w:tcPr>
            <w:tcW w:w="0" w:type="auto"/>
            <w:hideMark/>
          </w:tcPr>
          <w:p w14:paraId="5DAE0ABD" w14:textId="75586B35" w:rsidR="003377B8" w:rsidRPr="004E5898" w:rsidRDefault="003377B8" w:rsidP="004E5898">
            <w:pPr>
              <w:jc w:val="center"/>
              <w:rPr>
                <w:sz w:val="22"/>
                <w:szCs w:val="22"/>
              </w:rPr>
            </w:pPr>
            <w:r w:rsidRPr="004E5898">
              <w:rPr>
                <w:sz w:val="22"/>
                <w:szCs w:val="22"/>
              </w:rPr>
              <w:t xml:space="preserve">Aligns IT initiatives with </w:t>
            </w:r>
            <w:r w:rsidR="00870118" w:rsidRPr="004E5898">
              <w:rPr>
                <w:sz w:val="22"/>
                <w:szCs w:val="22"/>
              </w:rPr>
              <w:t>organizational</w:t>
            </w:r>
            <w:r w:rsidRPr="004E5898">
              <w:rPr>
                <w:sz w:val="22"/>
                <w:szCs w:val="22"/>
              </w:rPr>
              <w:t xml:space="preserve"> goals and KPIs</w:t>
            </w:r>
          </w:p>
        </w:tc>
      </w:tr>
      <w:tr w:rsidR="003377B8" w:rsidRPr="004E5898" w14:paraId="1A565E1E" w14:textId="77777777" w:rsidTr="004E5898">
        <w:trPr>
          <w:jc w:val="center"/>
        </w:trPr>
        <w:tc>
          <w:tcPr>
            <w:tcW w:w="0" w:type="auto"/>
            <w:hideMark/>
          </w:tcPr>
          <w:p w14:paraId="1842C38D" w14:textId="77777777" w:rsidR="003377B8" w:rsidRPr="004E5898" w:rsidRDefault="003377B8" w:rsidP="004E5898">
            <w:pPr>
              <w:jc w:val="center"/>
              <w:rPr>
                <w:sz w:val="22"/>
                <w:szCs w:val="22"/>
              </w:rPr>
            </w:pPr>
            <w:r w:rsidRPr="004E5898">
              <w:rPr>
                <w:sz w:val="22"/>
                <w:szCs w:val="22"/>
              </w:rPr>
              <w:t>Data Governance</w:t>
            </w:r>
          </w:p>
        </w:tc>
        <w:tc>
          <w:tcPr>
            <w:tcW w:w="0" w:type="auto"/>
            <w:hideMark/>
          </w:tcPr>
          <w:p w14:paraId="5454BFC7" w14:textId="77777777" w:rsidR="003377B8" w:rsidRPr="004E5898" w:rsidRDefault="003377B8" w:rsidP="004E5898">
            <w:pPr>
              <w:jc w:val="center"/>
              <w:rPr>
                <w:sz w:val="22"/>
                <w:szCs w:val="22"/>
              </w:rPr>
            </w:pPr>
            <w:r w:rsidRPr="004E5898">
              <w:rPr>
                <w:sz w:val="22"/>
                <w:szCs w:val="22"/>
              </w:rPr>
              <w:t>Privacy &amp; regulatory adherence</w:t>
            </w:r>
          </w:p>
        </w:tc>
        <w:tc>
          <w:tcPr>
            <w:tcW w:w="0" w:type="auto"/>
            <w:hideMark/>
          </w:tcPr>
          <w:p w14:paraId="524E210A" w14:textId="77777777" w:rsidR="003377B8" w:rsidRPr="004E5898" w:rsidRDefault="003377B8" w:rsidP="004E5898">
            <w:pPr>
              <w:jc w:val="center"/>
              <w:rPr>
                <w:sz w:val="22"/>
                <w:szCs w:val="22"/>
              </w:rPr>
            </w:pPr>
            <w:r w:rsidRPr="004E5898">
              <w:rPr>
                <w:sz w:val="22"/>
                <w:szCs w:val="22"/>
              </w:rPr>
              <w:t>Protects sensitive data and ensures legal compliance</w:t>
            </w:r>
          </w:p>
        </w:tc>
      </w:tr>
    </w:tbl>
    <w:p w14:paraId="12CAF7BA" w14:textId="4A5975F1" w:rsidR="003377B8" w:rsidRDefault="004E5898" w:rsidP="003377B8">
      <w:r w:rsidRPr="004E5898">
        <w:t xml:space="preserve">The hybrid model provides the capability for a dynamic and ever-changing response to new threats, technology, and regulations. This makes the model robust </w:t>
      </w:r>
      <w:r w:rsidR="00C14683" w:rsidRPr="004E5898">
        <w:t>and</w:t>
      </w:r>
      <w:r w:rsidRPr="004E5898">
        <w:t xml:space="preserve"> guarantees its longevity. Monitoring the whole process continuously along with feedback from the users and regular updates of the system are the ways that service reliability and data security are maintained and at the same time </w:t>
      </w:r>
      <w:r w:rsidRPr="004E5898">
        <w:lastRenderedPageBreak/>
        <w:t>strategic and operational decision-making is optimized (Metin, Sevim &amp; Wynn, 2025</w:t>
      </w:r>
      <w:r w:rsidR="00C14683">
        <w:t>)</w:t>
      </w:r>
      <w:r w:rsidRPr="004E5898">
        <w:t>. Figure 3.1 shows</w:t>
      </w:r>
      <w:r w:rsidR="003377B8" w:rsidRPr="004E5898">
        <w:t xml:space="preserve"> </w:t>
      </w:r>
      <w:r w:rsidR="004B6402" w:rsidRPr="004E5898">
        <w:t>integrate</w:t>
      </w:r>
      <w:r w:rsidR="004B6402" w:rsidRPr="003377B8">
        <w:t>d hybrid security framework</w:t>
      </w:r>
      <w:r w:rsidR="003377B8" w:rsidRPr="003377B8">
        <w:t>, showing interlinkage between ITIL, ISO 27000, COBIT, and Data Governance.</w:t>
      </w:r>
    </w:p>
    <w:p w14:paraId="5E8C46A1" w14:textId="29FADA84" w:rsidR="004B6402" w:rsidRPr="004B6402" w:rsidRDefault="00870118" w:rsidP="00870118">
      <w:pPr>
        <w:jc w:val="center"/>
        <w:rPr>
          <w:b/>
          <w:bCs/>
          <w:sz w:val="22"/>
          <w:szCs w:val="22"/>
        </w:rPr>
      </w:pPr>
      <w:r w:rsidRPr="00870118">
        <w:rPr>
          <w:b/>
          <w:bCs/>
          <w:noProof/>
          <w:sz w:val="22"/>
          <w:szCs w:val="22"/>
        </w:rPr>
        <w:drawing>
          <wp:inline distT="0" distB="0" distL="0" distR="0" wp14:anchorId="526A0386" wp14:editId="683CAD81">
            <wp:extent cx="3024554" cy="3456632"/>
            <wp:effectExtent l="0" t="0" r="4445" b="0"/>
            <wp:docPr id="1710118203" name="Picture 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18203" name="Picture 4" descr="A screenshot of a phon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30299" cy="3463198"/>
                    </a:xfrm>
                    <a:prstGeom prst="rect">
                      <a:avLst/>
                    </a:prstGeom>
                    <a:noFill/>
                    <a:ln>
                      <a:noFill/>
                    </a:ln>
                  </pic:spPr>
                </pic:pic>
              </a:graphicData>
            </a:graphic>
          </wp:inline>
        </w:drawing>
      </w:r>
    </w:p>
    <w:p w14:paraId="280ED0DA" w14:textId="05379B2E" w:rsidR="004B6402" w:rsidRPr="004B6402" w:rsidRDefault="004B6402" w:rsidP="004B6402">
      <w:pPr>
        <w:jc w:val="center"/>
        <w:rPr>
          <w:b/>
          <w:bCs/>
          <w:sz w:val="22"/>
          <w:szCs w:val="22"/>
        </w:rPr>
      </w:pPr>
      <w:r w:rsidRPr="004B6402">
        <w:rPr>
          <w:b/>
          <w:bCs/>
          <w:sz w:val="22"/>
          <w:szCs w:val="22"/>
        </w:rPr>
        <w:t>Figure 3.1: Integrated Hybrid Security Framework</w:t>
      </w:r>
    </w:p>
    <w:p w14:paraId="0F8E68B9" w14:textId="4FA32732" w:rsidR="003377B8" w:rsidRPr="003377B8" w:rsidRDefault="003377B8" w:rsidP="004E5898">
      <w:pPr>
        <w:pStyle w:val="Heading2"/>
        <w:numPr>
          <w:ilvl w:val="1"/>
          <w:numId w:val="9"/>
        </w:numPr>
      </w:pPr>
      <w:bookmarkStart w:id="14" w:name="_Toc217664741"/>
      <w:r w:rsidRPr="003377B8">
        <w:t>Practical Implementation Considerations</w:t>
      </w:r>
      <w:bookmarkEnd w:id="14"/>
    </w:p>
    <w:p w14:paraId="6D0DF15F" w14:textId="2E1478DC" w:rsidR="003377B8" w:rsidRDefault="004E5898" w:rsidP="003377B8">
      <w:r w:rsidRPr="004E5898">
        <w:t>Implementation is a multi-step process which commences with an in-depth examination of risks, assets, and governance maturity (</w:t>
      </w:r>
      <w:proofErr w:type="spellStart"/>
      <w:r w:rsidRPr="004E5898">
        <w:t>Safitri</w:t>
      </w:r>
      <w:proofErr w:type="spellEnd"/>
      <w:r w:rsidRPr="004E5898">
        <w:t xml:space="preserve">, 2021; Folorunso et al., 2024). The installation will include the incorporation of ITIL workflows, ISO controls, COBIT metrics, and data governance policies in a comprehensive manner. Training of staff will help in the development of a security-oriented culture and continuous improvement will involve getting </w:t>
      </w:r>
      <w:r w:rsidR="001D24CA" w:rsidRPr="004E5898">
        <w:t>monitors</w:t>
      </w:r>
      <w:r w:rsidRPr="004E5898">
        <w:t>, audits, and policy updates as part of the operational routines. Table 3.6 shows the phased implementation plan and KPIs</w:t>
      </w:r>
      <w:r w:rsidR="003377B8" w:rsidRPr="003377B8">
        <w:t>.</w:t>
      </w:r>
    </w:p>
    <w:p w14:paraId="36BA4810" w14:textId="77777777" w:rsidR="002744F1" w:rsidRPr="002744F1" w:rsidRDefault="002744F1" w:rsidP="004E5898">
      <w:pPr>
        <w:jc w:val="center"/>
        <w:rPr>
          <w:b/>
          <w:bCs/>
        </w:rPr>
      </w:pPr>
      <w:r w:rsidRPr="002744F1">
        <w:rPr>
          <w:b/>
          <w:bCs/>
        </w:rPr>
        <w:t>Table 3.6: Phased Implementation Timeline and KPIs</w:t>
      </w:r>
    </w:p>
    <w:tbl>
      <w:tblPr>
        <w:tblStyle w:val="TableGridLight"/>
        <w:tblW w:w="0" w:type="auto"/>
        <w:jc w:val="center"/>
        <w:tblLook w:val="04A0" w:firstRow="1" w:lastRow="0" w:firstColumn="1" w:lastColumn="0" w:noHBand="0" w:noVBand="1"/>
      </w:tblPr>
      <w:tblGrid>
        <w:gridCol w:w="1956"/>
        <w:gridCol w:w="3266"/>
        <w:gridCol w:w="1269"/>
        <w:gridCol w:w="2859"/>
      </w:tblGrid>
      <w:tr w:rsidR="002744F1" w:rsidRPr="004E5898" w14:paraId="1BB4C9B1" w14:textId="77777777" w:rsidTr="004E5898">
        <w:trPr>
          <w:jc w:val="center"/>
        </w:trPr>
        <w:tc>
          <w:tcPr>
            <w:tcW w:w="0" w:type="auto"/>
            <w:hideMark/>
          </w:tcPr>
          <w:p w14:paraId="236B6482" w14:textId="77777777" w:rsidR="002744F1" w:rsidRPr="004E5898" w:rsidRDefault="002744F1" w:rsidP="004E5898">
            <w:pPr>
              <w:jc w:val="center"/>
              <w:rPr>
                <w:b/>
                <w:bCs/>
                <w:sz w:val="22"/>
                <w:szCs w:val="22"/>
              </w:rPr>
            </w:pPr>
            <w:r w:rsidRPr="004E5898">
              <w:rPr>
                <w:b/>
                <w:bCs/>
                <w:sz w:val="22"/>
                <w:szCs w:val="22"/>
              </w:rPr>
              <w:t>Phase</w:t>
            </w:r>
          </w:p>
        </w:tc>
        <w:tc>
          <w:tcPr>
            <w:tcW w:w="0" w:type="auto"/>
            <w:hideMark/>
          </w:tcPr>
          <w:p w14:paraId="69FB88C5" w14:textId="77777777" w:rsidR="002744F1" w:rsidRPr="004E5898" w:rsidRDefault="002744F1" w:rsidP="004E5898">
            <w:pPr>
              <w:jc w:val="center"/>
              <w:rPr>
                <w:b/>
                <w:bCs/>
                <w:sz w:val="22"/>
                <w:szCs w:val="22"/>
              </w:rPr>
            </w:pPr>
            <w:r w:rsidRPr="004E5898">
              <w:rPr>
                <w:b/>
                <w:bCs/>
                <w:sz w:val="22"/>
                <w:szCs w:val="22"/>
              </w:rPr>
              <w:t>Key Activities</w:t>
            </w:r>
          </w:p>
        </w:tc>
        <w:tc>
          <w:tcPr>
            <w:tcW w:w="0" w:type="auto"/>
            <w:hideMark/>
          </w:tcPr>
          <w:p w14:paraId="71BADA96" w14:textId="77777777" w:rsidR="002744F1" w:rsidRPr="004E5898" w:rsidRDefault="002744F1" w:rsidP="004E5898">
            <w:pPr>
              <w:jc w:val="center"/>
              <w:rPr>
                <w:b/>
                <w:bCs/>
                <w:sz w:val="22"/>
                <w:szCs w:val="22"/>
              </w:rPr>
            </w:pPr>
            <w:r w:rsidRPr="004E5898">
              <w:rPr>
                <w:b/>
                <w:bCs/>
                <w:sz w:val="22"/>
                <w:szCs w:val="22"/>
              </w:rPr>
              <w:t>Timeframe</w:t>
            </w:r>
          </w:p>
        </w:tc>
        <w:tc>
          <w:tcPr>
            <w:tcW w:w="0" w:type="auto"/>
            <w:hideMark/>
          </w:tcPr>
          <w:p w14:paraId="28609159" w14:textId="77777777" w:rsidR="002744F1" w:rsidRPr="004E5898" w:rsidRDefault="002744F1" w:rsidP="004E5898">
            <w:pPr>
              <w:jc w:val="center"/>
              <w:rPr>
                <w:b/>
                <w:bCs/>
                <w:sz w:val="22"/>
                <w:szCs w:val="22"/>
              </w:rPr>
            </w:pPr>
            <w:r w:rsidRPr="004E5898">
              <w:rPr>
                <w:b/>
                <w:bCs/>
                <w:sz w:val="22"/>
                <w:szCs w:val="22"/>
              </w:rPr>
              <w:t>Key Performance Indicators</w:t>
            </w:r>
          </w:p>
        </w:tc>
      </w:tr>
      <w:tr w:rsidR="002744F1" w:rsidRPr="004E5898" w14:paraId="4FFFBF26" w14:textId="77777777" w:rsidTr="004E5898">
        <w:trPr>
          <w:jc w:val="center"/>
        </w:trPr>
        <w:tc>
          <w:tcPr>
            <w:tcW w:w="0" w:type="auto"/>
            <w:hideMark/>
          </w:tcPr>
          <w:p w14:paraId="01AA5449" w14:textId="77777777" w:rsidR="002744F1" w:rsidRPr="004E5898" w:rsidRDefault="002744F1" w:rsidP="004E5898">
            <w:pPr>
              <w:jc w:val="center"/>
              <w:rPr>
                <w:sz w:val="22"/>
                <w:szCs w:val="22"/>
              </w:rPr>
            </w:pPr>
            <w:r w:rsidRPr="004E5898">
              <w:rPr>
                <w:sz w:val="22"/>
                <w:szCs w:val="22"/>
              </w:rPr>
              <w:t>Assessment</w:t>
            </w:r>
          </w:p>
        </w:tc>
        <w:tc>
          <w:tcPr>
            <w:tcW w:w="0" w:type="auto"/>
            <w:hideMark/>
          </w:tcPr>
          <w:p w14:paraId="7E7024D8" w14:textId="77777777" w:rsidR="002744F1" w:rsidRPr="004E5898" w:rsidRDefault="002744F1" w:rsidP="004E5898">
            <w:pPr>
              <w:jc w:val="center"/>
              <w:rPr>
                <w:sz w:val="22"/>
                <w:szCs w:val="22"/>
              </w:rPr>
            </w:pPr>
            <w:r w:rsidRPr="004E5898">
              <w:rPr>
                <w:sz w:val="22"/>
                <w:szCs w:val="22"/>
              </w:rPr>
              <w:t>Risk audit, asset inventory, governance maturity review</w:t>
            </w:r>
          </w:p>
        </w:tc>
        <w:tc>
          <w:tcPr>
            <w:tcW w:w="0" w:type="auto"/>
            <w:hideMark/>
          </w:tcPr>
          <w:p w14:paraId="2F4278BE" w14:textId="77777777" w:rsidR="002744F1" w:rsidRPr="004E5898" w:rsidRDefault="002744F1" w:rsidP="004E5898">
            <w:pPr>
              <w:jc w:val="center"/>
              <w:rPr>
                <w:sz w:val="22"/>
                <w:szCs w:val="22"/>
              </w:rPr>
            </w:pPr>
            <w:r w:rsidRPr="004E5898">
              <w:rPr>
                <w:sz w:val="22"/>
                <w:szCs w:val="22"/>
              </w:rPr>
              <w:t>Month 1</w:t>
            </w:r>
          </w:p>
        </w:tc>
        <w:tc>
          <w:tcPr>
            <w:tcW w:w="0" w:type="auto"/>
            <w:hideMark/>
          </w:tcPr>
          <w:p w14:paraId="241EE339" w14:textId="77777777" w:rsidR="002744F1" w:rsidRPr="004E5898" w:rsidRDefault="002744F1" w:rsidP="004E5898">
            <w:pPr>
              <w:jc w:val="center"/>
              <w:rPr>
                <w:sz w:val="22"/>
                <w:szCs w:val="22"/>
              </w:rPr>
            </w:pPr>
            <w:r w:rsidRPr="004E5898">
              <w:rPr>
                <w:sz w:val="22"/>
                <w:szCs w:val="22"/>
              </w:rPr>
              <w:t>Risk register completeness, audit baseline</w:t>
            </w:r>
          </w:p>
        </w:tc>
      </w:tr>
      <w:tr w:rsidR="002744F1" w:rsidRPr="004E5898" w14:paraId="6837F812" w14:textId="77777777" w:rsidTr="004E5898">
        <w:trPr>
          <w:jc w:val="center"/>
        </w:trPr>
        <w:tc>
          <w:tcPr>
            <w:tcW w:w="0" w:type="auto"/>
            <w:hideMark/>
          </w:tcPr>
          <w:p w14:paraId="2154EC8C" w14:textId="77777777" w:rsidR="002744F1" w:rsidRPr="004E5898" w:rsidRDefault="002744F1" w:rsidP="004E5898">
            <w:pPr>
              <w:jc w:val="center"/>
              <w:rPr>
                <w:sz w:val="22"/>
                <w:szCs w:val="22"/>
              </w:rPr>
            </w:pPr>
            <w:r w:rsidRPr="004E5898">
              <w:rPr>
                <w:sz w:val="22"/>
                <w:szCs w:val="22"/>
              </w:rPr>
              <w:lastRenderedPageBreak/>
              <w:t>Deployment</w:t>
            </w:r>
          </w:p>
        </w:tc>
        <w:tc>
          <w:tcPr>
            <w:tcW w:w="0" w:type="auto"/>
            <w:hideMark/>
          </w:tcPr>
          <w:p w14:paraId="5203853C" w14:textId="77777777" w:rsidR="002744F1" w:rsidRPr="004E5898" w:rsidRDefault="002744F1" w:rsidP="004E5898">
            <w:pPr>
              <w:jc w:val="center"/>
              <w:rPr>
                <w:sz w:val="22"/>
                <w:szCs w:val="22"/>
              </w:rPr>
            </w:pPr>
            <w:r w:rsidRPr="004E5898">
              <w:rPr>
                <w:sz w:val="22"/>
                <w:szCs w:val="22"/>
              </w:rPr>
              <w:t>ISO 27001 controls, ITIL workflows, COBIT KPIs</w:t>
            </w:r>
          </w:p>
        </w:tc>
        <w:tc>
          <w:tcPr>
            <w:tcW w:w="0" w:type="auto"/>
            <w:hideMark/>
          </w:tcPr>
          <w:p w14:paraId="6C1B287C" w14:textId="77777777" w:rsidR="002744F1" w:rsidRPr="004E5898" w:rsidRDefault="002744F1" w:rsidP="004E5898">
            <w:pPr>
              <w:jc w:val="center"/>
              <w:rPr>
                <w:sz w:val="22"/>
                <w:szCs w:val="22"/>
              </w:rPr>
            </w:pPr>
            <w:r w:rsidRPr="004E5898">
              <w:rPr>
                <w:sz w:val="22"/>
                <w:szCs w:val="22"/>
              </w:rPr>
              <w:t>Months 2–4</w:t>
            </w:r>
          </w:p>
        </w:tc>
        <w:tc>
          <w:tcPr>
            <w:tcW w:w="0" w:type="auto"/>
            <w:hideMark/>
          </w:tcPr>
          <w:p w14:paraId="68ED0725" w14:textId="77777777" w:rsidR="002744F1" w:rsidRPr="004E5898" w:rsidRDefault="002744F1" w:rsidP="004E5898">
            <w:pPr>
              <w:jc w:val="center"/>
              <w:rPr>
                <w:sz w:val="22"/>
                <w:szCs w:val="22"/>
              </w:rPr>
            </w:pPr>
            <w:r w:rsidRPr="004E5898">
              <w:rPr>
                <w:sz w:val="22"/>
                <w:szCs w:val="22"/>
              </w:rPr>
              <w:t>% controls implemented, SLA compliance</w:t>
            </w:r>
          </w:p>
        </w:tc>
      </w:tr>
      <w:tr w:rsidR="002744F1" w:rsidRPr="004E5898" w14:paraId="701575EE" w14:textId="77777777" w:rsidTr="004E5898">
        <w:trPr>
          <w:jc w:val="center"/>
        </w:trPr>
        <w:tc>
          <w:tcPr>
            <w:tcW w:w="0" w:type="auto"/>
            <w:hideMark/>
          </w:tcPr>
          <w:p w14:paraId="4634BE61" w14:textId="77777777" w:rsidR="002744F1" w:rsidRPr="004E5898" w:rsidRDefault="002744F1" w:rsidP="004E5898">
            <w:pPr>
              <w:jc w:val="center"/>
              <w:rPr>
                <w:sz w:val="22"/>
                <w:szCs w:val="22"/>
              </w:rPr>
            </w:pPr>
            <w:r w:rsidRPr="004E5898">
              <w:rPr>
                <w:sz w:val="22"/>
                <w:szCs w:val="22"/>
              </w:rPr>
              <w:t>Training</w:t>
            </w:r>
          </w:p>
        </w:tc>
        <w:tc>
          <w:tcPr>
            <w:tcW w:w="0" w:type="auto"/>
            <w:hideMark/>
          </w:tcPr>
          <w:p w14:paraId="70786208" w14:textId="77777777" w:rsidR="002744F1" w:rsidRPr="004E5898" w:rsidRDefault="002744F1" w:rsidP="004E5898">
            <w:pPr>
              <w:jc w:val="center"/>
              <w:rPr>
                <w:sz w:val="22"/>
                <w:szCs w:val="22"/>
              </w:rPr>
            </w:pPr>
            <w:r w:rsidRPr="004E5898">
              <w:rPr>
                <w:sz w:val="22"/>
                <w:szCs w:val="22"/>
              </w:rPr>
              <w:t>Staff security awareness, incident reporting drills</w:t>
            </w:r>
          </w:p>
        </w:tc>
        <w:tc>
          <w:tcPr>
            <w:tcW w:w="0" w:type="auto"/>
            <w:hideMark/>
          </w:tcPr>
          <w:p w14:paraId="5555C218" w14:textId="77777777" w:rsidR="002744F1" w:rsidRPr="004E5898" w:rsidRDefault="002744F1" w:rsidP="004E5898">
            <w:pPr>
              <w:jc w:val="center"/>
              <w:rPr>
                <w:sz w:val="22"/>
                <w:szCs w:val="22"/>
              </w:rPr>
            </w:pPr>
            <w:r w:rsidRPr="004E5898">
              <w:rPr>
                <w:sz w:val="22"/>
                <w:szCs w:val="22"/>
              </w:rPr>
              <w:t>Month 5</w:t>
            </w:r>
          </w:p>
        </w:tc>
        <w:tc>
          <w:tcPr>
            <w:tcW w:w="0" w:type="auto"/>
            <w:hideMark/>
          </w:tcPr>
          <w:p w14:paraId="5603EFDB" w14:textId="77777777" w:rsidR="002744F1" w:rsidRPr="004E5898" w:rsidRDefault="002744F1" w:rsidP="004E5898">
            <w:pPr>
              <w:jc w:val="center"/>
              <w:rPr>
                <w:sz w:val="22"/>
                <w:szCs w:val="22"/>
              </w:rPr>
            </w:pPr>
            <w:r w:rsidRPr="004E5898">
              <w:rPr>
                <w:sz w:val="22"/>
                <w:szCs w:val="22"/>
              </w:rPr>
              <w:t>Training completion rate, phishing resilience</w:t>
            </w:r>
          </w:p>
        </w:tc>
      </w:tr>
      <w:tr w:rsidR="002744F1" w:rsidRPr="004E5898" w14:paraId="4B042182" w14:textId="77777777" w:rsidTr="004E5898">
        <w:trPr>
          <w:jc w:val="center"/>
        </w:trPr>
        <w:tc>
          <w:tcPr>
            <w:tcW w:w="0" w:type="auto"/>
            <w:hideMark/>
          </w:tcPr>
          <w:p w14:paraId="025A0F58" w14:textId="77777777" w:rsidR="002744F1" w:rsidRPr="004E5898" w:rsidRDefault="002744F1" w:rsidP="004E5898">
            <w:pPr>
              <w:jc w:val="center"/>
              <w:rPr>
                <w:sz w:val="22"/>
                <w:szCs w:val="22"/>
              </w:rPr>
            </w:pPr>
            <w:r w:rsidRPr="004E5898">
              <w:rPr>
                <w:sz w:val="22"/>
                <w:szCs w:val="22"/>
              </w:rPr>
              <w:t>Continuous Improvement</w:t>
            </w:r>
          </w:p>
        </w:tc>
        <w:tc>
          <w:tcPr>
            <w:tcW w:w="0" w:type="auto"/>
            <w:hideMark/>
          </w:tcPr>
          <w:p w14:paraId="540B5B64" w14:textId="77777777" w:rsidR="002744F1" w:rsidRPr="004E5898" w:rsidRDefault="002744F1" w:rsidP="004E5898">
            <w:pPr>
              <w:jc w:val="center"/>
              <w:rPr>
                <w:sz w:val="22"/>
                <w:szCs w:val="22"/>
              </w:rPr>
            </w:pPr>
            <w:r w:rsidRPr="004E5898">
              <w:rPr>
                <w:sz w:val="22"/>
                <w:szCs w:val="22"/>
              </w:rPr>
              <w:t>Monitoring, audits, regulatory updates</w:t>
            </w:r>
          </w:p>
        </w:tc>
        <w:tc>
          <w:tcPr>
            <w:tcW w:w="0" w:type="auto"/>
            <w:hideMark/>
          </w:tcPr>
          <w:p w14:paraId="52BDDC8D" w14:textId="77777777" w:rsidR="002744F1" w:rsidRPr="004E5898" w:rsidRDefault="002744F1" w:rsidP="004E5898">
            <w:pPr>
              <w:jc w:val="center"/>
              <w:rPr>
                <w:sz w:val="22"/>
                <w:szCs w:val="22"/>
              </w:rPr>
            </w:pPr>
            <w:r w:rsidRPr="004E5898">
              <w:rPr>
                <w:sz w:val="22"/>
                <w:szCs w:val="22"/>
              </w:rPr>
              <w:t>Ongoing</w:t>
            </w:r>
          </w:p>
        </w:tc>
        <w:tc>
          <w:tcPr>
            <w:tcW w:w="0" w:type="auto"/>
            <w:hideMark/>
          </w:tcPr>
          <w:p w14:paraId="58C2FA2B" w14:textId="77777777" w:rsidR="002744F1" w:rsidRPr="004E5898" w:rsidRDefault="002744F1" w:rsidP="004E5898">
            <w:pPr>
              <w:jc w:val="center"/>
              <w:rPr>
                <w:sz w:val="22"/>
                <w:szCs w:val="22"/>
              </w:rPr>
            </w:pPr>
            <w:r w:rsidRPr="004E5898">
              <w:rPr>
                <w:sz w:val="22"/>
                <w:szCs w:val="22"/>
              </w:rPr>
              <w:t>Incident trends, audit pass rate</w:t>
            </w:r>
          </w:p>
        </w:tc>
      </w:tr>
    </w:tbl>
    <w:p w14:paraId="5E7EC103" w14:textId="097DD7AB" w:rsidR="003377B8" w:rsidRPr="003377B8" w:rsidRDefault="003377B8" w:rsidP="004E5898">
      <w:pPr>
        <w:pStyle w:val="Heading2"/>
        <w:numPr>
          <w:ilvl w:val="1"/>
          <w:numId w:val="9"/>
        </w:numPr>
      </w:pPr>
      <w:bookmarkStart w:id="15" w:name="_Toc217664742"/>
      <w:r w:rsidRPr="003377B8">
        <w:t>Justification and Anticipated Outcomes</w:t>
      </w:r>
      <w:bookmarkEnd w:id="15"/>
    </w:p>
    <w:p w14:paraId="564F6575" w14:textId="21374FF9" w:rsidR="00A0122F" w:rsidRDefault="00A0122F" w:rsidP="00A0122F">
      <w:r>
        <w:t xml:space="preserve">The proposed hybrid framework provides a variety of strategic and operational advantages. COBIT guarantees that IT activities align with the aims of the organization, thus facilitating executive decisions backed by the insights from and the performance of the operation and the risk involved. ITIL makes the operation more efficient and the service more continuous by setting the standard for workflows and procedures for managing incidents. ISO 27000 points out the processes of risk control, compliance and continuous auditing, while data governance looks after the security of sensitive data and helps meet the requirements of regulations (Metin, Sevim &amp; Wynn, 2025; Naik, 2023; </w:t>
      </w:r>
      <w:proofErr w:type="spellStart"/>
      <w:r>
        <w:t>Sargiotis</w:t>
      </w:r>
      <w:proofErr w:type="spellEnd"/>
      <w:r>
        <w:t>, 2024).</w:t>
      </w:r>
    </w:p>
    <w:p w14:paraId="5067C93B" w14:textId="00740023" w:rsidR="009832BE" w:rsidRDefault="00A0122F" w:rsidP="00A0122F">
      <w:r>
        <w:t>In this regard, Nature Green would not only be able to effectively tackle the ever-changing cyber threats but also be capable of preserving its resilience to operation and ensuring the regulatory requirement of both the international and local levels in the long run. Moreover, the hybrid model has the characteristics of scalability and flexibility, which means that the organization will be able to adapt to the new technologies, changing business processes, and the volatile regulatory environment without giving up on security or operational efficiency</w:t>
      </w:r>
      <w:r w:rsidR="003377B8" w:rsidRPr="003377B8">
        <w:t>.</w:t>
      </w:r>
    </w:p>
    <w:p w14:paraId="3AE80D31" w14:textId="77777777" w:rsidR="003377B8" w:rsidRPr="003377B8" w:rsidRDefault="003377B8" w:rsidP="00A0122F">
      <w:pPr>
        <w:pStyle w:val="Heading1"/>
        <w:numPr>
          <w:ilvl w:val="0"/>
          <w:numId w:val="9"/>
        </w:numPr>
      </w:pPr>
      <w:bookmarkStart w:id="16" w:name="_Toc217664743"/>
      <w:r w:rsidRPr="003377B8">
        <w:t>Critique, Analysis, and Discussion: The Importance of Evolving Regulations and Standards</w:t>
      </w:r>
      <w:bookmarkEnd w:id="16"/>
    </w:p>
    <w:p w14:paraId="14785B38" w14:textId="5BA650DF" w:rsidR="00D15533" w:rsidRDefault="00D15533" w:rsidP="00955972">
      <w:r>
        <w:t xml:space="preserve">In the digital world that is changing rapidly, the old static regulations and security standards come to the point of being rather ineffective in considering the new cyber risks. Organizations like Nature Green exist in environments that are impacted by such technologies as cloud computing, artificial intelligence, remote working, and so on. These technological advances introduce new risk areas which were not </w:t>
      </w:r>
      <w:r w:rsidR="00955972">
        <w:t>considered</w:t>
      </w:r>
      <w:r>
        <w:t xml:space="preserve"> by the earlier regulations. Therefore, the transformation of the regulatory and the governance frameworks is a must</w:t>
      </w:r>
      <w:r w:rsidR="001D24CA">
        <w:t xml:space="preserve"> (Lopes et al., 2024)</w:t>
      </w:r>
      <w:r>
        <w:t>.</w:t>
      </w:r>
    </w:p>
    <w:p w14:paraId="6850326E" w14:textId="2F548FF8" w:rsidR="00D15533" w:rsidRDefault="00D15533" w:rsidP="00955972">
      <w:r>
        <w:lastRenderedPageBreak/>
        <w:t>Old regulation and standard practices present a major flaw which is their ability to create an illusory sense of security. Meeting the standards of those obsolete controls just for the sake of satisfying audit requirements will not help the organization when it comes to the new threats like ransomware-as-a-service, supply chain compromises, and advanced phishing techniques, and so on. Hence, this disparity in the level of compliance, on one side, and security maturity with actual threats, on the other side, leads organizations to the danger of being disrupted and losing their reputation</w:t>
      </w:r>
      <w:r w:rsidR="001D24CA">
        <w:t xml:space="preserve"> (</w:t>
      </w:r>
      <w:proofErr w:type="spellStart"/>
      <w:r w:rsidR="001D24CA">
        <w:t>Aljumaiah</w:t>
      </w:r>
      <w:proofErr w:type="spellEnd"/>
      <w:r w:rsidR="001D24CA">
        <w:t xml:space="preserve"> et al., 2025)</w:t>
      </w:r>
      <w:r>
        <w:t>. Updated standards such as the reviewed ones in ISO/IEC 27000 series and COBIT 2019 provide solutions to these issues by incorporating risk-based thinking, continuous monitoring, and accountability mechanisms that are in line with the current attack patterns.</w:t>
      </w:r>
    </w:p>
    <w:p w14:paraId="3EBC2ECF" w14:textId="55C65016" w:rsidR="00D15533" w:rsidRDefault="00D15533" w:rsidP="00955972">
      <w:r>
        <w:t xml:space="preserve">Furthermore, evolving regulations indicate the legal and ethical expectations </w:t>
      </w:r>
      <w:r w:rsidR="00955972">
        <w:t>in</w:t>
      </w:r>
      <w:r>
        <w:t xml:space="preserve"> data protection and organizational accountability that come with changing society's values. Although </w:t>
      </w:r>
      <w:r w:rsidR="00955972">
        <w:t>regulations</w:t>
      </w:r>
      <w:r>
        <w:t xml:space="preserve"> like GDPR are gradually becoming the world-wide data governance standards, firms must continue to align their internal policies and controls with lawful, transparent, and ethical data processing practices</w:t>
      </w:r>
      <w:r w:rsidR="001D24CA" w:rsidRPr="00C14683">
        <w:t xml:space="preserve">. </w:t>
      </w:r>
      <w:r w:rsidR="001D24CA">
        <w:t>(Naik, 2023).</w:t>
      </w:r>
      <w:r>
        <w:t xml:space="preserve"> Otherwise, they will face regulatory penalties and lose the trust of their stakeholders.</w:t>
      </w:r>
    </w:p>
    <w:p w14:paraId="6AE2285B" w14:textId="4B5030CD" w:rsidR="00955972" w:rsidRDefault="00D15533" w:rsidP="00955972">
      <w:r>
        <w:t>Frequent updates to standards can create financial, operational, and training difficulties but the price of non-dynamic risk is very high.</w:t>
      </w:r>
      <w:r w:rsidR="00955972">
        <w:t xml:space="preserve"> Adaptive governance models that incorporate constant feedback, executive oversight, and workforce awareness allow organizations like Nature Green to implement regulatory change effectively</w:t>
      </w:r>
      <w:r w:rsidR="001D24CA">
        <w:t xml:space="preserve"> (Nayak et al., 2025)</w:t>
      </w:r>
      <w:r w:rsidR="00955972">
        <w:t xml:space="preserve">. In the end, changing regulations help to strengthen the resilience of organizations by making sure that security governance is in sync with technological innovation, </w:t>
      </w:r>
      <w:r w:rsidR="001D24CA">
        <w:t>the same</w:t>
      </w:r>
      <w:r w:rsidR="00955972">
        <w:t xml:space="preserve"> as the evolution of threats and the expectations of society.</w:t>
      </w:r>
    </w:p>
    <w:p w14:paraId="355228B0" w14:textId="559C074F" w:rsidR="003377B8" w:rsidRPr="001D24CA" w:rsidRDefault="003377B8" w:rsidP="001D24CA">
      <w:pPr>
        <w:jc w:val="center"/>
      </w:pPr>
      <w:r w:rsidRPr="00A0122F">
        <w:rPr>
          <w:b/>
          <w:bCs/>
          <w:sz w:val="22"/>
          <w:szCs w:val="22"/>
        </w:rPr>
        <w:t>Table 4.1: Benefits and Challenges of Constantly Updating Regulations and Standards</w:t>
      </w:r>
    </w:p>
    <w:tbl>
      <w:tblPr>
        <w:tblStyle w:val="TableGridLight"/>
        <w:tblW w:w="0" w:type="auto"/>
        <w:tblLook w:val="04A0" w:firstRow="1" w:lastRow="0" w:firstColumn="1" w:lastColumn="0" w:noHBand="0" w:noVBand="1"/>
      </w:tblPr>
      <w:tblGrid>
        <w:gridCol w:w="1907"/>
        <w:gridCol w:w="2918"/>
        <w:gridCol w:w="2280"/>
        <w:gridCol w:w="2245"/>
      </w:tblGrid>
      <w:tr w:rsidR="003377B8" w:rsidRPr="00A0122F" w14:paraId="715B5D15" w14:textId="77777777" w:rsidTr="00A0122F">
        <w:tc>
          <w:tcPr>
            <w:tcW w:w="0" w:type="auto"/>
            <w:hideMark/>
          </w:tcPr>
          <w:p w14:paraId="2BEFA9CD" w14:textId="77777777" w:rsidR="003377B8" w:rsidRPr="00A0122F" w:rsidRDefault="003377B8" w:rsidP="002744F1">
            <w:pPr>
              <w:rPr>
                <w:b/>
                <w:bCs/>
                <w:sz w:val="22"/>
                <w:szCs w:val="22"/>
              </w:rPr>
            </w:pPr>
            <w:r w:rsidRPr="00A0122F">
              <w:rPr>
                <w:b/>
                <w:bCs/>
                <w:sz w:val="22"/>
                <w:szCs w:val="22"/>
              </w:rPr>
              <w:t>Aspect</w:t>
            </w:r>
          </w:p>
        </w:tc>
        <w:tc>
          <w:tcPr>
            <w:tcW w:w="0" w:type="auto"/>
            <w:hideMark/>
          </w:tcPr>
          <w:p w14:paraId="2451EA5A" w14:textId="77777777" w:rsidR="003377B8" w:rsidRPr="00A0122F" w:rsidRDefault="003377B8" w:rsidP="002744F1">
            <w:pPr>
              <w:rPr>
                <w:b/>
                <w:bCs/>
                <w:sz w:val="22"/>
                <w:szCs w:val="22"/>
              </w:rPr>
            </w:pPr>
            <w:r w:rsidRPr="00A0122F">
              <w:rPr>
                <w:b/>
                <w:bCs/>
                <w:sz w:val="22"/>
                <w:szCs w:val="22"/>
              </w:rPr>
              <w:t>Benefits</w:t>
            </w:r>
          </w:p>
        </w:tc>
        <w:tc>
          <w:tcPr>
            <w:tcW w:w="0" w:type="auto"/>
            <w:hideMark/>
          </w:tcPr>
          <w:p w14:paraId="7598401B" w14:textId="77777777" w:rsidR="003377B8" w:rsidRPr="00A0122F" w:rsidRDefault="003377B8" w:rsidP="002744F1">
            <w:pPr>
              <w:rPr>
                <w:b/>
                <w:bCs/>
                <w:sz w:val="22"/>
                <w:szCs w:val="22"/>
              </w:rPr>
            </w:pPr>
            <w:r w:rsidRPr="00A0122F">
              <w:rPr>
                <w:b/>
                <w:bCs/>
                <w:sz w:val="22"/>
                <w:szCs w:val="22"/>
              </w:rPr>
              <w:t>Challenges</w:t>
            </w:r>
          </w:p>
        </w:tc>
        <w:tc>
          <w:tcPr>
            <w:tcW w:w="0" w:type="auto"/>
            <w:hideMark/>
          </w:tcPr>
          <w:p w14:paraId="6CE03B99" w14:textId="77777777" w:rsidR="003377B8" w:rsidRPr="00A0122F" w:rsidRDefault="003377B8" w:rsidP="002744F1">
            <w:pPr>
              <w:rPr>
                <w:b/>
                <w:bCs/>
                <w:sz w:val="22"/>
                <w:szCs w:val="22"/>
              </w:rPr>
            </w:pPr>
            <w:r w:rsidRPr="00A0122F">
              <w:rPr>
                <w:b/>
                <w:bCs/>
                <w:sz w:val="22"/>
                <w:szCs w:val="22"/>
              </w:rPr>
              <w:t>Supporting Literature</w:t>
            </w:r>
          </w:p>
        </w:tc>
      </w:tr>
      <w:tr w:rsidR="003377B8" w:rsidRPr="00A0122F" w14:paraId="2C38AA49" w14:textId="77777777" w:rsidTr="00A0122F">
        <w:tc>
          <w:tcPr>
            <w:tcW w:w="0" w:type="auto"/>
            <w:hideMark/>
          </w:tcPr>
          <w:p w14:paraId="590EDC3F" w14:textId="77777777" w:rsidR="003377B8" w:rsidRPr="00A0122F" w:rsidRDefault="003377B8" w:rsidP="00A0122F">
            <w:pPr>
              <w:jc w:val="center"/>
              <w:rPr>
                <w:sz w:val="22"/>
                <w:szCs w:val="22"/>
              </w:rPr>
            </w:pPr>
            <w:r w:rsidRPr="00A0122F">
              <w:rPr>
                <w:sz w:val="22"/>
                <w:szCs w:val="22"/>
              </w:rPr>
              <w:t>Technological Alignment</w:t>
            </w:r>
          </w:p>
        </w:tc>
        <w:tc>
          <w:tcPr>
            <w:tcW w:w="0" w:type="auto"/>
            <w:hideMark/>
          </w:tcPr>
          <w:p w14:paraId="2A245333" w14:textId="77777777" w:rsidR="003377B8" w:rsidRPr="00A0122F" w:rsidRDefault="003377B8" w:rsidP="00A0122F">
            <w:pPr>
              <w:jc w:val="center"/>
              <w:rPr>
                <w:sz w:val="22"/>
                <w:szCs w:val="22"/>
              </w:rPr>
            </w:pPr>
            <w:r w:rsidRPr="00A0122F">
              <w:rPr>
                <w:sz w:val="22"/>
                <w:szCs w:val="22"/>
              </w:rPr>
              <w:t>Addresses emerging risks from AI, cloud, IoT; enhances compliance</w:t>
            </w:r>
          </w:p>
        </w:tc>
        <w:tc>
          <w:tcPr>
            <w:tcW w:w="0" w:type="auto"/>
            <w:hideMark/>
          </w:tcPr>
          <w:p w14:paraId="4E989E19" w14:textId="79883BA7" w:rsidR="003377B8" w:rsidRPr="00A0122F" w:rsidRDefault="003377B8" w:rsidP="00A0122F">
            <w:pPr>
              <w:jc w:val="center"/>
              <w:rPr>
                <w:sz w:val="22"/>
                <w:szCs w:val="22"/>
              </w:rPr>
            </w:pPr>
            <w:r w:rsidRPr="00A0122F">
              <w:rPr>
                <w:sz w:val="22"/>
                <w:szCs w:val="22"/>
              </w:rPr>
              <w:t xml:space="preserve">Requires rapid </w:t>
            </w:r>
            <w:r w:rsidR="002D6BB7" w:rsidRPr="00A0122F">
              <w:rPr>
                <w:sz w:val="22"/>
                <w:szCs w:val="22"/>
              </w:rPr>
              <w:t>organizational</w:t>
            </w:r>
            <w:r w:rsidRPr="00A0122F">
              <w:rPr>
                <w:sz w:val="22"/>
                <w:szCs w:val="22"/>
              </w:rPr>
              <w:t xml:space="preserve"> adaptation</w:t>
            </w:r>
          </w:p>
        </w:tc>
        <w:tc>
          <w:tcPr>
            <w:tcW w:w="0" w:type="auto"/>
            <w:hideMark/>
          </w:tcPr>
          <w:p w14:paraId="4FF6055D" w14:textId="77777777" w:rsidR="003377B8" w:rsidRPr="00A0122F" w:rsidRDefault="003377B8" w:rsidP="00A0122F">
            <w:pPr>
              <w:jc w:val="center"/>
              <w:rPr>
                <w:sz w:val="22"/>
                <w:szCs w:val="22"/>
              </w:rPr>
            </w:pPr>
            <w:r w:rsidRPr="00A0122F">
              <w:rPr>
                <w:sz w:val="22"/>
                <w:szCs w:val="22"/>
              </w:rPr>
              <w:t>Naik, 2023; Sharma &amp; Sharma, 2025</w:t>
            </w:r>
          </w:p>
        </w:tc>
      </w:tr>
      <w:tr w:rsidR="003377B8" w:rsidRPr="00204B3E" w14:paraId="338D3A94" w14:textId="77777777" w:rsidTr="00A0122F">
        <w:tc>
          <w:tcPr>
            <w:tcW w:w="0" w:type="auto"/>
            <w:hideMark/>
          </w:tcPr>
          <w:p w14:paraId="14E982C5" w14:textId="77777777" w:rsidR="003377B8" w:rsidRPr="00A0122F" w:rsidRDefault="003377B8" w:rsidP="00A0122F">
            <w:pPr>
              <w:jc w:val="center"/>
              <w:rPr>
                <w:sz w:val="22"/>
                <w:szCs w:val="22"/>
              </w:rPr>
            </w:pPr>
            <w:r w:rsidRPr="00A0122F">
              <w:rPr>
                <w:sz w:val="22"/>
                <w:szCs w:val="22"/>
              </w:rPr>
              <w:lastRenderedPageBreak/>
              <w:t>Risk Management</w:t>
            </w:r>
          </w:p>
        </w:tc>
        <w:tc>
          <w:tcPr>
            <w:tcW w:w="0" w:type="auto"/>
            <w:hideMark/>
          </w:tcPr>
          <w:p w14:paraId="5D4A87A5" w14:textId="77777777" w:rsidR="003377B8" w:rsidRPr="00A0122F" w:rsidRDefault="003377B8" w:rsidP="00A0122F">
            <w:pPr>
              <w:jc w:val="center"/>
              <w:rPr>
                <w:sz w:val="22"/>
                <w:szCs w:val="22"/>
              </w:rPr>
            </w:pPr>
            <w:r w:rsidRPr="00A0122F">
              <w:rPr>
                <w:sz w:val="22"/>
                <w:szCs w:val="22"/>
              </w:rPr>
              <w:t>Proactive threat mitigation; improved resilience</w:t>
            </w:r>
          </w:p>
        </w:tc>
        <w:tc>
          <w:tcPr>
            <w:tcW w:w="0" w:type="auto"/>
            <w:hideMark/>
          </w:tcPr>
          <w:p w14:paraId="0F42BB1B" w14:textId="77777777" w:rsidR="003377B8" w:rsidRPr="00A0122F" w:rsidRDefault="003377B8" w:rsidP="00A0122F">
            <w:pPr>
              <w:jc w:val="center"/>
              <w:rPr>
                <w:sz w:val="22"/>
                <w:szCs w:val="22"/>
              </w:rPr>
            </w:pPr>
            <w:r w:rsidRPr="00A0122F">
              <w:rPr>
                <w:sz w:val="22"/>
                <w:szCs w:val="22"/>
              </w:rPr>
              <w:t>Resource-intensive monitoring &amp; auditing</w:t>
            </w:r>
          </w:p>
        </w:tc>
        <w:tc>
          <w:tcPr>
            <w:tcW w:w="0" w:type="auto"/>
            <w:hideMark/>
          </w:tcPr>
          <w:p w14:paraId="0E10BF72" w14:textId="77777777" w:rsidR="003377B8" w:rsidRPr="00A0122F" w:rsidRDefault="003377B8" w:rsidP="00A0122F">
            <w:pPr>
              <w:jc w:val="center"/>
              <w:rPr>
                <w:sz w:val="22"/>
                <w:szCs w:val="22"/>
                <w:lang w:val="fi-FI"/>
              </w:rPr>
            </w:pPr>
            <w:r w:rsidRPr="00A0122F">
              <w:rPr>
                <w:sz w:val="22"/>
                <w:szCs w:val="22"/>
                <w:lang w:val="fi-FI"/>
              </w:rPr>
              <w:t>Metin, Sevim &amp; Wynn, 2025; Aljumaiah et al., 2025</w:t>
            </w:r>
          </w:p>
        </w:tc>
      </w:tr>
      <w:tr w:rsidR="003377B8" w:rsidRPr="00A0122F" w14:paraId="6A8C40BE" w14:textId="77777777" w:rsidTr="00A0122F">
        <w:tc>
          <w:tcPr>
            <w:tcW w:w="0" w:type="auto"/>
            <w:hideMark/>
          </w:tcPr>
          <w:p w14:paraId="4C0D0227" w14:textId="77777777" w:rsidR="003377B8" w:rsidRPr="00A0122F" w:rsidRDefault="003377B8" w:rsidP="00A0122F">
            <w:pPr>
              <w:jc w:val="center"/>
              <w:rPr>
                <w:sz w:val="22"/>
                <w:szCs w:val="22"/>
              </w:rPr>
            </w:pPr>
            <w:r w:rsidRPr="00A0122F">
              <w:rPr>
                <w:sz w:val="22"/>
                <w:szCs w:val="22"/>
              </w:rPr>
              <w:t>Governance &amp; Compliance</w:t>
            </w:r>
          </w:p>
        </w:tc>
        <w:tc>
          <w:tcPr>
            <w:tcW w:w="0" w:type="auto"/>
            <w:hideMark/>
          </w:tcPr>
          <w:p w14:paraId="2A186976" w14:textId="77777777" w:rsidR="003377B8" w:rsidRPr="00A0122F" w:rsidRDefault="003377B8" w:rsidP="00A0122F">
            <w:pPr>
              <w:jc w:val="center"/>
              <w:rPr>
                <w:sz w:val="22"/>
                <w:szCs w:val="22"/>
              </w:rPr>
            </w:pPr>
            <w:r w:rsidRPr="00A0122F">
              <w:rPr>
                <w:sz w:val="22"/>
                <w:szCs w:val="22"/>
              </w:rPr>
              <w:t>Maintains ethical, legal, and regulatory adherence; strengthens stakeholder trust</w:t>
            </w:r>
          </w:p>
        </w:tc>
        <w:tc>
          <w:tcPr>
            <w:tcW w:w="0" w:type="auto"/>
            <w:hideMark/>
          </w:tcPr>
          <w:p w14:paraId="05929ECD" w14:textId="77777777" w:rsidR="003377B8" w:rsidRPr="00A0122F" w:rsidRDefault="003377B8" w:rsidP="00A0122F">
            <w:pPr>
              <w:jc w:val="center"/>
              <w:rPr>
                <w:sz w:val="22"/>
                <w:szCs w:val="22"/>
              </w:rPr>
            </w:pPr>
            <w:r w:rsidRPr="00A0122F">
              <w:rPr>
                <w:sz w:val="22"/>
                <w:szCs w:val="22"/>
              </w:rPr>
              <w:t>Complexity in interpreting multiple updates</w:t>
            </w:r>
          </w:p>
        </w:tc>
        <w:tc>
          <w:tcPr>
            <w:tcW w:w="0" w:type="auto"/>
            <w:hideMark/>
          </w:tcPr>
          <w:p w14:paraId="64E2C429" w14:textId="77777777" w:rsidR="003377B8" w:rsidRPr="00A0122F" w:rsidRDefault="003377B8" w:rsidP="00A0122F">
            <w:pPr>
              <w:jc w:val="center"/>
              <w:rPr>
                <w:sz w:val="22"/>
                <w:szCs w:val="22"/>
              </w:rPr>
            </w:pPr>
            <w:proofErr w:type="spellStart"/>
            <w:r w:rsidRPr="00A0122F">
              <w:rPr>
                <w:sz w:val="22"/>
                <w:szCs w:val="22"/>
              </w:rPr>
              <w:t>Sargiotis</w:t>
            </w:r>
            <w:proofErr w:type="spellEnd"/>
            <w:r w:rsidRPr="00A0122F">
              <w:rPr>
                <w:sz w:val="22"/>
                <w:szCs w:val="22"/>
              </w:rPr>
              <w:t>, 2024; Nayak et al., 2025</w:t>
            </w:r>
          </w:p>
        </w:tc>
      </w:tr>
      <w:tr w:rsidR="003377B8" w:rsidRPr="00A0122F" w14:paraId="10E3DCB5" w14:textId="77777777" w:rsidTr="00A0122F">
        <w:tc>
          <w:tcPr>
            <w:tcW w:w="0" w:type="auto"/>
            <w:hideMark/>
          </w:tcPr>
          <w:p w14:paraId="219CAFC9" w14:textId="77777777" w:rsidR="003377B8" w:rsidRPr="00A0122F" w:rsidRDefault="003377B8" w:rsidP="00A0122F">
            <w:pPr>
              <w:jc w:val="center"/>
              <w:rPr>
                <w:sz w:val="22"/>
                <w:szCs w:val="22"/>
              </w:rPr>
            </w:pPr>
            <w:r w:rsidRPr="00A0122F">
              <w:rPr>
                <w:sz w:val="22"/>
                <w:szCs w:val="22"/>
              </w:rPr>
              <w:t>Operational Efficiency</w:t>
            </w:r>
          </w:p>
        </w:tc>
        <w:tc>
          <w:tcPr>
            <w:tcW w:w="0" w:type="auto"/>
            <w:hideMark/>
          </w:tcPr>
          <w:p w14:paraId="1310880A" w14:textId="6896AADC" w:rsidR="003377B8" w:rsidRPr="00A0122F" w:rsidRDefault="002D6BB7" w:rsidP="00A0122F">
            <w:pPr>
              <w:jc w:val="center"/>
              <w:rPr>
                <w:sz w:val="22"/>
                <w:szCs w:val="22"/>
              </w:rPr>
            </w:pPr>
            <w:r w:rsidRPr="00A0122F">
              <w:rPr>
                <w:sz w:val="22"/>
                <w:szCs w:val="22"/>
              </w:rPr>
              <w:t>Optimizes</w:t>
            </w:r>
            <w:r w:rsidR="003377B8" w:rsidRPr="00A0122F">
              <w:rPr>
                <w:sz w:val="22"/>
                <w:szCs w:val="22"/>
              </w:rPr>
              <w:t xml:space="preserve"> processes, improves incident response</w:t>
            </w:r>
          </w:p>
        </w:tc>
        <w:tc>
          <w:tcPr>
            <w:tcW w:w="0" w:type="auto"/>
            <w:hideMark/>
          </w:tcPr>
          <w:p w14:paraId="7C3FAF30" w14:textId="4B4A05A9" w:rsidR="003377B8" w:rsidRPr="00A0122F" w:rsidRDefault="003377B8" w:rsidP="00A0122F">
            <w:pPr>
              <w:jc w:val="center"/>
              <w:rPr>
                <w:sz w:val="22"/>
                <w:szCs w:val="22"/>
              </w:rPr>
            </w:pPr>
            <w:r w:rsidRPr="00A0122F">
              <w:rPr>
                <w:sz w:val="22"/>
                <w:szCs w:val="22"/>
              </w:rPr>
              <w:t xml:space="preserve">Staff training </w:t>
            </w:r>
            <w:r w:rsidR="001D24CA" w:rsidRPr="00A0122F">
              <w:rPr>
                <w:sz w:val="22"/>
                <w:szCs w:val="22"/>
              </w:rPr>
              <w:t>&amp;</w:t>
            </w:r>
            <w:r w:rsidRPr="00A0122F">
              <w:rPr>
                <w:sz w:val="22"/>
                <w:szCs w:val="22"/>
              </w:rPr>
              <w:t xml:space="preserve"> re-engineering required</w:t>
            </w:r>
          </w:p>
        </w:tc>
        <w:tc>
          <w:tcPr>
            <w:tcW w:w="0" w:type="auto"/>
            <w:hideMark/>
          </w:tcPr>
          <w:p w14:paraId="3230B030" w14:textId="77777777" w:rsidR="003377B8" w:rsidRPr="00A0122F" w:rsidRDefault="003377B8" w:rsidP="00A0122F">
            <w:pPr>
              <w:jc w:val="center"/>
              <w:rPr>
                <w:sz w:val="22"/>
                <w:szCs w:val="22"/>
              </w:rPr>
            </w:pPr>
            <w:proofErr w:type="spellStart"/>
            <w:r w:rsidRPr="00A0122F">
              <w:rPr>
                <w:sz w:val="22"/>
                <w:szCs w:val="22"/>
              </w:rPr>
              <w:t>Safitri</w:t>
            </w:r>
            <w:proofErr w:type="spellEnd"/>
            <w:r w:rsidRPr="00A0122F">
              <w:rPr>
                <w:sz w:val="22"/>
                <w:szCs w:val="22"/>
              </w:rPr>
              <w:t>, 2021; Folorunso et al., 2024</w:t>
            </w:r>
          </w:p>
        </w:tc>
      </w:tr>
      <w:tr w:rsidR="003377B8" w:rsidRPr="00A0122F" w14:paraId="5B3B17FB" w14:textId="77777777" w:rsidTr="00A0122F">
        <w:tc>
          <w:tcPr>
            <w:tcW w:w="0" w:type="auto"/>
            <w:hideMark/>
          </w:tcPr>
          <w:p w14:paraId="1096D93C" w14:textId="0EEEEB07" w:rsidR="003377B8" w:rsidRPr="00A0122F" w:rsidRDefault="003377B8" w:rsidP="00A0122F">
            <w:pPr>
              <w:jc w:val="center"/>
              <w:rPr>
                <w:sz w:val="22"/>
                <w:szCs w:val="22"/>
              </w:rPr>
            </w:pPr>
            <w:r w:rsidRPr="00A0122F">
              <w:rPr>
                <w:sz w:val="22"/>
                <w:szCs w:val="22"/>
              </w:rPr>
              <w:t xml:space="preserve">Cross-Industry </w:t>
            </w:r>
            <w:r w:rsidR="00A0122F" w:rsidRPr="00A0122F">
              <w:rPr>
                <w:sz w:val="22"/>
                <w:szCs w:val="22"/>
              </w:rPr>
              <w:t>Harmonization</w:t>
            </w:r>
          </w:p>
        </w:tc>
        <w:tc>
          <w:tcPr>
            <w:tcW w:w="0" w:type="auto"/>
            <w:hideMark/>
          </w:tcPr>
          <w:p w14:paraId="06187F3C" w14:textId="77777777" w:rsidR="003377B8" w:rsidRPr="00A0122F" w:rsidRDefault="003377B8" w:rsidP="00A0122F">
            <w:pPr>
              <w:jc w:val="center"/>
              <w:rPr>
                <w:sz w:val="22"/>
                <w:szCs w:val="22"/>
              </w:rPr>
            </w:pPr>
            <w:r w:rsidRPr="00A0122F">
              <w:rPr>
                <w:sz w:val="22"/>
                <w:szCs w:val="22"/>
              </w:rPr>
              <w:t>Enables consistent operations across jurisdictions</w:t>
            </w:r>
          </w:p>
        </w:tc>
        <w:tc>
          <w:tcPr>
            <w:tcW w:w="0" w:type="auto"/>
            <w:hideMark/>
          </w:tcPr>
          <w:p w14:paraId="74D5C941" w14:textId="77777777" w:rsidR="003377B8" w:rsidRPr="00A0122F" w:rsidRDefault="003377B8" w:rsidP="00A0122F">
            <w:pPr>
              <w:jc w:val="center"/>
              <w:rPr>
                <w:sz w:val="22"/>
                <w:szCs w:val="22"/>
              </w:rPr>
            </w:pPr>
            <w:r w:rsidRPr="00A0122F">
              <w:rPr>
                <w:sz w:val="22"/>
                <w:szCs w:val="22"/>
              </w:rPr>
              <w:t>Implementation may vary by region</w:t>
            </w:r>
          </w:p>
        </w:tc>
        <w:tc>
          <w:tcPr>
            <w:tcW w:w="0" w:type="auto"/>
            <w:hideMark/>
          </w:tcPr>
          <w:p w14:paraId="4896C61D" w14:textId="77777777" w:rsidR="003377B8" w:rsidRPr="00A0122F" w:rsidRDefault="003377B8" w:rsidP="00A0122F">
            <w:pPr>
              <w:jc w:val="center"/>
              <w:rPr>
                <w:sz w:val="22"/>
                <w:szCs w:val="22"/>
              </w:rPr>
            </w:pPr>
            <w:r w:rsidRPr="00A0122F">
              <w:rPr>
                <w:sz w:val="22"/>
                <w:szCs w:val="22"/>
              </w:rPr>
              <w:t>Koza, 2022; Metin, Sevim &amp; Wynn, 2025</w:t>
            </w:r>
          </w:p>
        </w:tc>
      </w:tr>
    </w:tbl>
    <w:p w14:paraId="52109EA1" w14:textId="4BABF6D7" w:rsidR="00A0122F" w:rsidRDefault="00A0122F" w:rsidP="00A0122F">
      <w:r w:rsidRPr="00A0122F">
        <w:t>Figure 4.1 displays the various stages of the cycle, which supports the concept of adaptive governance.</w:t>
      </w:r>
    </w:p>
    <w:p w14:paraId="011EE118" w14:textId="1EFB85C1" w:rsidR="00A0122F" w:rsidRDefault="002D6BB7" w:rsidP="002D6BB7">
      <w:pPr>
        <w:jc w:val="center"/>
      </w:pPr>
      <w:r w:rsidRPr="002D6BB7">
        <w:rPr>
          <w:noProof/>
        </w:rPr>
        <w:drawing>
          <wp:inline distT="0" distB="0" distL="0" distR="0" wp14:anchorId="4E77DE16" wp14:editId="0C727B94">
            <wp:extent cx="1797050" cy="3911600"/>
            <wp:effectExtent l="0" t="0" r="0" b="0"/>
            <wp:docPr id="882223596" name="Picture 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23596" name="Picture 2" descr="A screenshot of a computer screen&#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97050" cy="3911600"/>
                    </a:xfrm>
                    <a:prstGeom prst="rect">
                      <a:avLst/>
                    </a:prstGeom>
                    <a:noFill/>
                    <a:ln>
                      <a:noFill/>
                    </a:ln>
                  </pic:spPr>
                </pic:pic>
              </a:graphicData>
            </a:graphic>
          </wp:inline>
        </w:drawing>
      </w:r>
    </w:p>
    <w:p w14:paraId="66F9847E" w14:textId="3BF3B000" w:rsidR="003377B8" w:rsidRPr="00A0122F" w:rsidRDefault="00A0122F" w:rsidP="00A0122F">
      <w:pPr>
        <w:jc w:val="center"/>
        <w:rPr>
          <w:b/>
          <w:bCs/>
          <w:sz w:val="22"/>
          <w:szCs w:val="22"/>
        </w:rPr>
      </w:pPr>
      <w:r w:rsidRPr="00A0122F">
        <w:rPr>
          <w:b/>
          <w:bCs/>
          <w:sz w:val="22"/>
          <w:szCs w:val="22"/>
        </w:rPr>
        <w:t xml:space="preserve">Figure 4.1: </w:t>
      </w:r>
      <w:r w:rsidR="003377B8" w:rsidRPr="00A0122F">
        <w:rPr>
          <w:b/>
          <w:bCs/>
          <w:sz w:val="22"/>
          <w:szCs w:val="22"/>
        </w:rPr>
        <w:t xml:space="preserve">Dynamic Compliance Cycle for </w:t>
      </w:r>
      <w:r w:rsidRPr="00A0122F">
        <w:rPr>
          <w:b/>
          <w:bCs/>
          <w:sz w:val="22"/>
          <w:szCs w:val="22"/>
        </w:rPr>
        <w:t>Organizations</w:t>
      </w:r>
    </w:p>
    <w:p w14:paraId="3FDC81AE" w14:textId="77777777" w:rsidR="001D24CA" w:rsidRDefault="001D24CA" w:rsidP="004D3045">
      <w:pPr>
        <w:pStyle w:val="Heading1"/>
        <w:numPr>
          <w:ilvl w:val="0"/>
          <w:numId w:val="9"/>
        </w:numPr>
      </w:pPr>
      <w:bookmarkStart w:id="17" w:name="_Toc217664744"/>
      <w:r>
        <w:lastRenderedPageBreak/>
        <w:t>Conclusion</w:t>
      </w:r>
      <w:bookmarkEnd w:id="17"/>
    </w:p>
    <w:p w14:paraId="0967CBED" w14:textId="77777777" w:rsidR="001D24CA" w:rsidRDefault="001D24CA" w:rsidP="001D24CA">
      <w:r>
        <w:t>In conclusion, the integration of ITIL, the ISO/IEC 27000 series, COBIT 2019, and data governance paves the way for Nature Green to have a comprehensive and adaptive security governance framework. This mixed method approach tackles the four aspects of operation namely: efficiency, risk management, strategic oversight, and compliance with regulations at the same time. The analysis brings out the point that continually evolving standards are a must for keeping emerging cyber threats in check and maintaining the trust of stakeholders. By incorporating continuous monitoring and governance alignment, the proposed framework converts information security into a strategic enabler of long-term organizational resilience and sustainable business performance.</w:t>
      </w:r>
    </w:p>
    <w:p w14:paraId="690BAF3C" w14:textId="77777777" w:rsidR="003866D9" w:rsidRDefault="003866D9">
      <w:pPr>
        <w:spacing w:after="160" w:line="278" w:lineRule="auto"/>
        <w:jc w:val="left"/>
        <w:rPr>
          <w:rFonts w:eastAsiaTheme="majorEastAsia" w:cstheme="majorBidi"/>
          <w:b/>
          <w:color w:val="000000" w:themeColor="text1"/>
          <w:sz w:val="32"/>
          <w:szCs w:val="40"/>
        </w:rPr>
      </w:pPr>
      <w:r>
        <w:br w:type="page"/>
      </w:r>
    </w:p>
    <w:p w14:paraId="3524D718" w14:textId="57A4D1A6" w:rsidR="00E80894" w:rsidRDefault="00A01967" w:rsidP="00A01967">
      <w:pPr>
        <w:pStyle w:val="Heading1"/>
      </w:pPr>
      <w:bookmarkStart w:id="18" w:name="_Toc217664745"/>
      <w:r>
        <w:lastRenderedPageBreak/>
        <w:t>References</w:t>
      </w:r>
      <w:bookmarkEnd w:id="18"/>
    </w:p>
    <w:p w14:paraId="3E435644" w14:textId="3E823BC7" w:rsidR="00A01967" w:rsidRDefault="00A01967" w:rsidP="00A44079">
      <w:pPr>
        <w:pStyle w:val="ListParagraph"/>
        <w:numPr>
          <w:ilvl w:val="0"/>
          <w:numId w:val="1"/>
        </w:numPr>
      </w:pPr>
      <w:proofErr w:type="spellStart"/>
      <w:r w:rsidRPr="00A01967">
        <w:t>Sargiotis</w:t>
      </w:r>
      <w:proofErr w:type="spellEnd"/>
      <w:r w:rsidRPr="00A01967">
        <w:t xml:space="preserve">, D. (2024) </w:t>
      </w:r>
      <w:r w:rsidRPr="00A44079">
        <w:rPr>
          <w:i/>
          <w:iCs/>
        </w:rPr>
        <w:t>Key principles of data governance: Building a strong foundation</w:t>
      </w:r>
      <w:r w:rsidRPr="00A01967">
        <w:t xml:space="preserve">. In: </w:t>
      </w:r>
      <w:r w:rsidRPr="00A44079">
        <w:rPr>
          <w:b/>
          <w:bCs/>
        </w:rPr>
        <w:t>Data Governance</w:t>
      </w:r>
      <w:r w:rsidRPr="00A01967">
        <w:t xml:space="preserve">. Cham: Springer, pp. 137–163. Available at: </w:t>
      </w:r>
      <w:hyperlink r:id="rId14" w:tgtFrame="_new" w:history="1">
        <w:r w:rsidRPr="00A01967">
          <w:rPr>
            <w:rStyle w:val="Hyperlink"/>
          </w:rPr>
          <w:t>https://link.springer.com/chapter/10.1007/978-3-031-67268-2_3</w:t>
        </w:r>
      </w:hyperlink>
      <w:r w:rsidRPr="00A01967">
        <w:t xml:space="preserve"> (Accessed: 24 December 2025).</w:t>
      </w:r>
    </w:p>
    <w:p w14:paraId="50B83549" w14:textId="5F8E5207" w:rsidR="00A01967" w:rsidRDefault="00A44079" w:rsidP="00A44079">
      <w:pPr>
        <w:pStyle w:val="ListParagraph"/>
        <w:numPr>
          <w:ilvl w:val="0"/>
          <w:numId w:val="1"/>
        </w:numPr>
      </w:pPr>
      <w:r w:rsidRPr="00A44079">
        <w:t xml:space="preserve">Naik, S. (2023) ‘Cloud-based data governance: Ensuring security, compliance, and privacy’, </w:t>
      </w:r>
      <w:r w:rsidRPr="00A44079">
        <w:rPr>
          <w:i/>
          <w:iCs/>
        </w:rPr>
        <w:t xml:space="preserve">The </w:t>
      </w:r>
      <w:proofErr w:type="spellStart"/>
      <w:r w:rsidRPr="00A44079">
        <w:rPr>
          <w:i/>
          <w:iCs/>
        </w:rPr>
        <w:t>Eastasouth</w:t>
      </w:r>
      <w:proofErr w:type="spellEnd"/>
      <w:r w:rsidRPr="00A44079">
        <w:rPr>
          <w:i/>
          <w:iCs/>
        </w:rPr>
        <w:t xml:space="preserve"> Journal of Information System and Computer Science</w:t>
      </w:r>
      <w:r w:rsidRPr="00A44079">
        <w:t xml:space="preserve">, 1(01), pp. 69–87. Available at: </w:t>
      </w:r>
      <w:hyperlink r:id="rId15" w:tgtFrame="_new" w:history="1">
        <w:r w:rsidRPr="00A44079">
          <w:rPr>
            <w:rStyle w:val="Hyperlink"/>
          </w:rPr>
          <w:t>https://doi.org/10.58812/esiscs.v1i01.452</w:t>
        </w:r>
      </w:hyperlink>
      <w:r w:rsidRPr="00A44079">
        <w:t xml:space="preserve"> (Accessed: 24 December 2025).</w:t>
      </w:r>
    </w:p>
    <w:p w14:paraId="7B816B01" w14:textId="5DFBC284" w:rsidR="00A44079" w:rsidRDefault="00A44079" w:rsidP="00A44079">
      <w:pPr>
        <w:pStyle w:val="ListParagraph"/>
        <w:numPr>
          <w:ilvl w:val="0"/>
          <w:numId w:val="1"/>
        </w:numPr>
      </w:pPr>
      <w:r w:rsidRPr="00A44079">
        <w:t xml:space="preserve">Osakwe, J. and </w:t>
      </w:r>
      <w:proofErr w:type="spellStart"/>
      <w:r w:rsidRPr="00A44079">
        <w:t>Haitula-Waiganjo</w:t>
      </w:r>
      <w:proofErr w:type="spellEnd"/>
      <w:r w:rsidRPr="00A44079">
        <w:t xml:space="preserve">, I. (2025) ‘Data security and compliance through effective data governance’, </w:t>
      </w:r>
      <w:r w:rsidRPr="00A44079">
        <w:rPr>
          <w:i/>
          <w:iCs/>
        </w:rPr>
        <w:t>International Journal of Information Security</w:t>
      </w:r>
      <w:r w:rsidRPr="00A44079">
        <w:t xml:space="preserve">, 4(1), pp. 69–97. Available at: </w:t>
      </w:r>
      <w:hyperlink r:id="rId16" w:history="1">
        <w:r w:rsidRPr="00503983">
          <w:rPr>
            <w:rStyle w:val="Hyperlink"/>
          </w:rPr>
          <w:t>https://doi.org/10.34218/IJIS_04_01_004</w:t>
        </w:r>
      </w:hyperlink>
      <w:r>
        <w:t>.</w:t>
      </w:r>
    </w:p>
    <w:p w14:paraId="35417E48" w14:textId="4B1425A4" w:rsidR="00A44079" w:rsidRDefault="00A44079" w:rsidP="00A44079">
      <w:pPr>
        <w:pStyle w:val="ListParagraph"/>
        <w:numPr>
          <w:ilvl w:val="0"/>
          <w:numId w:val="1"/>
        </w:numPr>
      </w:pPr>
      <w:r w:rsidRPr="00A44079">
        <w:t xml:space="preserve">Folorunso, A., Wada, I., Samuel, B. and Mohammed, V. (2024) ‘Security compliance and its implication for cybersecurity’, </w:t>
      </w:r>
      <w:r w:rsidRPr="00A44079">
        <w:rPr>
          <w:i/>
          <w:iCs/>
        </w:rPr>
        <w:t>World Journal of Advanced Research and Reviews</w:t>
      </w:r>
      <w:r w:rsidRPr="00A44079">
        <w:t xml:space="preserve">, 24(01), pp. </w:t>
      </w:r>
      <w:r w:rsidRPr="00A44079">
        <w:rPr>
          <w:b/>
          <w:bCs/>
        </w:rPr>
        <w:t>2105–2121</w:t>
      </w:r>
      <w:r w:rsidRPr="00A44079">
        <w:t xml:space="preserve">. Available at: </w:t>
      </w:r>
      <w:hyperlink r:id="rId17" w:history="1">
        <w:r w:rsidRPr="00503983">
          <w:rPr>
            <w:rStyle w:val="Hyperlink"/>
          </w:rPr>
          <w:t>https://doi.org/10.30574/wjarr.2024.24.1.3170</w:t>
        </w:r>
      </w:hyperlink>
      <w:r>
        <w:t>.</w:t>
      </w:r>
    </w:p>
    <w:p w14:paraId="3D39E329" w14:textId="739F4776" w:rsidR="00A44079" w:rsidRDefault="00A44079" w:rsidP="00A44079">
      <w:pPr>
        <w:pStyle w:val="ListParagraph"/>
        <w:numPr>
          <w:ilvl w:val="0"/>
          <w:numId w:val="1"/>
        </w:numPr>
      </w:pPr>
      <w:r w:rsidRPr="00A44079">
        <w:t xml:space="preserve">Sharma, A. K. and Sharma, R. (2025) ‘Data governance in the age of artificial intelligence: Challenges, best practices and regulatory compliance’, </w:t>
      </w:r>
      <w:r w:rsidRPr="00A44079">
        <w:rPr>
          <w:i/>
          <w:iCs/>
        </w:rPr>
        <w:t>Applied Marketing Analytics</w:t>
      </w:r>
      <w:r w:rsidRPr="00A44079">
        <w:t xml:space="preserve">, 10(4), pp. 390–403. Available at: </w:t>
      </w:r>
      <w:hyperlink r:id="rId18" w:history="1">
        <w:r w:rsidRPr="00503983">
          <w:rPr>
            <w:rStyle w:val="Hyperlink"/>
          </w:rPr>
          <w:t>https://doi.org/10.69554/XWHM1191</w:t>
        </w:r>
      </w:hyperlink>
      <w:r>
        <w:t>.</w:t>
      </w:r>
    </w:p>
    <w:p w14:paraId="7D210623" w14:textId="2618F77C" w:rsidR="00A44079" w:rsidRDefault="00A44079" w:rsidP="00A44079">
      <w:pPr>
        <w:pStyle w:val="ListParagraph"/>
        <w:numPr>
          <w:ilvl w:val="0"/>
          <w:numId w:val="1"/>
        </w:numPr>
      </w:pPr>
      <w:r w:rsidRPr="00A44079">
        <w:t xml:space="preserve">Ekundayo, T., Bhaumik, A. and </w:t>
      </w:r>
      <w:proofErr w:type="spellStart"/>
      <w:r w:rsidRPr="00A44079">
        <w:t>Chinoperekweyi</w:t>
      </w:r>
      <w:proofErr w:type="spellEnd"/>
      <w:r w:rsidRPr="00A44079">
        <w:t xml:space="preserve">, J. (2023) ‘Identifying the core data governance framework principle: A framework comparative analysis’, </w:t>
      </w:r>
      <w:r w:rsidRPr="00A44079">
        <w:rPr>
          <w:i/>
          <w:iCs/>
        </w:rPr>
        <w:t>Organization Leadership and Development Quarterly</w:t>
      </w:r>
      <w:r w:rsidRPr="00A44079">
        <w:t xml:space="preserve">, 5(1), pp. 30–54. Available at: </w:t>
      </w:r>
      <w:hyperlink r:id="rId19" w:tgtFrame="_new" w:history="1">
        <w:r w:rsidRPr="00A44079">
          <w:rPr>
            <w:rStyle w:val="Hyperlink"/>
          </w:rPr>
          <w:t>https://www.researchgate.net/publication/366759618_Identifying_The_Core_Data_Governance_Framework_Principle_A_Framework_Comparative_Analysis</w:t>
        </w:r>
      </w:hyperlink>
      <w:r w:rsidRPr="00A44079">
        <w:t xml:space="preserve"> (Accessed: 24 December 2025).</w:t>
      </w:r>
    </w:p>
    <w:p w14:paraId="01DDFD3C" w14:textId="1AD1137D" w:rsidR="00A44079" w:rsidRDefault="00A44079" w:rsidP="00A44079">
      <w:pPr>
        <w:pStyle w:val="ListParagraph"/>
        <w:numPr>
          <w:ilvl w:val="0"/>
          <w:numId w:val="1"/>
        </w:numPr>
      </w:pPr>
      <w:proofErr w:type="spellStart"/>
      <w:r w:rsidRPr="00A44079">
        <w:t>Oluoha</w:t>
      </w:r>
      <w:proofErr w:type="spellEnd"/>
      <w:r w:rsidRPr="00A44079">
        <w:t xml:space="preserve">, O. M., </w:t>
      </w:r>
      <w:proofErr w:type="spellStart"/>
      <w:r w:rsidRPr="00A44079">
        <w:t>Odeshina</w:t>
      </w:r>
      <w:proofErr w:type="spellEnd"/>
      <w:r w:rsidRPr="00A44079">
        <w:t xml:space="preserve">, A., Reis, O., </w:t>
      </w:r>
      <w:proofErr w:type="spellStart"/>
      <w:r w:rsidRPr="00A44079">
        <w:t>Okpeke</w:t>
      </w:r>
      <w:proofErr w:type="spellEnd"/>
      <w:r w:rsidRPr="00A44079">
        <w:t xml:space="preserve">, F., Attipoe, V. and </w:t>
      </w:r>
      <w:proofErr w:type="spellStart"/>
      <w:r w:rsidRPr="00A44079">
        <w:t>Orieno</w:t>
      </w:r>
      <w:proofErr w:type="spellEnd"/>
      <w:r w:rsidRPr="00A44079">
        <w:t xml:space="preserve">, O. H. (2023) ‘A privacy-first framework for data protection and compliance assurance in digital ecosystems’, </w:t>
      </w:r>
      <w:r w:rsidRPr="00A44079">
        <w:rPr>
          <w:i/>
          <w:iCs/>
        </w:rPr>
        <w:t>IRE Journals: IRE Transactions on Computer Science and Engineering</w:t>
      </w:r>
      <w:r w:rsidRPr="00A44079">
        <w:t xml:space="preserve">, 7(4), pp. 620–640. Available at: </w:t>
      </w:r>
      <w:hyperlink r:id="rId20" w:tgtFrame="_new" w:history="1">
        <w:r w:rsidRPr="00A44079">
          <w:rPr>
            <w:rStyle w:val="Hyperlink"/>
          </w:rPr>
          <w:t>https://www.researchgate.net/publication/395415430_A_Privacy-First_Framework_for_Data_Protection_and_Compliance_Assurance_in_Digital_Ecosystems</w:t>
        </w:r>
      </w:hyperlink>
      <w:r w:rsidRPr="00A44079">
        <w:t xml:space="preserve"> (Accessed: 24 December 2025).</w:t>
      </w:r>
    </w:p>
    <w:p w14:paraId="27DCE0B2" w14:textId="2CAC7EEB" w:rsidR="00A44079" w:rsidRDefault="00A44079" w:rsidP="00A44079">
      <w:pPr>
        <w:pStyle w:val="ListParagraph"/>
        <w:numPr>
          <w:ilvl w:val="0"/>
          <w:numId w:val="1"/>
        </w:numPr>
      </w:pPr>
      <w:proofErr w:type="spellStart"/>
      <w:r w:rsidRPr="00A44079">
        <w:lastRenderedPageBreak/>
        <w:t>Sargiotis</w:t>
      </w:r>
      <w:proofErr w:type="spellEnd"/>
      <w:r w:rsidRPr="00A44079">
        <w:t xml:space="preserve">, D. (2024) ‘Data governance policies and standards: Development and implementation’, in </w:t>
      </w:r>
      <w:r w:rsidRPr="00A44079">
        <w:rPr>
          <w:i/>
          <w:iCs/>
        </w:rPr>
        <w:t>Data Governance: A Guide</w:t>
      </w:r>
      <w:r w:rsidRPr="00A44079">
        <w:t xml:space="preserve">. Cham: Springer, pp. 247–277. Available at: </w:t>
      </w:r>
      <w:hyperlink r:id="rId21" w:tgtFrame="_new" w:history="1">
        <w:r w:rsidRPr="00A44079">
          <w:rPr>
            <w:rStyle w:val="Hyperlink"/>
          </w:rPr>
          <w:t>https://link.springer.com/chapter/10.1007/978-3-031-67268-2_7</w:t>
        </w:r>
      </w:hyperlink>
      <w:r w:rsidRPr="00A44079">
        <w:t xml:space="preserve"> (Accessed: 24 December 2025).</w:t>
      </w:r>
    </w:p>
    <w:p w14:paraId="355EAF3B" w14:textId="6F04C611" w:rsidR="00A44079" w:rsidRDefault="00B52A02" w:rsidP="00A44079">
      <w:pPr>
        <w:pStyle w:val="ListParagraph"/>
        <w:numPr>
          <w:ilvl w:val="0"/>
          <w:numId w:val="1"/>
        </w:numPr>
      </w:pPr>
      <w:r w:rsidRPr="00B52A02">
        <w:t xml:space="preserve">Nayak, R., </w:t>
      </w:r>
      <w:proofErr w:type="spellStart"/>
      <w:r w:rsidRPr="00B52A02">
        <w:t>Ghugar</w:t>
      </w:r>
      <w:proofErr w:type="spellEnd"/>
      <w:r w:rsidRPr="00B52A02">
        <w:t xml:space="preserve">, U., Gupta, P., Dash, S. and Gupta, N. (2025) ‘Data privacy and compliance in information security’, in </w:t>
      </w:r>
      <w:r w:rsidRPr="00B52A02">
        <w:rPr>
          <w:i/>
          <w:iCs/>
        </w:rPr>
        <w:t>Securing the Digital Frontier: Threats and Advanced Techniques in Security and Forensics</w:t>
      </w:r>
      <w:r w:rsidRPr="00B52A02">
        <w:t>, edited by K. Sharma, V. Sharma, P. Nand, A. K. Sagar and G. Shrivastava. Wiley</w:t>
      </w:r>
      <w:r w:rsidRPr="00B52A02">
        <w:noBreakHyphen/>
        <w:t xml:space="preserve">VCH Verlag, pp. 17–33. Available at: </w:t>
      </w:r>
      <w:hyperlink r:id="rId22" w:tgtFrame="_new" w:history="1">
        <w:r w:rsidRPr="00B52A02">
          <w:rPr>
            <w:rStyle w:val="Hyperlink"/>
          </w:rPr>
          <w:t>https://doi.org/10.1002/9781394268917.ch2</w:t>
        </w:r>
      </w:hyperlink>
      <w:r w:rsidRPr="00B52A02">
        <w:t xml:space="preserve"> (Accessed: 24 December 2025).</w:t>
      </w:r>
    </w:p>
    <w:p w14:paraId="17A1FF89" w14:textId="5B2FDFC2" w:rsidR="00A44079" w:rsidRDefault="00B52A02" w:rsidP="00A01967">
      <w:pPr>
        <w:pStyle w:val="ListParagraph"/>
        <w:numPr>
          <w:ilvl w:val="0"/>
          <w:numId w:val="1"/>
        </w:numPr>
      </w:pPr>
      <w:proofErr w:type="spellStart"/>
      <w:r w:rsidRPr="00B52A02">
        <w:t>Sargiotis</w:t>
      </w:r>
      <w:proofErr w:type="spellEnd"/>
      <w:r w:rsidRPr="00B52A02">
        <w:t xml:space="preserve">, D. (2024) ‘Legal and regulatory considerations in data governance’, in </w:t>
      </w:r>
      <w:r w:rsidRPr="00B52A02">
        <w:rPr>
          <w:i/>
          <w:iCs/>
        </w:rPr>
        <w:t>Data Governance: A Guide</w:t>
      </w:r>
      <w:r w:rsidRPr="00B52A02">
        <w:t xml:space="preserve">. Cham: Springer, pp. 445–466. Available at: </w:t>
      </w:r>
      <w:hyperlink r:id="rId23" w:tgtFrame="_new" w:history="1">
        <w:r w:rsidRPr="00B52A02">
          <w:rPr>
            <w:rStyle w:val="Hyperlink"/>
          </w:rPr>
          <w:t>https://link.springer.com/chapter/10.1007/978-3-031-67268-2_15</w:t>
        </w:r>
      </w:hyperlink>
      <w:r w:rsidRPr="00B52A02">
        <w:t xml:space="preserve"> (Accessed: 24 December 2025)</w:t>
      </w:r>
      <w:r w:rsidR="00561916">
        <w:t>.</w:t>
      </w:r>
    </w:p>
    <w:p w14:paraId="04442036" w14:textId="331BC3A2" w:rsidR="00561916" w:rsidRDefault="00561916" w:rsidP="00A01967">
      <w:pPr>
        <w:pStyle w:val="ListParagraph"/>
        <w:numPr>
          <w:ilvl w:val="0"/>
          <w:numId w:val="1"/>
        </w:numPr>
      </w:pPr>
      <w:r w:rsidRPr="00561916">
        <w:t>Al-</w:t>
      </w:r>
      <w:proofErr w:type="spellStart"/>
      <w:r w:rsidRPr="00561916">
        <w:t>Ashmoery</w:t>
      </w:r>
      <w:proofErr w:type="spellEnd"/>
      <w:r w:rsidRPr="00561916">
        <w:t xml:space="preserve">, Y., Haider, H., Haider, A., Nasser, N. and Al-Sarem, M. (2021) ‘Impact of IT service management and ITIL framework on the businesses’, in </w:t>
      </w:r>
      <w:r w:rsidRPr="00561916">
        <w:rPr>
          <w:i/>
          <w:iCs/>
        </w:rPr>
        <w:t>2021 International Conference of Modern Trends in Information and Communication Technology Industry (MTICTI)</w:t>
      </w:r>
      <w:r w:rsidRPr="00561916">
        <w:t>. Sana’a, Yemen: IEEE, pp. 1–6.</w:t>
      </w:r>
      <w:r>
        <w:t xml:space="preserve"> </w:t>
      </w:r>
      <w:r w:rsidRPr="00561916">
        <w:rPr>
          <w:b/>
          <w:bCs/>
        </w:rPr>
        <w:t>DOI: </w:t>
      </w:r>
      <w:hyperlink r:id="rId24" w:tgtFrame="_blank" w:history="1">
        <w:r w:rsidRPr="00561916">
          <w:rPr>
            <w:rStyle w:val="Hyperlink"/>
          </w:rPr>
          <w:t>10.1109/MTICTI53925.2021.9664763</w:t>
        </w:r>
      </w:hyperlink>
      <w:r>
        <w:t>.</w:t>
      </w:r>
    </w:p>
    <w:p w14:paraId="17AE2CE6" w14:textId="54DF615C" w:rsidR="00561916" w:rsidRDefault="00561916" w:rsidP="00A01967">
      <w:pPr>
        <w:pStyle w:val="ListParagraph"/>
        <w:numPr>
          <w:ilvl w:val="0"/>
          <w:numId w:val="1"/>
        </w:numPr>
      </w:pPr>
      <w:r w:rsidRPr="00561916">
        <w:t xml:space="preserve">Lopes, S., Leite, P., Carvalho, S. and Teixeira, P. (2024) ‘Using ITIL as part of the NIST Cybersecurity Framework’, in </w:t>
      </w:r>
      <w:r w:rsidRPr="00561916">
        <w:rPr>
          <w:i/>
          <w:iCs/>
        </w:rPr>
        <w:t>2024 12th International Symposium on Digital Forensics and Security (ISDFS)</w:t>
      </w:r>
      <w:r w:rsidRPr="00561916">
        <w:t>. San Antonio, TX, USA: IEEE, pp. 1–7.</w:t>
      </w:r>
      <w:r w:rsidRPr="00561916">
        <w:rPr>
          <w:b/>
          <w:bCs/>
        </w:rPr>
        <w:t xml:space="preserve"> DOI: </w:t>
      </w:r>
      <w:hyperlink r:id="rId25" w:tgtFrame="_blank" w:history="1">
        <w:r w:rsidRPr="00561916">
          <w:rPr>
            <w:rStyle w:val="Hyperlink"/>
          </w:rPr>
          <w:t>10.1109/ISDFS60797.2024.10527256</w:t>
        </w:r>
      </w:hyperlink>
      <w:r>
        <w:t>.</w:t>
      </w:r>
    </w:p>
    <w:p w14:paraId="639E0C7F" w14:textId="48C2CBE6" w:rsidR="00561916" w:rsidRDefault="00561916" w:rsidP="00A01967">
      <w:pPr>
        <w:pStyle w:val="ListParagraph"/>
        <w:numPr>
          <w:ilvl w:val="0"/>
          <w:numId w:val="1"/>
        </w:numPr>
      </w:pPr>
      <w:r w:rsidRPr="00561916">
        <w:t xml:space="preserve">Rusman, A., </w:t>
      </w:r>
      <w:proofErr w:type="spellStart"/>
      <w:r w:rsidRPr="00561916">
        <w:t>Nadlifatin</w:t>
      </w:r>
      <w:proofErr w:type="spellEnd"/>
      <w:r w:rsidRPr="00561916">
        <w:t xml:space="preserve">, R. and </w:t>
      </w:r>
      <w:proofErr w:type="spellStart"/>
      <w:r w:rsidRPr="00561916">
        <w:t>Subriadi</w:t>
      </w:r>
      <w:proofErr w:type="spellEnd"/>
      <w:r w:rsidRPr="00561916">
        <w:t xml:space="preserve">, A.P. (2022) ‘Information system audit using COBIT and ITIL framework: Literature review’, </w:t>
      </w:r>
      <w:proofErr w:type="spellStart"/>
      <w:proofErr w:type="gramStart"/>
      <w:r w:rsidRPr="00561916">
        <w:rPr>
          <w:i/>
          <w:iCs/>
        </w:rPr>
        <w:t>Sinkron</w:t>
      </w:r>
      <w:proofErr w:type="spellEnd"/>
      <w:r w:rsidRPr="00561916">
        <w:rPr>
          <w:i/>
          <w:iCs/>
        </w:rPr>
        <w:t xml:space="preserve"> :</w:t>
      </w:r>
      <w:proofErr w:type="gramEnd"/>
      <w:r w:rsidRPr="00561916">
        <w:rPr>
          <w:i/>
          <w:iCs/>
        </w:rPr>
        <w:t xml:space="preserve"> </w:t>
      </w:r>
      <w:proofErr w:type="spellStart"/>
      <w:r w:rsidRPr="00561916">
        <w:rPr>
          <w:i/>
          <w:iCs/>
        </w:rPr>
        <w:t>Jurnal</w:t>
      </w:r>
      <w:proofErr w:type="spellEnd"/>
      <w:r w:rsidRPr="00561916">
        <w:rPr>
          <w:i/>
          <w:iCs/>
        </w:rPr>
        <w:t xml:space="preserve"> dan </w:t>
      </w:r>
      <w:proofErr w:type="spellStart"/>
      <w:r w:rsidRPr="00561916">
        <w:rPr>
          <w:i/>
          <w:iCs/>
        </w:rPr>
        <w:t>Penelitian</w:t>
      </w:r>
      <w:proofErr w:type="spellEnd"/>
      <w:r w:rsidRPr="00561916">
        <w:rPr>
          <w:i/>
          <w:iCs/>
        </w:rPr>
        <w:t xml:space="preserve"> Teknik </w:t>
      </w:r>
      <w:proofErr w:type="spellStart"/>
      <w:r w:rsidRPr="00561916">
        <w:rPr>
          <w:i/>
          <w:iCs/>
        </w:rPr>
        <w:t>Informatika</w:t>
      </w:r>
      <w:proofErr w:type="spellEnd"/>
      <w:r w:rsidRPr="00561916">
        <w:t xml:space="preserve">, 6(3), pp. 799–810. Available at: </w:t>
      </w:r>
      <w:hyperlink r:id="rId26" w:tgtFrame="_new" w:history="1">
        <w:r w:rsidRPr="00561916">
          <w:rPr>
            <w:rStyle w:val="Hyperlink"/>
          </w:rPr>
          <w:t>https://www.jurnal.polgan.ac.id/index.php/sinkron/article/view/11476</w:t>
        </w:r>
      </w:hyperlink>
      <w:r w:rsidRPr="00561916">
        <w:t xml:space="preserve"> (Accessed: 24 December 2025).</w:t>
      </w:r>
    </w:p>
    <w:p w14:paraId="7140C073" w14:textId="77777777" w:rsidR="00561916" w:rsidRDefault="00561916" w:rsidP="00A01967">
      <w:pPr>
        <w:pStyle w:val="ListParagraph"/>
        <w:numPr>
          <w:ilvl w:val="0"/>
          <w:numId w:val="1"/>
        </w:numPr>
      </w:pPr>
      <w:r w:rsidRPr="00561916">
        <w:t xml:space="preserve">Ernawati, Y. and Wang, G. (2023) ‘Assessing IT services management with ITIL framework V3: A case study’, </w:t>
      </w:r>
      <w:r w:rsidRPr="00561916">
        <w:rPr>
          <w:i/>
          <w:iCs/>
        </w:rPr>
        <w:t>Journal of System and Management Sciences</w:t>
      </w:r>
      <w:r w:rsidRPr="00561916">
        <w:t xml:space="preserve">, 13(4), pp. 152–164. </w:t>
      </w:r>
      <w:proofErr w:type="spellStart"/>
      <w:r w:rsidRPr="00561916">
        <w:t>doi</w:t>
      </w:r>
      <w:proofErr w:type="spellEnd"/>
      <w:r w:rsidRPr="00561916">
        <w:t>: 10.33168/JSMS.2023.0409.</w:t>
      </w:r>
    </w:p>
    <w:p w14:paraId="3313BA6D" w14:textId="508A0BA9" w:rsidR="00561916" w:rsidRDefault="00561916" w:rsidP="00A01967">
      <w:pPr>
        <w:pStyle w:val="ListParagraph"/>
        <w:numPr>
          <w:ilvl w:val="0"/>
          <w:numId w:val="1"/>
        </w:numPr>
      </w:pPr>
      <w:r w:rsidRPr="00561916">
        <w:t xml:space="preserve">Metin, B., Sevim, S.B. and Wynn, M. (2025) ‘Cybersecurity strategy development: Towards an integrated approach based on COBIT and ISO 27000 series standards’, </w:t>
      </w:r>
      <w:r w:rsidRPr="00561916">
        <w:rPr>
          <w:i/>
          <w:iCs/>
        </w:rPr>
        <w:lastRenderedPageBreak/>
        <w:t>Standards</w:t>
      </w:r>
      <w:r w:rsidRPr="00561916">
        <w:t xml:space="preserve">, 5(4), p. 33. Available at: </w:t>
      </w:r>
      <w:hyperlink r:id="rId27" w:tgtFrame="_new" w:history="1">
        <w:r w:rsidRPr="00561916">
          <w:rPr>
            <w:rStyle w:val="Hyperlink"/>
          </w:rPr>
          <w:t>https://www.mdpi.com/2305-6703/5/4/33</w:t>
        </w:r>
      </w:hyperlink>
      <w:r w:rsidRPr="00561916">
        <w:t xml:space="preserve"> (Accessed: 24 December 2025).</w:t>
      </w:r>
    </w:p>
    <w:p w14:paraId="5DFFFFB2" w14:textId="315BD13D" w:rsidR="00561916" w:rsidRDefault="00561916" w:rsidP="00A01967">
      <w:pPr>
        <w:pStyle w:val="ListParagraph"/>
        <w:numPr>
          <w:ilvl w:val="0"/>
          <w:numId w:val="1"/>
        </w:numPr>
      </w:pPr>
      <w:r w:rsidRPr="00561916">
        <w:t xml:space="preserve">Koza, E. (2022) ‘Semantic analysis of ISO/IEC 27000 standard series and NIST Cybersecurity Framework to outline differences and consistencies in the context of operational and strategic information security’, </w:t>
      </w:r>
      <w:proofErr w:type="spellStart"/>
      <w:r w:rsidRPr="00561916">
        <w:rPr>
          <w:i/>
          <w:iCs/>
        </w:rPr>
        <w:t>Medicon</w:t>
      </w:r>
      <w:proofErr w:type="spellEnd"/>
      <w:r w:rsidRPr="00561916">
        <w:rPr>
          <w:i/>
          <w:iCs/>
        </w:rPr>
        <w:t xml:space="preserve"> Engineering Themes</w:t>
      </w:r>
      <w:r w:rsidRPr="00561916">
        <w:t xml:space="preserve">, 2(3), pp. 26–39. Available at: </w:t>
      </w:r>
      <w:hyperlink r:id="rId28" w:tgtFrame="_new" w:history="1">
        <w:r w:rsidRPr="00561916">
          <w:rPr>
            <w:rStyle w:val="Hyperlink"/>
          </w:rPr>
          <w:t>https://themedicon.com/pdf/engineeringthemes/MCET-02-021.pdf</w:t>
        </w:r>
      </w:hyperlink>
      <w:r w:rsidRPr="00561916">
        <w:t xml:space="preserve"> (Accessed: 24 December 2025).</w:t>
      </w:r>
    </w:p>
    <w:p w14:paraId="4057783E" w14:textId="07A5B27E" w:rsidR="00561916" w:rsidRDefault="00561916" w:rsidP="00A01967">
      <w:pPr>
        <w:pStyle w:val="ListParagraph"/>
        <w:numPr>
          <w:ilvl w:val="0"/>
          <w:numId w:val="1"/>
        </w:numPr>
      </w:pPr>
      <w:r w:rsidRPr="00561916">
        <w:t xml:space="preserve">Verdugo, J., Rodríguez, M., Oviedo, J. and </w:t>
      </w:r>
      <w:proofErr w:type="spellStart"/>
      <w:r w:rsidRPr="00561916">
        <w:t>Piattini</w:t>
      </w:r>
      <w:proofErr w:type="spellEnd"/>
      <w:r w:rsidRPr="00561916">
        <w:t xml:space="preserve">, M. (2023) ‘Data cybersecurity evaluation with ISO/IEC 25012’, </w:t>
      </w:r>
      <w:proofErr w:type="spellStart"/>
      <w:r w:rsidRPr="00561916">
        <w:rPr>
          <w:i/>
          <w:iCs/>
        </w:rPr>
        <w:t>RUIdeRA</w:t>
      </w:r>
      <w:proofErr w:type="spellEnd"/>
      <w:r w:rsidRPr="00561916">
        <w:rPr>
          <w:i/>
          <w:iCs/>
        </w:rPr>
        <w:t xml:space="preserve"> UCLM Repository</w:t>
      </w:r>
      <w:r w:rsidRPr="00561916">
        <w:t xml:space="preserve">. Available at: </w:t>
      </w:r>
      <w:hyperlink r:id="rId29" w:tgtFrame="_new" w:history="1">
        <w:r w:rsidRPr="00561916">
          <w:rPr>
            <w:rStyle w:val="Hyperlink"/>
          </w:rPr>
          <w:t>https://ruidera.uclm.es/server/api/core/bitstreams/f2fca29a-91ab-4730-ad88-c2d0f38ea23a/content</w:t>
        </w:r>
      </w:hyperlink>
      <w:r w:rsidRPr="00561916">
        <w:t xml:space="preserve"> (Accessed: 24 December 2025).</w:t>
      </w:r>
    </w:p>
    <w:p w14:paraId="319E30EB" w14:textId="47BEE0FC" w:rsidR="00561916" w:rsidRDefault="00561916" w:rsidP="00A01967">
      <w:pPr>
        <w:pStyle w:val="ListParagraph"/>
        <w:numPr>
          <w:ilvl w:val="0"/>
          <w:numId w:val="1"/>
        </w:numPr>
      </w:pPr>
      <w:r w:rsidRPr="00561916">
        <w:t xml:space="preserve">Kostulak, A. (2023) ‘ISO/IEC 27000 certification impact on the effectiveness of managing an educational organization’, </w:t>
      </w:r>
      <w:r w:rsidRPr="00561916">
        <w:rPr>
          <w:i/>
          <w:iCs/>
        </w:rPr>
        <w:t>Proceedings of the 42nd International Business Information Management Association Conference (IBIMA 2023)</w:t>
      </w:r>
      <w:r w:rsidRPr="00561916">
        <w:t xml:space="preserve">, pp. 1625–1629. Available at: </w:t>
      </w:r>
      <w:hyperlink r:id="rId30" w:tgtFrame="_new" w:history="1">
        <w:r w:rsidRPr="00561916">
          <w:rPr>
            <w:rStyle w:val="Hyperlink"/>
          </w:rPr>
          <w:t>https://repozytorium.bg.ug.edu.pl/info/article/UOGcc27f513f7a74da382493a5d656e9859/</w:t>
        </w:r>
      </w:hyperlink>
      <w:r w:rsidRPr="00561916">
        <w:t xml:space="preserve"> (Accessed: 24 December 2025).</w:t>
      </w:r>
    </w:p>
    <w:p w14:paraId="17CF8F7C" w14:textId="6C0A448E" w:rsidR="00561916" w:rsidRDefault="00561916" w:rsidP="00A01967">
      <w:pPr>
        <w:pStyle w:val="ListParagraph"/>
        <w:numPr>
          <w:ilvl w:val="0"/>
          <w:numId w:val="1"/>
        </w:numPr>
      </w:pPr>
      <w:r w:rsidRPr="00561916">
        <w:t xml:space="preserve">Junaid, T. (2023) </w:t>
      </w:r>
      <w:r w:rsidRPr="00561916">
        <w:rPr>
          <w:i/>
          <w:iCs/>
        </w:rPr>
        <w:t>ISO 27001: Information Security Management Systems</w:t>
      </w:r>
      <w:r w:rsidRPr="00561916">
        <w:t xml:space="preserve">. ResearchGate. Available at: </w:t>
      </w:r>
      <w:hyperlink r:id="rId31" w:tgtFrame="_new" w:history="1">
        <w:r w:rsidRPr="00561916">
          <w:rPr>
            <w:rStyle w:val="Hyperlink"/>
          </w:rPr>
          <w:t>https://www.researchgate.net/publication/367166657_ISO_27001_Information_Security_Management_Systems</w:t>
        </w:r>
      </w:hyperlink>
      <w:r w:rsidRPr="00561916">
        <w:t xml:space="preserve"> (Accessed: 24 December 2025).</w:t>
      </w:r>
    </w:p>
    <w:p w14:paraId="305B8208" w14:textId="0C4A5645" w:rsidR="00561916" w:rsidRDefault="00561916" w:rsidP="00A01967">
      <w:pPr>
        <w:pStyle w:val="ListParagraph"/>
        <w:numPr>
          <w:ilvl w:val="0"/>
          <w:numId w:val="1"/>
        </w:numPr>
      </w:pPr>
      <w:r w:rsidRPr="00561916">
        <w:t xml:space="preserve">Möller, D.P.F. (2023) ‘NIST Cybersecurity Framework and MITRE Cybersecurity Criteria’, in </w:t>
      </w:r>
      <w:r w:rsidRPr="00561916">
        <w:rPr>
          <w:i/>
          <w:iCs/>
        </w:rPr>
        <w:t>Guide to Cybersecurity in Digital Transformation</w:t>
      </w:r>
      <w:r w:rsidRPr="00561916">
        <w:t xml:space="preserve">. Cham: Springer, pp. 231–271. Available at: </w:t>
      </w:r>
      <w:hyperlink r:id="rId32" w:history="1">
        <w:r w:rsidRPr="00503983">
          <w:rPr>
            <w:rStyle w:val="Hyperlink"/>
          </w:rPr>
          <w:t>https://doi.org/10.1007/978-3-031-26845-8_5</w:t>
        </w:r>
      </w:hyperlink>
      <w:r>
        <w:t>.</w:t>
      </w:r>
    </w:p>
    <w:p w14:paraId="5FC9AAA7" w14:textId="4B179493" w:rsidR="00561916" w:rsidRDefault="009F2870" w:rsidP="00A01967">
      <w:pPr>
        <w:pStyle w:val="ListParagraph"/>
        <w:numPr>
          <w:ilvl w:val="0"/>
          <w:numId w:val="1"/>
        </w:numPr>
      </w:pPr>
      <w:proofErr w:type="spellStart"/>
      <w:r w:rsidRPr="009F2870">
        <w:t>Safitri</w:t>
      </w:r>
      <w:proofErr w:type="spellEnd"/>
      <w:r w:rsidRPr="009F2870">
        <w:t xml:space="preserve">, D. (2021) ‘Measuring the performance of information systems’, </w:t>
      </w:r>
      <w:r w:rsidRPr="009F2870">
        <w:rPr>
          <w:i/>
          <w:iCs/>
        </w:rPr>
        <w:t>International Journal of Computer Applications</w:t>
      </w:r>
      <w:r w:rsidRPr="009F2870">
        <w:t xml:space="preserve">, 175(3), pp. 1–7. Available at: </w:t>
      </w:r>
      <w:hyperlink r:id="rId33" w:tgtFrame="_new" w:history="1">
        <w:r w:rsidRPr="009F2870">
          <w:rPr>
            <w:rStyle w:val="Hyperlink"/>
          </w:rPr>
          <w:t>https://d1wqtxts1xzle7.cloudfront.net/95369822/safitri-2021-ijca-921253-libre.pdf</w:t>
        </w:r>
      </w:hyperlink>
      <w:r w:rsidRPr="009F2870">
        <w:t xml:space="preserve"> (Accessed: 24 December 2025).</w:t>
      </w:r>
    </w:p>
    <w:p w14:paraId="666BEF39" w14:textId="7CDE4D1C" w:rsidR="009F2870" w:rsidRDefault="009F2870" w:rsidP="00A01967">
      <w:pPr>
        <w:pStyle w:val="ListParagraph"/>
        <w:numPr>
          <w:ilvl w:val="0"/>
          <w:numId w:val="1"/>
        </w:numPr>
      </w:pPr>
      <w:r w:rsidRPr="009F2870">
        <w:t xml:space="preserve">Parmar, M. and Miles, A. (2024) ‘Cyber Security Frameworks (CSFs): An assessment between the NIST CSF v2.0 and EU standards’, in </w:t>
      </w:r>
      <w:r w:rsidRPr="009F2870">
        <w:rPr>
          <w:i/>
          <w:iCs/>
        </w:rPr>
        <w:t>2024 Security for Space Systems (3S)</w:t>
      </w:r>
      <w:r w:rsidRPr="009F2870">
        <w:t xml:space="preserve">. IEEE, </w:t>
      </w:r>
      <w:proofErr w:type="spellStart"/>
      <w:r w:rsidRPr="009F2870">
        <w:t>Noordwijk</w:t>
      </w:r>
      <w:proofErr w:type="spellEnd"/>
      <w:r w:rsidRPr="009F2870">
        <w:t xml:space="preserve">, Netherlands, 27–28 May. </w:t>
      </w:r>
      <w:proofErr w:type="spellStart"/>
      <w:r w:rsidRPr="009F2870">
        <w:t>doi</w:t>
      </w:r>
      <w:proofErr w:type="spellEnd"/>
      <w:r w:rsidRPr="009F2870">
        <w:t xml:space="preserve">: 10.23919/3S60530.2024.10592293. </w:t>
      </w:r>
      <w:r w:rsidRPr="009F2870">
        <w:lastRenderedPageBreak/>
        <w:t xml:space="preserve">Available at: </w:t>
      </w:r>
      <w:hyperlink r:id="rId34" w:tgtFrame="_new" w:history="1">
        <w:r w:rsidRPr="009F2870">
          <w:rPr>
            <w:rStyle w:val="Hyperlink"/>
          </w:rPr>
          <w:t>https://ieeexplore.ieee.org/abstract/document/10592293/</w:t>
        </w:r>
      </w:hyperlink>
      <w:r w:rsidRPr="009F2870">
        <w:t xml:space="preserve"> (Accessed: 24 December 2025).</w:t>
      </w:r>
    </w:p>
    <w:p w14:paraId="34C9DDB0" w14:textId="180682ED" w:rsidR="009F2870" w:rsidRDefault="009F2870" w:rsidP="00A01967">
      <w:pPr>
        <w:pStyle w:val="ListParagraph"/>
        <w:numPr>
          <w:ilvl w:val="0"/>
          <w:numId w:val="1"/>
        </w:numPr>
      </w:pPr>
      <w:r w:rsidRPr="009F2870">
        <w:t xml:space="preserve">White, G.B. and </w:t>
      </w:r>
      <w:proofErr w:type="spellStart"/>
      <w:r w:rsidRPr="009F2870">
        <w:t>Sjelin</w:t>
      </w:r>
      <w:proofErr w:type="spellEnd"/>
      <w:r w:rsidRPr="009F2870">
        <w:t xml:space="preserve">, N. (2022) ‘The NIST Cybersecurity Framework’, in </w:t>
      </w:r>
      <w:r w:rsidRPr="009F2870">
        <w:rPr>
          <w:i/>
          <w:iCs/>
        </w:rPr>
        <w:t>Research Anthology on Business Aspects of Cybersecurity</w:t>
      </w:r>
      <w:r w:rsidRPr="009F2870">
        <w:t xml:space="preserve">. IGI Global, pp. 17–34. </w:t>
      </w:r>
      <w:proofErr w:type="spellStart"/>
      <w:r w:rsidRPr="009F2870">
        <w:t>doi</w:t>
      </w:r>
      <w:proofErr w:type="spellEnd"/>
      <w:r w:rsidRPr="009F2870">
        <w:t xml:space="preserve">: </w:t>
      </w:r>
      <w:hyperlink r:id="rId35" w:tgtFrame="_new" w:history="1">
        <w:r w:rsidRPr="009F2870">
          <w:rPr>
            <w:rStyle w:val="Hyperlink"/>
          </w:rPr>
          <w:t>https://www.igi-global.com/chapter/the-nist-cybersecurity-framework/288672</w:t>
        </w:r>
      </w:hyperlink>
      <w:r w:rsidRPr="009F2870">
        <w:t xml:space="preserve"> (Accessed: 24 December 2025).</w:t>
      </w:r>
    </w:p>
    <w:p w14:paraId="06DEE8A9" w14:textId="497C299E" w:rsidR="009F2870" w:rsidRDefault="009F2870" w:rsidP="00A01967">
      <w:pPr>
        <w:pStyle w:val="ListParagraph"/>
        <w:numPr>
          <w:ilvl w:val="0"/>
          <w:numId w:val="1"/>
        </w:numPr>
      </w:pPr>
      <w:proofErr w:type="spellStart"/>
      <w:r w:rsidRPr="009F2870">
        <w:t>Khaleefah</w:t>
      </w:r>
      <w:proofErr w:type="spellEnd"/>
      <w:r w:rsidRPr="009F2870">
        <w:t xml:space="preserve">, A.D. and Al-Mashhadi, H.M. (2024) ‘Methodologies, requirements, and challenges of cybersecurity frameworks: A review’, </w:t>
      </w:r>
      <w:r w:rsidRPr="009F2870">
        <w:rPr>
          <w:i/>
          <w:iCs/>
        </w:rPr>
        <w:t>Iraqi Journal of Science</w:t>
      </w:r>
      <w:r w:rsidRPr="009F2870">
        <w:t xml:space="preserve">, 65(1), pp. 468–486. </w:t>
      </w:r>
      <w:proofErr w:type="spellStart"/>
      <w:r w:rsidRPr="009F2870">
        <w:t>doi</w:t>
      </w:r>
      <w:proofErr w:type="spellEnd"/>
      <w:r w:rsidRPr="009F2870">
        <w:t xml:space="preserve">: 10.24996/ijs.2024.65.1.38. Available at: </w:t>
      </w:r>
      <w:hyperlink r:id="rId36" w:tgtFrame="_new" w:history="1">
        <w:r w:rsidRPr="009F2870">
          <w:rPr>
            <w:rStyle w:val="Hyperlink"/>
          </w:rPr>
          <w:t>https://ijs.uobaghdad.edu.iq/index.php/eijs/article/view/8388</w:t>
        </w:r>
      </w:hyperlink>
      <w:r w:rsidRPr="009F2870">
        <w:t xml:space="preserve"> (Accessed: 24 December 2025).</w:t>
      </w:r>
    </w:p>
    <w:p w14:paraId="22735EBB" w14:textId="68BC39E9" w:rsidR="009F2870" w:rsidRDefault="009F2870" w:rsidP="00A01967">
      <w:pPr>
        <w:pStyle w:val="ListParagraph"/>
        <w:numPr>
          <w:ilvl w:val="0"/>
          <w:numId w:val="1"/>
        </w:numPr>
      </w:pPr>
      <w:r w:rsidRPr="009F2870">
        <w:t xml:space="preserve">Utomo, D., Wijaya, M., Suzanna, E., Efendi and Sagala, N.T.M. (2022) ‘Leveraging COBIT 2019 to implement IT governance in SME context: A case study of higher education in Campus A’, </w:t>
      </w:r>
      <w:proofErr w:type="spellStart"/>
      <w:r w:rsidRPr="009F2870">
        <w:rPr>
          <w:i/>
          <w:iCs/>
        </w:rPr>
        <w:t>CommIT</w:t>
      </w:r>
      <w:proofErr w:type="spellEnd"/>
      <w:r w:rsidRPr="009F2870">
        <w:rPr>
          <w:i/>
          <w:iCs/>
        </w:rPr>
        <w:t xml:space="preserve"> Journal</w:t>
      </w:r>
      <w:r w:rsidRPr="009F2870">
        <w:t xml:space="preserve">, 16(2). </w:t>
      </w:r>
      <w:proofErr w:type="spellStart"/>
      <w:r w:rsidRPr="009F2870">
        <w:t>doi</w:t>
      </w:r>
      <w:proofErr w:type="spellEnd"/>
      <w:r w:rsidRPr="009F2870">
        <w:t xml:space="preserve">: </w:t>
      </w:r>
      <w:hyperlink r:id="rId37" w:tgtFrame="_new" w:history="1">
        <w:r w:rsidRPr="009F2870">
          <w:rPr>
            <w:rStyle w:val="Hyperlink"/>
          </w:rPr>
          <w:t>https://doi.org/10.21512/commit.v16i2.8172</w:t>
        </w:r>
      </w:hyperlink>
      <w:r>
        <w:t>.</w:t>
      </w:r>
    </w:p>
    <w:p w14:paraId="082A3905" w14:textId="5A355C09" w:rsidR="009F2870" w:rsidRDefault="009F2870" w:rsidP="00A01967">
      <w:pPr>
        <w:pStyle w:val="ListParagraph"/>
        <w:numPr>
          <w:ilvl w:val="0"/>
          <w:numId w:val="1"/>
        </w:numPr>
      </w:pPr>
      <w:r w:rsidRPr="009F2870">
        <w:t xml:space="preserve">Mubarak, R.F. and </w:t>
      </w:r>
      <w:proofErr w:type="spellStart"/>
      <w:r w:rsidRPr="009F2870">
        <w:t>Fianty</w:t>
      </w:r>
      <w:proofErr w:type="spellEnd"/>
      <w:r w:rsidRPr="009F2870">
        <w:t xml:space="preserve">, M.I. (2023) ‘Leveraging COBIT 2019 to implement IT governance in mineral mining company’, </w:t>
      </w:r>
      <w:r w:rsidRPr="009F2870">
        <w:rPr>
          <w:i/>
          <w:iCs/>
        </w:rPr>
        <w:t>Journal of Information Systems and Informatics</w:t>
      </w:r>
      <w:r w:rsidRPr="009F2870">
        <w:t xml:space="preserve">, 5(3). </w:t>
      </w:r>
      <w:proofErr w:type="spellStart"/>
      <w:r w:rsidRPr="009F2870">
        <w:t>doi</w:t>
      </w:r>
      <w:proofErr w:type="spellEnd"/>
      <w:r w:rsidRPr="009F2870">
        <w:t xml:space="preserve">: </w:t>
      </w:r>
      <w:hyperlink r:id="rId38" w:history="1">
        <w:r w:rsidRPr="00503983">
          <w:rPr>
            <w:rStyle w:val="Hyperlink"/>
          </w:rPr>
          <w:t>https://doi.org/10.51519/journalisi.v5i3.545</w:t>
        </w:r>
      </w:hyperlink>
      <w:r>
        <w:t>.</w:t>
      </w:r>
    </w:p>
    <w:p w14:paraId="4BA04A72" w14:textId="181C271F" w:rsidR="009F2870" w:rsidRDefault="009F2870" w:rsidP="00A01967">
      <w:pPr>
        <w:pStyle w:val="ListParagraph"/>
        <w:numPr>
          <w:ilvl w:val="0"/>
          <w:numId w:val="1"/>
        </w:numPr>
      </w:pPr>
      <w:proofErr w:type="spellStart"/>
      <w:r w:rsidRPr="009F2870">
        <w:t>Lompoliu</w:t>
      </w:r>
      <w:proofErr w:type="spellEnd"/>
      <w:r w:rsidRPr="009F2870">
        <w:t xml:space="preserve">, E.M., </w:t>
      </w:r>
      <w:proofErr w:type="spellStart"/>
      <w:r w:rsidRPr="009F2870">
        <w:t>Francolla</w:t>
      </w:r>
      <w:proofErr w:type="spellEnd"/>
      <w:r w:rsidRPr="009F2870">
        <w:t xml:space="preserve">, G.B.R., </w:t>
      </w:r>
      <w:proofErr w:type="spellStart"/>
      <w:r w:rsidRPr="009F2870">
        <w:t>Mandoya</w:t>
      </w:r>
      <w:proofErr w:type="spellEnd"/>
      <w:r w:rsidRPr="009F2870">
        <w:t xml:space="preserve">, G.R., </w:t>
      </w:r>
      <w:proofErr w:type="spellStart"/>
      <w:r w:rsidRPr="009F2870">
        <w:t>Walangitan</w:t>
      </w:r>
      <w:proofErr w:type="spellEnd"/>
      <w:r w:rsidRPr="009F2870">
        <w:t xml:space="preserve">, M.D. and Mambu, J.Y. (2022) ‘Information technology governance analysis using the COBIT 2019 framework at XYZ institution’, </w:t>
      </w:r>
      <w:r w:rsidRPr="009F2870">
        <w:rPr>
          <w:i/>
          <w:iCs/>
        </w:rPr>
        <w:t>Cogito Smart Journal</w:t>
      </w:r>
      <w:r w:rsidRPr="009F2870">
        <w:t xml:space="preserve">, 8(2), pp. 346–358. </w:t>
      </w:r>
      <w:proofErr w:type="spellStart"/>
      <w:r w:rsidRPr="009F2870">
        <w:t>doi</w:t>
      </w:r>
      <w:proofErr w:type="spellEnd"/>
      <w:r w:rsidRPr="009F2870">
        <w:t>: 10.31154/</w:t>
      </w:r>
      <w:proofErr w:type="gramStart"/>
      <w:r w:rsidRPr="009F2870">
        <w:t>cogito.v</w:t>
      </w:r>
      <w:proofErr w:type="gramEnd"/>
      <w:r w:rsidRPr="009F2870">
        <w:t xml:space="preserve">8i2.427. Available at: </w:t>
      </w:r>
      <w:hyperlink r:id="rId39" w:tgtFrame="_new" w:history="1">
        <w:r w:rsidRPr="009F2870">
          <w:rPr>
            <w:rStyle w:val="Hyperlink"/>
          </w:rPr>
          <w:t>https://doi.org/10.31154/cogito.v8i2.427.346-358</w:t>
        </w:r>
      </w:hyperlink>
      <w:r>
        <w:t>.</w:t>
      </w:r>
    </w:p>
    <w:p w14:paraId="6A74A649" w14:textId="38B887BA" w:rsidR="009F2870" w:rsidRDefault="009F2870" w:rsidP="00A01967">
      <w:pPr>
        <w:pStyle w:val="ListParagraph"/>
        <w:numPr>
          <w:ilvl w:val="0"/>
          <w:numId w:val="1"/>
        </w:numPr>
      </w:pPr>
      <w:proofErr w:type="spellStart"/>
      <w:r w:rsidRPr="009F2870">
        <w:t>Wattimury</w:t>
      </w:r>
      <w:proofErr w:type="spellEnd"/>
      <w:r w:rsidRPr="009F2870">
        <w:t xml:space="preserve">, G. and Faza, A. (2023) ‘COBIT 2019 implementation for enhancing IT governance in educational institutions’, </w:t>
      </w:r>
      <w:r w:rsidRPr="009F2870">
        <w:rPr>
          <w:i/>
          <w:iCs/>
        </w:rPr>
        <w:t xml:space="preserve">JISKA: </w:t>
      </w:r>
      <w:proofErr w:type="spellStart"/>
      <w:r w:rsidRPr="009F2870">
        <w:rPr>
          <w:i/>
          <w:iCs/>
        </w:rPr>
        <w:t>Jurnal</w:t>
      </w:r>
      <w:proofErr w:type="spellEnd"/>
      <w:r w:rsidRPr="009F2870">
        <w:rPr>
          <w:i/>
          <w:iCs/>
        </w:rPr>
        <w:t xml:space="preserve"> </w:t>
      </w:r>
      <w:proofErr w:type="spellStart"/>
      <w:r w:rsidRPr="009F2870">
        <w:rPr>
          <w:i/>
          <w:iCs/>
        </w:rPr>
        <w:t>Ilmiah</w:t>
      </w:r>
      <w:proofErr w:type="spellEnd"/>
      <w:r w:rsidRPr="009F2870">
        <w:rPr>
          <w:i/>
          <w:iCs/>
        </w:rPr>
        <w:t xml:space="preserve"> Sains dan </w:t>
      </w:r>
      <w:proofErr w:type="spellStart"/>
      <w:r w:rsidRPr="009F2870">
        <w:rPr>
          <w:i/>
          <w:iCs/>
        </w:rPr>
        <w:t>Komputer</w:t>
      </w:r>
      <w:proofErr w:type="spellEnd"/>
      <w:r w:rsidRPr="009F2870">
        <w:t xml:space="preserve">, 8(3), pp. 210–221. </w:t>
      </w:r>
      <w:proofErr w:type="spellStart"/>
      <w:r w:rsidRPr="009F2870">
        <w:t>doi</w:t>
      </w:r>
      <w:proofErr w:type="spellEnd"/>
      <w:r w:rsidRPr="009F2870">
        <w:t xml:space="preserve">: </w:t>
      </w:r>
      <w:hyperlink r:id="rId40" w:history="1">
        <w:r w:rsidRPr="00503983">
          <w:rPr>
            <w:rStyle w:val="Hyperlink"/>
          </w:rPr>
          <w:t>https://doi.org/10.14421/jiska.2023.8.3.210-221</w:t>
        </w:r>
      </w:hyperlink>
      <w:r>
        <w:t>.</w:t>
      </w:r>
    </w:p>
    <w:p w14:paraId="33D79289" w14:textId="7D059516" w:rsidR="009F2870" w:rsidRDefault="00A1211F" w:rsidP="00A01967">
      <w:pPr>
        <w:pStyle w:val="ListParagraph"/>
        <w:numPr>
          <w:ilvl w:val="0"/>
          <w:numId w:val="1"/>
        </w:numPr>
      </w:pPr>
      <w:r w:rsidRPr="00A1211F">
        <w:t xml:space="preserve">Ikhsan, M., Widodo, A.P. and Adi, K. (2021) ‘Systematic literature review on corporate information technology governance in Indonesia using COBIT 2019’, </w:t>
      </w:r>
      <w:r w:rsidRPr="00A1211F">
        <w:rPr>
          <w:i/>
          <w:iCs/>
        </w:rPr>
        <w:t>Prisma Sains</w:t>
      </w:r>
      <w:r w:rsidRPr="00A1211F">
        <w:t xml:space="preserve">, 9(2). Available at: </w:t>
      </w:r>
      <w:hyperlink r:id="rId41" w:tgtFrame="_new" w:history="1">
        <w:r w:rsidRPr="00A1211F">
          <w:rPr>
            <w:rStyle w:val="Hyperlink"/>
          </w:rPr>
          <w:t>https://doi.org/10.33394/j-ps.v9i2.4370</w:t>
        </w:r>
      </w:hyperlink>
    </w:p>
    <w:p w14:paraId="4DE383C4" w14:textId="7C6A923D" w:rsidR="009F2870" w:rsidRDefault="00A1211F" w:rsidP="00A01967">
      <w:pPr>
        <w:pStyle w:val="ListParagraph"/>
        <w:numPr>
          <w:ilvl w:val="0"/>
          <w:numId w:val="1"/>
        </w:numPr>
      </w:pPr>
      <w:proofErr w:type="spellStart"/>
      <w:r w:rsidRPr="00A1211F">
        <w:t>Aljumaiah</w:t>
      </w:r>
      <w:proofErr w:type="spellEnd"/>
      <w:r w:rsidRPr="00A1211F">
        <w:t xml:space="preserve">, O., Jiang, W., Reddy Addula, S., &amp; Amin Almaiah, M. (2025). Analyzing Cybersecurity Risks and Threats in IT Infrastructure based on NIST Framework. Journal </w:t>
      </w:r>
      <w:r w:rsidRPr="00A1211F">
        <w:lastRenderedPageBreak/>
        <w:t xml:space="preserve">of Cyber Security and Risk Auditing, 2025(2), 12–26. </w:t>
      </w:r>
      <w:hyperlink r:id="rId42" w:history="1">
        <w:r w:rsidRPr="00503983">
          <w:rPr>
            <w:rStyle w:val="Hyperlink"/>
          </w:rPr>
          <w:t>https://doi.org/10.63180/jcsra.thestap.2025.2.2</w:t>
        </w:r>
      </w:hyperlink>
      <w:r>
        <w:t>.</w:t>
      </w:r>
    </w:p>
    <w:p w14:paraId="296ACD08" w14:textId="77777777" w:rsidR="00A1211F" w:rsidRPr="00A01967" w:rsidRDefault="00A1211F" w:rsidP="00A1211F">
      <w:pPr>
        <w:ind w:left="360"/>
      </w:pPr>
    </w:p>
    <w:sectPr w:rsidR="00A1211F" w:rsidRPr="00A01967" w:rsidSect="004D304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0101D"/>
    <w:multiLevelType w:val="multilevel"/>
    <w:tmpl w:val="A7969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D7079"/>
    <w:multiLevelType w:val="multilevel"/>
    <w:tmpl w:val="3392A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0C2D3D"/>
    <w:multiLevelType w:val="hybridMultilevel"/>
    <w:tmpl w:val="8D462F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9654DF"/>
    <w:multiLevelType w:val="multilevel"/>
    <w:tmpl w:val="43B87D38"/>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69F31FD"/>
    <w:multiLevelType w:val="multilevel"/>
    <w:tmpl w:val="DD2216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AD7FFB"/>
    <w:multiLevelType w:val="multilevel"/>
    <w:tmpl w:val="4ECA0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A4F17"/>
    <w:multiLevelType w:val="multilevel"/>
    <w:tmpl w:val="B20C0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905379"/>
    <w:multiLevelType w:val="multilevel"/>
    <w:tmpl w:val="073CC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8137EC8"/>
    <w:multiLevelType w:val="hybridMultilevel"/>
    <w:tmpl w:val="34282C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38178E8"/>
    <w:multiLevelType w:val="multilevel"/>
    <w:tmpl w:val="75523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9A10D5"/>
    <w:multiLevelType w:val="multilevel"/>
    <w:tmpl w:val="43B87D38"/>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458186618">
    <w:abstractNumId w:val="8"/>
  </w:num>
  <w:num w:numId="2" w16cid:durableId="514880035">
    <w:abstractNumId w:val="6"/>
  </w:num>
  <w:num w:numId="3" w16cid:durableId="1226988513">
    <w:abstractNumId w:val="9"/>
  </w:num>
  <w:num w:numId="4" w16cid:durableId="1471821087">
    <w:abstractNumId w:val="5"/>
  </w:num>
  <w:num w:numId="5" w16cid:durableId="882912932">
    <w:abstractNumId w:val="7"/>
  </w:num>
  <w:num w:numId="6" w16cid:durableId="516891423">
    <w:abstractNumId w:val="1"/>
  </w:num>
  <w:num w:numId="7" w16cid:durableId="1302072733">
    <w:abstractNumId w:val="4"/>
  </w:num>
  <w:num w:numId="8" w16cid:durableId="1143885235">
    <w:abstractNumId w:val="0"/>
  </w:num>
  <w:num w:numId="9" w16cid:durableId="1367214726">
    <w:abstractNumId w:val="10"/>
  </w:num>
  <w:num w:numId="10" w16cid:durableId="505436109">
    <w:abstractNumId w:val="2"/>
  </w:num>
  <w:num w:numId="11" w16cid:durableId="8696887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56D"/>
    <w:rsid w:val="000463BC"/>
    <w:rsid w:val="000B556D"/>
    <w:rsid w:val="00130C3B"/>
    <w:rsid w:val="001D24CA"/>
    <w:rsid w:val="001F7AFE"/>
    <w:rsid w:val="00204B3E"/>
    <w:rsid w:val="00205B19"/>
    <w:rsid w:val="002744F1"/>
    <w:rsid w:val="002D6BB7"/>
    <w:rsid w:val="002F5345"/>
    <w:rsid w:val="003377B8"/>
    <w:rsid w:val="003866D9"/>
    <w:rsid w:val="003979D7"/>
    <w:rsid w:val="00435A32"/>
    <w:rsid w:val="004A372D"/>
    <w:rsid w:val="004B6402"/>
    <w:rsid w:val="004D3045"/>
    <w:rsid w:val="004E5898"/>
    <w:rsid w:val="00561916"/>
    <w:rsid w:val="005E59F1"/>
    <w:rsid w:val="00682D00"/>
    <w:rsid w:val="006874CB"/>
    <w:rsid w:val="006926B4"/>
    <w:rsid w:val="00706247"/>
    <w:rsid w:val="00775671"/>
    <w:rsid w:val="00791EB1"/>
    <w:rsid w:val="008031C3"/>
    <w:rsid w:val="00805416"/>
    <w:rsid w:val="00854B55"/>
    <w:rsid w:val="00862A3B"/>
    <w:rsid w:val="00870118"/>
    <w:rsid w:val="008A5842"/>
    <w:rsid w:val="008B0F5E"/>
    <w:rsid w:val="008B7593"/>
    <w:rsid w:val="008B7CE3"/>
    <w:rsid w:val="00955972"/>
    <w:rsid w:val="00976E58"/>
    <w:rsid w:val="009832BE"/>
    <w:rsid w:val="009C51BA"/>
    <w:rsid w:val="009F2870"/>
    <w:rsid w:val="00A0122F"/>
    <w:rsid w:val="00A01967"/>
    <w:rsid w:val="00A1211F"/>
    <w:rsid w:val="00A44079"/>
    <w:rsid w:val="00A96ED6"/>
    <w:rsid w:val="00AC66CB"/>
    <w:rsid w:val="00B52A02"/>
    <w:rsid w:val="00B95D14"/>
    <w:rsid w:val="00C14683"/>
    <w:rsid w:val="00C14E6C"/>
    <w:rsid w:val="00C16B0C"/>
    <w:rsid w:val="00C44005"/>
    <w:rsid w:val="00CF3564"/>
    <w:rsid w:val="00D15533"/>
    <w:rsid w:val="00E331F3"/>
    <w:rsid w:val="00E440CF"/>
    <w:rsid w:val="00E80894"/>
    <w:rsid w:val="00F67BD8"/>
    <w:rsid w:val="00FD6425"/>
    <w:rsid w:val="00FE51DF"/>
    <w:rsid w:val="00FF06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67CFF"/>
  <w15:chartTrackingRefBased/>
  <w15:docId w15:val="{0FC9A505-B630-482A-AFED-560937D88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967"/>
    <w:pPr>
      <w:spacing w:after="120" w:line="360" w:lineRule="auto"/>
      <w:jc w:val="both"/>
    </w:pPr>
    <w:rPr>
      <w:rFonts w:ascii="Times New Roman" w:hAnsi="Times New Roman"/>
    </w:rPr>
  </w:style>
  <w:style w:type="paragraph" w:styleId="Heading1">
    <w:name w:val="heading 1"/>
    <w:basedOn w:val="Normal"/>
    <w:next w:val="Normal"/>
    <w:link w:val="Heading1Char"/>
    <w:uiPriority w:val="9"/>
    <w:qFormat/>
    <w:rsid w:val="00A01967"/>
    <w:pPr>
      <w:keepNext/>
      <w:keepLines/>
      <w:spacing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05B19"/>
    <w:pPr>
      <w:keepNext/>
      <w:keepLines/>
      <w:spacing w:after="0"/>
      <w:jc w:val="left"/>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0B55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55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55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55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5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5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5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967"/>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205B19"/>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0B55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55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55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55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5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5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56D"/>
    <w:rPr>
      <w:rFonts w:eastAsiaTheme="majorEastAsia" w:cstheme="majorBidi"/>
      <w:color w:val="272727" w:themeColor="text1" w:themeTint="D8"/>
    </w:rPr>
  </w:style>
  <w:style w:type="paragraph" w:styleId="Title">
    <w:name w:val="Title"/>
    <w:basedOn w:val="Normal"/>
    <w:next w:val="Normal"/>
    <w:link w:val="TitleChar"/>
    <w:uiPriority w:val="10"/>
    <w:qFormat/>
    <w:rsid w:val="000B55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5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5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5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56D"/>
    <w:pPr>
      <w:spacing w:before="160"/>
      <w:jc w:val="center"/>
    </w:pPr>
    <w:rPr>
      <w:i/>
      <w:iCs/>
      <w:color w:val="404040" w:themeColor="text1" w:themeTint="BF"/>
    </w:rPr>
  </w:style>
  <w:style w:type="character" w:customStyle="1" w:styleId="QuoteChar">
    <w:name w:val="Quote Char"/>
    <w:basedOn w:val="DefaultParagraphFont"/>
    <w:link w:val="Quote"/>
    <w:uiPriority w:val="29"/>
    <w:rsid w:val="000B556D"/>
    <w:rPr>
      <w:i/>
      <w:iCs/>
      <w:color w:val="404040" w:themeColor="text1" w:themeTint="BF"/>
    </w:rPr>
  </w:style>
  <w:style w:type="paragraph" w:styleId="ListParagraph">
    <w:name w:val="List Paragraph"/>
    <w:basedOn w:val="Normal"/>
    <w:uiPriority w:val="34"/>
    <w:qFormat/>
    <w:rsid w:val="000B556D"/>
    <w:pPr>
      <w:ind w:left="720"/>
      <w:contextualSpacing/>
    </w:pPr>
  </w:style>
  <w:style w:type="character" w:styleId="IntenseEmphasis">
    <w:name w:val="Intense Emphasis"/>
    <w:basedOn w:val="DefaultParagraphFont"/>
    <w:uiPriority w:val="21"/>
    <w:qFormat/>
    <w:rsid w:val="000B556D"/>
    <w:rPr>
      <w:i/>
      <w:iCs/>
      <w:color w:val="2F5496" w:themeColor="accent1" w:themeShade="BF"/>
    </w:rPr>
  </w:style>
  <w:style w:type="paragraph" w:styleId="IntenseQuote">
    <w:name w:val="Intense Quote"/>
    <w:basedOn w:val="Normal"/>
    <w:next w:val="Normal"/>
    <w:link w:val="IntenseQuoteChar"/>
    <w:uiPriority w:val="30"/>
    <w:qFormat/>
    <w:rsid w:val="000B55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556D"/>
    <w:rPr>
      <w:i/>
      <w:iCs/>
      <w:color w:val="2F5496" w:themeColor="accent1" w:themeShade="BF"/>
    </w:rPr>
  </w:style>
  <w:style w:type="character" w:styleId="IntenseReference">
    <w:name w:val="Intense Reference"/>
    <w:basedOn w:val="DefaultParagraphFont"/>
    <w:uiPriority w:val="32"/>
    <w:qFormat/>
    <w:rsid w:val="000B556D"/>
    <w:rPr>
      <w:b/>
      <w:bCs/>
      <w:smallCaps/>
      <w:color w:val="2F5496" w:themeColor="accent1" w:themeShade="BF"/>
      <w:spacing w:val="5"/>
    </w:rPr>
  </w:style>
  <w:style w:type="character" w:styleId="Hyperlink">
    <w:name w:val="Hyperlink"/>
    <w:basedOn w:val="DefaultParagraphFont"/>
    <w:uiPriority w:val="99"/>
    <w:unhideWhenUsed/>
    <w:rsid w:val="00A01967"/>
    <w:rPr>
      <w:color w:val="0563C1" w:themeColor="hyperlink"/>
      <w:u w:val="single"/>
    </w:rPr>
  </w:style>
  <w:style w:type="character" w:styleId="UnresolvedMention">
    <w:name w:val="Unresolved Mention"/>
    <w:basedOn w:val="DefaultParagraphFont"/>
    <w:uiPriority w:val="99"/>
    <w:semiHidden/>
    <w:unhideWhenUsed/>
    <w:rsid w:val="00A01967"/>
    <w:rPr>
      <w:color w:val="605E5C"/>
      <w:shd w:val="clear" w:color="auto" w:fill="E1DFDD"/>
    </w:rPr>
  </w:style>
  <w:style w:type="table" w:styleId="TableGridLight">
    <w:name w:val="Grid Table Light"/>
    <w:basedOn w:val="TableNormal"/>
    <w:uiPriority w:val="40"/>
    <w:rsid w:val="00862A3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862A3B"/>
    <w:pPr>
      <w:spacing w:after="200" w:line="240" w:lineRule="auto"/>
    </w:pPr>
    <w:rPr>
      <w:i/>
      <w:iCs/>
      <w:color w:val="44546A" w:themeColor="text2"/>
      <w:sz w:val="18"/>
      <w:szCs w:val="18"/>
    </w:rPr>
  </w:style>
  <w:style w:type="paragraph" w:styleId="NoSpacing">
    <w:name w:val="No Spacing"/>
    <w:link w:val="NoSpacingChar"/>
    <w:uiPriority w:val="1"/>
    <w:qFormat/>
    <w:rsid w:val="004D3045"/>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4D3045"/>
    <w:rPr>
      <w:rFonts w:eastAsiaTheme="minorEastAsia"/>
      <w:kern w:val="0"/>
      <w:sz w:val="22"/>
      <w:szCs w:val="22"/>
      <w14:ligatures w14:val="none"/>
    </w:rPr>
  </w:style>
  <w:style w:type="paragraph" w:styleId="TOCHeading">
    <w:name w:val="TOC Heading"/>
    <w:basedOn w:val="Heading1"/>
    <w:next w:val="Normal"/>
    <w:uiPriority w:val="39"/>
    <w:unhideWhenUsed/>
    <w:qFormat/>
    <w:rsid w:val="004D3045"/>
    <w:pPr>
      <w:spacing w:before="240" w:line="259" w:lineRule="auto"/>
      <w:jc w:val="left"/>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4D3045"/>
    <w:pPr>
      <w:spacing w:after="100"/>
    </w:pPr>
  </w:style>
  <w:style w:type="paragraph" w:styleId="TOC2">
    <w:name w:val="toc 2"/>
    <w:basedOn w:val="Normal"/>
    <w:next w:val="Normal"/>
    <w:autoRedefine/>
    <w:uiPriority w:val="39"/>
    <w:unhideWhenUsed/>
    <w:rsid w:val="004D304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doi.org/10.69554/XWHM1191" TargetMode="External"/><Relationship Id="rId26" Type="http://schemas.openxmlformats.org/officeDocument/2006/relationships/hyperlink" Target="https://www.jurnal.polgan.ac.id/index.php/sinkron/article/view/11476?utm_source=chatgpt.com" TargetMode="External"/><Relationship Id="rId39" Type="http://schemas.openxmlformats.org/officeDocument/2006/relationships/hyperlink" Target="https://doi.org/10.31154/cogito.v8i2.427.346-358" TargetMode="External"/><Relationship Id="rId21" Type="http://schemas.openxmlformats.org/officeDocument/2006/relationships/hyperlink" Target="https://link.springer.com/chapter/10.1007/978-3-031-67268-2_7?utm_source=chatgpt.com" TargetMode="External"/><Relationship Id="rId34" Type="http://schemas.openxmlformats.org/officeDocument/2006/relationships/hyperlink" Target="https://ieeexplore.ieee.org/abstract/document/10592293/" TargetMode="External"/><Relationship Id="rId42" Type="http://schemas.openxmlformats.org/officeDocument/2006/relationships/hyperlink" Target="https://doi.org/10.63180/jcsra.thestap.2025.2.2"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doi.org/10.34218/IJIS_04_01_004" TargetMode="External"/><Relationship Id="rId29" Type="http://schemas.openxmlformats.org/officeDocument/2006/relationships/hyperlink" Target="https://ruidera.uclm.es/server/api/core/bitstreams/f2fca29a-91ab-4730-ad88-c2d0f38ea23a/content?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109/MTICTI53925.2021.9664763" TargetMode="External"/><Relationship Id="rId32" Type="http://schemas.openxmlformats.org/officeDocument/2006/relationships/hyperlink" Target="https://doi.org/10.1007/978-3-031-26845-8_5" TargetMode="External"/><Relationship Id="rId37" Type="http://schemas.openxmlformats.org/officeDocument/2006/relationships/hyperlink" Target="https://doi.org/10.21512/commit.v16i2.8172" TargetMode="External"/><Relationship Id="rId40" Type="http://schemas.openxmlformats.org/officeDocument/2006/relationships/hyperlink" Target="https://doi.org/10.14421/jiska.2023.8.3.210-221"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58812/esiscs.v1i01.452" TargetMode="External"/><Relationship Id="rId23" Type="http://schemas.openxmlformats.org/officeDocument/2006/relationships/hyperlink" Target="https://link.springer.com/chapter/10.1007/978-3-031-67268-2_15?utm_source=chatgpt.com" TargetMode="External"/><Relationship Id="rId28" Type="http://schemas.openxmlformats.org/officeDocument/2006/relationships/hyperlink" Target="https://themedicon.com/pdf/engineeringthemes/MCET-02-021.pdf" TargetMode="External"/><Relationship Id="rId36" Type="http://schemas.openxmlformats.org/officeDocument/2006/relationships/hyperlink" Target="https://ijs.uobaghdad.edu.iq/index.php/eijs/article/view/8388" TargetMode="External"/><Relationship Id="rId10" Type="http://schemas.openxmlformats.org/officeDocument/2006/relationships/image" Target="media/image5.png"/><Relationship Id="rId19" Type="http://schemas.openxmlformats.org/officeDocument/2006/relationships/hyperlink" Target="https://www.researchgate.net/publication/366759618_Identifying_The_Core_Data_Governance_Framework_Principle_A_Framework_Comparative_Analysis?utm_source=chatgpt.com" TargetMode="External"/><Relationship Id="rId31" Type="http://schemas.openxmlformats.org/officeDocument/2006/relationships/hyperlink" Target="https://www.researchgate.net/publication/367166657_ISO_27001_Information_Security_Management_Systems?utm_source=chatgpt.com" TargetMode="External"/><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link.springer.com/chapter/10.1007/978-3-031-67268-2_3?utm_source=chatgpt.com" TargetMode="External"/><Relationship Id="rId22" Type="http://schemas.openxmlformats.org/officeDocument/2006/relationships/hyperlink" Target="https://doi.org/10.1002/9781394268917.ch2" TargetMode="External"/><Relationship Id="rId27" Type="http://schemas.openxmlformats.org/officeDocument/2006/relationships/hyperlink" Target="https://www.mdpi.com/2305-6703/5/4/33?utm_source=chatgpt.com" TargetMode="External"/><Relationship Id="rId30" Type="http://schemas.openxmlformats.org/officeDocument/2006/relationships/hyperlink" Target="https://repozytorium.bg.ug.edu.pl/info/article/UOGcc27f513f7a74da382493a5d656e9859/" TargetMode="External"/><Relationship Id="rId35" Type="http://schemas.openxmlformats.org/officeDocument/2006/relationships/hyperlink" Target="https://www.igi-global.com/chapter/the-nist-cybersecurity-framework/288672" TargetMode="External"/><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doi.org/10.30574/wjarr.2024.24.1.3170" TargetMode="External"/><Relationship Id="rId25" Type="http://schemas.openxmlformats.org/officeDocument/2006/relationships/hyperlink" Target="https://doi.org/10.1109/ISDFS60797.2024.10527256" TargetMode="External"/><Relationship Id="rId33" Type="http://schemas.openxmlformats.org/officeDocument/2006/relationships/hyperlink" Target="https://d1wqtxts1xzle7.cloudfront.net/95369822/safitri-2021-ijca-921253-libre.pdf" TargetMode="External"/><Relationship Id="rId38" Type="http://schemas.openxmlformats.org/officeDocument/2006/relationships/hyperlink" Target="https://doi.org/10.51519/journalisi.v5i3.545" TargetMode="External"/><Relationship Id="rId20" Type="http://schemas.openxmlformats.org/officeDocument/2006/relationships/hyperlink" Target="https://www.researchgate.net/publication/395415430_A_Privacy-First_Framework_for_Data_Protection_and_Compliance_Assurance_in_Digital_Ecosystems?utm_source=chatgpt.com" TargetMode="External"/><Relationship Id="rId41" Type="http://schemas.openxmlformats.org/officeDocument/2006/relationships/hyperlink" Target="https://doi.org/10.33394/j-ps.v9i2.437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F5FC4F24B4F4063ADF07B3A65B9597A"/>
        <w:category>
          <w:name w:val="General"/>
          <w:gallery w:val="placeholder"/>
        </w:category>
        <w:types>
          <w:type w:val="bbPlcHdr"/>
        </w:types>
        <w:behaviors>
          <w:behavior w:val="content"/>
        </w:behaviors>
        <w:guid w:val="{26F0341C-CEFD-4C5A-9B6D-1EE6B134B07D}"/>
      </w:docPartPr>
      <w:docPartBody>
        <w:p w:rsidR="00F22E8F" w:rsidRDefault="00232028" w:rsidP="00232028">
          <w:pPr>
            <w:pStyle w:val="2F5FC4F24B4F4063ADF07B3A65B9597A"/>
          </w:pPr>
          <w:r>
            <w:rPr>
              <w:rFonts w:asciiTheme="majorHAnsi" w:eastAsiaTheme="majorEastAsia" w:hAnsiTheme="majorHAnsi" w:cstheme="majorBidi"/>
              <w:caps/>
              <w:color w:val="156082" w:themeColor="accent1"/>
              <w:sz w:val="80"/>
              <w:szCs w:val="80"/>
            </w:rPr>
            <w:t>[Document title]</w:t>
          </w:r>
        </w:p>
      </w:docPartBody>
    </w:docPart>
    <w:docPart>
      <w:docPartPr>
        <w:name w:val="6CE9594A500E43C2BF1E5356E652EDCF"/>
        <w:category>
          <w:name w:val="General"/>
          <w:gallery w:val="placeholder"/>
        </w:category>
        <w:types>
          <w:type w:val="bbPlcHdr"/>
        </w:types>
        <w:behaviors>
          <w:behavior w:val="content"/>
        </w:behaviors>
        <w:guid w:val="{EEFD97BE-DBBB-4886-A168-7D3C07381232}"/>
      </w:docPartPr>
      <w:docPartBody>
        <w:p w:rsidR="00F22E8F" w:rsidRDefault="00232028" w:rsidP="00232028">
          <w:pPr>
            <w:pStyle w:val="6CE9594A500E43C2BF1E5356E652EDC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028"/>
    <w:rsid w:val="00232028"/>
    <w:rsid w:val="008A5842"/>
    <w:rsid w:val="008C7E85"/>
    <w:rsid w:val="00B95D14"/>
    <w:rsid w:val="00C0630C"/>
    <w:rsid w:val="00F22E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5FC4F24B4F4063ADF07B3A65B9597A">
    <w:name w:val="2F5FC4F24B4F4063ADF07B3A65B9597A"/>
    <w:rsid w:val="00232028"/>
  </w:style>
  <w:style w:type="paragraph" w:customStyle="1" w:styleId="6CE9594A500E43C2BF1E5356E652EDCF">
    <w:name w:val="6CE9594A500E43C2BF1E5356E652EDCF"/>
    <w:rsid w:val="002320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B9269-1F94-4B91-B9F9-F88C0ECD8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23</Pages>
  <Words>5987</Words>
  <Characters>34128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Principles and Practices of Data security, Governance and Compliance on Nature Green</vt:lpstr>
    </vt:vector>
  </TitlesOfParts>
  <Company/>
  <LinksUpToDate>false</LinksUpToDate>
  <CharactersWithSpaces>40035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Practices of Data security, Governance and Compliance on Nature Green</dc:title>
  <dc:subject>Module: Data Security, Governance and Compliance</dc:subject>
  <dc:creator>Nida Talat</dc:creator>
  <cp:keywords/>
  <dc:description/>
  <cp:lastModifiedBy>ketanpanchal2112@outlook.com</cp:lastModifiedBy>
  <cp:revision>19</cp:revision>
  <dcterms:created xsi:type="dcterms:W3CDTF">2025-12-23T18:41:00Z</dcterms:created>
  <dcterms:modified xsi:type="dcterms:W3CDTF">2026-01-06T16:32:00Z</dcterms:modified>
</cp:coreProperties>
</file>