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12676430"/>
        <w:docPartObj>
          <w:docPartGallery w:val="Cover Pages"/>
          <w:docPartUnique/>
        </w:docPartObj>
      </w:sdtPr>
      <w:sdtContent>
        <w:p w14:paraId="64EA7EF7" w14:textId="02DF9F6B" w:rsidR="00D16ECA" w:rsidRDefault="00D16ECA">
          <w:r>
            <w:rPr>
              <w:noProof/>
            </w:rPr>
            <mc:AlternateContent>
              <mc:Choice Requires="wpg">
                <w:drawing>
                  <wp:anchor distT="0" distB="0" distL="114300" distR="114300" simplePos="0" relativeHeight="251661312" behindDoc="0" locked="0" layoutInCell="1" allowOverlap="1" wp14:anchorId="1315AB37" wp14:editId="41561C8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1364403" id="Group 149"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57216" behindDoc="0" locked="0" layoutInCell="1" allowOverlap="1" wp14:anchorId="1F90F55B" wp14:editId="1721722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8E0B2D" w14:textId="2D0A7D0C" w:rsidR="00D16ECA" w:rsidRPr="00943163" w:rsidRDefault="00752144">
                                <w:pPr>
                                  <w:pStyle w:val="NoSpacing"/>
                                  <w:jc w:val="right"/>
                                  <w:rPr>
                                    <w:color w:val="0D0D0D" w:themeColor="text1" w:themeTint="F2"/>
                                    <w:sz w:val="28"/>
                                    <w:szCs w:val="28"/>
                                  </w:rPr>
                                </w:pPr>
                                <w:r w:rsidRPr="00943163">
                                  <w:rPr>
                                    <w:color w:val="0D0D0D" w:themeColor="text1" w:themeTint="F2"/>
                                    <w:sz w:val="28"/>
                                    <w:szCs w:val="28"/>
                                  </w:rPr>
                                  <w:t>Student ID:</w:t>
                                </w:r>
                                <w:sdt>
                                  <w:sdtPr>
                                    <w:rPr>
                                      <w:color w:val="0D0D0D" w:themeColor="text1" w:themeTint="F2"/>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r w:rsidRPr="00943163">
                                      <w:rPr>
                                        <w:color w:val="0D0D0D" w:themeColor="text1" w:themeTint="F2"/>
                                        <w:sz w:val="28"/>
                                        <w:szCs w:val="28"/>
                                      </w:rPr>
                                      <w:t xml:space="preserve"> </w:t>
                                    </w:r>
                                    <w:r w:rsidR="00D16ECA" w:rsidRPr="00943163">
                                      <w:rPr>
                                        <w:color w:val="0D0D0D" w:themeColor="text1" w:themeTint="F2"/>
                                        <w:sz w:val="28"/>
                                        <w:szCs w:val="28"/>
                                      </w:rPr>
                                      <w:t>Teodora Nikolova (2009133)</w:t>
                                    </w:r>
                                  </w:sdtContent>
                                </w:sdt>
                              </w:p>
                              <w:p w14:paraId="794F849A" w14:textId="60C7D96C" w:rsidR="00D16ECA" w:rsidRDefault="00D16ECA" w:rsidP="00810D5F">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10D5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F90F55B" id="_x0000_t202" coordsize="21600,21600" o:spt="202" path="m,l,21600r21600,l21600,xe">
                    <v:stroke joinstyle="miter"/>
                    <v:path gradientshapeok="t" o:connecttype="rect"/>
                  </v:shapetype>
                  <v:shape id="Text Box 1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198E0B2D" w14:textId="2D0A7D0C" w:rsidR="00D16ECA" w:rsidRPr="00943163" w:rsidRDefault="00752144">
                          <w:pPr>
                            <w:pStyle w:val="NoSpacing"/>
                            <w:jc w:val="right"/>
                            <w:rPr>
                              <w:color w:val="0D0D0D" w:themeColor="text1" w:themeTint="F2"/>
                              <w:sz w:val="28"/>
                              <w:szCs w:val="28"/>
                            </w:rPr>
                          </w:pPr>
                          <w:r w:rsidRPr="00943163">
                            <w:rPr>
                              <w:color w:val="0D0D0D" w:themeColor="text1" w:themeTint="F2"/>
                              <w:sz w:val="28"/>
                              <w:szCs w:val="28"/>
                            </w:rPr>
                            <w:t>Student ID:</w:t>
                          </w:r>
                          <w:sdt>
                            <w:sdtPr>
                              <w:rPr>
                                <w:color w:val="0D0D0D" w:themeColor="text1" w:themeTint="F2"/>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r w:rsidRPr="00943163">
                                <w:rPr>
                                  <w:color w:val="0D0D0D" w:themeColor="text1" w:themeTint="F2"/>
                                  <w:sz w:val="28"/>
                                  <w:szCs w:val="28"/>
                                </w:rPr>
                                <w:t xml:space="preserve"> </w:t>
                              </w:r>
                              <w:r w:rsidR="00D16ECA" w:rsidRPr="00943163">
                                <w:rPr>
                                  <w:color w:val="0D0D0D" w:themeColor="text1" w:themeTint="F2"/>
                                  <w:sz w:val="28"/>
                                  <w:szCs w:val="28"/>
                                </w:rPr>
                                <w:t>Teodora Nikolova (2009133)</w:t>
                              </w:r>
                            </w:sdtContent>
                          </w:sdt>
                        </w:p>
                        <w:p w14:paraId="794F849A" w14:textId="60C7D96C" w:rsidR="00D16ECA" w:rsidRDefault="00D16ECA" w:rsidP="00810D5F">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810D5F">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9246687" wp14:editId="047E43A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8A1CD4" w14:textId="279033B6" w:rsidR="00D16ECA" w:rsidRDefault="00D16ECA" w:rsidP="002E47E6">
                                <w:pPr>
                                  <w:pStyle w:val="NoSpacing"/>
                                  <w:jc w:val="center"/>
                                  <w:rPr>
                                    <w:color w:val="4472C4" w:themeColor="accent1"/>
                                    <w:sz w:val="28"/>
                                    <w:szCs w:val="28"/>
                                  </w:rPr>
                                </w:pPr>
                              </w:p>
                              <w:sdt>
                                <w:sdtPr>
                                  <w:rPr>
                                    <w:color w:val="262626" w:themeColor="text1" w:themeTint="D9"/>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14:paraId="0D80BD12" w14:textId="3DAB574C" w:rsidR="00D16ECA" w:rsidRPr="00943163" w:rsidRDefault="008C5061">
                                    <w:pPr>
                                      <w:pStyle w:val="NoSpacing"/>
                                      <w:jc w:val="right"/>
                                      <w:rPr>
                                        <w:color w:val="262626" w:themeColor="text1" w:themeTint="D9"/>
                                        <w:sz w:val="36"/>
                                        <w:szCs w:val="36"/>
                                      </w:rPr>
                                    </w:pPr>
                                    <w:r w:rsidRPr="00943163">
                                      <w:rPr>
                                        <w:color w:val="262626" w:themeColor="text1" w:themeTint="D9"/>
                                        <w:sz w:val="36"/>
                                        <w:szCs w:val="36"/>
                                      </w:rPr>
                                      <w:t xml:space="preserve">Lecturer: </w:t>
                                    </w:r>
                                    <w:r w:rsidR="00810D5F" w:rsidRPr="00943163">
                                      <w:rPr>
                                        <w:color w:val="262626" w:themeColor="text1" w:themeTint="D9"/>
                                        <w:sz w:val="36"/>
                                        <w:szCs w:val="36"/>
                                      </w:rPr>
                                      <w:t>Doc. Edward</w:t>
                                    </w:r>
                                    <w:r w:rsidR="00253F6F" w:rsidRPr="00943163">
                                      <w:rPr>
                                        <w:color w:val="262626" w:themeColor="text1" w:themeTint="D9"/>
                                        <w:sz w:val="36"/>
                                        <w:szCs w:val="36"/>
                                      </w:rPr>
                                      <w:t xml:space="preserve"> Goka</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9246687" id="Text Box 153" o:spid="_x0000_s1027" type="#_x0000_t202" style="position:absolute;margin-left:0;margin-top:0;width:8in;height:79.5pt;z-index:25165926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08A1CD4" w14:textId="279033B6" w:rsidR="00D16ECA" w:rsidRDefault="00D16ECA" w:rsidP="002E47E6">
                          <w:pPr>
                            <w:pStyle w:val="NoSpacing"/>
                            <w:jc w:val="center"/>
                            <w:rPr>
                              <w:color w:val="4472C4" w:themeColor="accent1"/>
                              <w:sz w:val="28"/>
                              <w:szCs w:val="28"/>
                            </w:rPr>
                          </w:pPr>
                        </w:p>
                        <w:sdt>
                          <w:sdtPr>
                            <w:rPr>
                              <w:color w:val="262626" w:themeColor="text1" w:themeTint="D9"/>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14:paraId="0D80BD12" w14:textId="3DAB574C" w:rsidR="00D16ECA" w:rsidRPr="00943163" w:rsidRDefault="008C5061">
                              <w:pPr>
                                <w:pStyle w:val="NoSpacing"/>
                                <w:jc w:val="right"/>
                                <w:rPr>
                                  <w:color w:val="262626" w:themeColor="text1" w:themeTint="D9"/>
                                  <w:sz w:val="36"/>
                                  <w:szCs w:val="36"/>
                                </w:rPr>
                              </w:pPr>
                              <w:r w:rsidRPr="00943163">
                                <w:rPr>
                                  <w:color w:val="262626" w:themeColor="text1" w:themeTint="D9"/>
                                  <w:sz w:val="36"/>
                                  <w:szCs w:val="36"/>
                                </w:rPr>
                                <w:t xml:space="preserve">Lecturer: </w:t>
                              </w:r>
                              <w:r w:rsidR="00810D5F" w:rsidRPr="00943163">
                                <w:rPr>
                                  <w:color w:val="262626" w:themeColor="text1" w:themeTint="D9"/>
                                  <w:sz w:val="36"/>
                                  <w:szCs w:val="36"/>
                                </w:rPr>
                                <w:t>Doc. Edward</w:t>
                              </w:r>
                              <w:r w:rsidR="00253F6F" w:rsidRPr="00943163">
                                <w:rPr>
                                  <w:color w:val="262626" w:themeColor="text1" w:themeTint="D9"/>
                                  <w:sz w:val="36"/>
                                  <w:szCs w:val="36"/>
                                </w:rPr>
                                <w:t xml:space="preserve"> Goka</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5168" behindDoc="0" locked="0" layoutInCell="1" allowOverlap="1" wp14:anchorId="7AF53141" wp14:editId="2B6F8C8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8065F0" w14:textId="12C8A4E1" w:rsidR="00D16ECA" w:rsidRDefault="00D16EC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8516F">
                                      <w:rPr>
                                        <w:caps/>
                                        <w:color w:val="4472C4" w:themeColor="accent1"/>
                                        <w:sz w:val="64"/>
                                        <w:szCs w:val="64"/>
                                      </w:rPr>
                                      <w:t>Module name:Public H</w:t>
                                    </w:r>
                                    <w:r w:rsidR="001A3DD2">
                                      <w:rPr>
                                        <w:caps/>
                                        <w:color w:val="4472C4" w:themeColor="accent1"/>
                                        <w:sz w:val="64"/>
                                        <w:szCs w:val="64"/>
                                      </w:rPr>
                                      <w:t>ealth policy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FD3A491" w14:textId="43DF8F42" w:rsidR="00D16ECA" w:rsidRDefault="001A3DD2">
                                    <w:pPr>
                                      <w:jc w:val="right"/>
                                      <w:rPr>
                                        <w:smallCaps/>
                                        <w:color w:val="404040" w:themeColor="text1" w:themeTint="BF"/>
                                        <w:sz w:val="36"/>
                                        <w:szCs w:val="36"/>
                                      </w:rPr>
                                    </w:pPr>
                                    <w:r>
                                      <w:rPr>
                                        <w:color w:val="404040" w:themeColor="text1" w:themeTint="BF"/>
                                        <w:sz w:val="36"/>
                                        <w:szCs w:val="36"/>
                                      </w:rPr>
                                      <w:t xml:space="preserve">Module </w:t>
                                    </w:r>
                                    <w:r w:rsidR="00606111">
                                      <w:rPr>
                                        <w:color w:val="404040" w:themeColor="text1" w:themeTint="BF"/>
                                        <w:sz w:val="36"/>
                                        <w:szCs w:val="36"/>
                                      </w:rPr>
                                      <w:t>code:(BMHP5013</w:t>
                                    </w:r>
                                    <w:r w:rsidR="002E47E6">
                                      <w:rPr>
                                        <w:color w:val="404040" w:themeColor="text1" w:themeTint="BF"/>
                                        <w:sz w:val="36"/>
                                        <w:szCs w:val="36"/>
                                      </w:rPr>
                                      <w:t>_LON)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AF53141" id="Text Box 154" o:spid="_x0000_s1028" type="#_x0000_t202" style="position:absolute;margin-left:0;margin-top:0;width:8in;height:286.5pt;z-index:25165516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38065F0" w14:textId="12C8A4E1" w:rsidR="00D16ECA" w:rsidRDefault="00D16EC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8516F">
                                <w:rPr>
                                  <w:caps/>
                                  <w:color w:val="4472C4" w:themeColor="accent1"/>
                                  <w:sz w:val="64"/>
                                  <w:szCs w:val="64"/>
                                </w:rPr>
                                <w:t>Module name:Public H</w:t>
                              </w:r>
                              <w:r w:rsidR="001A3DD2">
                                <w:rPr>
                                  <w:caps/>
                                  <w:color w:val="4472C4" w:themeColor="accent1"/>
                                  <w:sz w:val="64"/>
                                  <w:szCs w:val="64"/>
                                </w:rPr>
                                <w:t>ealth policy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FD3A491" w14:textId="43DF8F42" w:rsidR="00D16ECA" w:rsidRDefault="001A3DD2">
                              <w:pPr>
                                <w:jc w:val="right"/>
                                <w:rPr>
                                  <w:smallCaps/>
                                  <w:color w:val="404040" w:themeColor="text1" w:themeTint="BF"/>
                                  <w:sz w:val="36"/>
                                  <w:szCs w:val="36"/>
                                </w:rPr>
                              </w:pPr>
                              <w:r>
                                <w:rPr>
                                  <w:color w:val="404040" w:themeColor="text1" w:themeTint="BF"/>
                                  <w:sz w:val="36"/>
                                  <w:szCs w:val="36"/>
                                </w:rPr>
                                <w:t xml:space="preserve">Module </w:t>
                              </w:r>
                              <w:r w:rsidR="00606111">
                                <w:rPr>
                                  <w:color w:val="404040" w:themeColor="text1" w:themeTint="BF"/>
                                  <w:sz w:val="36"/>
                                  <w:szCs w:val="36"/>
                                </w:rPr>
                                <w:t>code:(BMHP5013</w:t>
                              </w:r>
                              <w:r w:rsidR="002E47E6">
                                <w:rPr>
                                  <w:color w:val="404040" w:themeColor="text1" w:themeTint="BF"/>
                                  <w:sz w:val="36"/>
                                  <w:szCs w:val="36"/>
                                </w:rPr>
                                <w:t>_LON)</w:t>
                              </w:r>
                            </w:p>
                          </w:sdtContent>
                        </w:sdt>
                      </w:txbxContent>
                    </v:textbox>
                    <w10:wrap type="square" anchorx="page" anchory="page"/>
                  </v:shape>
                </w:pict>
              </mc:Fallback>
            </mc:AlternateContent>
          </w:r>
        </w:p>
        <w:p w14:paraId="749E180F" w14:textId="7F1212CD" w:rsidR="00D16ECA" w:rsidRDefault="009D5F93">
          <w:r>
            <w:rPr>
              <w:noProof/>
            </w:rPr>
            <w:drawing>
              <wp:inline distT="0" distB="0" distL="0" distR="0" wp14:anchorId="2BC4CE8A" wp14:editId="15A23C5E">
                <wp:extent cx="5718810" cy="17799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8810" cy="1779905"/>
                        </a:xfrm>
                        <a:prstGeom prst="rect">
                          <a:avLst/>
                        </a:prstGeom>
                        <a:noFill/>
                      </pic:spPr>
                    </pic:pic>
                  </a:graphicData>
                </a:graphic>
              </wp:inline>
            </w:drawing>
          </w:r>
          <w:r w:rsidR="00D16ECA">
            <w:br w:type="page"/>
          </w:r>
        </w:p>
      </w:sdtContent>
    </w:sdt>
    <w:p w14:paraId="24FC2F85" w14:textId="77777777" w:rsidR="003339DF" w:rsidRDefault="003339DF" w:rsidP="003339DF"/>
    <w:p w14:paraId="700DE9F0" w14:textId="28499CAE" w:rsidR="003339DF" w:rsidRDefault="003339DF" w:rsidP="003339DF">
      <w:r>
        <w:t>Background of Covid-19</w:t>
      </w:r>
      <w:r>
        <w:tab/>
      </w:r>
    </w:p>
    <w:p w14:paraId="60D48B01" w14:textId="2B0C98AD" w:rsidR="003339DF" w:rsidRDefault="003339DF" w:rsidP="003339DF">
      <w:r>
        <w:t>Strategies for Measuring COVID-19 Incidence in the UK and the US.</w:t>
      </w:r>
      <w:r>
        <w:tab/>
      </w:r>
    </w:p>
    <w:p w14:paraId="54E59814" w14:textId="1D49FA0B" w:rsidR="003339DF" w:rsidRDefault="003339DF" w:rsidP="003339DF">
      <w:r>
        <w:t>Strategies for Monitoring COVID-19 Incidence in the UK and the US.</w:t>
      </w:r>
      <w:r>
        <w:tab/>
      </w:r>
    </w:p>
    <w:p w14:paraId="070814A1" w14:textId="3A0A3FA1" w:rsidR="003339DF" w:rsidRDefault="003339DF" w:rsidP="003339DF">
      <w:r>
        <w:t>Strategies for Controlling COVID-19 Incidence in the UK and the US.</w:t>
      </w:r>
      <w:r>
        <w:tab/>
      </w:r>
    </w:p>
    <w:p w14:paraId="5C0C2467" w14:textId="60CCAB36" w:rsidR="003339DF" w:rsidRDefault="003339DF" w:rsidP="003339DF">
      <w:r>
        <w:t>Current Public Health Policy Approaches for Controlling COVID-19 Incidence</w:t>
      </w:r>
      <w:r>
        <w:tab/>
      </w:r>
    </w:p>
    <w:p w14:paraId="58DD5AEF" w14:textId="26D12284" w:rsidR="003339DF" w:rsidRDefault="003339DF" w:rsidP="003339DF">
      <w:r>
        <w:t xml:space="preserve">Models and Theories of Health </w:t>
      </w:r>
      <w:r w:rsidR="0045796F">
        <w:t>Behaviour</w:t>
      </w:r>
      <w:r>
        <w:t xml:space="preserve"> Change</w:t>
      </w:r>
      <w:r>
        <w:tab/>
      </w:r>
    </w:p>
    <w:p w14:paraId="3EF662A8" w14:textId="4025EB02" w:rsidR="003339DF" w:rsidRDefault="003339DF" w:rsidP="003339DF">
      <w:r>
        <w:t>Impact of Legislation and Policies on Individual Health and Wellbeing</w:t>
      </w:r>
      <w:r>
        <w:tab/>
      </w:r>
    </w:p>
    <w:p w14:paraId="0D33AD16" w14:textId="09B58964" w:rsidR="003339DF" w:rsidRDefault="003339DF" w:rsidP="003339DF">
      <w:r>
        <w:t>Ethical Considerations</w:t>
      </w:r>
      <w:r>
        <w:tab/>
      </w:r>
    </w:p>
    <w:p w14:paraId="1283E79B" w14:textId="146476C1" w:rsidR="003339DF" w:rsidRDefault="003339DF" w:rsidP="003339DF">
      <w:r>
        <w:t>Conclusion and Recommendations</w:t>
      </w:r>
      <w:r>
        <w:tab/>
      </w:r>
    </w:p>
    <w:p w14:paraId="6958EB24" w14:textId="61C919C6" w:rsidR="003339DF" w:rsidRDefault="003339DF" w:rsidP="003339DF">
      <w:r>
        <w:t>References</w:t>
      </w:r>
      <w:r>
        <w:tab/>
      </w:r>
    </w:p>
    <w:p w14:paraId="1341A902" w14:textId="77777777" w:rsidR="003339DF" w:rsidRDefault="003339DF" w:rsidP="003339DF"/>
    <w:p w14:paraId="58FD7EE7" w14:textId="77777777" w:rsidR="003339DF" w:rsidRDefault="003339DF" w:rsidP="003339DF"/>
    <w:p w14:paraId="0FFA4135" w14:textId="77777777" w:rsidR="003339DF" w:rsidRDefault="003339DF" w:rsidP="003339DF"/>
    <w:p w14:paraId="0EA44734" w14:textId="77777777" w:rsidR="003339DF" w:rsidRDefault="003339DF" w:rsidP="003339DF"/>
    <w:p w14:paraId="4F4C4B2A" w14:textId="77777777" w:rsidR="003339DF" w:rsidRDefault="003339DF" w:rsidP="003339DF"/>
    <w:p w14:paraId="3CEC69B8" w14:textId="77777777" w:rsidR="003339DF" w:rsidRDefault="003339DF" w:rsidP="003339DF"/>
    <w:p w14:paraId="54A07B0E" w14:textId="77777777" w:rsidR="003339DF" w:rsidRDefault="003339DF" w:rsidP="003339DF"/>
    <w:p w14:paraId="2B9D9F4E" w14:textId="77777777" w:rsidR="003339DF" w:rsidRDefault="003339DF" w:rsidP="003339DF"/>
    <w:p w14:paraId="58F5374B" w14:textId="77777777" w:rsidR="003339DF" w:rsidRDefault="003339DF" w:rsidP="003339DF"/>
    <w:p w14:paraId="52572EC8" w14:textId="77777777" w:rsidR="003339DF" w:rsidRDefault="003339DF" w:rsidP="003339DF"/>
    <w:p w14:paraId="75AA9621" w14:textId="77777777" w:rsidR="003339DF" w:rsidRDefault="003339DF" w:rsidP="003339DF"/>
    <w:p w14:paraId="2C4E6A46" w14:textId="77777777" w:rsidR="003339DF" w:rsidRDefault="003339DF" w:rsidP="003339DF"/>
    <w:p w14:paraId="574FC3B0" w14:textId="77777777" w:rsidR="003339DF" w:rsidRDefault="003339DF" w:rsidP="003339DF"/>
    <w:p w14:paraId="2A1322FC" w14:textId="77777777" w:rsidR="003339DF" w:rsidRDefault="003339DF" w:rsidP="003339DF"/>
    <w:p w14:paraId="3B31F48A" w14:textId="77777777" w:rsidR="003339DF" w:rsidRDefault="003339DF" w:rsidP="003339DF"/>
    <w:p w14:paraId="067F278E" w14:textId="77777777" w:rsidR="003339DF" w:rsidRDefault="003339DF" w:rsidP="003339DF"/>
    <w:p w14:paraId="571D28C2" w14:textId="77777777" w:rsidR="003339DF" w:rsidRDefault="003339DF" w:rsidP="003339DF"/>
    <w:p w14:paraId="14B180D5" w14:textId="77777777" w:rsidR="003339DF" w:rsidRDefault="003339DF" w:rsidP="003339DF"/>
    <w:p w14:paraId="78A8237F" w14:textId="77777777" w:rsidR="003339DF" w:rsidRDefault="003339DF" w:rsidP="003339DF"/>
    <w:p w14:paraId="6566C136" w14:textId="77777777" w:rsidR="003339DF" w:rsidRDefault="003339DF" w:rsidP="003339DF"/>
    <w:p w14:paraId="320F1B0C" w14:textId="77777777" w:rsidR="003339DF" w:rsidRDefault="003339DF" w:rsidP="003339DF">
      <w:r>
        <w:lastRenderedPageBreak/>
        <w:t>Covid-19 Approaches and Strategies in the UK and US</w:t>
      </w:r>
    </w:p>
    <w:p w14:paraId="088D5A74" w14:textId="77777777" w:rsidR="003339DF" w:rsidRDefault="003339DF" w:rsidP="003339DF">
      <w:r>
        <w:t>Background of Covid-19</w:t>
      </w:r>
    </w:p>
    <w:p w14:paraId="31D3C55F" w14:textId="77777777" w:rsidR="003339DF" w:rsidRDefault="003339DF" w:rsidP="003339DF">
      <w:r>
        <w:t xml:space="preserve">The novel coronavirus disease (COVID-19) was found in China in late December 2019 that causes extreme respiratory ailment, including pneumonia. The infection was once in the past known as Novel Coronavirus, and the World Health Organization prescribed utilizing one more phrasing to depict it. The infection that caused the affliction was recognized as serious intense respiratory disorder Covid 2. Covid ailment was required the disease that caused it (COVID-19). Coronavirus was named a High Consequence of Infectious Disease that spreads through the air.  It was first answered to the World Health Organization on December 31, 2019. The WHO marked the COVID-19 flare-up an overall wellbeing crisis on January 30, 2020. Coronavirus was assigned a worldwide pandemic by the WHO on March 11, 2020. This choice was the initial time since H1N1 flu was broadcasted a pandemic in 2009. </w:t>
      </w:r>
    </w:p>
    <w:p w14:paraId="6CB39244" w14:textId="7E1A68B8" w:rsidR="00B56105" w:rsidRDefault="003339DF" w:rsidP="003339DF">
      <w:r>
        <w:t xml:space="preserve">Vaccines are presently broadly accessible. Anti-microbials are insufficient in treating a viral sickness. In the beginning phases of the infection, indications incorporate fever, weariness, or change in the feeling of smell or taste, and a dry hack; in any case, certain individuals may not continue to a more serious ailment. </w:t>
      </w:r>
      <w:r w:rsidR="00F8119B">
        <w:t>Dyspnoea</w:t>
      </w:r>
      <w:r>
        <w:t xml:space="preserve"> is inescapable among hospitalized patients, albeit important bodily functions were supposed to be steady at affirmation. Patients beyond 65 a </w:t>
      </w:r>
      <w:r w:rsidR="005C0CDD">
        <w:t>year</w:t>
      </w:r>
      <w:r>
        <w:t xml:space="preserve"> old have a hidden medical problem are more inclined to serious disease (Clark, 2021). On chest x-beams, a scope of anomalies is conceivable, albeit reciprocal lung invades have all the earmarks of being common, like different sorts of viral pneumonia.</w:t>
      </w:r>
    </w:p>
    <w:p w14:paraId="45FD65DB" w14:textId="77777777" w:rsidR="003339DF" w:rsidRDefault="003339DF" w:rsidP="003339DF">
      <w:r>
        <w:t>Strategies for Measuring COVID-19 Incidence in the UK and the US</w:t>
      </w:r>
    </w:p>
    <w:p w14:paraId="25396E16" w14:textId="606D34BF" w:rsidR="003339DF" w:rsidRDefault="003339DF" w:rsidP="003339DF">
      <w:r>
        <w:t xml:space="preserve">Researchers expected to follow the condition and forestall its spread as the infection that causes COVID-19 passed from one individual to another </w:t>
      </w:r>
      <w:r w:rsidR="007F09E9">
        <w:t>.</w:t>
      </w:r>
      <w:r>
        <w:t xml:space="preserve"> They required a standard definition for a COVID-19 circumstance to do as such. A case definition guarantees that cases are counted reliably in all cases. An affirmed instance of COVID-19 in the United States is the point at which an individual tests positive for the infection that causes COVID-19. Coronavirus has been assigned as a universally notifiable disease, requiring wellbeing specialists to record cases in the United Kingdom and the United States (Geldsetzer, 2020). This methodology helps the public authority in monitoring patterns in cases all through the United Kingdom. Public Health England measures the occurrence of coronavirus in the United Kingdom (PHE). Disease surveillance is one of PHE's essential tasks, ensuring that they have the correct information at the right time to guide public health choices and actions.  </w:t>
      </w:r>
    </w:p>
    <w:p w14:paraId="546BF315" w14:textId="0CF435BD" w:rsidR="003339DF" w:rsidRDefault="003339DF" w:rsidP="003339DF">
      <w:r>
        <w:t xml:space="preserve">In the United States, epidemiologists perform public health surveillance, which is the systematic collecting, analysis, and interpretation of health data, as instances of COVID-19 are reported (Levin et al., 2020). Epidemiologists can use administration to assess the incidence, prevalence, hospitalizations, and fatalities associated with covid-19. The CDC gathers data from medical records to learn more about COVID-19 individuals and their illness progression. These details might include age, race/ethnicity, and gender, as well as symptoms, treatments, and health outcomes. Scientists can utilize chart abstractions to figure out who is more likely to get ill, what medical treatment patients got, and </w:t>
      </w:r>
      <w:r w:rsidR="00A5768F">
        <w:t>whether</w:t>
      </w:r>
      <w:r>
        <w:t xml:space="preserve"> they recovered.</w:t>
      </w:r>
    </w:p>
    <w:p w14:paraId="4F17577D" w14:textId="77777777" w:rsidR="003339DF" w:rsidRDefault="003339DF" w:rsidP="003339DF">
      <w:r>
        <w:t>Strategies for Monitoring COVID-19 Incidence in the UK and the US.</w:t>
      </w:r>
    </w:p>
    <w:p w14:paraId="4D843D96" w14:textId="77777777" w:rsidR="003339DF" w:rsidRDefault="003339DF" w:rsidP="003339DF">
      <w:r>
        <w:t xml:space="preserve">Monitoring involves collecting a wide range of data on the disease from several sources and offering situational awareness to the government. The agency needs to know which parts of the country are </w:t>
      </w:r>
      <w:r>
        <w:lastRenderedPageBreak/>
        <w:t>most affected by a disease epidemic, if specific categories of individuals are afflicted, if symptoms are becoming more severe, and when the outbreak may have peaked (Kringos et al., 2020). This information is then used to guide public health actions aimed at preventing and controlling illness. Surveillance also offers data for modelers, who try to forecast how epidemics may unfold depending on various circumstances. PHE employs real-time data at both the local and national levels to better understand the spread of COVID-19 and keep the public health system updated about the data collected. Surveillance systems are chosen so that the government may take measurements on a regular and consistent basis (Oehmke et al., 2020). Because many individuals would have a minor sickness and never report it to the health services, no one piece of data can convey the complete picture of an outbreak. No method can offer a precise number for how many people potentially have COVID-19. By combining a wide range of data, the agency can make well-informed judgments on developing patterns, geographical variances, and the categories of individuals most affected (Kucharski et al., 2020).</w:t>
      </w:r>
    </w:p>
    <w:p w14:paraId="0FB71475" w14:textId="70152A23" w:rsidR="003339DF" w:rsidRDefault="003339DF" w:rsidP="003339DF">
      <w:r>
        <w:t>A page on laboratory-confirmed cases of COVID-19 in England is included in the weekly surveillance report, along with an age/gender split. The infographic also consists of an epidemic curve that depicts the progression of incidents over time. In the United States specialists in information representation help researchers in making pictures, diagrams, and illustrations to make the data more direct to grasp and use after they accumulate and examine the information. This data is gainful not only for researchers attempting to decipher the information yet additionally for the overall crowd. Epi bends are as often as possible utilized in epidemiological information shows. An epi bend portrays what has happened after some time, like the quantity of cases, hospitalizations, or fatalities (Lu et al., 2020). Coronavirus epi</w:t>
      </w:r>
      <w:r w:rsidR="00BB09CF">
        <w:t>demy</w:t>
      </w:r>
      <w:r>
        <w:t xml:space="preserve"> bends are refreshed routinely as new information </w:t>
      </w:r>
      <w:r w:rsidR="00A5768F">
        <w:t>opens</w:t>
      </w:r>
      <w:r>
        <w:t xml:space="preserve">. Since there is a delay between when somebody turns out to be sick and when their case is recorded, it very well may be hard to tell when occurrences start to decay. Therefore, an epi bend throughout the most recent half a month might show that a plague is slowing down, regardless of whether it is </w:t>
      </w:r>
      <w:r w:rsidR="00A5768F">
        <w:t>yet</w:t>
      </w:r>
      <w:r>
        <w:t xml:space="preserve"> dynamic.</w:t>
      </w:r>
    </w:p>
    <w:p w14:paraId="6B1F57C8" w14:textId="77777777" w:rsidR="003339DF" w:rsidRDefault="003339DF" w:rsidP="003339DF">
      <w:r>
        <w:t>Strategies for Controlling COVID-19 Incidence in the UK and the US.</w:t>
      </w:r>
    </w:p>
    <w:p w14:paraId="2C777CDB" w14:textId="77777777" w:rsidR="003339DF" w:rsidRDefault="003339DF" w:rsidP="003339DF">
      <w:r>
        <w:t xml:space="preserve">Researchers and general wellbeing authorities in the UK are additionally utilizing contact following to attempt to prevent COVID-19 from spreading. In this method, general wellbeing specialists talk with COVID-19 patients to find out pretty much each of the people they were near when they were conceivably spreading the infection. Those are the people with whom they convey. Researchers might utilize this data to follow the way of contamination and control how the infection advanced from one individual to another (Thornton, 2020). Numerous other irresistible ailments, like TB and HIV, are forestalled and constrained by contact following.  In the United States, disease transmission experts make line records, which sum up current realities about the contacts, utilizing the data gathered by contact following. </w:t>
      </w:r>
    </w:p>
    <w:p w14:paraId="2F43F0F2" w14:textId="6694142C" w:rsidR="003339DF" w:rsidRDefault="003339DF" w:rsidP="003339DF">
      <w:r>
        <w:t>An epidemiological (epi) a connection is the connection that exists between two individuals. Coronavirus tainted individuals' contacts are bound to get the infection and convey it to other people. General wellbeing authorities contact these people at higher danger to illuminate them that they have had contact with somebody who has COVID-19 and may turn out to be sick because of the openness. They encourage references to play it safe like self-quarantine (avoiding individuals while observing for signs of illness), handwashing, and utilizing fabric face covers. Contact following has helped with the control of prior pandemics, like Ebola and SARS, and is basic in the regulation of COVID-19.</w:t>
      </w:r>
    </w:p>
    <w:p w14:paraId="6D92EF7D" w14:textId="77777777" w:rsidR="00A419D5" w:rsidRDefault="00A419D5" w:rsidP="00A419D5">
      <w:r>
        <w:t>Current Public Health Policy Approaches for Controlling COVID-19 Incidence</w:t>
      </w:r>
    </w:p>
    <w:p w14:paraId="38FA8FAA" w14:textId="43060F86" w:rsidR="00A419D5" w:rsidRDefault="00A419D5" w:rsidP="00A419D5">
      <w:r>
        <w:lastRenderedPageBreak/>
        <w:t xml:space="preserve">To date, the UK government's policy response has been reactive, taking longer to develop than in other nations, changing course substantially sooner, and lacking a clear and consistent communication strategy, notably regarding departure preparations. It has also been linked to medical research or at least one version of it. However, this has relaxed </w:t>
      </w:r>
      <w:r w:rsidR="00A5768F">
        <w:t>considering</w:t>
      </w:r>
      <w:r>
        <w:t xml:space="preserve"> more recent policies, including the easing of rigorous controls.</w:t>
      </w:r>
    </w:p>
    <w:p w14:paraId="7F662CF8" w14:textId="77777777" w:rsidR="00A419D5" w:rsidRDefault="00A419D5" w:rsidP="00A419D5">
      <w:r>
        <w:t>The government's approach to Covid-19 in England was initially divided into three phases: containment, including contact tracing, delay, to protect the NHS and allow time for research to develop practical tests, treatments, and vaccines, and mitigation to allow the epidemic to run its course and will enable the population to build up immunity. The government would implement mitigation measures to reduce the number of deaths by protecting the most vulnerable, but the illness would not have to be eradicated. The whole strategy was portrayed as evidence-based, with the Scientific Advisory Group for Emergencies seeming to give active guidance and, some claim, shape. The government emphasized the timing of policy implementation to maximize its efficacy based on scientific data.</w:t>
      </w:r>
    </w:p>
    <w:p w14:paraId="59D6D0CC" w14:textId="36567966" w:rsidR="003339DF" w:rsidRDefault="00A419D5" w:rsidP="00A419D5">
      <w:r>
        <w:t>In the United States, efforts to combat the disease included ubiquitous use of face masks, physical separation, and contact restrictions, among other things. Face mask usage that is consistent and proper is a vital public health approach for minimizing SARS-CoV-2 respiratory transmission, mainly because it is estimated that half of the new infections are transmitted by people who have no symptoms. There is currently convincing proof that texture facial coverings are gainful for both source control to secure others and, less significantly, wearer insurance. The CDC suggests involved multi-facet texture veils or nonmedical expendable covers for local area use to safeguard the accessibility of N95 respirators for medical services laborers and other clinical people on call (Lu et al., 2020). At the point when an actual distance of less than 6 feet can't be kept up with, wearing a facial covering is fundamental. People should utilize facial coverings when a relative is sick or has had ongoing plausible COVID-19 openness. A people group level arrangement for facial covering conveyance to explicit populaces, like those with access obstacles, ought to be contrived.</w:t>
      </w:r>
    </w:p>
    <w:p w14:paraId="2E7BFF3E" w14:textId="229A3157" w:rsidR="00A419D5" w:rsidRDefault="00A419D5" w:rsidP="00A419D5"/>
    <w:p w14:paraId="3BD0A1E4" w14:textId="77777777" w:rsidR="00976B5E" w:rsidRDefault="00976B5E" w:rsidP="00976B5E">
      <w:r>
        <w:t xml:space="preserve">Change </w:t>
      </w:r>
    </w:p>
    <w:p w14:paraId="4DDF7CA5" w14:textId="77777777" w:rsidR="00976B5E" w:rsidRDefault="00976B5E" w:rsidP="00976B5E">
      <w:r>
        <w:t xml:space="preserve">The Health Belief Model is a famous model identifying with covid19. The Health Belief Model is a hypothetical system for directing wellbeing advancement and disease counteraction drives. It's utilized to depict and figure how individuals' wellbeing propensities develop. It's one of the most utilized models for breaking down wellbeing related exercises. Individual mentalities about medical problems, which foresee individual wellbeing related activities, are vital to the Health Belief Model. The model characterizes apparent powerlessness to sickness or infection, faith in the seriousness of the outcomes, expected positive advantages of activity, seen obstructions to movement, openness to factors that brief activity, and trust in one's capacity to prevail as the key factors that impact wellbeing practices. </w:t>
      </w:r>
    </w:p>
    <w:p w14:paraId="11BDB776" w14:textId="199DB927" w:rsidR="00976B5E" w:rsidRDefault="00976B5E" w:rsidP="00976B5E">
      <w:r>
        <w:t xml:space="preserve">Short-and </w:t>
      </w:r>
      <w:r w:rsidR="005C0CDD">
        <w:t>long-haul</w:t>
      </w:r>
      <w:r>
        <w:t xml:space="preserve"> medicines can be planned </w:t>
      </w:r>
      <w:r w:rsidR="005C0CDD">
        <w:t>to utilize</w:t>
      </w:r>
      <w:r>
        <w:t xml:space="preserve"> the Health Belief Model. The adequacy of the Health Belief Model to recognize significant dynamic focuses that impact wellbeing practices is dictated by five primary activity related parts.  The initial step is to assemble information through wellbeing needs appraisals and different strategies to build up who is in danger and which populaces ought to be tended to. It likewise involves imparting the wellbeing impacts of hazard practices unambiguously so individuals can comprehend that apparent seriousness. The third part illuminates </w:t>
      </w:r>
      <w:r>
        <w:lastRenderedPageBreak/>
        <w:t xml:space="preserve">the objective segment about the cycles expected to embrace the suggested activity and stresses the benefits. </w:t>
      </w:r>
    </w:p>
    <w:p w14:paraId="3633E476" w14:textId="77777777" w:rsidR="00976B5E" w:rsidRDefault="00976B5E" w:rsidP="00976B5E">
      <w:r>
        <w:t xml:space="preserve">It additionally incorporates helping with recognizing and eliminating boundaries to activity, exhibiting activities through expertise improvement activities, and offering support that supports self-viability and expands the chance of viable conduct change. These exercises are fundamental parts of the Health Belief Model, and arrangements might use them to make or change wellbeing advancement or illness anticipation programs. The Health Belief Model can be utilized all alone or related to different thoughts and models. It's basic to set up signs to activity that are important and adequate for the objective gathering to make this methodology work. </w:t>
      </w:r>
    </w:p>
    <w:p w14:paraId="7FD05E5A" w14:textId="77777777" w:rsidR="00976B5E" w:rsidRDefault="00976B5E" w:rsidP="00976B5E">
      <w:r>
        <w:t xml:space="preserve">. The appraisal of individual outcomes related with prosperity is mind boggling because of these complexities. The limit approach's focal spotlight is on what individuals can be and do in their lives (Anderez et al., 2020). The limit approach extends past wellbeing to guarantee that individuals' prosperity is characterized by their opportunity to participate in being and doing that are inherently important. </w:t>
      </w:r>
    </w:p>
    <w:p w14:paraId="77C09A94" w14:textId="46FDAAF7" w:rsidR="00976B5E" w:rsidRDefault="00976B5E" w:rsidP="00976B5E">
      <w:r>
        <w:t xml:space="preserve">The opportunity perspective can be deciphered in the smaller psychological wellness setting as both an individual's real abilities and the cycles that empower them to comprehend strategy impacts. The Covid-19 plague has had an extreme mental impact. In any case, it additionally impacts individual flexibilities to take part in practices compatible with abstract qualities other than wellbeing, like visiting friends and family, taking part in sporting exercises, and investing energy outside. </w:t>
      </w:r>
      <w:r w:rsidR="005C0CDD">
        <w:t>Despite</w:t>
      </w:r>
      <w:r>
        <w:t xml:space="preserve"> these fundamental linkages, little review has been done on the connection among pandemics and individual gifts. </w:t>
      </w:r>
    </w:p>
    <w:p w14:paraId="32F71195" w14:textId="508FB8D9" w:rsidR="00976B5E" w:rsidRDefault="00976B5E" w:rsidP="00976B5E">
      <w:r>
        <w:t xml:space="preserve">Contrasted with different nations, the UK and the US stood apart as nations that took forceful and early </w:t>
      </w:r>
      <w:r w:rsidR="00A577B2">
        <w:t>endeavours</w:t>
      </w:r>
      <w:r>
        <w:t xml:space="preserve">, bringing about less </w:t>
      </w:r>
      <w:r w:rsidR="00A577B2">
        <w:t>passing’s</w:t>
      </w:r>
      <w:r>
        <w:t xml:space="preserve"> from Covid-19. On February 25, 2020, the main Covid-19 case in England was recorded. From March 16 onwards, the UK government reported expansive enactment to contain the flare-up, denying social connections and carrying out severe lockdown measures, the vast majority of which have been continuously loose since April 15. </w:t>
      </w:r>
    </w:p>
    <w:p w14:paraId="77FC559E" w14:textId="59CC2D40" w:rsidR="00A419D5" w:rsidRDefault="00976B5E" w:rsidP="00976B5E">
      <w:r>
        <w:t xml:space="preserve">The ability approach incorporates a few interconnected thoughts, and studies have shown that capacity results are fundamentally connected to psychological well-being and social results. Notwithstanding the developing number of </w:t>
      </w:r>
      <w:r w:rsidR="005C0CDD">
        <w:t>explorations</w:t>
      </w:r>
      <w:r>
        <w:t xml:space="preserve"> taking a gander at the impact of Covid-19 on psychological well-being and prosperity, information on the pandemic's more extensive potential effect is </w:t>
      </w:r>
      <w:r w:rsidR="005C0CDD">
        <w:t>yet</w:t>
      </w:r>
      <w:r>
        <w:t xml:space="preserve"> deficient. Subsequently, the objective of this review was to perceive what the Covid-19 lockdown meant for relationship building abilities' as far as psychological wellness/prosperity and social help, especially among hindered populaces in the United States. Different gatherings were pre-characterized Covid-19 lockdown weak gatherings. They are first being delegated an </w:t>
      </w:r>
      <w:r w:rsidR="005C0CDD">
        <w:t>in-danger</w:t>
      </w:r>
      <w:r>
        <w:t xml:space="preserve"> bunch dependent on age and previous actual ailments. Second, self-detailed emotional wellness treatment before the Covid pandemic, and third, direct openness to Covid-19. Different gatherings incorporate roundabout openness to Covid-19 through a relative or companion and having work status affected by the lockdown.</w:t>
      </w:r>
    </w:p>
    <w:p w14:paraId="36CA650C" w14:textId="77777777" w:rsidR="009C741C" w:rsidRDefault="009C741C" w:rsidP="009C741C">
      <w:r>
        <w:t>Ethical Considerations</w:t>
      </w:r>
    </w:p>
    <w:p w14:paraId="0D9347B1" w14:textId="77777777" w:rsidR="009C741C" w:rsidRDefault="009C741C" w:rsidP="009C741C">
      <w:r>
        <w:t xml:space="preserve">While Covid-19 intercessions can diminish human-to-human illnesses, some of them raise moral and common liberties concerns. They influence the general worthiness of limiting and criticizing common freedoms in general wellbeing crises. The UK and US state run administrations can honestly restrict individual privileges and opportunities, like opportunity of development and affiliation or the right to </w:t>
      </w:r>
      <w:r>
        <w:lastRenderedPageBreak/>
        <w:t xml:space="preserve">security, particularly assuming such exercise is viewed as prone to impede general wellbeing by communicating infectious sicknesses or causing mishaps. </w:t>
      </w:r>
    </w:p>
    <w:p w14:paraId="2E69439D" w14:textId="61BBAA9E" w:rsidR="009C741C" w:rsidRDefault="00A5768F" w:rsidP="009C741C">
      <w:r>
        <w:t>Even though</w:t>
      </w:r>
      <w:r w:rsidR="009C741C">
        <w:t xml:space="preserve"> morals and social equality are habitually considered to be various subjects, they significantly interface with regards to general wellbeing. The way and sum to which general wellbeing drives influence individuals' privileges and opportunities is the wellspring of most of moral discussions. Accordingly, some upright and basic liberties concerns ought to be utilized to administer such limitations. Subsequently, the WHO Director-General prescribed countries to track down a harmony between protecting wellbeing, lessening financial and social unsettling influence, and maintaining basic freedoms, as well as naming COVID-19 a PHEIC (de Lusignan et al. 2020). The WHO urges states to guarantee moral readiness by creating moral systems for general wellbeing arrangements, programs, and quick reactions during general wellbeing pandemics. The nations needed adequate moral direction to permit them to settle on uncontroversial choices during the flare-up of COVID-19.</w:t>
      </w:r>
    </w:p>
    <w:p w14:paraId="5C7BB23C" w14:textId="77777777" w:rsidR="009C741C" w:rsidRDefault="009C741C" w:rsidP="009C741C">
      <w:r>
        <w:t>Conclusion and Recommendations</w:t>
      </w:r>
    </w:p>
    <w:p w14:paraId="10719A37" w14:textId="77777777" w:rsidR="009C741C" w:rsidRDefault="009C741C" w:rsidP="009C741C">
      <w:r>
        <w:t>More than a year has elapsed since the United Kingdom declared its first national lockdown on March 23, 2020, due to COVID-19's fast growth. The breakout of COVID-19 and the subsequent colossal lockdown has had a significant impact on people's lives. Millions of people's lives were altered when the government told individuals to stay at home and keep their physical distance. Many people were unable to attend work or school for months and meet up with friends and family. What was surprising was that the United Kingdom had three nationwide lockdowns in the previous year. People's lives have changed dramatically since the initial lockdown, and the epidemic is far from ended.</w:t>
      </w:r>
    </w:p>
    <w:p w14:paraId="4E81ED9F" w14:textId="18BA18DB" w:rsidR="009C741C" w:rsidRDefault="009C741C" w:rsidP="009C741C">
      <w:r>
        <w:t xml:space="preserve">According to new findings, the COVID-19 pandemic and accompanying social and economic measures like physical separation and business closure have distinct effects on different social groups. Women and parents, for example, have been reported to have had a more significant decline in subjective wellbeing in the United Kingdom. Immigrants of </w:t>
      </w:r>
      <w:r w:rsidR="00A577B2">
        <w:t>colour</w:t>
      </w:r>
      <w:r>
        <w:t>, Asians, and minorities were more likely to face economic difficulties after the first national lockdown in both countries. Furthermore, those of BAME ancestry in the UK had a greater mortality rate than white people among those known to have COVID-19.</w:t>
      </w:r>
    </w:p>
    <w:p w14:paraId="1C01F0F2" w14:textId="77777777" w:rsidR="009C741C" w:rsidRDefault="009C741C" w:rsidP="009C741C">
      <w:r>
        <w:t>References</w:t>
      </w:r>
    </w:p>
    <w:p w14:paraId="1185460A" w14:textId="77777777" w:rsidR="009C741C" w:rsidRDefault="009C741C" w:rsidP="009C741C">
      <w:r>
        <w:t>Anderez, D. O., Kanjo, E., Pogrebna, G., Kaiwartya, O., Johnson, S. D., &amp; Hunt, J. A. (2020). A COVID-19-based modified epidemiological model and technological approaches to help vulnerable individuals emerge from the lockdown in the UK. Sensors, 20(17), 4967.</w:t>
      </w:r>
    </w:p>
    <w:p w14:paraId="40DCA41B" w14:textId="77777777" w:rsidR="009C741C" w:rsidRDefault="009C741C" w:rsidP="009C741C">
      <w:r>
        <w:t>Clark, S. J., &amp; Turner, A. N. (2021). Monitoring epidemics: Lessons from measuring population prevalence of the coronavirus. Proceedings of the National Academy of Sciences, 118(9).</w:t>
      </w:r>
    </w:p>
    <w:p w14:paraId="6B907BAB" w14:textId="77777777" w:rsidR="009C741C" w:rsidRDefault="009C741C" w:rsidP="009C741C">
      <w:r>
        <w:t>de Lusignan, S., Bernal, J. L., Zambon, M., Akinyemi, O., Amirthalingam, G., Andrews, N., ... &amp; Hobbs, R. (2020). Emergence of a novel coronavirus (COVID-19): protocol for extending surveillance used by the Royal College of General Practitioners Research and Surveillance Centre and Public Health England. JMIR public health and surveillance, 6(2), e18606.</w:t>
      </w:r>
    </w:p>
    <w:p w14:paraId="20E5437D" w14:textId="035C0E08" w:rsidR="009C741C" w:rsidRDefault="009C741C" w:rsidP="009C741C">
      <w:r>
        <w:t xml:space="preserve">Geldsetzer, P., 2020. Knowledge and perceptions of COVID-19 among the </w:t>
      </w:r>
      <w:r w:rsidR="00A5768F">
        <w:t>public</w:t>
      </w:r>
      <w:r>
        <w:t xml:space="preserve"> in the United States and the United Kingdom: a cross-sectional online survey. Annals of internal medicine, 173(2), pp.157-160.</w:t>
      </w:r>
    </w:p>
    <w:p w14:paraId="165AC956" w14:textId="77777777" w:rsidR="009C741C" w:rsidRDefault="009C741C" w:rsidP="009C741C">
      <w:r>
        <w:lastRenderedPageBreak/>
        <w:t>Kringos, D., Carinci, F., Barbazza, E., Bos, V., Gilmore, K., Groene, O., ... &amp; Klazinga, N. (2020). Managing COVID-19 within and across health systems: why we need performance intelligence to coordinate a global response. Health research policy and systems, 18(1), 1-8.</w:t>
      </w:r>
    </w:p>
    <w:p w14:paraId="33EAA130" w14:textId="77777777" w:rsidR="009C741C" w:rsidRDefault="009C741C" w:rsidP="009C741C">
      <w:r>
        <w:t>Kucharski, A. J., Klepac, P., Conlan, A. J., Kissler, S. M., Tang, M. L., Fry, H., ... &amp; Simons, D. (2020). Effectiveness of isolation, testing, contact tracing, and physical distancing on reducing transmission of SARS-CoV-2 in different settings: a mathematical modelling study. The Lancet Infectious Diseases, 20(10), 1151-1160.</w:t>
      </w:r>
    </w:p>
    <w:p w14:paraId="4B368A13" w14:textId="77777777" w:rsidR="009C741C" w:rsidRDefault="009C741C" w:rsidP="009C741C">
      <w:r>
        <w:t>Levin, A.T., Hanage, W.P., Owusu-Boaitey, N., Cochran, K.B., Walsh, S.P. and Meyerowitz-Katz, G., 2020. Assessing the age specificity of infection fatality rates for COVID-19: systematic review, meta-analysis, and public policy implications. European journal of epidemiology, pp.1-16.</w:t>
      </w:r>
    </w:p>
    <w:p w14:paraId="065BDA5D" w14:textId="77777777" w:rsidR="009C741C" w:rsidRDefault="009C741C" w:rsidP="009C741C">
      <w:r>
        <w:t>Lu, F. S., Nguyen, A. T., Link, N. B., Lipsitch, M., &amp; Santillana, M. (2020). Estimating the early outbreak cumulative incidence of COVID-19 in the United States: three complementary approaches. medRxiv.</w:t>
      </w:r>
    </w:p>
    <w:p w14:paraId="0CD4E500" w14:textId="77777777" w:rsidR="009C741C" w:rsidRDefault="009C741C" w:rsidP="009C741C">
      <w:r>
        <w:t>Oehmke, J.F., Moss, C.B., Singh, L.N., Oehmke, T.B. and Post, L.A., 2020. Dynamic panel surveillance of COVID-19 transmission in the United States to inform health policy: observational statistical study. Journal of medical Internet research, 22(10), p.e21955.</w:t>
      </w:r>
    </w:p>
    <w:p w14:paraId="0CCBDE5F" w14:textId="5E61E1DA" w:rsidR="009C741C" w:rsidRDefault="009C741C" w:rsidP="009C741C">
      <w:r>
        <w:t>Thornton, J., 2020. Covid-19: A&amp;E visits in England fall by 25% in week after lockdown.</w:t>
      </w:r>
    </w:p>
    <w:sectPr w:rsidR="009C741C" w:rsidSect="00D16EC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yBRKGBgZGhuZGFko6SsGpxcWZ+XkgBUa1ACvvPQYsAAAA"/>
  </w:docVars>
  <w:rsids>
    <w:rsidRoot w:val="003339DF"/>
    <w:rsid w:val="000573BD"/>
    <w:rsid w:val="001A3DD2"/>
    <w:rsid w:val="00253F6F"/>
    <w:rsid w:val="00265C5A"/>
    <w:rsid w:val="002E47E6"/>
    <w:rsid w:val="003339DF"/>
    <w:rsid w:val="0045796F"/>
    <w:rsid w:val="0050261A"/>
    <w:rsid w:val="00530797"/>
    <w:rsid w:val="005C0CDD"/>
    <w:rsid w:val="00606111"/>
    <w:rsid w:val="006150FF"/>
    <w:rsid w:val="00752144"/>
    <w:rsid w:val="007F09E9"/>
    <w:rsid w:val="008101F2"/>
    <w:rsid w:val="00810D5F"/>
    <w:rsid w:val="008C5061"/>
    <w:rsid w:val="00943163"/>
    <w:rsid w:val="00976B5E"/>
    <w:rsid w:val="009C741C"/>
    <w:rsid w:val="009D5F93"/>
    <w:rsid w:val="00A419D5"/>
    <w:rsid w:val="00A5768F"/>
    <w:rsid w:val="00A577B2"/>
    <w:rsid w:val="00B56105"/>
    <w:rsid w:val="00B8516F"/>
    <w:rsid w:val="00BB09CF"/>
    <w:rsid w:val="00BF7CA3"/>
    <w:rsid w:val="00CD3D28"/>
    <w:rsid w:val="00D078ED"/>
    <w:rsid w:val="00D16ECA"/>
    <w:rsid w:val="00E462B5"/>
    <w:rsid w:val="00F81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A9B2973"/>
  <w15:chartTrackingRefBased/>
  <w15:docId w15:val="{C0C40D75-9122-4B3A-8FD6-B6AF61078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16EC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6EC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Lecturer: Doc. Edward Goka</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3103</Words>
  <Characters>17690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name:Public Health policy</dc:title>
  <dc:subject>Module code:(BMHP5013_LON)</dc:subject>
  <dc:creator>Teodora Nikolova (2009133)</dc:creator>
  <cp:keywords/>
  <dc:description/>
  <cp:lastModifiedBy>Teodora Nikolova (2009133)</cp:lastModifiedBy>
  <cp:revision>2</cp:revision>
  <dcterms:created xsi:type="dcterms:W3CDTF">2021-12-23T07:55:00Z</dcterms:created>
  <dcterms:modified xsi:type="dcterms:W3CDTF">2021-12-23T07:55:00Z</dcterms:modified>
</cp:coreProperties>
</file>