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Times New Roman" w:hAnsi="Times New Roman" w:cs="Times New Roman"/>
          <w:b/>
          <w:b/>
          <w:i/>
          <w:i/>
          <w:highlight w:val="white"/>
        </w:rPr>
      </w:pPr>
      <w:r>
        <w:rPr>
          <w:sz w:val="44"/>
          <w:szCs w:val="44"/>
        </w:rPr>
      </w:r>
    </w:p>
    <w:p>
      <w:pPr>
        <w:pStyle w:val="Normal"/>
        <w:spacing w:lineRule="auto" w:line="360"/>
        <w:jc w:val="left"/>
        <w:rPr>
          <w:i w:val="false"/>
          <w:i w:val="false"/>
          <w:iCs w:val="false"/>
          <w:sz w:val="44"/>
          <w:szCs w:val="44"/>
        </w:rPr>
      </w:pPr>
      <w:r>
        <w:rPr>
          <w:rFonts w:cs="Times New Roman" w:ascii="Times New Roman" w:hAnsi="Times New Roman"/>
          <w:b/>
          <w:i w:val="false"/>
          <w:iCs w:val="false"/>
          <w:sz w:val="44"/>
          <w:szCs w:val="44"/>
          <w:shd w:fill="FFFFFF" w:val="clear"/>
        </w:rPr>
        <w:t>Student name: Ioana Alexandrina Luchian</w:t>
      </w:r>
    </w:p>
    <w:p>
      <w:pPr>
        <w:pStyle w:val="Normal"/>
        <w:spacing w:lineRule="auto" w:line="360"/>
        <w:jc w:val="left"/>
        <w:rPr>
          <w:i w:val="false"/>
          <w:i w:val="false"/>
          <w:iCs w:val="false"/>
          <w:sz w:val="44"/>
          <w:szCs w:val="44"/>
        </w:rPr>
      </w:pPr>
      <w:r>
        <w:rPr>
          <w:rFonts w:cs="Times New Roman" w:ascii="Times New Roman" w:hAnsi="Times New Roman"/>
          <w:b/>
          <w:i w:val="false"/>
          <w:iCs w:val="false"/>
          <w:sz w:val="44"/>
          <w:szCs w:val="44"/>
          <w:shd w:fill="FFFFFF" w:val="clear"/>
        </w:rPr>
        <w:t>Student number: 1814714</w:t>
      </w:r>
    </w:p>
    <w:p>
      <w:pPr>
        <w:pStyle w:val="Normal"/>
        <w:spacing w:lineRule="auto" w:line="360"/>
        <w:jc w:val="left"/>
        <w:rPr>
          <w:i w:val="false"/>
          <w:i w:val="false"/>
          <w:iCs w:val="false"/>
          <w:sz w:val="44"/>
          <w:szCs w:val="44"/>
        </w:rPr>
      </w:pPr>
      <w:r>
        <w:rPr>
          <w:rFonts w:cs="Times New Roman" w:ascii="Times New Roman" w:hAnsi="Times New Roman"/>
          <w:b/>
          <w:i w:val="false"/>
          <w:iCs w:val="false"/>
          <w:sz w:val="44"/>
          <w:szCs w:val="44"/>
          <w:shd w:fill="FFFFFF" w:val="clear"/>
        </w:rPr>
        <w:t>Module title: Management Accounting</w:t>
      </w:r>
    </w:p>
    <w:p>
      <w:pPr>
        <w:pStyle w:val="Normal"/>
        <w:spacing w:lineRule="auto" w:line="360"/>
        <w:jc w:val="left"/>
        <w:rPr>
          <w:i w:val="false"/>
          <w:i w:val="false"/>
          <w:iCs w:val="false"/>
          <w:sz w:val="44"/>
          <w:szCs w:val="44"/>
        </w:rPr>
      </w:pPr>
      <w:r>
        <w:rPr>
          <w:rFonts w:cs="Times New Roman" w:ascii="Times New Roman" w:hAnsi="Times New Roman"/>
          <w:b/>
          <w:i w:val="false"/>
          <w:iCs w:val="false"/>
          <w:sz w:val="44"/>
          <w:szCs w:val="44"/>
          <w:shd w:fill="FFFFFF" w:val="clear"/>
        </w:rPr>
        <w:t>Lecturer name: Winifred Soribe</w:t>
      </w:r>
    </w:p>
    <w:p>
      <w:pPr>
        <w:pStyle w:val="Normal"/>
        <w:spacing w:lineRule="auto" w:line="360"/>
        <w:jc w:val="left"/>
        <w:rPr>
          <w:i w:val="false"/>
          <w:i w:val="false"/>
          <w:iCs w:val="false"/>
          <w:sz w:val="44"/>
          <w:szCs w:val="44"/>
        </w:rPr>
      </w:pPr>
      <w:r>
        <w:rPr>
          <w:rFonts w:cs="Times New Roman" w:ascii="Times New Roman" w:hAnsi="Times New Roman"/>
          <w:b/>
          <w:i w:val="false"/>
          <w:iCs w:val="false"/>
          <w:sz w:val="44"/>
          <w:szCs w:val="44"/>
          <w:shd w:fill="FFFFFF" w:val="clear"/>
        </w:rPr>
        <w:t>Module number: LCBB5002</w:t>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
    </w:p>
    <w:p>
      <w:pPr>
        <w:pStyle w:val="Normal"/>
        <w:spacing w:lineRule="auto" w:line="360"/>
        <w:jc w:val="center"/>
        <w:rPr>
          <w:rFonts w:ascii="Times New Roman" w:hAnsi="Times New Roman" w:cs="Times New Roman"/>
          <w:b/>
          <w:b/>
          <w:i/>
          <w:i/>
          <w:sz w:val="88"/>
          <w:szCs w:val="88"/>
          <w:highlight w:val="white"/>
        </w:rPr>
      </w:pPr>
      <w:r>
        <w:rPr>
          <w:rFonts w:cs="Times New Roman" w:ascii="Times New Roman" w:hAnsi="Times New Roman"/>
          <w:b/>
          <w:i/>
          <w:sz w:val="88"/>
          <w:szCs w:val="88"/>
          <w:shd w:fill="FFFFFF" w:val="clear"/>
        </w:rPr>
        <w:t>LCBB5002 MANAGEMENT ACCOUNTING – 2</w:t>
      </w:r>
    </w:p>
    <w:p>
      <w:pPr>
        <w:pStyle w:val="Normal"/>
        <w:spacing w:lineRule="auto" w:line="360"/>
        <w:jc w:val="both"/>
        <w:rPr>
          <w:rFonts w:ascii="Times New Roman" w:hAnsi="Times New Roman" w:cs="Times New Roman"/>
          <w:b/>
          <w:b/>
          <w:i/>
          <w:i/>
          <w:sz w:val="24"/>
          <w:szCs w:val="24"/>
          <w:highlight w:val="white"/>
        </w:rPr>
      </w:pPr>
      <w:r>
        <w:rPr>
          <w:rFonts w:cs="Times New Roman" w:ascii="Times New Roman" w:hAnsi="Times New Roman"/>
          <w:b/>
          <w:i/>
          <w:sz w:val="24"/>
          <w:szCs w:val="24"/>
          <w:shd w:fill="FFFFFF" w:val="clear"/>
        </w:rPr>
      </w:r>
    </w:p>
    <w:sdt>
      <w:sdtPr>
        <w:docPartObj>
          <w:docPartGallery w:val="Table of Contents"/>
          <w:docPartUnique w:val="true"/>
        </w:docPartObj>
      </w:sdtPr>
      <w:sdtContent>
        <w:p>
          <w:pPr>
            <w:pStyle w:val="TOCHeading"/>
            <w:rPr/>
          </w:pPr>
          <w:r>
            <w:rPr/>
            <w:t>Contents</w:t>
          </w:r>
        </w:p>
        <w:p>
          <w:pPr>
            <w:pStyle w:val="Cuprins1"/>
            <w:tabs>
              <w:tab w:val="clear" w:pos="720"/>
              <w:tab w:val="right" w:pos="9350" w:leader="dot"/>
            </w:tabs>
            <w:rPr/>
          </w:pPr>
          <w:r>
            <w:fldChar w:fldCharType="begin"/>
          </w:r>
          <w:r>
            <w:rPr>
              <w:webHidden/>
              <w:rStyle w:val="Legturindex"/>
              <w:b/>
              <w:rFonts w:cs="Times New Roman" w:ascii="Times New Roman" w:hAnsi="Times New Roman"/>
            </w:rPr>
            <w:instrText> TOC \z \o "1-3" \u \h</w:instrText>
          </w:r>
          <w:r>
            <w:rPr>
              <w:webHidden/>
              <w:rStyle w:val="Legturindex"/>
              <w:b/>
              <w:rFonts w:cs="Times New Roman" w:ascii="Times New Roman" w:hAnsi="Times New Roman"/>
            </w:rPr>
            <w:fldChar w:fldCharType="separate"/>
          </w:r>
          <w:hyperlink w:anchor="_Toc49353026">
            <w:r>
              <w:rPr>
                <w:webHidden/>
                <w:rStyle w:val="Legturindex"/>
                <w:rFonts w:cs="Times New Roman" w:ascii="Times New Roman" w:hAnsi="Times New Roman"/>
                <w:b/>
              </w:rPr>
              <w:t>INTRODUCTION</w:t>
            </w:r>
            <w:r>
              <w:rPr>
                <w:webHidden/>
              </w:rPr>
              <w:fldChar w:fldCharType="begin"/>
            </w:r>
            <w:r>
              <w:rPr>
                <w:webHidden/>
              </w:rPr>
              <w:instrText>PAGEREF _Toc49353026 \h</w:instrText>
            </w:r>
            <w:r>
              <w:rPr>
                <w:webHidden/>
              </w:rPr>
              <w:fldChar w:fldCharType="separate"/>
            </w:r>
            <w:r>
              <w:rPr>
                <w:rStyle w:val="Legturindex"/>
                <w:vanish w:val="false"/>
              </w:rPr>
              <w:tab/>
              <w:t>3</w:t>
            </w:r>
            <w:r>
              <w:rPr>
                <w:webHidden/>
              </w:rPr>
              <w:fldChar w:fldCharType="end"/>
            </w:r>
          </w:hyperlink>
        </w:p>
        <w:p>
          <w:pPr>
            <w:pStyle w:val="Cuprins1"/>
            <w:tabs>
              <w:tab w:val="clear" w:pos="720"/>
              <w:tab w:val="right" w:pos="9350" w:leader="dot"/>
            </w:tabs>
            <w:rPr/>
          </w:pPr>
          <w:hyperlink w:anchor="_Toc49353027">
            <w:r>
              <w:rPr>
                <w:webHidden/>
                <w:rStyle w:val="Legturindex"/>
                <w:rFonts w:cs="Times New Roman" w:ascii="Times New Roman" w:hAnsi="Times New Roman"/>
                <w:b/>
              </w:rPr>
              <w:t>MAIN BODY</w:t>
            </w:r>
            <w:r>
              <w:rPr>
                <w:webHidden/>
              </w:rPr>
              <w:fldChar w:fldCharType="begin"/>
            </w:r>
            <w:r>
              <w:rPr>
                <w:webHidden/>
              </w:rPr>
              <w:instrText>PAGEREF _Toc49353027 \h</w:instrText>
            </w:r>
            <w:r>
              <w:rPr>
                <w:webHidden/>
              </w:rPr>
              <w:fldChar w:fldCharType="separate"/>
            </w:r>
            <w:r>
              <w:rPr>
                <w:rStyle w:val="Legturindex"/>
                <w:vanish w:val="false"/>
              </w:rPr>
              <w:tab/>
              <w:t>3</w:t>
            </w:r>
            <w:r>
              <w:rPr>
                <w:webHidden/>
              </w:rPr>
              <w:fldChar w:fldCharType="end"/>
            </w:r>
          </w:hyperlink>
        </w:p>
        <w:p>
          <w:pPr>
            <w:pStyle w:val="Cuprins2"/>
            <w:tabs>
              <w:tab w:val="clear" w:pos="720"/>
              <w:tab w:val="right" w:pos="9350" w:leader="dot"/>
            </w:tabs>
            <w:rPr/>
          </w:pPr>
          <w:hyperlink w:anchor="_Toc49353028">
            <w:r>
              <w:rPr>
                <w:webHidden/>
                <w:rStyle w:val="Legturindex"/>
                <w:rFonts w:cs="Times New Roman" w:ascii="Times New Roman" w:hAnsi="Times New Roman"/>
              </w:rPr>
              <w:t>Part A</w:t>
            </w:r>
            <w:r>
              <w:rPr>
                <w:webHidden/>
              </w:rPr>
              <w:fldChar w:fldCharType="begin"/>
            </w:r>
            <w:r>
              <w:rPr>
                <w:webHidden/>
              </w:rPr>
              <w:instrText>PAGEREF _Toc49353028 \h</w:instrText>
            </w:r>
            <w:r>
              <w:rPr>
                <w:webHidden/>
              </w:rPr>
              <w:fldChar w:fldCharType="separate"/>
            </w:r>
            <w:r>
              <w:rPr>
                <w:rStyle w:val="Legturindex"/>
                <w:vanish w:val="false"/>
              </w:rPr>
              <w:tab/>
              <w:t>3</w:t>
            </w:r>
            <w:r>
              <w:rPr>
                <w:webHidden/>
              </w:rPr>
              <w:fldChar w:fldCharType="end"/>
            </w:r>
          </w:hyperlink>
        </w:p>
        <w:p>
          <w:pPr>
            <w:pStyle w:val="Cuprins2"/>
            <w:tabs>
              <w:tab w:val="clear" w:pos="720"/>
              <w:tab w:val="right" w:pos="9350" w:leader="dot"/>
            </w:tabs>
            <w:rPr/>
          </w:pPr>
          <w:hyperlink w:anchor="_Toc49353029">
            <w:r>
              <w:rPr>
                <w:webHidden/>
                <w:rStyle w:val="Legturindex"/>
                <w:rFonts w:cs="Times New Roman" w:ascii="Times New Roman" w:hAnsi="Times New Roman"/>
              </w:rPr>
              <w:t>Part B</w:t>
            </w:r>
            <w:r>
              <w:rPr>
                <w:webHidden/>
              </w:rPr>
              <w:fldChar w:fldCharType="begin"/>
            </w:r>
            <w:r>
              <w:rPr>
                <w:webHidden/>
              </w:rPr>
              <w:instrText>PAGEREF _Toc49353029 \h</w:instrText>
            </w:r>
            <w:r>
              <w:rPr>
                <w:webHidden/>
              </w:rPr>
              <w:fldChar w:fldCharType="separate"/>
            </w:r>
            <w:r>
              <w:rPr>
                <w:rStyle w:val="Legturindex"/>
                <w:vanish w:val="false"/>
              </w:rPr>
              <w:tab/>
              <w:t>10</w:t>
            </w:r>
            <w:r>
              <w:rPr>
                <w:webHidden/>
              </w:rPr>
              <w:fldChar w:fldCharType="end"/>
            </w:r>
          </w:hyperlink>
        </w:p>
        <w:p>
          <w:pPr>
            <w:pStyle w:val="Cuprins1"/>
            <w:tabs>
              <w:tab w:val="clear" w:pos="720"/>
              <w:tab w:val="right" w:pos="9350" w:leader="dot"/>
            </w:tabs>
            <w:rPr/>
          </w:pPr>
          <w:hyperlink w:anchor="_Toc49353030">
            <w:r>
              <w:rPr>
                <w:webHidden/>
                <w:rStyle w:val="Legturindex"/>
                <w:rFonts w:cs="Times New Roman" w:ascii="Times New Roman" w:hAnsi="Times New Roman"/>
                <w:b/>
              </w:rPr>
              <w:t>CONCLUSION</w:t>
            </w:r>
            <w:r>
              <w:rPr>
                <w:webHidden/>
              </w:rPr>
              <w:fldChar w:fldCharType="begin"/>
            </w:r>
            <w:r>
              <w:rPr>
                <w:webHidden/>
              </w:rPr>
              <w:instrText>PAGEREF _Toc49353030 \h</w:instrText>
            </w:r>
            <w:r>
              <w:rPr>
                <w:webHidden/>
              </w:rPr>
              <w:fldChar w:fldCharType="separate"/>
            </w:r>
            <w:r>
              <w:rPr>
                <w:rStyle w:val="Legturindex"/>
                <w:vanish w:val="false"/>
              </w:rPr>
              <w:tab/>
              <w:t>13</w:t>
            </w:r>
            <w:r>
              <w:rPr>
                <w:webHidden/>
              </w:rPr>
              <w:fldChar w:fldCharType="end"/>
            </w:r>
          </w:hyperlink>
        </w:p>
        <w:p>
          <w:pPr>
            <w:pStyle w:val="Cuprins1"/>
            <w:tabs>
              <w:tab w:val="clear" w:pos="720"/>
              <w:tab w:val="right" w:pos="9350" w:leader="dot"/>
            </w:tabs>
            <w:rPr/>
          </w:pPr>
          <w:hyperlink w:anchor="_Toc49353031">
            <w:r>
              <w:rPr>
                <w:webHidden/>
                <w:rStyle w:val="Legturindex"/>
                <w:rFonts w:cs="Times New Roman" w:ascii="Times New Roman" w:hAnsi="Times New Roman"/>
                <w:b/>
              </w:rPr>
              <w:t>REFERENCES</w:t>
            </w:r>
            <w:r>
              <w:rPr>
                <w:webHidden/>
              </w:rPr>
              <w:fldChar w:fldCharType="begin"/>
            </w:r>
            <w:r>
              <w:rPr>
                <w:webHidden/>
              </w:rPr>
              <w:instrText>PAGEREF _Toc49353031 \h</w:instrText>
            </w:r>
            <w:r>
              <w:rPr>
                <w:webHidden/>
              </w:rPr>
              <w:fldChar w:fldCharType="separate"/>
            </w:r>
            <w:r>
              <w:rPr>
                <w:rStyle w:val="Legturindex"/>
                <w:vanish w:val="false"/>
              </w:rPr>
              <w:tab/>
              <w:t>14</w:t>
            </w:r>
            <w:r>
              <w:rPr>
                <w:webHidden/>
              </w:rPr>
              <w:fldChar w:fldCharType="end"/>
            </w:r>
          </w:hyperlink>
        </w:p>
        <w:p>
          <w:pPr>
            <w:pStyle w:val="Normal"/>
            <w:rPr/>
          </w:pPr>
          <w:r>
            <w:rPr/>
          </w:r>
          <w:r>
            <w:rPr/>
            <w:fldChar w:fldCharType="end"/>
          </w:r>
        </w:p>
      </w:sdtContent>
    </w:sdt>
    <w:p>
      <w:pPr>
        <w:pStyle w:val="Normal"/>
        <w:spacing w:lineRule="auto" w:line="360"/>
        <w:jc w:val="both"/>
        <w:rPr>
          <w:rFonts w:ascii="Times New Roman" w:hAnsi="Times New Roman" w:cs="Times New Roman"/>
          <w:b/>
          <w:b/>
          <w:i/>
          <w:i/>
          <w:sz w:val="24"/>
          <w:szCs w:val="24"/>
        </w:rPr>
      </w:pPr>
      <w:r>
        <w:rPr>
          <w:rFonts w:cs="Times New Roman" w:ascii="Times New Roman" w:hAnsi="Times New Roman"/>
          <w:b/>
          <w:i/>
          <w:sz w:val="24"/>
          <w:szCs w:val="24"/>
        </w:rPr>
      </w:r>
      <w:r>
        <w:br w:type="page"/>
      </w:r>
    </w:p>
    <w:p>
      <w:pPr>
        <w:pStyle w:val="Titlu1"/>
        <w:spacing w:lineRule="auto" w:line="360"/>
        <w:jc w:val="both"/>
        <w:rPr>
          <w:rFonts w:ascii="Times New Roman" w:hAnsi="Times New Roman" w:cs="Times New Roman"/>
          <w:b/>
          <w:b/>
          <w:color w:val="auto"/>
          <w:sz w:val="28"/>
          <w:szCs w:val="28"/>
        </w:rPr>
      </w:pPr>
      <w:bookmarkStart w:id="0" w:name="_Toc49353026"/>
      <w:r>
        <w:rPr>
          <w:rFonts w:cs="Times New Roman" w:ascii="Times New Roman" w:hAnsi="Times New Roman"/>
          <w:b/>
          <w:color w:val="auto"/>
          <w:sz w:val="28"/>
          <w:szCs w:val="28"/>
        </w:rPr>
        <w:t>INTRODUCTION</w:t>
      </w:r>
      <w:bookmarkEnd w:id="0"/>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b/>
        <w:t>The management accounting (MA) is known as a form of accounting that is associated to handling monetary and non-monetary resources in a manner so that corrective actions can be carried out for decision making (</w:t>
      </w:r>
      <w:r>
        <w:rPr>
          <w:rFonts w:cs="Times New Roman" w:ascii="Times New Roman" w:hAnsi="Times New Roman"/>
          <w:sz w:val="24"/>
          <w:szCs w:val="24"/>
          <w:shd w:fill="FFFFFF" w:val="clear"/>
        </w:rPr>
        <w:t>Cescon, Costantini and Grassetti, 2019</w:t>
      </w:r>
      <w:r>
        <w:rPr>
          <w:rFonts w:cs="Times New Roman" w:ascii="Times New Roman" w:hAnsi="Times New Roman"/>
          <w:sz w:val="24"/>
          <w:szCs w:val="24"/>
        </w:rPr>
        <w:t>). This accounting contains a range of techniques and variance analysis is considered as one of the key approach which is connected to compare actual data with financial projections. Majority of executive of companies, rely on this method in order to take viable financial judgments. In the report a case study has been discussed which is based on calcula</w:t>
      </w:r>
      <w:bookmarkStart w:id="1" w:name="_GoBack"/>
      <w:bookmarkEnd w:id="1"/>
      <w:r>
        <w:rPr>
          <w:rFonts w:cs="Times New Roman" w:ascii="Times New Roman" w:hAnsi="Times New Roman"/>
          <w:sz w:val="24"/>
          <w:szCs w:val="24"/>
        </w:rPr>
        <w:t xml:space="preserve">tion of variances and suggesting a suitable alternative to XLG plc. The project report is based on two tasks which are A and B. The part A contains information related to calculation of different kinds of variables have been done. While in part B, detailed information regarding to selection of an alternative has been done by using appropriate methods.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itlu1"/>
        <w:spacing w:lineRule="auto" w:line="360"/>
        <w:jc w:val="both"/>
        <w:rPr>
          <w:rFonts w:ascii="Times New Roman" w:hAnsi="Times New Roman" w:cs="Times New Roman"/>
          <w:b/>
          <w:b/>
          <w:color w:val="auto"/>
          <w:sz w:val="28"/>
          <w:szCs w:val="28"/>
        </w:rPr>
      </w:pPr>
      <w:bookmarkStart w:id="2" w:name="_Toc49353027"/>
      <w:r>
        <w:rPr>
          <w:rFonts w:cs="Times New Roman" w:ascii="Times New Roman" w:hAnsi="Times New Roman"/>
          <w:b/>
          <w:color w:val="auto"/>
          <w:sz w:val="28"/>
          <w:szCs w:val="28"/>
        </w:rPr>
        <w:t>MAIN BODY</w:t>
      </w:r>
      <w:bookmarkEnd w:id="2"/>
    </w:p>
    <w:p>
      <w:pPr>
        <w:pStyle w:val="Titlu2"/>
        <w:spacing w:lineRule="auto" w:line="360"/>
        <w:jc w:val="both"/>
        <w:rPr>
          <w:rFonts w:ascii="Times New Roman" w:hAnsi="Times New Roman" w:cs="Times New Roman"/>
          <w:color w:val="auto"/>
          <w:sz w:val="24"/>
          <w:szCs w:val="24"/>
          <w:u w:val="single"/>
        </w:rPr>
      </w:pPr>
      <w:bookmarkStart w:id="3" w:name="_Toc49353028"/>
      <w:r>
        <w:rPr>
          <w:rFonts w:cs="Times New Roman" w:ascii="Times New Roman" w:hAnsi="Times New Roman"/>
          <w:color w:val="auto"/>
          <w:sz w:val="24"/>
          <w:szCs w:val="24"/>
          <w:u w:val="single"/>
        </w:rPr>
        <w:t>Part A</w:t>
      </w:r>
      <w:bookmarkEnd w:id="3"/>
    </w:p>
    <w:p>
      <w:pPr>
        <w:pStyle w:val="Normal"/>
        <w:spacing w:lineRule="auto" w:line="360"/>
        <w:jc w:val="both"/>
        <w:rPr>
          <w:rFonts w:ascii="Times New Roman" w:hAnsi="Times New Roman" w:cs="Times New Roman"/>
          <w:b/>
          <w:b/>
          <w:i/>
          <w:i/>
          <w:iCs/>
          <w:sz w:val="24"/>
          <w:szCs w:val="24"/>
        </w:rPr>
      </w:pPr>
      <w:bookmarkStart w:id="4" w:name="__RefHeading__25_1280089046"/>
      <w:bookmarkEnd w:id="4"/>
      <w:r>
        <w:rPr>
          <w:rFonts w:cs="Times New Roman" w:ascii="Times New Roman" w:hAnsi="Times New Roman"/>
          <w:sz w:val="24"/>
          <w:szCs w:val="24"/>
          <w:shd w:fill="FFFFFF" w:val="clear"/>
        </w:rPr>
        <w:t xml:space="preserve"> </w:t>
      </w:r>
      <w:r>
        <w:rPr>
          <w:rFonts w:cs="Times New Roman" w:ascii="Times New Roman" w:hAnsi="Times New Roman"/>
          <w:sz w:val="24"/>
          <w:szCs w:val="24"/>
          <w:shd w:fill="FFFFFF" w:val="clear"/>
        </w:rPr>
        <w:t>(i) Computation of the Sales price variances and sales volume contribution variances:</w:t>
      </w:r>
    </w:p>
    <w:p>
      <w:pPr>
        <w:pStyle w:val="Normal"/>
        <w:spacing w:lineRule="auto" w:line="360"/>
        <w:jc w:val="both"/>
        <w:rPr>
          <w:rFonts w:ascii="Times New Roman" w:hAnsi="Times New Roman" w:cs="Times New Roman"/>
          <w:sz w:val="24"/>
          <w:szCs w:val="24"/>
        </w:rPr>
      </w:pPr>
      <w:r>
        <w:rPr>
          <w:rFonts w:cs="Times New Roman" w:ascii="Times New Roman" w:hAnsi="Times New Roman"/>
          <w:b/>
          <w:bCs/>
          <w:i/>
          <w:iCs/>
          <w:sz w:val="24"/>
          <w:szCs w:val="24"/>
        </w:rPr>
        <w:t>Sales price variance:</w:t>
      </w:r>
      <w:r>
        <w:rPr>
          <w:rFonts w:cs="Times New Roman" w:ascii="Times New Roman" w:hAnsi="Times New Roman"/>
          <w:bCs/>
          <w:iCs/>
          <w:sz w:val="24"/>
          <w:szCs w:val="24"/>
        </w:rPr>
        <w:t xml:space="preserve"> The variance in the selling price means a discrepancy between real and expected sales arising from a change in commodity price (</w:t>
      </w:r>
      <w:r>
        <w:rPr>
          <w:rFonts w:cs="Times New Roman" w:ascii="Times New Roman" w:hAnsi="Times New Roman"/>
          <w:sz w:val="24"/>
          <w:szCs w:val="24"/>
          <w:shd w:fill="FFFFFF" w:val="clear"/>
        </w:rPr>
        <w:t>Labrador and Olmo, 2019</w:t>
      </w:r>
      <w:r>
        <w:rPr>
          <w:rFonts w:cs="Times New Roman" w:ascii="Times New Roman" w:hAnsi="Times New Roman"/>
          <w:bCs/>
          <w:iCs/>
          <w:sz w:val="24"/>
          <w:szCs w:val="24"/>
        </w:rPr>
        <w:t>).</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b/>
          <w:bCs/>
          <w:sz w:val="24"/>
          <w:szCs w:val="24"/>
          <w:shd w:fill="FFFFFF" w:val="clear"/>
        </w:rPr>
        <w:t>Sales price variance = (Actual Price – Standard Price) * Actual Unit</w:t>
      </w:r>
    </w:p>
    <w:p>
      <w:pPr>
        <w:pStyle w:val="Normal"/>
        <w:spacing w:lineRule="auto" w:line="360"/>
        <w:jc w:val="both"/>
        <w:rPr>
          <w:rFonts w:ascii="Times New Roman" w:hAnsi="Times New Roman" w:cs="Times New Roman"/>
          <w:sz w:val="24"/>
          <w:szCs w:val="24"/>
        </w:rPr>
      </w:pPr>
      <w:r>
        <w:rPr>
          <w:rFonts w:cs="Times New Roman" w:ascii="Times New Roman" w:hAnsi="Times New Roman"/>
          <w:bCs/>
          <w:iCs/>
          <w:sz w:val="24"/>
          <w:szCs w:val="24"/>
        </w:rPr>
        <w:t>The value of negative variance indicates that actual price is shorter as compared to projected prices. On the other hands, positive variance shows that actual prices are more than estimated prices (</w:t>
      </w:r>
      <w:r>
        <w:rPr>
          <w:rFonts w:cs="Times New Roman" w:ascii="Times New Roman" w:hAnsi="Times New Roman"/>
          <w:sz w:val="24"/>
          <w:szCs w:val="24"/>
          <w:shd w:fill="FFFFFF" w:val="clear"/>
        </w:rPr>
        <w:t>Dai, Free and Gendron, 2019</w:t>
      </w:r>
      <w:r>
        <w:rPr>
          <w:rFonts w:cs="Times New Roman" w:ascii="Times New Roman" w:hAnsi="Times New Roman"/>
          <w:bCs/>
          <w:iCs/>
          <w:sz w:val="24"/>
          <w:szCs w:val="24"/>
        </w:rPr>
        <w:t xml:space="preserve">). By help of this variance, it becomes easier for companies to know about level of price on which they can sell their items. </w:t>
      </w:r>
    </w:p>
    <w:p>
      <w:pPr>
        <w:pStyle w:val="Normal"/>
        <w:spacing w:lineRule="auto" w:line="360"/>
        <w:jc w:val="both"/>
        <w:rPr>
          <w:rFonts w:ascii="Times New Roman" w:hAnsi="Times New Roman" w:cs="Times New Roman"/>
          <w:bCs/>
          <w:iCs/>
          <w:sz w:val="24"/>
          <w:szCs w:val="24"/>
        </w:rPr>
      </w:pPr>
      <w:r>
        <w:rPr/>
        <w:drawing>
          <wp:inline distT="0" distB="0" distL="0" distR="0">
            <wp:extent cx="5934075" cy="373380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934075" cy="3733800"/>
                    </a:xfrm>
                    <a:prstGeom prst="rect">
                      <a:avLst/>
                    </a:prstGeom>
                  </pic:spPr>
                </pic:pic>
              </a:graphicData>
            </a:graphic>
          </wp:inline>
        </w:drawing>
      </w:r>
    </w:p>
    <w:p>
      <w:pPr>
        <w:pStyle w:val="Normal"/>
        <w:spacing w:lineRule="auto" w:line="360"/>
        <w:jc w:val="both"/>
        <w:rPr>
          <w:rFonts w:ascii="Times New Roman" w:hAnsi="Times New Roman" w:cs="Times New Roman"/>
          <w:bCs/>
          <w:iCs/>
          <w:sz w:val="24"/>
          <w:szCs w:val="24"/>
        </w:rPr>
      </w:pPr>
      <w:r>
        <w:rPr/>
        <w:drawing>
          <wp:inline distT="0" distB="0" distL="0" distR="0">
            <wp:extent cx="5934075" cy="201930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934075" cy="2019300"/>
                    </a:xfrm>
                    <a:prstGeom prst="rect">
                      <a:avLst/>
                    </a:prstGeom>
                  </pic:spPr>
                </pic:pic>
              </a:graphicData>
            </a:graphic>
          </wp:inline>
        </w:drawing>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Sales volume contribution variance: It is the disparity between the real and expected amount of sales units, multiplied by each unit 's budgeted price.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Sales volume contribution variance = (Actual no. of units sold × Budgeted price per unit) – (budgeted number of units sold × Budgeted price per unit)</w:t>
      </w:r>
    </w:p>
    <w:p>
      <w:pPr>
        <w:pStyle w:val="Normal"/>
        <w:spacing w:lineRule="auto" w:line="360"/>
        <w:jc w:val="both"/>
        <w:rPr>
          <w:rFonts w:ascii="Times New Roman" w:hAnsi="Times New Roman" w:cs="Times New Roman"/>
          <w:sz w:val="24"/>
          <w:szCs w:val="24"/>
        </w:rPr>
      </w:pPr>
      <w:r>
        <w:rPr>
          <w:rFonts w:cs="Times New Roman" w:ascii="Times New Roman" w:hAnsi="Times New Roman"/>
          <w:bCs/>
          <w:iCs/>
          <w:sz w:val="24"/>
          <w:szCs w:val="24"/>
        </w:rPr>
        <w:t>The unfavorable deviation means that the amount of units currently delivered is less than the number of units budgeted for sale (</w:t>
      </w:r>
      <w:r>
        <w:rPr>
          <w:rFonts w:cs="Times New Roman" w:ascii="Times New Roman" w:hAnsi="Times New Roman"/>
          <w:sz w:val="24"/>
          <w:szCs w:val="24"/>
          <w:shd w:fill="FFFFFF" w:val="clear"/>
        </w:rPr>
        <w:t>Taschner and Charifzadeh, 2020</w:t>
      </w:r>
      <w:r>
        <w:rPr>
          <w:rFonts w:cs="Times New Roman" w:ascii="Times New Roman" w:hAnsi="Times New Roman"/>
          <w:bCs/>
          <w:iCs/>
          <w:sz w:val="24"/>
          <w:szCs w:val="24"/>
        </w:rPr>
        <w:t xml:space="preserve">). There, the planned amount of units sold is created by executive in sales and marketing, which focuses on their estimation of how future revenues can impact the share of the corporation's product sector, specifications, price levels, expected marketing activities, distribution networks and sales in new fields. When the stock's market price is greater than the budgeted amount, this can increase demand to a certain degree that variation in production volume is beneficial, even though variation in sale value is unfavorable. </w:t>
      </w:r>
    </w:p>
    <w:p>
      <w:pPr>
        <w:pStyle w:val="Normal"/>
        <w:spacing w:lineRule="auto" w:line="360"/>
        <w:jc w:val="both"/>
        <w:rPr>
          <w:rFonts w:ascii="Times New Roman" w:hAnsi="Times New Roman" w:cs="Times New Roman"/>
          <w:sz w:val="24"/>
          <w:szCs w:val="24"/>
        </w:rPr>
      </w:pPr>
      <w:r>
        <w:rPr/>
        <w:drawing>
          <wp:inline distT="0" distB="0" distL="0" distR="0">
            <wp:extent cx="5943600" cy="201930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5943600" cy="2019300"/>
                    </a:xfrm>
                    <a:prstGeom prst="rect">
                      <a:avLst/>
                    </a:prstGeom>
                  </pic:spPr>
                </pic:pic>
              </a:graphicData>
            </a:graphic>
          </wp:inline>
        </w:drawing>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(ii). Computation of material price planning variance and material price operational variance: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shd w:fill="FFFFFF" w:val="clear"/>
        </w:rPr>
        <w:t>By comparing actual and revised projections (planning) and altered budgets with actual (organizational) productivity, the planning and operational variances can be evaluated for resource base and labor. By offering inputs into how efficient managers are in estimating future prices, a variance in product price forecasts is quite useful (Hutaibat and Alhatabat, 2019). The operating variation is even more relevant as it measures the buying department's productivity taking into consideration the circumstances of business that occurred at the existing time. This disregards variables that can't regulate by purchasing department.</w:t>
      </w:r>
    </w:p>
    <w:p>
      <w:pPr>
        <w:pStyle w:val="Normal"/>
        <w:spacing w:lineRule="auto" w:line="360"/>
        <w:jc w:val="both"/>
        <w:rPr>
          <w:rFonts w:ascii="Times New Roman" w:hAnsi="Times New Roman" w:cs="Times New Roman"/>
          <w:sz w:val="24"/>
          <w:szCs w:val="24"/>
          <w:highlight w:val="white"/>
        </w:rPr>
      </w:pPr>
      <w:r>
        <w:rPr/>
        <w:drawing>
          <wp:inline distT="0" distB="0" distL="0" distR="0">
            <wp:extent cx="5943600" cy="1314450"/>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pic:cNvPicPr>
                      <a:picLocks noChangeAspect="1" noChangeArrowheads="1"/>
                    </pic:cNvPicPr>
                  </pic:nvPicPr>
                  <pic:blipFill>
                    <a:blip r:embed="rId5"/>
                    <a:stretch>
                      <a:fillRect/>
                    </a:stretch>
                  </pic:blipFill>
                  <pic:spPr bwMode="auto">
                    <a:xfrm>
                      <a:off x="0" y="0"/>
                      <a:ext cx="5943600" cy="1314450"/>
                    </a:xfrm>
                    <a:prstGeom prst="rect">
                      <a:avLst/>
                    </a:prstGeom>
                  </pic:spPr>
                </pic:pic>
              </a:graphicData>
            </a:graphic>
          </wp:inline>
        </w:drawing>
      </w:r>
    </w:p>
    <w:p>
      <w:pPr>
        <w:pStyle w:val="Normal"/>
        <w:spacing w:lineRule="auto" w:line="360"/>
        <w:jc w:val="both"/>
        <w:rPr>
          <w:rFonts w:ascii="Times New Roman" w:hAnsi="Times New Roman" w:cs="Times New Roman"/>
          <w:sz w:val="24"/>
          <w:szCs w:val="24"/>
          <w:highlight w:val="white"/>
        </w:rPr>
      </w:pPr>
      <w:r>
        <w:rPr/>
        <w:drawing>
          <wp:inline distT="0" distB="0" distL="0" distR="0">
            <wp:extent cx="5934075" cy="344805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
                    <pic:cNvPicPr>
                      <a:picLocks noChangeAspect="1" noChangeArrowheads="1"/>
                    </pic:cNvPicPr>
                  </pic:nvPicPr>
                  <pic:blipFill>
                    <a:blip r:embed="rId6"/>
                    <a:stretch>
                      <a:fillRect/>
                    </a:stretch>
                  </pic:blipFill>
                  <pic:spPr bwMode="auto">
                    <a:xfrm>
                      <a:off x="0" y="0"/>
                      <a:ext cx="5934075" cy="3448050"/>
                    </a:xfrm>
                    <a:prstGeom prst="rect">
                      <a:avLst/>
                    </a:prstGeom>
                  </pic:spPr>
                </pic:pic>
              </a:graphicData>
            </a:graphic>
          </wp:inline>
        </w:drawing>
      </w:r>
    </w:p>
    <w:p>
      <w:pPr>
        <w:pStyle w:val="Normal"/>
        <w:spacing w:lineRule="auto" w:line="360"/>
        <w:jc w:val="both"/>
        <w:rPr>
          <w:rFonts w:ascii="Times New Roman" w:hAnsi="Times New Roman" w:cs="Times New Roman"/>
          <w:sz w:val="24"/>
          <w:szCs w:val="24"/>
          <w:highlight w:val="white"/>
        </w:rPr>
      </w:pPr>
      <w:r>
        <w:rPr/>
        <w:drawing>
          <wp:inline distT="0" distB="0" distL="0" distR="0">
            <wp:extent cx="5934075" cy="3962400"/>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pic:cNvPicPr>
                      <a:picLocks noChangeAspect="1" noChangeArrowheads="1"/>
                    </pic:cNvPicPr>
                  </pic:nvPicPr>
                  <pic:blipFill>
                    <a:blip r:embed="rId7"/>
                    <a:stretch>
                      <a:fillRect/>
                    </a:stretch>
                  </pic:blipFill>
                  <pic:spPr bwMode="auto">
                    <a:xfrm>
                      <a:off x="0" y="0"/>
                      <a:ext cx="5934075" cy="3962400"/>
                    </a:xfrm>
                    <a:prstGeom prst="rect">
                      <a:avLst/>
                    </a:prstGeom>
                  </pic:spPr>
                </pic:pic>
              </a:graphicData>
            </a:graphic>
          </wp:inline>
        </w:drawing>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shd w:fill="FFFFFF" w:val="clear"/>
        </w:rPr>
        <w:t xml:space="preserve">(iii). Comprehend </w:t>
      </w:r>
      <w:r>
        <w:rPr>
          <w:rFonts w:cs="Times New Roman" w:ascii="Times New Roman" w:hAnsi="Times New Roman"/>
          <w:sz w:val="24"/>
          <w:szCs w:val="24"/>
        </w:rPr>
        <w:t>analysis of all substantial merits and demerits linked with variances use in determining managers’ performance: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Variance analysis- A variance in the expenditure or income is a regular calculation utilized by nations, companies or entities to compute the discrepancy between the expected and real estimates within a certain form of accounting period (</w:t>
      </w:r>
      <w:r>
        <w:rPr>
          <w:rFonts w:cs="Times New Roman" w:ascii="Times New Roman" w:hAnsi="Times New Roman"/>
          <w:sz w:val="24"/>
          <w:szCs w:val="24"/>
          <w:shd w:fill="FFFFFF" w:val="clear"/>
        </w:rPr>
        <w:t>Pasch, 2019</w:t>
      </w:r>
      <w:r>
        <w:rPr>
          <w:rFonts w:cs="Times New Roman" w:ascii="Times New Roman" w:hAnsi="Times New Roman"/>
          <w:sz w:val="24"/>
          <w:szCs w:val="24"/>
        </w:rPr>
        <w:t>). A favorable variance in the income or expense corresponds to positive variances or benefits; an adverse variance in the income or expense defines negative variance which implies losses or shortages. The variances exist as forecasters that cannot entirely reliable to foresee projected expenses and revenues. Variance is determined by taking the variations between each variable in the data set and the norm, then quadrating the variations to render them meaningful, and then separating the squares by the amount of values in the data set. This is being computed by applying below mentioned formula that is as follows:</w:t>
      </w:r>
    </w:p>
    <w:p>
      <w:pPr>
        <w:pStyle w:val="Normal"/>
        <w:spacing w:lineRule="auto" w:line="360"/>
        <w:jc w:val="both"/>
        <w:rPr>
          <w:rStyle w:val="Mord"/>
          <w:rFonts w:ascii="Times New Roman" w:hAnsi="Times New Roman" w:cs="Times New Roman"/>
          <w:sz w:val="24"/>
          <w:szCs w:val="24"/>
        </w:rPr>
      </w:pPr>
      <w:r>
        <w:rPr>
          <w:rStyle w:val="Mord"/>
          <w:rFonts w:cs="Times New Roman" w:ascii="Times New Roman" w:hAnsi="Times New Roman"/>
          <w:sz w:val="24"/>
          <w:szCs w:val="24"/>
        </w:rPr>
        <w:t>Variance: Actual outcome – estimated outcome</w:t>
      </w:r>
    </w:p>
    <w:p>
      <w:pPr>
        <w:pStyle w:val="Normal"/>
        <w:spacing w:lineRule="auto" w:line="360"/>
        <w:jc w:val="both"/>
        <w:rPr>
          <w:rStyle w:val="Mord"/>
          <w:rFonts w:ascii="Times New Roman" w:hAnsi="Times New Roman" w:cs="Times New Roman"/>
          <w:sz w:val="24"/>
          <w:szCs w:val="24"/>
        </w:rPr>
      </w:pPr>
      <w:r>
        <w:rPr>
          <w:rStyle w:val="Mord"/>
          <w:rFonts w:cs="Times New Roman" w:ascii="Times New Roman" w:hAnsi="Times New Roman"/>
          <w:sz w:val="24"/>
          <w:szCs w:val="24"/>
        </w:rPr>
        <w:t xml:space="preserve">This is a common formula to measure the variance which can be used by any individual in an organization. Though, in statistics there are a range of other formulas which are being used by companies to measure their performance related to different aspects. For instance, in the context of above XLG plc different kinds of variances have been computed with an aim of assessing their performance in terms of price, material and many more. This method has certain merits and demerits that are explained below in such manner: </w:t>
      </w:r>
    </w:p>
    <w:p>
      <w:pPr>
        <w:pStyle w:val="Normal"/>
        <w:spacing w:lineRule="auto" w:line="360"/>
        <w:jc w:val="both"/>
        <w:rPr>
          <w:rStyle w:val="Mord"/>
          <w:rFonts w:ascii="Times New Roman" w:hAnsi="Times New Roman" w:cs="Times New Roman"/>
          <w:sz w:val="24"/>
          <w:szCs w:val="24"/>
        </w:rPr>
      </w:pPr>
      <w:r>
        <w:rPr>
          <w:rStyle w:val="Mord"/>
          <w:rFonts w:cs="Times New Roman" w:ascii="Times New Roman" w:hAnsi="Times New Roman"/>
          <w:sz w:val="24"/>
          <w:szCs w:val="24"/>
        </w:rPr>
        <w:t>Merits-</w:t>
      </w:r>
    </w:p>
    <w:p>
      <w:pPr>
        <w:pStyle w:val="ListParagraph"/>
        <w:numPr>
          <w:ilvl w:val="0"/>
          <w:numId w:val="1"/>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Analysis of variance is an important monitoring tool, since it tends to focus on situations where real activity varies from expected operations. The benefit is that variance analysis can be valuable in finding places where assets are not used adequately and where changes are needed. Therefore, variance analysis facilitates efficiency in management of performance. Examination of variances may also be used to find situations where cost overruns or actual income is too lower. In different kinds of companies, a range of variances are computed which contributes to managers in order to track each activities’ performance individually. On the behalf of this, managers take suitable actions and prepare strategies to overcome from adverse situations. </w:t>
      </w:r>
    </w:p>
    <w:p>
      <w:pPr>
        <w:pStyle w:val="ListParagraph"/>
        <w:numPr>
          <w:ilvl w:val="0"/>
          <w:numId w:val="1"/>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Analysis of variances leads to encourage the transfer of liability and activates monitoring structures on divisions where they are needed. For instance, if labor performance variation is seen as undesirable or raw material cost variance is undesirable then companies can enhance control of such departments to improve output. Such as in the context of above XLG plc, their performance is too lower as some variances are producing unfavorable outcome then the managers can apply suitable framework in order to deal with financial issues in an effective manner. This technique helps to prevent negative impact on companies’ performance. </w:t>
      </w:r>
    </w:p>
    <w:p>
      <w:pPr>
        <w:pStyle w:val="ListParagraph"/>
        <w:numPr>
          <w:ilvl w:val="0"/>
          <w:numId w:val="1"/>
        </w:numPr>
        <w:spacing w:lineRule="auto" w:line="360"/>
        <w:jc w:val="both"/>
        <w:rPr>
          <w:rFonts w:ascii="Times New Roman" w:hAnsi="Times New Roman" w:cs="Times New Roman"/>
          <w:sz w:val="24"/>
          <w:szCs w:val="24"/>
        </w:rPr>
      </w:pPr>
      <w:r>
        <w:rPr>
          <w:rFonts w:cs="Times New Roman" w:ascii="Times New Roman" w:hAnsi="Times New Roman"/>
          <w:sz w:val="24"/>
          <w:szCs w:val="24"/>
        </w:rPr>
        <w:t>Variance analysis may even often offer way about how effectively an enterprise can be handled. In the case of purchases, for example, the inability to negotiate product price or to secure competitive tenders could imply organizational challenges within the purchasing department (</w:t>
      </w:r>
      <w:r>
        <w:rPr>
          <w:rFonts w:cs="Times New Roman" w:ascii="Times New Roman" w:hAnsi="Times New Roman"/>
          <w:sz w:val="24"/>
          <w:szCs w:val="24"/>
          <w:shd w:fill="FFFFFF" w:val="clear"/>
        </w:rPr>
        <w:t>Tekathen, 2019</w:t>
      </w:r>
      <w:r>
        <w:rPr>
          <w:rFonts w:cs="Times New Roman" w:ascii="Times New Roman" w:hAnsi="Times New Roman"/>
          <w:sz w:val="24"/>
          <w:szCs w:val="24"/>
        </w:rPr>
        <w:t xml:space="preserve">). Furthermore, poor sales may also be a sign that sales departments’ employees are not well trained or have lack inspiration. These all aspects are useful for companies in order to deduct poor performance of any particular or specific department. On the behalf of gathered information, managers can prepare effective policies and plans to deal with raised issues. </w:t>
      </w:r>
    </w:p>
    <w:p>
      <w:pPr>
        <w:pStyle w:val="ListParagraph"/>
        <w:numPr>
          <w:ilvl w:val="0"/>
          <w:numId w:val="1"/>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The finance departments collect information that they need to grasp the explanations for uncontrollable external variances, utilizing variance analysis. If they become informed of these variation, then they can enforce strategies to minimize these uncertainties resulting from these variances. Eventually, by help of variance analysis it becomes feasible for managers to know about all unfavorable conditions. Mainly, the variance analysis is useful for finance department as they can gather key details about different kinds of activities which are resulting as higher expense or producing lower revenues as compared to estimation.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Demerits:</w:t>
      </w:r>
    </w:p>
    <w:p>
      <w:pPr>
        <w:pStyle w:val="ListParagraph"/>
        <w:numPr>
          <w:ilvl w:val="0"/>
          <w:numId w:val="2"/>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majority of situations, the variances are not visible in accounting reports, and due to which accounting managers need to look over documents such as work routings, inventory payments, and recorded overtime to ascertain the causes for these variances. These add-on operation is cost-effective only when the management has been able to effectively address issues based on the knowledge provided. On the other hands, this may lead to higher consumption of cost along with time. As well as it is necessary for managers to get information in less time so that they can prepare strategies to beat their competitors but in variance analysis needed information is offered in more time. </w:t>
      </w:r>
    </w:p>
    <w:p>
      <w:pPr>
        <w:pStyle w:val="ListParagraph"/>
        <w:numPr>
          <w:ilvl w:val="0"/>
          <w:numId w:val="2"/>
        </w:numPr>
        <w:spacing w:lineRule="auto" w:line="360"/>
        <w:jc w:val="both"/>
        <w:rPr>
          <w:rFonts w:ascii="Times New Roman" w:hAnsi="Times New Roman" w:cs="Times New Roman"/>
          <w:sz w:val="24"/>
          <w:szCs w:val="24"/>
        </w:rPr>
      </w:pPr>
      <w:r>
        <w:rPr>
          <w:rFonts w:cs="Times New Roman" w:ascii="Times New Roman" w:hAnsi="Times New Roman"/>
          <w:sz w:val="24"/>
          <w:szCs w:val="24"/>
        </w:rPr>
        <w:t>Evaluation of variance as an operation is focused on annual statements, which are published far longer after quarterly closure; there could be a time delay that might have an effect on remedial action to a certain degree (</w:t>
      </w:r>
      <w:r>
        <w:rPr>
          <w:rFonts w:cs="Times New Roman" w:ascii="Times New Roman" w:hAnsi="Times New Roman"/>
          <w:sz w:val="24"/>
          <w:szCs w:val="24"/>
          <w:shd w:fill="FFFFFF" w:val="clear"/>
        </w:rPr>
        <w:t>Zandi, Khalid and Islam, 2019</w:t>
      </w:r>
      <w:r>
        <w:rPr>
          <w:rFonts w:cs="Times New Roman" w:ascii="Times New Roman" w:hAnsi="Times New Roman"/>
          <w:sz w:val="24"/>
          <w:szCs w:val="24"/>
        </w:rPr>
        <w:t>). In this competitive environment, only those companies can sustain who prepare their strategies and policies in less time with higher effectiveness.  Due to higher reliability on variances, there can be lot of delay in process of managing different kinds of activities and operations. Basically, it is one of the main issue of this technique as companies cannot bear lose due to delay in strategy formulation.</w:t>
      </w:r>
    </w:p>
    <w:p>
      <w:pPr>
        <w:pStyle w:val="ListParagraph"/>
        <w:numPr>
          <w:ilvl w:val="0"/>
          <w:numId w:val="2"/>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The another drawback of variance analysis is that under it, calculations are done in accordance of standard data related to income and expenses. These standard data are prepared on the basis of assumptions of managers. Due to this, the provided outcome under each variance become less reliable and effective. As well as in each company, this assumption of income and expenses is done in accordance of own knowledge and skills of managers. As a result, it becomes difficult to make comparison between performance of two companies by help of this method. </w:t>
      </w:r>
    </w:p>
    <w:p>
      <w:pPr>
        <w:pStyle w:val="ListParagraph"/>
        <w:numPr>
          <w:ilvl w:val="0"/>
          <w:numId w:val="2"/>
        </w:numPr>
        <w:spacing w:lineRule="auto" w:line="360"/>
        <w:jc w:val="both"/>
        <w:rPr>
          <w:rFonts w:ascii="Times New Roman" w:hAnsi="Times New Roman" w:cs="Times New Roman"/>
          <w:sz w:val="24"/>
          <w:szCs w:val="24"/>
        </w:rPr>
      </w:pPr>
      <w:r>
        <w:rPr>
          <w:rFonts w:cs="Times New Roman" w:ascii="Times New Roman" w:hAnsi="Times New Roman"/>
          <w:sz w:val="24"/>
          <w:szCs w:val="24"/>
        </w:rPr>
        <w:t>In addition to this, the variance analysis is not suitable for those companies which are involved in service sector. It is so because of higher number of overheads as compared to direct expenses. Eventually, the variances can be computed only if there is complete information about various kinds of expenses. While in service organizations, there are lack of data about direct expenses (</w:t>
      </w:r>
      <w:r>
        <w:rPr>
          <w:rFonts w:cs="Times New Roman" w:ascii="Times New Roman" w:hAnsi="Times New Roman"/>
          <w:sz w:val="24"/>
          <w:szCs w:val="24"/>
          <w:shd w:fill="FFFFFF" w:val="clear"/>
        </w:rPr>
        <w:t>Ahmad and Al-Shbiel, 2019</w:t>
      </w:r>
      <w:r>
        <w:rPr>
          <w:rFonts w:cs="Times New Roman" w:ascii="Times New Roman" w:hAnsi="Times New Roman"/>
          <w:sz w:val="24"/>
          <w:szCs w:val="24"/>
        </w:rPr>
        <w:t xml:space="preserve">). Due to these causes, variance analysis is not suitable for small companies and for those that are involved in service sector instead of product manufacturing.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So these are some merits and demerits of variance analysis which are faced by companies that apply it as a performance measurement tool. </w:t>
      </w:r>
    </w:p>
    <w:p>
      <w:pPr>
        <w:pStyle w:val="Titlu2"/>
        <w:spacing w:lineRule="auto" w:line="360"/>
        <w:jc w:val="both"/>
        <w:rPr>
          <w:rFonts w:ascii="Times New Roman" w:hAnsi="Times New Roman" w:cs="Times New Roman"/>
          <w:color w:val="auto"/>
          <w:sz w:val="24"/>
          <w:szCs w:val="24"/>
          <w:u w:val="single"/>
        </w:rPr>
      </w:pPr>
      <w:bookmarkStart w:id="5" w:name="_Toc49353029"/>
      <w:r>
        <w:rPr>
          <w:rFonts w:cs="Times New Roman" w:ascii="Times New Roman" w:hAnsi="Times New Roman"/>
          <w:color w:val="auto"/>
          <w:sz w:val="24"/>
          <w:szCs w:val="24"/>
          <w:u w:val="single"/>
        </w:rPr>
        <w:t>Part B</w:t>
      </w:r>
      <w:bookmarkEnd w:id="5"/>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Make-or - buy decisions is a mechanism whereby an organization opts for in-house manufacturing or the purchasing of a commodity (</w:t>
      </w:r>
      <w:r>
        <w:rPr>
          <w:rFonts w:cs="Times New Roman" w:ascii="Times New Roman" w:hAnsi="Times New Roman"/>
          <w:sz w:val="24"/>
          <w:szCs w:val="24"/>
          <w:shd w:fill="FFFFFF" w:val="clear"/>
        </w:rPr>
        <w:t>Łada, Kozarkiewicz and Haslam, 2020</w:t>
      </w:r>
      <w:r>
        <w:rPr>
          <w:rFonts w:cs="Times New Roman" w:ascii="Times New Roman" w:hAnsi="Times New Roman"/>
          <w:sz w:val="24"/>
          <w:szCs w:val="24"/>
        </w:rPr>
        <w:t>). Make-or - buy judgments, also relates to a procurement process that aligns with benefits and costs connected with making a quality output internally or choosing an external supplier for product lines. In order to calculate costs accurately, a company must consider certain aspects relevant to the procurement and processing of the goods over the production of products in-house.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the context of in house production, a business must include costs connected to the sourcing of the manufactured product and the output costs. The related expenditures may include extra labor needed to create the products, storage requirements, total storage costs, material cost and many more. On the other hands the purchasing costs involved with the procurement of the product from a supplier may include the price of the item itself, other distribution or production charges and the local taxes applicable. Furthermore, spending relating to the managing of received items and labor costs associated with obtaining items in stock is also included in the aspect of buying goods from suppliers.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case-study discussed on XLG company reflects on making-or-buy choices. In the respective case-study situations, management wants to paint a make-or - buy decision regarding the fama Q. It is a cleaning material for managing high quality in manufacturing of fama Q for company. This item is protected by patent, and XLG company plans to manufacture it in-house. Business imports fama Q from Brazil and it was expensive to import such items for the company because of country-wide lock-downs decided by UK authorities and government. Importing this product into the company has been expensive. It cannot be shipped by air but instead by ship transport from the lock-down, which has increased the retail price of fama Q to 4.5 per product as well as the previous price was 3.7 per item.</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Despite of this complex situation, company now plans to produce fama Q in-house. The price of an object is mainly a major element in decision taking or purchasing. For each unit the original standard fama-Q price is 2.5 Pounds. The expense of making fama Q is 3 Pounds. The related evidence given herein is that there will be a 15-day reduction in shipping period for in-house production alternative. </w:t>
      </w:r>
    </w:p>
    <w:p>
      <w:pPr>
        <w:pStyle w:val="Normal"/>
        <w:spacing w:lineRule="auto" w:line="360"/>
        <w:jc w:val="both"/>
        <w:rPr>
          <w:rFonts w:ascii="Times New Roman" w:hAnsi="Times New Roman" w:cs="Times New Roman"/>
          <w:b/>
          <w:b/>
          <w:bCs/>
          <w:sz w:val="24"/>
          <w:szCs w:val="24"/>
          <w:highlight w:val="white"/>
        </w:rPr>
      </w:pPr>
      <w:r>
        <w:rPr>
          <w:rFonts w:cs="Times New Roman" w:ascii="Times New Roman" w:hAnsi="Times New Roman"/>
          <w:b/>
          <w:bCs/>
          <w:sz w:val="24"/>
          <w:szCs w:val="24"/>
          <w:shd w:fill="FFFFFF" w:val="clear"/>
        </w:rPr>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b/>
          <w:bCs/>
          <w:sz w:val="24"/>
          <w:szCs w:val="24"/>
          <w:shd w:fill="FFFFFF" w:val="clear"/>
        </w:rPr>
        <w:t>Analysis of Making Decision:</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shd w:fill="FFFFFF" w:val="clear"/>
        </w:rPr>
        <w:t>The table termed below shows the outcome of business decision of in-housing of the fama Q in such manner:</w:t>
      </w:r>
    </w:p>
    <w:tbl>
      <w:tblPr>
        <w:tblW w:w="9359" w:type="dxa"/>
        <w:jc w:val="left"/>
        <w:tblInd w:w="55" w:type="dxa"/>
        <w:tblCellMar>
          <w:top w:w="55" w:type="dxa"/>
          <w:left w:w="55" w:type="dxa"/>
          <w:bottom w:w="55" w:type="dxa"/>
          <w:right w:w="55" w:type="dxa"/>
        </w:tblCellMar>
        <w:tblLook w:firstRow="0" w:noVBand="0" w:lastRow="0" w:firstColumn="0" w:lastColumn="0" w:noHBand="0" w:val="0000"/>
      </w:tblPr>
      <w:tblGrid>
        <w:gridCol w:w="1576"/>
        <w:gridCol w:w="777"/>
        <w:gridCol w:w="777"/>
        <w:gridCol w:w="777"/>
        <w:gridCol w:w="778"/>
        <w:gridCol w:w="776"/>
        <w:gridCol w:w="1"/>
        <w:gridCol w:w="776"/>
        <w:gridCol w:w="778"/>
        <w:gridCol w:w="777"/>
        <w:gridCol w:w="777"/>
        <w:gridCol w:w="787"/>
      </w:tblGrid>
      <w:tr>
        <w:trPr>
          <w:trHeight w:val="253" w:hRule="atLeast"/>
        </w:trPr>
        <w:tc>
          <w:tcPr>
            <w:tcW w:w="1576" w:type="dxa"/>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If In-housing production of  fama Q:</w:t>
            </w:r>
          </w:p>
        </w:tc>
        <w:tc>
          <w:tcPr>
            <w:tcW w:w="3886" w:type="dxa"/>
            <w:gridSpan w:val="6"/>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Chemical X</w:t>
            </w:r>
          </w:p>
        </w:tc>
        <w:tc>
          <w:tcPr>
            <w:tcW w:w="3895" w:type="dxa"/>
            <w:gridSpan w:val="5"/>
            <w:tcBorders>
              <w:top w:val="single" w:sz="2" w:space="0" w:color="000000"/>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Chemical Y</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1554"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Budgeted (595 units)</w:t>
            </w:r>
          </w:p>
        </w:tc>
        <w:tc>
          <w:tcPr>
            <w:tcW w:w="1555"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Actual (862.75 units)</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Variance</w:t>
            </w:r>
          </w:p>
        </w:tc>
        <w:tc>
          <w:tcPr>
            <w:tcW w:w="1555" w:type="dxa"/>
            <w:gridSpan w:val="3"/>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Budgeted (595 units)</w:t>
            </w:r>
          </w:p>
        </w:tc>
        <w:tc>
          <w:tcPr>
            <w:tcW w:w="1554"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Actual (862.75 units)</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Variance</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Selling Price</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26775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38823.75</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12048.75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20825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37</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31921.75</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11096.75</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gridSpan w:val="2"/>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Cost of Chemicals</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11900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17255</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5355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14666.75</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8716.75</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Increase in cost due to in-house of production of Fama Q</w:t>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0.5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431.375</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431.375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w:t>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0.5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431.375</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431.375</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Total Cost</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20.5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12197.5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21.2</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17686.375</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5488.875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17.5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15098.125</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9148.125</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gridSpan w:val="2"/>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Profit Margin</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24.5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14577.5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23.8</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21137.375</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6559.875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14875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19.5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16823.625</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1948.625</w:t>
            </w:r>
          </w:p>
        </w:tc>
      </w:tr>
    </w:tbl>
    <w:p>
      <w:pPr>
        <w:pStyle w:val="Normal"/>
        <w:spacing w:lineRule="auto" w:line="360"/>
        <w:jc w:val="both"/>
        <w:rPr>
          <w:rFonts w:ascii="Times New Roman" w:hAnsi="Times New Roman" w:cs="Times New Roman"/>
          <w:b/>
          <w:b/>
          <w:bCs/>
          <w:sz w:val="24"/>
          <w:szCs w:val="24"/>
        </w:rPr>
      </w:pPr>
      <w:r>
        <w:rPr>
          <w:rFonts w:cs="Times New Roman" w:ascii="Times New Roman" w:hAnsi="Times New Roman"/>
          <w:b/>
          <w:bCs/>
          <w:i/>
          <w:iCs/>
          <w:sz w:val="24"/>
          <w:szCs w:val="24"/>
          <w:u w:val="single"/>
          <w:shd w:fill="FFFFFF" w:val="clear"/>
        </w:rPr>
        <w:t>Working Note:</w:t>
      </w:r>
    </w:p>
    <w:tbl>
      <w:tblPr>
        <w:tblW w:w="9358" w:type="dxa"/>
        <w:jc w:val="left"/>
        <w:tblInd w:w="55" w:type="dxa"/>
        <w:tblCellMar>
          <w:top w:w="55" w:type="dxa"/>
          <w:left w:w="55" w:type="dxa"/>
          <w:bottom w:w="55" w:type="dxa"/>
          <w:right w:w="55" w:type="dxa"/>
        </w:tblCellMar>
        <w:tblLook w:firstRow="0" w:noVBand="0" w:lastRow="0" w:firstColumn="0" w:lastColumn="0" w:noHBand="0" w:val="0000"/>
      </w:tblPr>
      <w:tblGrid>
        <w:gridCol w:w="2382"/>
        <w:gridCol w:w="4645"/>
        <w:gridCol w:w="2331"/>
      </w:tblGrid>
      <w:tr>
        <w:trPr/>
        <w:tc>
          <w:tcPr>
            <w:tcW w:w="9358" w:type="dxa"/>
            <w:gridSpan w:val="3"/>
            <w:tcBorders>
              <w:top w:val="single" w:sz="2" w:space="0" w:color="000000"/>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Computation of Demand(units) based on the new scenario: (Demand expected to be risen by 45 percent)</w:t>
            </w:r>
          </w:p>
        </w:tc>
      </w:tr>
      <w:tr>
        <w:trPr>
          <w:trHeight w:val="242" w:hRule="atLeast"/>
        </w:trPr>
        <w:tc>
          <w:tcPr>
            <w:tcW w:w="2382" w:type="dxa"/>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Chemical X</w:t>
            </w:r>
          </w:p>
        </w:tc>
        <w:tc>
          <w:tcPr>
            <w:tcW w:w="4645" w:type="dxa"/>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595 units + 595 units *45% =</w:t>
            </w:r>
          </w:p>
        </w:tc>
        <w:tc>
          <w:tcPr>
            <w:tcW w:w="233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862.75</w:t>
            </w:r>
          </w:p>
        </w:tc>
      </w:tr>
      <w:tr>
        <w:trPr>
          <w:trHeight w:val="242" w:hRule="atLeast"/>
        </w:trPr>
        <w:tc>
          <w:tcPr>
            <w:tcW w:w="2382"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Chemical Y</w:t>
            </w:r>
          </w:p>
        </w:tc>
        <w:tc>
          <w:tcPr>
            <w:tcW w:w="4645"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595 units + 595 units * 45% =</w:t>
            </w:r>
          </w:p>
        </w:tc>
        <w:tc>
          <w:tcPr>
            <w:tcW w:w="2331"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862.75</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By analyzing the decision to buy fama Q, it can be stated that profit rates would rise by about 6559.87 and 1948.62 respectively in the light of both chemical X and Y production. Consequently, under all situations the real earnings will exceed the total sum of income budgeted.</w:t>
      </w:r>
    </w:p>
    <w:p>
      <w:pPr>
        <w:pStyle w:val="Normal"/>
        <w:spacing w:lineRule="auto" w:line="360"/>
        <w:jc w:val="both"/>
        <w:rPr>
          <w:rFonts w:ascii="Times New Roman" w:hAnsi="Times New Roman" w:cs="Times New Roman"/>
          <w:b/>
          <w:b/>
          <w:bCs/>
          <w:sz w:val="24"/>
          <w:szCs w:val="24"/>
        </w:rPr>
      </w:pPr>
      <w:r>
        <w:rPr>
          <w:rFonts w:cs="Times New Roman" w:ascii="Times New Roman" w:hAnsi="Times New Roman"/>
          <w:b/>
          <w:bCs/>
          <w:sz w:val="24"/>
          <w:szCs w:val="24"/>
          <w:shd w:fill="FFFFFF" w:val="clear"/>
        </w:rPr>
        <w:t>Analysis of Buying Decision:</w:t>
      </w:r>
    </w:p>
    <w:tbl>
      <w:tblPr>
        <w:tblW w:w="9359" w:type="dxa"/>
        <w:jc w:val="left"/>
        <w:tblInd w:w="55" w:type="dxa"/>
        <w:tblCellMar>
          <w:top w:w="55" w:type="dxa"/>
          <w:left w:w="55" w:type="dxa"/>
          <w:bottom w:w="55" w:type="dxa"/>
          <w:right w:w="55" w:type="dxa"/>
        </w:tblCellMar>
        <w:tblLook w:firstRow="0" w:noVBand="0" w:lastRow="0" w:firstColumn="0" w:lastColumn="0" w:noHBand="0" w:val="0000"/>
      </w:tblPr>
      <w:tblGrid>
        <w:gridCol w:w="1576"/>
        <w:gridCol w:w="777"/>
        <w:gridCol w:w="777"/>
        <w:gridCol w:w="777"/>
        <w:gridCol w:w="778"/>
        <w:gridCol w:w="776"/>
        <w:gridCol w:w="1"/>
        <w:gridCol w:w="776"/>
        <w:gridCol w:w="778"/>
        <w:gridCol w:w="777"/>
        <w:gridCol w:w="777"/>
        <w:gridCol w:w="787"/>
      </w:tblGrid>
      <w:tr>
        <w:trPr/>
        <w:tc>
          <w:tcPr>
            <w:tcW w:w="1576" w:type="dxa"/>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If Imports:</w:t>
            </w:r>
          </w:p>
        </w:tc>
        <w:tc>
          <w:tcPr>
            <w:tcW w:w="3886" w:type="dxa"/>
            <w:gridSpan w:val="6"/>
            <w:tcBorders>
              <w:top w:val="single" w:sz="2" w:space="0" w:color="000000"/>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Chemical X</w:t>
            </w:r>
          </w:p>
        </w:tc>
        <w:tc>
          <w:tcPr>
            <w:tcW w:w="3895" w:type="dxa"/>
            <w:gridSpan w:val="5"/>
            <w:tcBorders>
              <w:top w:val="single" w:sz="2" w:space="0" w:color="000000"/>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Chemical Y</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1554"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Budgeted (595 units)</w:t>
            </w:r>
          </w:p>
        </w:tc>
        <w:tc>
          <w:tcPr>
            <w:tcW w:w="1555"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Actual (850 units)</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Variance</w:t>
            </w:r>
          </w:p>
        </w:tc>
        <w:tc>
          <w:tcPr>
            <w:tcW w:w="1555" w:type="dxa"/>
            <w:gridSpan w:val="3"/>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Budgeted (595 units)</w:t>
            </w:r>
          </w:p>
        </w:tc>
        <w:tc>
          <w:tcPr>
            <w:tcW w:w="1554"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Actual (750 units)</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Variance</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Selling Price</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20825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45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38250</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17425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20825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37</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27750</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6925</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gridSpan w:val="2"/>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Cost of Chemicals</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17000</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11050</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17</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12750</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6800</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Incremental cost due to importing of Fama Q</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w:t>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1.2</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1020</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1020</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w:t>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1.2</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900</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900</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Aggregate Cost</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21.2</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18020</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12070</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10</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5950</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18.2</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13650</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7700</w:t>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6"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gridSpan w:val="2"/>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8"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77" w:type="dxa"/>
            <w:tcBorders>
              <w:left w:val="single" w:sz="2" w:space="0" w:color="000000"/>
              <w:bottom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napToGrid w:val="false"/>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r>
          </w:p>
        </w:tc>
      </w:tr>
      <w:tr>
        <w:trPr>
          <w:trHeight w:val="242" w:hRule="atLeast"/>
        </w:trPr>
        <w:tc>
          <w:tcPr>
            <w:tcW w:w="15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Profit Margin</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14875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23.8</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20230</w:t>
            </w:r>
          </w:p>
        </w:tc>
        <w:tc>
          <w:tcPr>
            <w:tcW w:w="776"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5355</w:t>
            </w:r>
          </w:p>
        </w:tc>
        <w:tc>
          <w:tcPr>
            <w:tcW w:w="777" w:type="dxa"/>
            <w:gridSpan w:val="2"/>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25</w:t>
            </w:r>
          </w:p>
        </w:tc>
        <w:tc>
          <w:tcPr>
            <w:tcW w:w="778"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sz w:val="24"/>
                <w:szCs w:val="24"/>
              </w:rPr>
              <w:t>14875</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b/>
                <w:b/>
                <w:bCs/>
                <w:sz w:val="24"/>
                <w:szCs w:val="24"/>
              </w:rPr>
            </w:pPr>
            <w:r>
              <w:rPr>
                <w:rFonts w:cs="Times New Roman" w:ascii="Times New Roman" w:hAnsi="Times New Roman"/>
                <w:b/>
                <w:bCs/>
                <w:sz w:val="24"/>
                <w:szCs w:val="24"/>
              </w:rPr>
              <w:t>18.8</w:t>
            </w:r>
          </w:p>
        </w:tc>
        <w:tc>
          <w:tcPr>
            <w:tcW w:w="777" w:type="dxa"/>
            <w:tcBorders>
              <w:left w:val="single" w:sz="2" w:space="0" w:color="000000"/>
              <w:bottom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b/>
                <w:bCs/>
                <w:sz w:val="24"/>
                <w:szCs w:val="24"/>
              </w:rPr>
              <w:t>14100</w:t>
            </w:r>
          </w:p>
        </w:tc>
        <w:tc>
          <w:tcPr>
            <w:tcW w:w="787" w:type="dxa"/>
            <w:tcBorders>
              <w:left w:val="single" w:sz="2" w:space="0" w:color="000000"/>
              <w:bottom w:val="single" w:sz="2" w:space="0" w:color="000000"/>
              <w:right w:val="single" w:sz="2" w:space="0" w:color="000000"/>
            </w:tcBorders>
            <w:shd w:color="auto" w:fill="auto" w:val="clear"/>
            <w:vAlign w:val="bottom"/>
          </w:tcPr>
          <w:p>
            <w:pPr>
              <w:pStyle w:val="Normal"/>
              <w:spacing w:lineRule="auto" w:line="360" w:before="0" w:after="113"/>
              <w:contextualSpacing/>
              <w:jc w:val="both"/>
              <w:rPr>
                <w:rFonts w:ascii="Times New Roman" w:hAnsi="Times New Roman" w:cs="Times New Roman"/>
                <w:sz w:val="24"/>
                <w:szCs w:val="24"/>
              </w:rPr>
            </w:pPr>
            <w:r>
              <w:rPr>
                <w:rFonts w:cs="Times New Roman" w:ascii="Times New Roman" w:hAnsi="Times New Roman"/>
                <w:sz w:val="24"/>
                <w:szCs w:val="24"/>
              </w:rPr>
              <w:t>-775</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Study of the table attached above shows that such judgment would result in a beneficial gain of 5355 Pounds in relation to chemical X, while there would be a reduction of revenues of 775 Pounds in relation to chemical Y. In regards to the case of Y, gross budgeted profits would therefore drop from GBP14875 to GBP14100.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Hence, after reviewing all the alternatives, it has been decided that making in house for fama Q would be more realistic and effective. Business would find in-house fama Q feasible, rather than buying it. Since the benefit percentage for the in-house alternative is higher than for the purchase / import of both chemical X and Y according to fama Q. Hence, XLG company is highly urged to manufacture in-house of fama Q, but enterprise must evaluate other fama Q-relevant factors such as cost advantages, fama Q 's patents, etc. before taking final decisions.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itlu1"/>
        <w:spacing w:lineRule="auto" w:line="360"/>
        <w:jc w:val="both"/>
        <w:rPr>
          <w:rFonts w:ascii="Times New Roman" w:hAnsi="Times New Roman" w:cs="Times New Roman"/>
          <w:b/>
          <w:b/>
          <w:bCs/>
          <w:color w:val="auto"/>
          <w:sz w:val="28"/>
          <w:szCs w:val="28"/>
          <w:highlight w:val="white"/>
        </w:rPr>
      </w:pPr>
      <w:bookmarkStart w:id="6" w:name="_Toc49353030"/>
      <w:r>
        <w:rPr>
          <w:rFonts w:cs="Times New Roman" w:ascii="Times New Roman" w:hAnsi="Times New Roman"/>
          <w:b/>
          <w:color w:val="auto"/>
          <w:sz w:val="28"/>
          <w:szCs w:val="28"/>
        </w:rPr>
        <w:t>CONCLUSION</w:t>
      </w:r>
      <w:bookmarkEnd w:id="6"/>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rPr>
        <w:t xml:space="preserve">From the above-mentioned report it can be analyzed that corporate decision-making is focused solely on accounts of executives. It lets the management to take the most efficient, relevant and productive strategic decisions. Before taking a decision such as producing or purchasing, it is important to test all possible choices and considerations which can influence the final decision. Analysis of variance assigns both the positive benefits and weaknesses that aid decision taking in the management. In the context of XLG plc, this can be articulated that they should focus on make in house alternative instead of purchasing. It is so because this option seems better in all situations including financial and non-financial analysis.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r>
        <w:br w:type="page"/>
      </w:r>
    </w:p>
    <w:p>
      <w:pPr>
        <w:pStyle w:val="Titlu1"/>
        <w:spacing w:lineRule="auto" w:line="360"/>
        <w:jc w:val="both"/>
        <w:rPr>
          <w:rFonts w:ascii="Times New Roman" w:hAnsi="Times New Roman" w:cs="Times New Roman"/>
          <w:b/>
          <w:b/>
          <w:color w:val="auto"/>
          <w:sz w:val="28"/>
          <w:szCs w:val="28"/>
        </w:rPr>
      </w:pPr>
      <w:bookmarkStart w:id="7" w:name="_Toc49353031"/>
      <w:r>
        <w:rPr>
          <w:rFonts w:cs="Times New Roman" w:ascii="Times New Roman" w:hAnsi="Times New Roman"/>
          <w:b/>
          <w:color w:val="auto"/>
          <w:sz w:val="28"/>
          <w:szCs w:val="28"/>
        </w:rPr>
        <w:t>REFERENCES</w:t>
      </w:r>
      <w:bookmarkEnd w:id="7"/>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u w:val="single"/>
        </w:rPr>
        <w:t>Books and journal</w:t>
      </w:r>
      <w:r>
        <w:rPr>
          <w:rFonts w:cs="Times New Roman" w:ascii="Times New Roman" w:hAnsi="Times New Roman"/>
          <w:sz w:val="24"/>
          <w:szCs w:val="24"/>
        </w:rPr>
        <w:t>:</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Cescon, F., Costantini, A. and Grassetti, L., 2019. Strategic choices and strategic management accounting in large manufacturing firms. </w:t>
      </w:r>
      <w:r>
        <w:rPr>
          <w:rFonts w:cs="Times New Roman" w:ascii="Times New Roman" w:hAnsi="Times New Roman"/>
          <w:i/>
          <w:iCs/>
          <w:sz w:val="24"/>
          <w:szCs w:val="24"/>
          <w:shd w:fill="FFFFFF" w:val="clear"/>
        </w:rPr>
        <w:t>Journal of Management and Governance</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23</w:t>
      </w:r>
      <w:r>
        <w:rPr>
          <w:rFonts w:cs="Times New Roman" w:ascii="Times New Roman" w:hAnsi="Times New Roman"/>
          <w:sz w:val="24"/>
          <w:szCs w:val="24"/>
          <w:shd w:fill="FFFFFF" w:val="clear"/>
        </w:rPr>
        <w:t>(3), pp.605-636.</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Taschner, A. and Charifzadeh, M., 2020. Management accounting in supply chains–what we know and what we teach. </w:t>
      </w:r>
      <w:r>
        <w:rPr>
          <w:rFonts w:cs="Times New Roman" w:ascii="Times New Roman" w:hAnsi="Times New Roman"/>
          <w:i/>
          <w:iCs/>
          <w:sz w:val="24"/>
          <w:szCs w:val="24"/>
          <w:shd w:fill="FFFFFF" w:val="clear"/>
        </w:rPr>
        <w:t>Journal of Accounting &amp; Organizational Change</w:t>
      </w:r>
      <w:r>
        <w:rPr>
          <w:rFonts w:cs="Times New Roman" w:ascii="Times New Roman" w:hAnsi="Times New Roman"/>
          <w:sz w:val="24"/>
          <w:szCs w:val="24"/>
          <w:shd w:fill="FFFFFF" w:val="clear"/>
        </w:rPr>
        <w:t>.</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Hutaibat, K. and Alhatabat, Z., 2019. Management accounting practices’ adoption in UK universities. </w:t>
      </w:r>
      <w:r>
        <w:rPr>
          <w:rFonts w:cs="Times New Roman" w:ascii="Times New Roman" w:hAnsi="Times New Roman"/>
          <w:i/>
          <w:iCs/>
          <w:sz w:val="24"/>
          <w:szCs w:val="24"/>
          <w:shd w:fill="FFFFFF" w:val="clear"/>
        </w:rPr>
        <w:t>Journal of Further and Higher Education</w:t>
      </w:r>
      <w:r>
        <w:rPr>
          <w:rFonts w:cs="Times New Roman" w:ascii="Times New Roman" w:hAnsi="Times New Roman"/>
          <w:sz w:val="24"/>
          <w:szCs w:val="24"/>
          <w:shd w:fill="FFFFFF" w:val="clear"/>
        </w:rPr>
        <w:t>, pp.1-15.</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Pasch, T., 2019. Organizational lifecycle and strategic management accounting. </w:t>
      </w:r>
      <w:r>
        <w:rPr>
          <w:rFonts w:cs="Times New Roman" w:ascii="Times New Roman" w:hAnsi="Times New Roman"/>
          <w:i/>
          <w:iCs/>
          <w:sz w:val="24"/>
          <w:szCs w:val="24"/>
          <w:shd w:fill="FFFFFF" w:val="clear"/>
        </w:rPr>
        <w:t>Journal of Accounting &amp; Organizational Change</w:t>
      </w:r>
      <w:r>
        <w:rPr>
          <w:rFonts w:cs="Times New Roman" w:ascii="Times New Roman" w:hAnsi="Times New Roman"/>
          <w:sz w:val="24"/>
          <w:szCs w:val="24"/>
          <w:shd w:fill="FFFFFF" w:val="clear"/>
        </w:rPr>
        <w:t>.</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Tekathen, M., 2019. Unpacking the Fluidity of Management Accounting Concepts: An Ethnographic Social Site Analysis of Enterprise Risk Management. </w:t>
      </w:r>
      <w:r>
        <w:rPr>
          <w:rFonts w:cs="Times New Roman" w:ascii="Times New Roman" w:hAnsi="Times New Roman"/>
          <w:i/>
          <w:iCs/>
          <w:sz w:val="24"/>
          <w:szCs w:val="24"/>
          <w:shd w:fill="FFFFFF" w:val="clear"/>
        </w:rPr>
        <w:t>European Accounting Review</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28</w:t>
      </w:r>
      <w:r>
        <w:rPr>
          <w:rFonts w:cs="Times New Roman" w:ascii="Times New Roman" w:hAnsi="Times New Roman"/>
          <w:sz w:val="24"/>
          <w:szCs w:val="24"/>
          <w:shd w:fill="FFFFFF" w:val="clear"/>
        </w:rPr>
        <w:t>(5), pp.977-1010.</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Zandi, G.R., Khalid, N. and Islam, D.M.Z., 2019. Nexus of Knowledge Transfer, Green Innovation and Environmental Performance: Impact of Environmental Management Accounting. </w:t>
      </w:r>
      <w:r>
        <w:rPr>
          <w:rFonts w:cs="Times New Roman" w:ascii="Times New Roman" w:hAnsi="Times New Roman"/>
          <w:i/>
          <w:iCs/>
          <w:sz w:val="24"/>
          <w:szCs w:val="24"/>
          <w:shd w:fill="FFFFFF" w:val="clear"/>
        </w:rPr>
        <w:t>International Journal of Energy Economics and Policy</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9</w:t>
      </w:r>
      <w:r>
        <w:rPr>
          <w:rFonts w:cs="Times New Roman" w:ascii="Times New Roman" w:hAnsi="Times New Roman"/>
          <w:sz w:val="24"/>
          <w:szCs w:val="24"/>
          <w:shd w:fill="FFFFFF" w:val="clear"/>
        </w:rPr>
        <w:t>(5), p.387.</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Łada, M., Kozarkiewicz, A. and Haslam, J., 2020. Contending institutional logics, illegitimacy risk and management accounting. </w:t>
      </w:r>
      <w:r>
        <w:rPr>
          <w:rFonts w:cs="Times New Roman" w:ascii="Times New Roman" w:hAnsi="Times New Roman"/>
          <w:i/>
          <w:iCs/>
          <w:sz w:val="24"/>
          <w:szCs w:val="24"/>
          <w:shd w:fill="FFFFFF" w:val="clear"/>
        </w:rPr>
        <w:t>Accounting, Auditing &amp; Accountability Journal</w:t>
      </w:r>
      <w:r>
        <w:rPr>
          <w:rFonts w:cs="Times New Roman" w:ascii="Times New Roman" w:hAnsi="Times New Roman"/>
          <w:sz w:val="24"/>
          <w:szCs w:val="24"/>
          <w:shd w:fill="FFFFFF" w:val="clear"/>
        </w:rPr>
        <w:t>.</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Labrador, M. and Olmo, J., 2019. Management accounting innovations for rationalizing the cost of services: The reassessment of cash and accrual accounting. </w:t>
      </w:r>
      <w:r>
        <w:rPr>
          <w:rFonts w:cs="Times New Roman" w:ascii="Times New Roman" w:hAnsi="Times New Roman"/>
          <w:i/>
          <w:iCs/>
          <w:sz w:val="24"/>
          <w:szCs w:val="24"/>
          <w:shd w:fill="FFFFFF" w:val="clear"/>
        </w:rPr>
        <w:t>Public Money &amp; Management</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39</w:t>
      </w:r>
      <w:r>
        <w:rPr>
          <w:rFonts w:cs="Times New Roman" w:ascii="Times New Roman" w:hAnsi="Times New Roman"/>
          <w:sz w:val="24"/>
          <w:szCs w:val="24"/>
          <w:shd w:fill="FFFFFF" w:val="clear"/>
        </w:rPr>
        <w:t>(6), pp.401-408.</w:t>
      </w:r>
    </w:p>
    <w:p>
      <w:pPr>
        <w:pStyle w:val="Normal"/>
        <w:spacing w:lineRule="auto" w:line="240"/>
        <w:ind w:left="720" w:hanging="72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Dai, N.T., Free, C. and Gendron, Y., 2019. Interview-based research in accounting 2000–2014: Informal norms, translation and vibrancy. </w:t>
      </w:r>
      <w:r>
        <w:rPr>
          <w:rFonts w:cs="Times New Roman" w:ascii="Times New Roman" w:hAnsi="Times New Roman"/>
          <w:i/>
          <w:iCs/>
          <w:sz w:val="24"/>
          <w:szCs w:val="24"/>
          <w:shd w:fill="FFFFFF" w:val="clear"/>
        </w:rPr>
        <w:t>Management Accounting Research</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42</w:t>
      </w:r>
      <w:r>
        <w:rPr>
          <w:rFonts w:cs="Times New Roman" w:ascii="Times New Roman" w:hAnsi="Times New Roman"/>
          <w:sz w:val="24"/>
          <w:szCs w:val="24"/>
          <w:shd w:fill="FFFFFF" w:val="clear"/>
        </w:rPr>
        <w:t>, pp.26-38.</w:t>
      </w:r>
    </w:p>
    <w:p>
      <w:pPr>
        <w:pStyle w:val="Normal"/>
        <w:spacing w:lineRule="auto" w:line="240"/>
        <w:ind w:left="720" w:hanging="720"/>
        <w:jc w:val="both"/>
        <w:rPr>
          <w:rFonts w:ascii="Times New Roman" w:hAnsi="Times New Roman" w:cs="Times New Roman"/>
          <w:sz w:val="24"/>
          <w:szCs w:val="24"/>
        </w:rPr>
      </w:pPr>
      <w:r>
        <w:rPr>
          <w:rFonts w:cs="Times New Roman" w:ascii="Times New Roman" w:hAnsi="Times New Roman"/>
          <w:sz w:val="24"/>
          <w:szCs w:val="24"/>
          <w:shd w:fill="FFFFFF" w:val="clear"/>
        </w:rPr>
        <w:t>Ahmad, M.A. and Al-Shbiel, S.O., 2019. The effect of accounting information system on organizational performance in Jordanian industrial SMEs: The mediating role of knowledge management. </w:t>
      </w:r>
      <w:r>
        <w:rPr>
          <w:rFonts w:cs="Times New Roman" w:ascii="Times New Roman" w:hAnsi="Times New Roman"/>
          <w:i/>
          <w:iCs/>
          <w:sz w:val="24"/>
          <w:szCs w:val="24"/>
          <w:shd w:fill="FFFFFF" w:val="clear"/>
        </w:rPr>
        <w:t>International Journal of Business and Social Science</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10</w:t>
      </w:r>
      <w:r>
        <w:rPr>
          <w:rFonts w:cs="Times New Roman" w:ascii="Times New Roman" w:hAnsi="Times New Roman"/>
          <w:sz w:val="24"/>
          <w:szCs w:val="24"/>
          <w:shd w:fill="FFFFFF" w:val="clear"/>
        </w:rPr>
        <w:t>(3), pp.99-104.</w:t>
      </w:r>
    </w:p>
    <w:p>
      <w:pPr>
        <w:pStyle w:val="Normal"/>
        <w:spacing w:lineRule="auto" w:line="240" w:before="0" w:after="113"/>
        <w:ind w:left="720" w:hanging="720"/>
        <w:contextualSpacing/>
        <w:jc w:val="both"/>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ee"/>
    <w:family w:val="roman"/>
    <w:pitch w:val="variable"/>
  </w:font>
  <w:font w:name="Calibri">
    <w:charset w:val="ee"/>
    <w:family w:val="roman"/>
    <w:pitch w:val="variable"/>
  </w:font>
  <w:font w:name="Calibri Light">
    <w:charset w:val="ee"/>
    <w:family w:val="roman"/>
    <w:pitch w:val="variable"/>
  </w:font>
  <w:font w:name="Arial">
    <w:charset w:val="ee"/>
    <w:family w:val="swiss"/>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13"/>
      <w:contextualSpacing/>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Titlu1">
    <w:name w:val="Heading 1"/>
    <w:basedOn w:val="Normal"/>
    <w:next w:val="Normal"/>
    <w:link w:val="Heading1Char"/>
    <w:uiPriority w:val="9"/>
    <w:qFormat/>
    <w:rsid w:val="00c54174"/>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Titlu2">
    <w:name w:val="Heading 2"/>
    <w:basedOn w:val="Normal"/>
    <w:next w:val="Normal"/>
    <w:link w:val="Heading2Char"/>
    <w:uiPriority w:val="9"/>
    <w:unhideWhenUsed/>
    <w:qFormat/>
    <w:rsid w:val="005324f2"/>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paragraph" w:styleId="Titlu3">
    <w:name w:val="Heading 3"/>
    <w:basedOn w:val="Normal"/>
    <w:next w:val="Normal"/>
    <w:link w:val="Heading3Char"/>
    <w:uiPriority w:val="9"/>
    <w:semiHidden/>
    <w:unhideWhenUsed/>
    <w:qFormat/>
    <w:rsid w:val="00f06cac"/>
    <w:pPr>
      <w:keepNext w:val="true"/>
      <w:keepLines/>
      <w:spacing w:before="40" w:after="0"/>
      <w:outlineLvl w:val="2"/>
    </w:pPr>
    <w:rPr>
      <w:rFonts w:ascii="Calibri Light" w:hAnsi="Calibri Light" w:eastAsia="" w:cs="" w:asciiTheme="majorHAnsi" w:cstheme="majorBidi" w:eastAsiaTheme="majorEastAsia" w:hAnsiTheme="majorHAnsi"/>
      <w:color w:val="1F4D78" w:themeColor="accent1" w:themeShade="7f"/>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c54174"/>
    <w:rPr>
      <w:rFonts w:ascii="Calibri Light" w:hAnsi="Calibri Light" w:eastAsia="" w:cs="" w:asciiTheme="majorHAnsi" w:cstheme="majorBidi" w:eastAsiaTheme="majorEastAsia" w:hAnsiTheme="majorHAnsi"/>
      <w:color w:val="2E74B5" w:themeColor="accent1" w:themeShade="bf"/>
      <w:sz w:val="32"/>
      <w:szCs w:val="32"/>
    </w:rPr>
  </w:style>
  <w:style w:type="character" w:styleId="Heading2Char" w:customStyle="1">
    <w:name w:val="Heading 2 Char"/>
    <w:basedOn w:val="DefaultParagraphFont"/>
    <w:link w:val="Heading2"/>
    <w:uiPriority w:val="9"/>
    <w:qFormat/>
    <w:rsid w:val="005324f2"/>
    <w:rPr>
      <w:rFonts w:ascii="Calibri Light" w:hAnsi="Calibri Light" w:eastAsia="" w:cs="" w:asciiTheme="majorHAnsi" w:cstheme="majorBidi" w:eastAsiaTheme="majorEastAsia" w:hAnsiTheme="majorHAnsi"/>
      <w:color w:val="2E74B5" w:themeColor="accent1" w:themeShade="bf"/>
      <w:sz w:val="26"/>
      <w:szCs w:val="26"/>
    </w:rPr>
  </w:style>
  <w:style w:type="character" w:styleId="Heading3Char" w:customStyle="1">
    <w:name w:val="Heading 3 Char"/>
    <w:basedOn w:val="DefaultParagraphFont"/>
    <w:link w:val="Heading3"/>
    <w:uiPriority w:val="9"/>
    <w:semiHidden/>
    <w:qFormat/>
    <w:rsid w:val="00f06cac"/>
    <w:rPr>
      <w:rFonts w:ascii="Calibri Light" w:hAnsi="Calibri Light" w:eastAsia="" w:cs="" w:asciiTheme="majorHAnsi" w:cstheme="majorBidi" w:eastAsiaTheme="majorEastAsia" w:hAnsiTheme="majorHAnsi"/>
      <w:color w:val="1F4D78" w:themeColor="accent1" w:themeShade="7f"/>
      <w:sz w:val="24"/>
      <w:szCs w:val="24"/>
    </w:rPr>
  </w:style>
  <w:style w:type="character" w:styleId="Mord" w:customStyle="1">
    <w:name w:val="mord"/>
    <w:basedOn w:val="DefaultParagraphFont"/>
    <w:qFormat/>
    <w:rsid w:val="00f06cac"/>
    <w:rPr/>
  </w:style>
  <w:style w:type="character" w:styleId="Mrel" w:customStyle="1">
    <w:name w:val="mrel"/>
    <w:basedOn w:val="DefaultParagraphFont"/>
    <w:qFormat/>
    <w:rsid w:val="00f06cac"/>
    <w:rPr/>
  </w:style>
  <w:style w:type="character" w:styleId="Mopen" w:customStyle="1">
    <w:name w:val="mopen"/>
    <w:basedOn w:val="DefaultParagraphFont"/>
    <w:qFormat/>
    <w:rsid w:val="00f06cac"/>
    <w:rPr/>
  </w:style>
  <w:style w:type="character" w:styleId="Mop" w:customStyle="1">
    <w:name w:val="mop"/>
    <w:basedOn w:val="DefaultParagraphFont"/>
    <w:qFormat/>
    <w:rsid w:val="00f06cac"/>
    <w:rPr/>
  </w:style>
  <w:style w:type="character" w:styleId="Vlists" w:customStyle="1">
    <w:name w:val="vlist-s"/>
    <w:basedOn w:val="DefaultParagraphFont"/>
    <w:qFormat/>
    <w:rsid w:val="00f06cac"/>
    <w:rPr/>
  </w:style>
  <w:style w:type="character" w:styleId="Mbin" w:customStyle="1">
    <w:name w:val="mbin"/>
    <w:basedOn w:val="DefaultParagraphFont"/>
    <w:qFormat/>
    <w:rsid w:val="00f06cac"/>
    <w:rPr/>
  </w:style>
  <w:style w:type="character" w:styleId="Accentbody" w:customStyle="1">
    <w:name w:val="accent-body"/>
    <w:basedOn w:val="DefaultParagraphFont"/>
    <w:qFormat/>
    <w:rsid w:val="00f06cac"/>
    <w:rPr/>
  </w:style>
  <w:style w:type="character" w:styleId="Mclose" w:customStyle="1">
    <w:name w:val="mclose"/>
    <w:basedOn w:val="DefaultParagraphFont"/>
    <w:qFormat/>
    <w:rsid w:val="00f06cac"/>
    <w:rPr/>
  </w:style>
  <w:style w:type="character" w:styleId="LegturInternet">
    <w:name w:val="Legătură Internet"/>
    <w:basedOn w:val="DefaultParagraphFont"/>
    <w:uiPriority w:val="99"/>
    <w:unhideWhenUsed/>
    <w:rsid w:val="00981fad"/>
    <w:rPr>
      <w:color w:val="0563C1"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egturindex">
    <w:name w:val="Legătură index"/>
    <w:qFormat/>
    <w:rPr/>
  </w:style>
  <w:style w:type="paragraph" w:styleId="Stiltitlu">
    <w:name w:val="Stil titlu"/>
    <w:basedOn w:val="Normal"/>
    <w:next w:val="Corptext"/>
    <w:qFormat/>
    <w:pPr>
      <w:keepNext w:val="true"/>
      <w:spacing w:before="240" w:after="120"/>
    </w:pPr>
    <w:rPr>
      <w:rFonts w:ascii="Arial" w:hAnsi="Arial" w:eastAsia="Microsoft YaHei" w:cs="Arial"/>
      <w:sz w:val="28"/>
      <w:szCs w:val="28"/>
    </w:rPr>
  </w:style>
  <w:style w:type="paragraph" w:styleId="Corptext">
    <w:name w:val="Body Text"/>
    <w:basedOn w:val="Normal"/>
    <w:pPr>
      <w:spacing w:lineRule="auto" w:line="276" w:before="0" w:after="140"/>
    </w:pPr>
    <w:rPr/>
  </w:style>
  <w:style w:type="paragraph" w:styleId="List">
    <w:name w:val="List"/>
    <w:basedOn w:val="Corptext"/>
    <w:pPr/>
    <w:rPr>
      <w:rFonts w:cs="Arial"/>
    </w:rPr>
  </w:style>
  <w:style w:type="paragraph" w:styleId="Legend">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f06cac"/>
    <w:pPr>
      <w:spacing w:before="0" w:after="160"/>
      <w:ind w:left="720" w:hanging="0"/>
      <w:contextualSpacing/>
    </w:pPr>
    <w:rPr/>
  </w:style>
  <w:style w:type="paragraph" w:styleId="TOCHeading">
    <w:name w:val="TOC Heading"/>
    <w:basedOn w:val="Titlu1"/>
    <w:next w:val="Normal"/>
    <w:uiPriority w:val="39"/>
    <w:unhideWhenUsed/>
    <w:qFormat/>
    <w:rsid w:val="00981fad"/>
    <w:pPr/>
    <w:rPr/>
  </w:style>
  <w:style w:type="paragraph" w:styleId="Cuprins1">
    <w:name w:val="TOC 1"/>
    <w:basedOn w:val="Normal"/>
    <w:next w:val="Normal"/>
    <w:autoRedefine/>
    <w:uiPriority w:val="39"/>
    <w:unhideWhenUsed/>
    <w:rsid w:val="00981fad"/>
    <w:pPr>
      <w:spacing w:before="0" w:after="100"/>
    </w:pPr>
    <w:rPr/>
  </w:style>
  <w:style w:type="paragraph" w:styleId="Cuprins2">
    <w:name w:val="TOC 2"/>
    <w:basedOn w:val="Normal"/>
    <w:next w:val="Normal"/>
    <w:autoRedefine/>
    <w:uiPriority w:val="39"/>
    <w:unhideWhenUsed/>
    <w:rsid w:val="00981fad"/>
    <w:pPr>
      <w:spacing w:before="0" w:after="100"/>
      <w:ind w:left="22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61E9F-1B92-4327-AEFB-77E3070D4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Application>Trio_Office/6.2.8.2$Windows_x86 LibreOffice_project/</Application>
  <Pages>15</Pages>
  <Words>2837</Words>
  <Characters>15353</Characters>
  <CharactersWithSpaces>18007</CharactersWithSpaces>
  <Paragraphs>203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2020-08-26T05:11:00Z</dcterms:created>
  <dc:creator>user</dc:creator>
  <dc:description/>
  <dc:language>ro-RO</dc:language>
  <cp:lastModifiedBy/>
  <dcterms:modified xsi:type="dcterms:W3CDTF">2020-09-09T16:53:20Z</dcterms:modified>
  <cp:revision>325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