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C83A1" w14:textId="7EE409F6" w:rsidR="00726AB7" w:rsidRDefault="00726AB7" w:rsidP="00726AB7">
      <w:r>
        <w:t>Aled Rowland</w:t>
      </w:r>
    </w:p>
    <w:p w14:paraId="1719DD11" w14:textId="126E2077" w:rsidR="00726AB7" w:rsidRDefault="00726AB7" w:rsidP="00726AB7">
      <w:r>
        <w:t>2124650</w:t>
      </w:r>
    </w:p>
    <w:p w14:paraId="0C3F8C3A" w14:textId="77777777" w:rsidR="00726AB7" w:rsidRDefault="00726AB7" w:rsidP="00726AB7"/>
    <w:p w14:paraId="1C093543" w14:textId="0B425EE7" w:rsidR="00726AB7" w:rsidRPr="00726AB7" w:rsidRDefault="00726AB7" w:rsidP="00726AB7">
      <w:r w:rsidRPr="00726AB7">
        <w:t xml:space="preserve">To what extent do response officers have a role in counter-terrorism policing? Your answer must be based on academic research, although you may </w:t>
      </w:r>
      <w:proofErr w:type="gramStart"/>
      <w:r w:rsidRPr="00726AB7">
        <w:t>make reference</w:t>
      </w:r>
      <w:proofErr w:type="gramEnd"/>
      <w:r w:rsidRPr="00726AB7">
        <w:t xml:space="preserve"> to recent, relevant case studies?</w:t>
      </w:r>
    </w:p>
    <w:p w14:paraId="284D0855" w14:textId="77777777" w:rsidR="00726AB7" w:rsidRPr="00726AB7" w:rsidRDefault="00726AB7" w:rsidP="00726AB7"/>
    <w:p w14:paraId="2E45792D" w14:textId="77777777" w:rsidR="00726AB7" w:rsidRPr="00726AB7" w:rsidRDefault="00726AB7" w:rsidP="00726AB7">
      <w:r w:rsidRPr="00726AB7">
        <w:t xml:space="preserve">In this essay I will outline a response officer’s role in </w:t>
      </w:r>
      <w:proofErr w:type="gramStart"/>
      <w:r w:rsidRPr="00726AB7">
        <w:t>counter-terrorism</w:t>
      </w:r>
      <w:proofErr w:type="gramEnd"/>
      <w:r w:rsidRPr="00726AB7">
        <w:t xml:space="preserve">. I will then use academic research to discuss the extent at which a response officer is involved in </w:t>
      </w:r>
      <w:proofErr w:type="gramStart"/>
      <w:r w:rsidRPr="00726AB7">
        <w:t>counter-terrorism</w:t>
      </w:r>
      <w:proofErr w:type="gramEnd"/>
      <w:r w:rsidRPr="00726AB7">
        <w:t xml:space="preserve"> within the UK. </w:t>
      </w:r>
      <w:proofErr w:type="gramStart"/>
      <w:r w:rsidRPr="00726AB7">
        <w:t>Counter-terrorism</w:t>
      </w:r>
      <w:proofErr w:type="gramEnd"/>
      <w:r w:rsidRPr="00726AB7">
        <w:t xml:space="preserve"> is a critical component of national security, and its success heavily relies on the efforts of law enforcement agencies, with a particular reliance on police officers (Wood et al., 2022 p72). Police officers, specifically response officers, serve as the first line of defence against acts of terrorism for both domestic and international originating threats ((</w:t>
      </w:r>
      <w:proofErr w:type="spellStart"/>
      <w:r w:rsidRPr="00726AB7">
        <w:t>Basu</w:t>
      </w:r>
      <w:proofErr w:type="spellEnd"/>
      <w:r w:rsidRPr="00726AB7">
        <w:t xml:space="preserve">, 2021, Wood et al., 2022 p256). This essay will explore the multifaceted role of police officers in </w:t>
      </w:r>
      <w:proofErr w:type="gramStart"/>
      <w:r w:rsidRPr="00726AB7">
        <w:t>counter-terrorism</w:t>
      </w:r>
      <w:proofErr w:type="gramEnd"/>
      <w:r w:rsidRPr="00726AB7">
        <w:t>, emphasising their responsibilities, training, and challenges.  Response officers have a vital role in intelligence gathering and incidence response whilst there is a threat in their area, but other policing teams have a significant influence on longer term counterterrorism initiatives.</w:t>
      </w:r>
    </w:p>
    <w:p w14:paraId="3A467416" w14:textId="77777777" w:rsidR="00726AB7" w:rsidRPr="00726AB7" w:rsidRDefault="00726AB7" w:rsidP="00726AB7"/>
    <w:p w14:paraId="3BE0476F" w14:textId="7D4AC566" w:rsidR="00726AB7" w:rsidRPr="00726AB7" w:rsidRDefault="00726AB7" w:rsidP="00726AB7">
      <w:r w:rsidRPr="00726AB7">
        <w:t xml:space="preserve">Terrorism is defined by both the 2000 and 2006 Terrorism Acts as the use or threat of an act whereby to influence the government, section of the public or organisation (Terrorism Act 2000, 2006). However, the Act of 2006 extends the legislation to cover </w:t>
      </w:r>
      <w:r w:rsidRPr="00726AB7">
        <w:t>intentional</w:t>
      </w:r>
      <w:r w:rsidRPr="00726AB7">
        <w:t xml:space="preserve"> serious interference with an electronic system (Terrorism Act 2006).  Counter Terrorism Policing (2023) defines counter terrorism policing as the coordinated approach of UK police forces in collaboration with the intelligence community to provide national security, thus protecting the public through the prevention, </w:t>
      </w:r>
      <w:proofErr w:type="gramStart"/>
      <w:r w:rsidRPr="00726AB7">
        <w:t>deterrence</w:t>
      </w:r>
      <w:proofErr w:type="gramEnd"/>
      <w:r w:rsidRPr="00726AB7">
        <w:t xml:space="preserve"> and investigation of terrorist activity.</w:t>
      </w:r>
    </w:p>
    <w:p w14:paraId="26214631" w14:textId="77777777" w:rsidR="00726AB7" w:rsidRPr="00726AB7" w:rsidRDefault="00726AB7" w:rsidP="00726AB7"/>
    <w:p w14:paraId="658E899C" w14:textId="77777777" w:rsidR="00726AB7" w:rsidRPr="00726AB7" w:rsidRDefault="00726AB7" w:rsidP="00726AB7">
      <w:r w:rsidRPr="00726AB7">
        <w:t>The UK threat level is critical in the way in which response officers’ police the communities of the UK (</w:t>
      </w:r>
      <w:proofErr w:type="spellStart"/>
      <w:r w:rsidRPr="00726AB7">
        <w:t>Basu</w:t>
      </w:r>
      <w:proofErr w:type="spellEnd"/>
      <w:r w:rsidRPr="00726AB7">
        <w:t>, 2021) due to them being set by the Joint Terrorism Analysis Centre (JTAC) (Counter Terrorism Policing, 2023</w:t>
      </w:r>
      <w:proofErr w:type="gramStart"/>
      <w:r w:rsidRPr="00726AB7">
        <w:t>) .</w:t>
      </w:r>
      <w:proofErr w:type="gramEnd"/>
      <w:r w:rsidRPr="00726AB7">
        <w:t xml:space="preserve"> Depending on the threat level response officers will often have procedures and policies to follow when responding to incidents and patrolling the local area (Wood et al., 2022).  The counter terrorism police (2023) state there are five threat levels ranging from low to critical. Each threat level is categorised as follows:</w:t>
      </w:r>
    </w:p>
    <w:p w14:paraId="28420E46" w14:textId="77777777" w:rsidR="00726AB7" w:rsidRPr="00726AB7" w:rsidRDefault="00726AB7" w:rsidP="00726AB7">
      <w:r w:rsidRPr="00726AB7">
        <w:t>• Low - an attack is highly unlikely.</w:t>
      </w:r>
    </w:p>
    <w:p w14:paraId="092A5CCA" w14:textId="77777777" w:rsidR="00726AB7" w:rsidRPr="00726AB7" w:rsidRDefault="00726AB7" w:rsidP="00726AB7">
      <w:r w:rsidRPr="00726AB7">
        <w:t>• Moderate - an attack is possible, but not likely.</w:t>
      </w:r>
    </w:p>
    <w:p w14:paraId="39365E31" w14:textId="77777777" w:rsidR="00726AB7" w:rsidRPr="00726AB7" w:rsidRDefault="00726AB7" w:rsidP="00726AB7">
      <w:r w:rsidRPr="00726AB7">
        <w:t>• Substantial - an attack is likely.</w:t>
      </w:r>
    </w:p>
    <w:p w14:paraId="75C8491A" w14:textId="77777777" w:rsidR="00726AB7" w:rsidRPr="00726AB7" w:rsidRDefault="00726AB7" w:rsidP="00726AB7">
      <w:r w:rsidRPr="00726AB7">
        <w:t>• Severe - an attack is highly likely.</w:t>
      </w:r>
    </w:p>
    <w:p w14:paraId="1FA95957" w14:textId="77777777" w:rsidR="00726AB7" w:rsidRDefault="00726AB7" w:rsidP="00726AB7">
      <w:r w:rsidRPr="00726AB7">
        <w:t xml:space="preserve">• Critical - an attack is highly likely </w:t>
      </w:r>
      <w:proofErr w:type="gramStart"/>
      <w:r w:rsidRPr="00726AB7">
        <w:t>in the near future</w:t>
      </w:r>
      <w:proofErr w:type="gramEnd"/>
      <w:r w:rsidRPr="00726AB7">
        <w:t xml:space="preserve">. </w:t>
      </w:r>
    </w:p>
    <w:p w14:paraId="1DE8AADA" w14:textId="77777777" w:rsidR="00726AB7" w:rsidRPr="00726AB7" w:rsidRDefault="00726AB7" w:rsidP="00726AB7"/>
    <w:p w14:paraId="3ED531DA" w14:textId="02ABC05A" w:rsidR="00726AB7" w:rsidRPr="00726AB7" w:rsidRDefault="00726AB7" w:rsidP="00726AB7">
      <w:r w:rsidRPr="00726AB7">
        <w:t xml:space="preserve">Although response officers can be utilised at the site of a terrorist incident, they are </w:t>
      </w:r>
      <w:proofErr w:type="gramStart"/>
      <w:r w:rsidRPr="00726AB7">
        <w:t>on the whole</w:t>
      </w:r>
      <w:proofErr w:type="gramEnd"/>
      <w:r w:rsidRPr="00726AB7">
        <w:t xml:space="preserve"> unarmed - only Firearms officers are armed (Wood et al., 2022). However, PSNI Response Police Officers are armed with Firearms whereas the rest of United Kingdom Police Services do not routinely arm all Police officers. This policy in Northern Ireland has been decided based upon the threat level and for the safety of officers and the communities there (</w:t>
      </w:r>
      <w:proofErr w:type="spellStart"/>
      <w:r w:rsidRPr="00726AB7">
        <w:t>Basu</w:t>
      </w:r>
      <w:proofErr w:type="spellEnd"/>
      <w:r w:rsidRPr="00726AB7">
        <w:t xml:space="preserve">, 2021). This policy has been in place for several years and is based around the threat assessment by JTAC which was facing calls for the PSNI to arm all Police Officers due no longer routinely required to the threat level being reduced from </w:t>
      </w:r>
      <w:r w:rsidRPr="00726AB7">
        <w:t>severe</w:t>
      </w:r>
      <w:r w:rsidRPr="00726AB7">
        <w:t xml:space="preserve"> </w:t>
      </w:r>
      <w:r>
        <w:t>to</w:t>
      </w:r>
      <w:r w:rsidRPr="00726AB7">
        <w:t xml:space="preserve"> substantial in March 2022 this has now returned to severe in March 2023 (Counter Terrorism Policing, </w:t>
      </w:r>
      <w:r w:rsidRPr="00726AB7">
        <w:lastRenderedPageBreak/>
        <w:t xml:space="preserve">2023). Response officers play a role in every sort of counter to crime and terrorism is no exception (Police and Criminal Evidence Act 1984). Response officers know the demographics of the local community they work in as well as hotspot areas that require patrols (Briggs, 2010). </w:t>
      </w:r>
    </w:p>
    <w:p w14:paraId="602AD3FB" w14:textId="77777777" w:rsidR="00726AB7" w:rsidRDefault="00726AB7" w:rsidP="00726AB7">
      <w:r w:rsidRPr="00726AB7">
        <w:t xml:space="preserve">UK Counter Terrorism Policing is broken down into 4 sections; Prevent, Pursue, Protect Prepare (Counter Terrorism Policing, 2023). In this essay I am going to discuss each action in turn discussing the response officer’s role as well as the coordination with other teams where relevant. </w:t>
      </w:r>
    </w:p>
    <w:p w14:paraId="7DAAA2EB" w14:textId="77777777" w:rsidR="00726AB7" w:rsidRPr="00726AB7" w:rsidRDefault="00726AB7" w:rsidP="00726AB7"/>
    <w:p w14:paraId="6613394B" w14:textId="737A1F59" w:rsidR="00726AB7" w:rsidRDefault="00726AB7" w:rsidP="00726AB7">
      <w:r w:rsidRPr="00726AB7">
        <w:t xml:space="preserve">Prevent is a </w:t>
      </w:r>
      <w:proofErr w:type="spellStart"/>
      <w:r w:rsidRPr="00726AB7">
        <w:t>multi agency</w:t>
      </w:r>
      <w:proofErr w:type="spellEnd"/>
      <w:r w:rsidRPr="00726AB7">
        <w:t xml:space="preserve"> approach in dealing with individuals that are vulnerable from becoming involved in terrorism or extremism behaviours (Counter Terrorism Policing, 2023). This is one of the primary roles of police officers in </w:t>
      </w:r>
      <w:proofErr w:type="gramStart"/>
      <w:r w:rsidRPr="00726AB7">
        <w:t>counter-terrorism</w:t>
      </w:r>
      <w:proofErr w:type="gramEnd"/>
      <w:r w:rsidRPr="00726AB7">
        <w:t>. Preventing terrorist attacks involves collecting and analysing intelligence to identify potential threats before they materialise (Lambert and Parsons, 2017). Police officers collaborate with intelligence agencies and other law enforcement entities to gather information on individuals or groups with terrorist affiliations (</w:t>
      </w:r>
      <w:proofErr w:type="spellStart"/>
      <w:r w:rsidRPr="00726AB7">
        <w:t>Basu</w:t>
      </w:r>
      <w:proofErr w:type="spellEnd"/>
      <w:r w:rsidRPr="00726AB7">
        <w:t xml:space="preserve">, 2021). This information is crucial for assessing the risk level and taking </w:t>
      </w:r>
      <w:r w:rsidRPr="00726AB7">
        <w:t>pre-emptive</w:t>
      </w:r>
      <w:r w:rsidRPr="00726AB7">
        <w:t xml:space="preserve"> action (College </w:t>
      </w:r>
      <w:proofErr w:type="gramStart"/>
      <w:r w:rsidRPr="00726AB7">
        <w:t>Of</w:t>
      </w:r>
      <w:proofErr w:type="gramEnd"/>
      <w:r w:rsidRPr="00726AB7">
        <w:t xml:space="preserve"> Policing, 2013). This is often where response officers are at the forefront of the approach as they can identify the vulnerable people within their community. These individuals are often involved in low level crime either as the subjects or victims and where response officers are dealing with these people on a regular basis they have formed a familiarity or a relationship with these people allowing them to offer support and have a higher knowledge of the needs of these individuals who often open up about how their lives are going and what they have been doing recently when engaged in general chit chat (Pickering, McCulloch and Wright-Neville, 2008). The initial contact, and potential follow up, to response calls are conducted by response </w:t>
      </w:r>
      <w:proofErr w:type="gramStart"/>
      <w:r w:rsidRPr="00726AB7">
        <w:t>officers</w:t>
      </w:r>
      <w:proofErr w:type="gramEnd"/>
      <w:r w:rsidRPr="00726AB7">
        <w:t xml:space="preserve"> prevention is mainly carried out by neighbourhood beat manager (NPT) officers. These officers have a greater focus on community engagement, coordination of stakeholders and additional agency engagement (Lambert and Parsons, 2017).</w:t>
      </w:r>
    </w:p>
    <w:p w14:paraId="4D9A1A18" w14:textId="77777777" w:rsidR="00726AB7" w:rsidRPr="00726AB7" w:rsidRDefault="00726AB7" w:rsidP="00726AB7"/>
    <w:p w14:paraId="0A89EEC8" w14:textId="2AE07DD8" w:rsidR="00726AB7" w:rsidRPr="00726AB7" w:rsidRDefault="00726AB7" w:rsidP="00726AB7">
      <w:r w:rsidRPr="00726AB7">
        <w:t>Furthermore, effective prevention of counterterrorism includes police officers engaging in surveillance and monitoring activities (Counter Terrorism Policing, 2023). This may include tracking the movements and communications of suspected terrorists, monitoring financial transactions, and conducting undercover operations (</w:t>
      </w:r>
      <w:proofErr w:type="spellStart"/>
      <w:r w:rsidRPr="00726AB7">
        <w:t>Basu</w:t>
      </w:r>
      <w:proofErr w:type="spellEnd"/>
      <w:r w:rsidRPr="00726AB7">
        <w:t xml:space="preserve">, 2021). The use of advanced technology, such as surveillance cameras and data analysis tools, has become indispensable in these efforts (Innes, 2006). Recognizing signs of radicalisation is crucial in the fight against terrorism (Parmar, 2011).  This would not typically be initiated by response officers but by specialist counter terrorism teams within the police force. However, response officers may support in reporting intelligence linked with terrorism offences. </w:t>
      </w:r>
    </w:p>
    <w:p w14:paraId="689A1DC9" w14:textId="56509430" w:rsidR="00726AB7" w:rsidRPr="00726AB7" w:rsidRDefault="00726AB7" w:rsidP="00726AB7">
      <w:pPr>
        <w:spacing w:before="240" w:after="240"/>
      </w:pPr>
      <w:r w:rsidRPr="00726AB7">
        <w:t xml:space="preserve">Community engagement is another vital aspect of </w:t>
      </w:r>
      <w:proofErr w:type="gramStart"/>
      <w:r w:rsidRPr="00726AB7">
        <w:t>counter-terrorism</w:t>
      </w:r>
      <w:proofErr w:type="gramEnd"/>
      <w:r w:rsidRPr="00726AB7">
        <w:t xml:space="preserve"> (Innes, 2006). Police officers work to build trust and cooperation within their communities, as community members often possess valuable information about potential threats (Lambert and Parsons, 2017). UK Policing has a proud history of community engagement, and the success of Counter Terrorism Policing – just like other areas of policing – relies on the trust, confidence, and support of all communities (Counter Terrorism Policing, 2023). Police officers are often involved in programs aimed at identifying individuals who may be susceptible to extremist ideologies (Innes, 2006). These programs focus on intervention and rehabilitation, offering support to individuals who may be on a path towards radicalization (</w:t>
      </w:r>
      <w:proofErr w:type="spellStart"/>
      <w:r w:rsidRPr="00726AB7">
        <w:t>Basu</w:t>
      </w:r>
      <w:proofErr w:type="spellEnd"/>
      <w:r w:rsidRPr="00726AB7">
        <w:t xml:space="preserve">, 2021). </w:t>
      </w:r>
      <w:r w:rsidRPr="00726AB7">
        <w:lastRenderedPageBreak/>
        <w:t>Establishing strong community relationships can lead to the early detection of radicalisation and suspicious activities (Innes, 2006; Lambert and Parsons, 2017). Although community engagement is typically the role of N</w:t>
      </w:r>
      <w:r>
        <w:t>P</w:t>
      </w:r>
      <w:r w:rsidRPr="00726AB7">
        <w:t>T, trust of response officers by the local community can provide an invaluable resource when collecting information about radicalisation and terrorism offences (Lambert and Parsons, 2017).</w:t>
      </w:r>
    </w:p>
    <w:p w14:paraId="7B758B85" w14:textId="77777777" w:rsidR="00726AB7" w:rsidRPr="00726AB7" w:rsidRDefault="00726AB7" w:rsidP="00726AB7">
      <w:r w:rsidRPr="00726AB7">
        <w:t xml:space="preserve">Response officers also know what is out of place when patrolling their areas </w:t>
      </w:r>
      <w:proofErr w:type="gramStart"/>
      <w:r w:rsidRPr="00726AB7">
        <w:t>and also</w:t>
      </w:r>
      <w:proofErr w:type="gramEnd"/>
      <w:r w:rsidRPr="00726AB7">
        <w:t xml:space="preserve"> by attending local incidents they build up a picture of the people living and moving within a given area as well as speaking to members of the public which can often enable them to garnish intelligence from the local community (Lambert and Parsons, 2017). Within a local community, there are often KINS (Key individual Networks) by which this could be a councillor down to a concerned resident; these people are the eyes and ears of the Police Service (Counter Terrorism Policing, 2023). They will often feed intelligence to the local response officers (Innes, 2006) allowing intelligence to be graded using the National Intelligence Model and then assessed and disseminated to reduce and deal with threats of terrorism (College </w:t>
      </w:r>
      <w:proofErr w:type="gramStart"/>
      <w:r w:rsidRPr="00726AB7">
        <w:t>Of</w:t>
      </w:r>
      <w:proofErr w:type="gramEnd"/>
      <w:r w:rsidRPr="00726AB7">
        <w:t xml:space="preserve"> Policing, 2013).</w:t>
      </w:r>
    </w:p>
    <w:p w14:paraId="677675E9" w14:textId="77777777" w:rsidR="00726AB7" w:rsidRPr="00726AB7" w:rsidRDefault="00726AB7" w:rsidP="00726AB7"/>
    <w:p w14:paraId="46964A94" w14:textId="77777777" w:rsidR="00726AB7" w:rsidRPr="00726AB7" w:rsidRDefault="00726AB7" w:rsidP="00726AB7">
      <w:r w:rsidRPr="00726AB7">
        <w:t>Purse is the second category whereby multiple agencies pursue suspects believed to be involved in acts of terrorism or believed to be planning acts of terrorism (Counter Terrorism Policing, 2023). In the case study of the Sailsbury Novichok attack whereby Sergei Skripal and Yulia Skripal were poised by what is believed to be agents working for the Russian Federation (</w:t>
      </w:r>
      <w:proofErr w:type="spellStart"/>
      <w:r w:rsidRPr="00726AB7">
        <w:t>Basu</w:t>
      </w:r>
      <w:proofErr w:type="spellEnd"/>
      <w:r w:rsidRPr="00726AB7">
        <w:t>, 2021). During this attack it shows how response officers play an important role within Terrorism Policing as they were the first officers to arrive on scene and in turn were used to set up the initial cordons and move members of the public from the site of the incident (</w:t>
      </w:r>
      <w:proofErr w:type="spellStart"/>
      <w:r w:rsidRPr="00726AB7">
        <w:t>Basu</w:t>
      </w:r>
      <w:proofErr w:type="spellEnd"/>
      <w:r w:rsidRPr="00726AB7">
        <w:t xml:space="preserve">, 2021). This shows how response officers are generally the first officers to be made aware and respond to incidents involving terrorism as they are the front-line officers that attend the majority of grade 1 emergency response calls (Innes, 2006). During every incident involving terrorism usually a Major Incident is declared, and this is commonly done by the first responding officers which again is often a response officer. The role of police officers in </w:t>
      </w:r>
      <w:proofErr w:type="gramStart"/>
      <w:r w:rsidRPr="00726AB7">
        <w:t>counter-terrorism</w:t>
      </w:r>
      <w:proofErr w:type="gramEnd"/>
      <w:r w:rsidRPr="00726AB7">
        <w:t xml:space="preserve"> is not without its challenges and ethical dilemmas (Parmar, 2011). Balancing the need for security with individual rights and freedoms is an ongoing struggle (</w:t>
      </w:r>
      <w:proofErr w:type="spellStart"/>
      <w:r w:rsidRPr="00726AB7">
        <w:t>Basu</w:t>
      </w:r>
      <w:proofErr w:type="spellEnd"/>
      <w:r w:rsidRPr="00726AB7">
        <w:t>, 2021). The potential for racial or religious profiling, as well as the risk of violating privacy rights, is a concern that law enforcement agencies must address (Briggs, 2010).</w:t>
      </w:r>
    </w:p>
    <w:p w14:paraId="0EB7EEEE" w14:textId="77777777" w:rsidR="00726AB7" w:rsidRPr="00726AB7" w:rsidRDefault="00726AB7" w:rsidP="00726AB7"/>
    <w:p w14:paraId="4155C7CC" w14:textId="77777777" w:rsidR="00726AB7" w:rsidRDefault="00726AB7" w:rsidP="00726AB7">
      <w:r w:rsidRPr="00726AB7">
        <w:t>The third category is Protect and this is where officers form relationships with other organisations to protect the public and commercial organisations (Counter Terrorism Policing, 2023). This is where response officers would patrol the local area and conduct targeted patrols around specific areas. This category is also highly prevalent in response policing whereby response officers are placed to police large highly populated events that are well publicised and make for an inviting target for a mass casualty terrorism attack (Wood et al., 2022). During these events officers are often employed in strength and alongside response officers there is usually a strong PSU deployment of officers. In the unfortunate event of a terrorist incident, police officers play a critical role in responding swiftly and effectively (</w:t>
      </w:r>
      <w:proofErr w:type="spellStart"/>
      <w:r w:rsidRPr="00726AB7">
        <w:t>Basu</w:t>
      </w:r>
      <w:proofErr w:type="spellEnd"/>
      <w:r w:rsidRPr="00726AB7">
        <w:t>, 2021). In the example of the 2019 London Bridge Attack, police officers responded swiftly to a terrorist attack, neutralising the threat within minutes (</w:t>
      </w:r>
      <w:proofErr w:type="spellStart"/>
      <w:r w:rsidRPr="00726AB7">
        <w:t>Basu</w:t>
      </w:r>
      <w:proofErr w:type="spellEnd"/>
      <w:r w:rsidRPr="00726AB7">
        <w:t xml:space="preserve">, 2021). Their quick action saved lives and demonstrated the importance of well-prepared responses. They are responsible for maintaining public safety, securing the crime scene, </w:t>
      </w:r>
      <w:r w:rsidRPr="00726AB7">
        <w:lastRenderedPageBreak/>
        <w:t>and coordinating with other emergency services. The importance of their role in minimising casualties and apprehending suspects cannot be overstated (</w:t>
      </w:r>
      <w:proofErr w:type="spellStart"/>
      <w:r w:rsidRPr="00726AB7">
        <w:t>Basu</w:t>
      </w:r>
      <w:proofErr w:type="spellEnd"/>
      <w:r w:rsidRPr="00726AB7">
        <w:t xml:space="preserve">, 2021). </w:t>
      </w:r>
    </w:p>
    <w:p w14:paraId="0DDF135B" w14:textId="77777777" w:rsidR="00726AB7" w:rsidRPr="00726AB7" w:rsidRDefault="00726AB7" w:rsidP="00726AB7"/>
    <w:p w14:paraId="12DEC4D0" w14:textId="77777777" w:rsidR="00726AB7" w:rsidRPr="00726AB7" w:rsidRDefault="00726AB7" w:rsidP="00726AB7">
      <w:r w:rsidRPr="00726AB7">
        <w:t xml:space="preserve">The fourth stage is Prepare. This is where continuous training is taking place with Police Services and a plethora of other agencies and emergency services in preparation for the worst scenario which is a terrorist attack (Counter Terrorism Policing, 2023). This again involves response officers who will play a vital role in any such attendance at an incident. To handle terrorist incidents effectively, police officers receive specialised training in </w:t>
      </w:r>
      <w:proofErr w:type="gramStart"/>
      <w:r w:rsidRPr="00726AB7">
        <w:t>counter-terrorism</w:t>
      </w:r>
      <w:proofErr w:type="gramEnd"/>
      <w:r w:rsidRPr="00726AB7">
        <w:t xml:space="preserve"> (Wood et al., 2022). This training encompasses a wide range of skills, including crisis management, hostage negotiation, bomb disposal, and chemical, biological, radiological, and nuclear (CBRN) response (Innes, 2006). Regular drills and simulations ensure officers are well-prepared for various scenarios (</w:t>
      </w:r>
      <w:proofErr w:type="spellStart"/>
      <w:r w:rsidRPr="00726AB7">
        <w:t>Basu</w:t>
      </w:r>
      <w:proofErr w:type="spellEnd"/>
      <w:r w:rsidRPr="00726AB7">
        <w:t xml:space="preserve">, 2021). The legal framework within which police officers operate in </w:t>
      </w:r>
      <w:proofErr w:type="gramStart"/>
      <w:r w:rsidRPr="00726AB7">
        <w:t>counter-terrorism</w:t>
      </w:r>
      <w:proofErr w:type="gramEnd"/>
      <w:r w:rsidRPr="00726AB7">
        <w:t xml:space="preserve"> is complex and varies from one country to another. It is essential to strike a balance between protecting national security and safeguarding civil liberties (Terrorism Act 2000, 2006). Officers must adhere to strict legal guidelines when conducting surveillance, making arrests, and interrogating suspects.</w:t>
      </w:r>
    </w:p>
    <w:p w14:paraId="07312207" w14:textId="77777777" w:rsidR="00726AB7" w:rsidRPr="00726AB7" w:rsidRDefault="00726AB7" w:rsidP="00726AB7">
      <w:pPr>
        <w:spacing w:before="240" w:after="240"/>
      </w:pPr>
      <w:r w:rsidRPr="00726AB7">
        <w:t>Additional factors to be considered in counter terrorism are technology and international agencies. Advancements in technology have both empowered law enforcement agencies and posed new challenges (Wood et al., 2022). While technology aids in surveillance, data analysis, and communication, it also presents vulnerabilities that terrorists may exploit (Innes, 2006). Police officers must continually adapt to evolving technological landscapes. These are often filtered down to response officers through training. In an era of global terrorism, international collaboration is essential. Police officers often work closely with their counterparts in other countries and international organisations, sharing intelligence and coordinating efforts to combat transnational threats. The sharing of best practices and information enhances the effectiveness of counter-terrorism measures (</w:t>
      </w:r>
      <w:proofErr w:type="spellStart"/>
      <w:r w:rsidRPr="00726AB7">
        <w:t>Basu</w:t>
      </w:r>
      <w:proofErr w:type="spellEnd"/>
      <w:r w:rsidRPr="00726AB7">
        <w:t xml:space="preserve">, 2021). Both of these factors have a </w:t>
      </w:r>
      <w:proofErr w:type="spellStart"/>
      <w:proofErr w:type="gramStart"/>
      <w:r w:rsidRPr="00726AB7">
        <w:t>trickle down</w:t>
      </w:r>
      <w:proofErr w:type="spellEnd"/>
      <w:proofErr w:type="gramEnd"/>
      <w:r w:rsidRPr="00726AB7">
        <w:t xml:space="preserve"> effect on the response officer’s role in counter terrorism but they tend to be involved in the implementation.</w:t>
      </w:r>
    </w:p>
    <w:p w14:paraId="02F31E72" w14:textId="2F1191BE" w:rsidR="00726AB7" w:rsidRPr="00726AB7" w:rsidRDefault="00726AB7" w:rsidP="00726AB7">
      <w:pPr>
        <w:spacing w:before="240" w:after="240"/>
      </w:pPr>
      <w:r w:rsidRPr="00726AB7">
        <w:t>In conclusion, police officers play a multifaceted role in counter-terrorism efforts. Response officers primarily cover prevention, intelligence gathering, surveillance, community engagement and response to incidents. The effectiveness of these roles is contingent on specialised training, collaboration with other teams within the police and external agencies, and adherence to legal and ethical standards (</w:t>
      </w:r>
      <w:proofErr w:type="spellStart"/>
      <w:r w:rsidRPr="00726AB7">
        <w:t>Basu</w:t>
      </w:r>
      <w:proofErr w:type="spellEnd"/>
      <w:r w:rsidRPr="00726AB7">
        <w:t xml:space="preserve">, 2021). Response officers understand and address the challenges and complexities of their role in </w:t>
      </w:r>
      <w:proofErr w:type="gramStart"/>
      <w:r w:rsidRPr="00726AB7">
        <w:t>counter-terrorism</w:t>
      </w:r>
      <w:proofErr w:type="gramEnd"/>
      <w:r w:rsidRPr="00726AB7">
        <w:t>, law enforcement agencies can better protect their nations from the ever-present threat of terrorism (Briggs, 2010).</w:t>
      </w:r>
    </w:p>
    <w:p w14:paraId="78A70576" w14:textId="77777777" w:rsidR="00B32AD2" w:rsidRDefault="00B32AD2"/>
    <w:p w14:paraId="334C3266" w14:textId="77777777" w:rsidR="00726AB7" w:rsidRDefault="00726AB7"/>
    <w:p w14:paraId="6228D872" w14:textId="77777777" w:rsidR="00D83580" w:rsidRDefault="00D83580"/>
    <w:p w14:paraId="47E2FB52" w14:textId="77777777" w:rsidR="00D83580" w:rsidRDefault="00D83580"/>
    <w:p w14:paraId="771E863F" w14:textId="77777777" w:rsidR="00D83580" w:rsidRDefault="00D83580"/>
    <w:p w14:paraId="4D3F3101" w14:textId="77777777" w:rsidR="00D83580" w:rsidRDefault="00D83580"/>
    <w:p w14:paraId="3972B73F" w14:textId="77777777" w:rsidR="00D83580" w:rsidRDefault="00D83580"/>
    <w:p w14:paraId="12E0CAFC" w14:textId="77777777" w:rsidR="00D83580" w:rsidRDefault="00D83580"/>
    <w:p w14:paraId="042E6723" w14:textId="77777777" w:rsidR="00D83580" w:rsidRDefault="00D83580"/>
    <w:p w14:paraId="0205226C" w14:textId="77777777" w:rsidR="00D83580" w:rsidRDefault="00D83580" w:rsidP="00D83580">
      <w:r>
        <w:lastRenderedPageBreak/>
        <w:t xml:space="preserve">How effective is intelligence-led policing as a means of reducing repeat victimisation? Your </w:t>
      </w:r>
    </w:p>
    <w:p w14:paraId="1A063884" w14:textId="77777777" w:rsidR="00D83580" w:rsidRDefault="00D83580" w:rsidP="00D83580">
      <w:r>
        <w:t xml:space="preserve">answer must be based on academic research, but you may make reference to relevant </w:t>
      </w:r>
      <w:proofErr w:type="gramStart"/>
      <w:r>
        <w:t>case</w:t>
      </w:r>
      <w:proofErr w:type="gramEnd"/>
      <w:r>
        <w:t xml:space="preserve"> </w:t>
      </w:r>
    </w:p>
    <w:p w14:paraId="7BB2EB08" w14:textId="77777777" w:rsidR="00D83580" w:rsidRDefault="00D83580" w:rsidP="00D83580">
      <w:r>
        <w:t>Studies.</w:t>
      </w:r>
    </w:p>
    <w:p w14:paraId="19EF82E7" w14:textId="77777777" w:rsidR="00D83580" w:rsidRDefault="00D83580" w:rsidP="00D83580"/>
    <w:p w14:paraId="147D881A" w14:textId="77777777" w:rsidR="00D83580" w:rsidRDefault="00D83580" w:rsidP="00D83580">
      <w:r>
        <w:t xml:space="preserve">Intelligence-led policing (ILP) is a strategic approach that focuses on using information and analysis to effectively prevent and respond to criminal activities (Cope, 2004). One significant aspect of ILP is its potential to reduce repeat victimisation, a critical concern in modern law enforcement (Graham-Kevan et al., 2015). This essay explores the concept of intelligence-led policing, its principles, and its application in reducing repeat victimisation. By integrating references and case studies, we will demonstrate how ILP can be a valuable tool for law enforcement agencies seeking to enhance public safety and reduce the recurrence of victimisation (Heaton, 2000). Intelligence-led policing is rooted in the recognition that criminal activities are not random events but rather follow patterns and trends that can be identified and analysed. This approach prioritises the gathering, assessment, and dissemination of timely and accurate information to guide law enforcement operations (Graham-Kevan et al., 2015). Key principles of ILP include different aspects that will be discussed in this essay. Intelligence led policing is an essential strategy when reducing repeat </w:t>
      </w:r>
      <w:proofErr w:type="gramStart"/>
      <w:r>
        <w:t>victimisation .</w:t>
      </w:r>
      <w:proofErr w:type="gramEnd"/>
      <w:r>
        <w:t xml:space="preserve"> However, the reduction in repeat victimisation is best combated when intelligence led policing is conducted in coordination with other primary police approaches such as community engagement (Ratcliffe, 2002).</w:t>
      </w:r>
    </w:p>
    <w:p w14:paraId="2EDAF90E" w14:textId="77777777" w:rsidR="00D83580" w:rsidRDefault="00D83580" w:rsidP="00D83580"/>
    <w:p w14:paraId="21915CFD" w14:textId="77777777" w:rsidR="00D83580" w:rsidRDefault="00D83580" w:rsidP="00D83580">
      <w:r>
        <w:t xml:space="preserve">To provide a synopsis of the impact of intelligence led policing on repeat victims, I will first define both in the context of policing policy and legislation.  Intelligence-led policing is a policing model combining data analysis and criminal intelligence into a tool that can utilise the strategic risk management of threats with a focus on serious, repeat offenders (Pease, </w:t>
      </w:r>
      <w:proofErr w:type="spellStart"/>
      <w:r>
        <w:t>Ignatans</w:t>
      </w:r>
      <w:proofErr w:type="spellEnd"/>
      <w:r>
        <w:t xml:space="preserve"> and Batty, 2018). It originated in the </w:t>
      </w:r>
      <w:proofErr w:type="gramStart"/>
      <w:r>
        <w:t>UK, but</w:t>
      </w:r>
      <w:proofErr w:type="gramEnd"/>
      <w:r>
        <w:t xml:space="preserve"> has been increasingly adopted around the world (Maguire and John, 2006). A repeat victim is specifically defined as the same person who suffers from more than one criminal offence or incident. The crime that the repeat victim endures may be the same or linked, by the same or another criminal (or group) within the previous 12 months (Anti-social Behaviour, Crime and Policing Act 2014).</w:t>
      </w:r>
    </w:p>
    <w:p w14:paraId="60A913A6" w14:textId="77777777" w:rsidR="00D83580" w:rsidRDefault="00D83580" w:rsidP="00D83580"/>
    <w:p w14:paraId="5163BAEB" w14:textId="77777777" w:rsidR="00D83580" w:rsidRDefault="00D83580" w:rsidP="00D83580">
      <w:r>
        <w:t xml:space="preserve">Intelligence led policing is the key to all policing and is used at every single incident Police attending - this is underpinned in the National Decision Making Model and National Intelligence Model (HMICFRS, 2023). An example of this is when officers are on route to an incident, they will look at the people involved and the addresses this will give them any warning markers or previous incidents at the address which is intelligence that is gathered from previous incidents at the address or involving the people (Wood et al., 2022). Intelligence will often build a picture of what to expect at the incident and allow for dynamic risk assessments to take place prior to attendance at the property (Cope, 2004). </w:t>
      </w:r>
    </w:p>
    <w:p w14:paraId="7A06AD9F" w14:textId="77777777" w:rsidR="00D83580" w:rsidRDefault="00D83580" w:rsidP="00D83580">
      <w:r>
        <w:t xml:space="preserve">All intelligence is disseminated using the National Intelligence Model. The National intelligence Model is used by all Police forces throughout England and Wales and is used as a framework to develop and gain intelligence to combat and manage policing priorities like the ones listed above (HMICFRS, 2023). By using the National Intelligence Model, it enables Police services and other Law enforcement agencies to share and develop intelligence and by using the same framework it ensures the information and intelligence is being treated the same way and ensures prompt dissemination when appropriate (Maguire and John, 2006). </w:t>
      </w:r>
    </w:p>
    <w:p w14:paraId="6D3FAE4F" w14:textId="77777777" w:rsidR="00D83580" w:rsidRDefault="00D83580" w:rsidP="00D83580">
      <w:r>
        <w:t xml:space="preserve">In the 1990’s, the idea of intelligence-based policing was developed, the approach is centred and based around the risk assessment of a piece of intelligence. The management of that </w:t>
      </w:r>
      <w:r>
        <w:lastRenderedPageBreak/>
        <w:t xml:space="preserve">risk is considered before action is decided upon and taken (Wortley and </w:t>
      </w:r>
      <w:proofErr w:type="spellStart"/>
      <w:r>
        <w:t>Townsley</w:t>
      </w:r>
      <w:proofErr w:type="spellEnd"/>
      <w:r>
        <w:t xml:space="preserve">, 2017). This approach uses a variety of analytical forms using various pieces of data. Police systems then utilise intelligence to coordinate and corroborate a working strategy which will effectively manage the risk and target the persons or groups named within the intelligence (Heaton, 2000). </w:t>
      </w:r>
    </w:p>
    <w:p w14:paraId="3F0F0F26" w14:textId="77777777" w:rsidR="00D83580" w:rsidRDefault="00D83580" w:rsidP="00D83580">
      <w:r>
        <w:t>Repeat victimisation is a very prevalent topic and one of the most notable instances of repeat victimisation is Fiona Pilkington (IPCC, 2009). There were obvious Police failings during this period and one of the most notable failings by Police was the failure to recognise her and her family was being repeated targeted and in her own words made her feel like ‘A prisoner in her own home’ (</w:t>
      </w:r>
      <w:proofErr w:type="spellStart"/>
      <w:r>
        <w:t>Capewell</w:t>
      </w:r>
      <w:proofErr w:type="spellEnd"/>
      <w:r>
        <w:t xml:space="preserve">, Ralph and </w:t>
      </w:r>
      <w:proofErr w:type="spellStart"/>
      <w:r>
        <w:t>Bonnett</w:t>
      </w:r>
      <w:proofErr w:type="spellEnd"/>
      <w:r>
        <w:t xml:space="preserve">, 2015). This feeling and lack of Police action led to her taking her daughter and family pets to a nearby layby and setting the car alight with herself, her daughter, and family pets inside (IPCC, 2009). </w:t>
      </w:r>
    </w:p>
    <w:p w14:paraId="3FC507C9" w14:textId="77777777" w:rsidR="00D83580" w:rsidRDefault="00D83580" w:rsidP="00D83580">
      <w:r>
        <w:t>The repeated actions by youths in her community led her to this cause of action as she could no longer go on. I’ve used this as an example as it highlights the failings by Police in feeding information into the intelligence system that the Pilkington’s were in fact repeat victims and sufficient safety measures put in place to protect the family and deal with the individuals causing these issues (IPCC, 2009). This highlights the need for intelligence led policing to be at the forefront of every incident Police attend. This incident could have been dealt with differently if information from previous calls at the address had been reported correctly and intelligence submitted after golden hour enquiries such as house to house and CCTV enquires to identify the subjects (</w:t>
      </w:r>
      <w:proofErr w:type="spellStart"/>
      <w:r>
        <w:t>Capewell</w:t>
      </w:r>
      <w:proofErr w:type="spellEnd"/>
      <w:r>
        <w:t xml:space="preserve">, Ralph and </w:t>
      </w:r>
      <w:proofErr w:type="spellStart"/>
      <w:r>
        <w:t>Bonnett</w:t>
      </w:r>
      <w:proofErr w:type="spellEnd"/>
      <w:r>
        <w:t xml:space="preserve">, 2015). By using intelligence there would have been the ability by supervisors to direct officers to conduct targeted patrols in the area, this had been noted prior to this case by </w:t>
      </w:r>
      <w:proofErr w:type="spellStart"/>
      <w:r>
        <w:t>Sheptycki</w:t>
      </w:r>
      <w:proofErr w:type="spellEnd"/>
      <w:r>
        <w:t xml:space="preserve"> (2004). </w:t>
      </w:r>
    </w:p>
    <w:p w14:paraId="04C881D7" w14:textId="77777777" w:rsidR="00D83580" w:rsidRDefault="00D83580" w:rsidP="00D83580">
      <w:r>
        <w:t xml:space="preserve">  Intelligence led policing can be proactive and reactive (Ratcliffe, 2002). We know intelligence can be gathered to conduct pre planned operations to target specific criminal activity (HMICFRS, 2023). By using a proactive approach there are multiple resources available such as ANPR, local community intelligence, Police national systems such as PNC, as well as local policing systems. Intelligence can also be used in a reactive role when attending incidents, we are able to use previous intelligence from the people linked to the incident and the addresses, vehicles, and anything else that is applicable to that incident (Maguire and John, 2006). Using PNC and local systems officers can gain a picture of the people involved which allows officers to complete a dynamic risk assessment centred around the National Decision-Making Model (Wood et al., 2022).</w:t>
      </w:r>
    </w:p>
    <w:p w14:paraId="1B29C417" w14:textId="77777777" w:rsidR="00D83580" w:rsidRDefault="00D83580" w:rsidP="00D83580">
      <w:r>
        <w:t xml:space="preserve"> </w:t>
      </w:r>
    </w:p>
    <w:p w14:paraId="2C545590" w14:textId="77777777" w:rsidR="00D83580" w:rsidRDefault="00D83580" w:rsidP="00D83580">
      <w:r>
        <w:t xml:space="preserve">The first stage of the National </w:t>
      </w:r>
      <w:proofErr w:type="gramStart"/>
      <w:r>
        <w:t>Decision Making</w:t>
      </w:r>
      <w:proofErr w:type="gramEnd"/>
      <w:r>
        <w:t xml:space="preserve"> Model for forefront of all actions taken by Police the first step is to gather information and intelligence to allow the other actions to take place. Domestic Abuse comes in many different forms and the victims of this such abuse are often repeat victims where the abuse has taken place over several years but due to the nature of the abuse lots do not report it to Police and therefore these repeat victims are often the hardest to help (Wood et al., 2022). This is where intelligence led policing can often uncover domestic abuse as the neighbours and other family members can often hear or see things in which they report but the victim denies these incidents have occurred. Therefore, an intelligence log can be submitted, and a picture can be built to prevent further domestic abuse to that victim using partner agencies and a multi-agency approach. </w:t>
      </w:r>
    </w:p>
    <w:p w14:paraId="3A63396C" w14:textId="77777777" w:rsidR="00D83580" w:rsidRDefault="00D83580" w:rsidP="00D83580"/>
    <w:p w14:paraId="0B9EC259" w14:textId="77777777" w:rsidR="00D83580" w:rsidRDefault="00D83580" w:rsidP="00D83580">
      <w:r>
        <w:t xml:space="preserve">Lack of reporting is often a way in which repeat victims aren’t identified (Pease, </w:t>
      </w:r>
      <w:proofErr w:type="spellStart"/>
      <w:r>
        <w:t>Ignatans</w:t>
      </w:r>
      <w:proofErr w:type="spellEnd"/>
      <w:r>
        <w:t xml:space="preserve"> and Batty, 2018). Therefore, according to Maguire and John (2006) at the forefront of finding these people to help them is the need for any multi agency approach to be feeding back </w:t>
      </w:r>
      <w:r>
        <w:lastRenderedPageBreak/>
        <w:t xml:space="preserve">intelligence into the police systems. This is to allow a proactive approach in giving these victims the best possible support (Heaton, 2000). As mentioned in this essay all intelligence is evaluated and disseminated by using the National Intelligence Model (HMICFRS, 2023) and from there the information can be provided to officers when going to speak to the people involved. Further to this, as referenced prior in this essay, not identifying victims and repeat victims is another way in which the early intervention in preventing repeat victimisation is missed (Pease, </w:t>
      </w:r>
      <w:proofErr w:type="spellStart"/>
      <w:r>
        <w:t>Ignatans</w:t>
      </w:r>
      <w:proofErr w:type="spellEnd"/>
      <w:r>
        <w:t xml:space="preserve"> and Batty, 2018). This can often be due to lack of comprehensive updates or intelligence not being submitted when appropriate (Graham-Kevan et al., 2015). </w:t>
      </w:r>
    </w:p>
    <w:p w14:paraId="64928933" w14:textId="77777777" w:rsidR="00D83580" w:rsidRDefault="00D83580" w:rsidP="00D83580"/>
    <w:p w14:paraId="64A6648F" w14:textId="77777777" w:rsidR="00D83580" w:rsidRDefault="00D83580" w:rsidP="00D83580">
      <w:r>
        <w:t xml:space="preserve">This essay will now discuss the variety of approaches including procedures that are utilised to reduce repeat victimisation.  The proactive approach within intelligence led policing encourages law enforcement agencies to proactively identify and address criminal threats before they escalate (Cope, 2004). This proactive stance is vital in reducing repeat victimisation. This is often entwined in Data-Driven Decision Making whereby the intelligence led policing relies heavily on data and analysis to make informed decisions. By collecting and analysing crime data, law enforcement can identify areas with high levels of repeat victimisation and allocate resources effectively. Collaboration is considered a cornerstone of ILP. Law enforcement agencies work together, as well as with other stakeholders such as community organisations, to share information and resources to combat crime and victimisation effectively (Chenery, Henshaw and Pease, 2002). Risk assessments as a structure of the National </w:t>
      </w:r>
      <w:proofErr w:type="gramStart"/>
      <w:r>
        <w:t>Decision Making</w:t>
      </w:r>
      <w:proofErr w:type="gramEnd"/>
      <w:r>
        <w:t xml:space="preserve"> Model (Wood et al., 2022) emphasises the importance of risk assessment to determine which individuals or areas are most vulnerable to repeat victimisation. Wortley and </w:t>
      </w:r>
      <w:proofErr w:type="spellStart"/>
      <w:r>
        <w:t>Townsley</w:t>
      </w:r>
      <w:proofErr w:type="spellEnd"/>
      <w:r>
        <w:t xml:space="preserve"> argues this </w:t>
      </w:r>
      <w:proofErr w:type="gramStart"/>
      <w:r>
        <w:t>enables</w:t>
      </w:r>
      <w:proofErr w:type="gramEnd"/>
      <w:r>
        <w:t xml:space="preserve"> law enforcement to allocate resources where they are most needed (2017).</w:t>
      </w:r>
    </w:p>
    <w:p w14:paraId="5E6CA587" w14:textId="77777777" w:rsidR="00D83580" w:rsidRDefault="00D83580" w:rsidP="00D83580">
      <w:pPr>
        <w:spacing w:before="240" w:after="240"/>
      </w:pPr>
      <w:r>
        <w:t xml:space="preserve">Furthermore, repeat victimisation occurs when individuals or locations are targeted by criminals more than once. Therefore, intelligence led policing plays a crucial role in reducing repeat victimisation through various strategies that are most effective when strategically utilised in combination with each other (Pease, </w:t>
      </w:r>
      <w:proofErr w:type="spellStart"/>
      <w:r>
        <w:t>Ignatans</w:t>
      </w:r>
      <w:proofErr w:type="spellEnd"/>
      <w:r>
        <w:t xml:space="preserve"> and Batty, 2018). Identifying hot spots where crime is concentrated is a purposeful act within policing. By focusing resources on these areas, law enforcement can disrupt criminal activities and reduce repeat victimisation (Innes, 2006). Preventative policing initiatives use data analysis to predict where and when crimes are likely to occur. This information allows law enforcement to deploy officers </w:t>
      </w:r>
      <w:proofErr w:type="spellStart"/>
      <w:r>
        <w:t>preemptively</w:t>
      </w:r>
      <w:proofErr w:type="spellEnd"/>
      <w:r>
        <w:t xml:space="preserve"> to prevent repeat victimisation (College of Policing, 2014). Targeted Interventions are completed through risk assessment, intelligence led policing helps law enforcement identify individuals at high risk of becoming repeat victims (Heaton, 2000). This allows for targeted interventions such as providing support services or increasing patrols in vulnerable areas (Wortley and </w:t>
      </w:r>
      <w:proofErr w:type="spellStart"/>
      <w:r>
        <w:t>Townsley</w:t>
      </w:r>
      <w:proofErr w:type="spellEnd"/>
      <w:r>
        <w:t>, 2017). The strategy of intelligence led policing promotes the sharing of intelligence and information among different law enforcement agencies (</w:t>
      </w:r>
      <w:proofErr w:type="spellStart"/>
      <w:r>
        <w:t>Sheptycki</w:t>
      </w:r>
      <w:proofErr w:type="spellEnd"/>
      <w:r>
        <w:t>, 2004). This collaboration helps identify repeat offenders and patterns of victimisation that may cross jurisdictional boundaries. The Metropolitan Police in London implemented an intelligence led policing approach to address violent crime and reduce repeat victimisation (Wood et al., 2022). By analysing data on violent incidents and gang-related activities, they identified hot spots and implemented targeted interventions, resulting in a significant reduction in repeat victimisation rates (Cope, 2004).</w:t>
      </w:r>
    </w:p>
    <w:p w14:paraId="0917153F" w14:textId="77777777" w:rsidR="00D83580" w:rsidRDefault="00D83580" w:rsidP="00D83580">
      <w:pPr>
        <w:spacing w:before="240" w:after="240"/>
      </w:pPr>
      <w:r>
        <w:t xml:space="preserve"> </w:t>
      </w:r>
    </w:p>
    <w:p w14:paraId="5596C643" w14:textId="77777777" w:rsidR="00D83580" w:rsidRDefault="00D83580" w:rsidP="00D83580">
      <w:pPr>
        <w:spacing w:before="240" w:after="240"/>
      </w:pPr>
      <w:r>
        <w:lastRenderedPageBreak/>
        <w:t xml:space="preserve"> </w:t>
      </w:r>
    </w:p>
    <w:p w14:paraId="1440D0E8" w14:textId="77777777" w:rsidR="00D83580" w:rsidRDefault="00D83580" w:rsidP="00D83580">
      <w:pPr>
        <w:spacing w:before="240" w:after="240"/>
      </w:pPr>
      <w:r>
        <w:t>Intelligence-led policing is a powerful approach that can significantly contribute to reducing repeat victimisation. By adopting a proactive stance, relying on data-driven decision-making, fostering collaboration, and implementing targeted interventions, law enforcement agencies can make great strides in enhancing public safety and protecting vulnerable individuals and communities. The case studies presented demonstrate that ILP is not just a theoretical concept but a practical and effective strategy that can be implemented worldwide to reduce repeat victimisation and make our societies safer. As law enforcement agencies continue to evolve and adapt to new challenges, ILP will remain a valuable tool in their efforts to combat crime and protect the well-being of their communities.</w:t>
      </w:r>
    </w:p>
    <w:p w14:paraId="159B2296" w14:textId="77777777" w:rsidR="00D83580" w:rsidRDefault="00D83580" w:rsidP="00D83580"/>
    <w:p w14:paraId="7BC00C56" w14:textId="77777777" w:rsidR="00D83580" w:rsidRDefault="00D83580"/>
    <w:p w14:paraId="72FDAF3A" w14:textId="77777777" w:rsidR="00726AB7" w:rsidRDefault="00726AB7"/>
    <w:p w14:paraId="4F917850" w14:textId="77777777" w:rsidR="00726AB7" w:rsidRDefault="00726AB7"/>
    <w:p w14:paraId="0A9FFBE5" w14:textId="77777777" w:rsidR="00726AB7" w:rsidRDefault="00726AB7"/>
    <w:p w14:paraId="2E595D52" w14:textId="77777777" w:rsidR="00726AB7" w:rsidRDefault="00726AB7"/>
    <w:p w14:paraId="6DD8DED7" w14:textId="77777777" w:rsidR="00726AB7" w:rsidRDefault="00726AB7"/>
    <w:p w14:paraId="2D1F3897" w14:textId="77777777" w:rsidR="00726AB7" w:rsidRDefault="00726AB7"/>
    <w:p w14:paraId="79FC8B1F" w14:textId="77777777" w:rsidR="00726AB7" w:rsidRDefault="00726AB7"/>
    <w:p w14:paraId="7D442287" w14:textId="77777777" w:rsidR="00726AB7" w:rsidRDefault="00726AB7"/>
    <w:p w14:paraId="6C636E1C" w14:textId="77777777" w:rsidR="00726AB7" w:rsidRDefault="00726AB7"/>
    <w:p w14:paraId="0B7DF30E"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7234C00D"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00653183"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52B9DE21"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64865915"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5501C55E"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7BE57498"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01865392"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6294B211" w14:textId="77777777" w:rsidR="00D83580" w:rsidRDefault="00D83580" w:rsidP="00726AB7">
      <w:pPr>
        <w:widowControl w:val="0"/>
        <w:autoSpaceDE w:val="0"/>
        <w:autoSpaceDN w:val="0"/>
        <w:adjustRightInd w:val="0"/>
        <w:spacing w:after="240" w:line="360" w:lineRule="auto"/>
        <w:rPr>
          <w:rFonts w:ascii="Times New Roman" w:hAnsi="Times New Roman" w:cs="Times New Roman"/>
          <w:sz w:val="36"/>
          <w:szCs w:val="36"/>
          <w:lang w:val="en-US"/>
        </w:rPr>
      </w:pPr>
    </w:p>
    <w:p w14:paraId="4474DC17" w14:textId="1940B60C" w:rsidR="00726AB7" w:rsidRDefault="00726AB7" w:rsidP="00726AB7">
      <w:pPr>
        <w:widowControl w:val="0"/>
        <w:autoSpaceDE w:val="0"/>
        <w:autoSpaceDN w:val="0"/>
        <w:adjustRightInd w:val="0"/>
        <w:spacing w:after="240" w:line="360" w:lineRule="auto"/>
        <w:rPr>
          <w:rFonts w:ascii="Times New Roman" w:eastAsiaTheme="minorEastAsia" w:hAnsi="Times New Roman" w:cs="Times New Roman"/>
          <w:sz w:val="24"/>
          <w:szCs w:val="24"/>
          <w:lang w:val="en-US"/>
        </w:rPr>
      </w:pPr>
      <w:r>
        <w:rPr>
          <w:rFonts w:ascii="Times New Roman" w:hAnsi="Times New Roman" w:cs="Times New Roman"/>
          <w:sz w:val="36"/>
          <w:szCs w:val="36"/>
          <w:lang w:val="en-US"/>
        </w:rPr>
        <w:lastRenderedPageBreak/>
        <w:t xml:space="preserve">Bibliography </w:t>
      </w:r>
    </w:p>
    <w:p w14:paraId="522C25E9"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 xml:space="preserve">Anti-social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Crime and Policing Act 2014</w:t>
      </w:r>
      <w:r>
        <w:rPr>
          <w:rFonts w:ascii="Times New Roman" w:hAnsi="Times New Roman" w:cs="Times New Roman"/>
          <w:sz w:val="24"/>
          <w:szCs w:val="24"/>
          <w:lang w:val="en-US"/>
        </w:rPr>
        <w:t xml:space="preserve">. Available at: </w:t>
      </w:r>
      <w:hyperlink r:id="rId4" w:history="1">
        <w:r>
          <w:rPr>
            <w:rStyle w:val="Hyperlink"/>
            <w:rFonts w:ascii="Times New Roman" w:hAnsi="Times New Roman" w:cs="Times New Roman"/>
            <w:color w:val="auto"/>
            <w:sz w:val="24"/>
            <w:szCs w:val="24"/>
            <w:u w:val="none"/>
            <w:lang w:val="en-US"/>
          </w:rPr>
          <w:t>https://www.legislation.gov.uk/ukpga/2014/12/contents/enacted</w:t>
        </w:r>
      </w:hyperlink>
      <w:r>
        <w:rPr>
          <w:rFonts w:ascii="Times New Roman" w:hAnsi="Times New Roman" w:cs="Times New Roman"/>
          <w:sz w:val="24"/>
          <w:szCs w:val="24"/>
          <w:lang w:val="en-US"/>
        </w:rPr>
        <w:t xml:space="preserve"> [Accessed 19 Aug. 2023].</w:t>
      </w:r>
    </w:p>
    <w:p w14:paraId="02B74765"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Basu</w:t>
      </w:r>
      <w:proofErr w:type="spellEnd"/>
      <w:r>
        <w:rPr>
          <w:rFonts w:ascii="Times New Roman" w:hAnsi="Times New Roman" w:cs="Times New Roman"/>
          <w:sz w:val="24"/>
          <w:szCs w:val="24"/>
          <w:lang w:val="en-US"/>
        </w:rPr>
        <w:t xml:space="preserve">, N. (2021). Learning Lessons from Countering Terrorism: the UK Experience 2017–2020. </w:t>
      </w:r>
      <w:r>
        <w:rPr>
          <w:rFonts w:ascii="Times New Roman" w:hAnsi="Times New Roman" w:cs="Times New Roman"/>
          <w:i/>
          <w:iCs/>
          <w:sz w:val="24"/>
          <w:szCs w:val="24"/>
          <w:lang w:val="en-US"/>
        </w:rPr>
        <w:t>Cambridge Journal of Evidence-Based Policing</w:t>
      </w:r>
      <w:r>
        <w:rPr>
          <w:rFonts w:ascii="Times New Roman" w:hAnsi="Times New Roman" w:cs="Times New Roman"/>
          <w:sz w:val="24"/>
          <w:szCs w:val="24"/>
          <w:lang w:val="en-US"/>
        </w:rPr>
        <w:t xml:space="preserve">, [online] 5(5). </w:t>
      </w:r>
      <w:proofErr w:type="spellStart"/>
      <w:r>
        <w:rPr>
          <w:rFonts w:ascii="Times New Roman" w:hAnsi="Times New Roman" w:cs="Times New Roman"/>
          <w:sz w:val="24"/>
          <w:szCs w:val="24"/>
          <w:lang w:val="en-US"/>
        </w:rPr>
        <w:t>doi:</w:t>
      </w:r>
      <w:hyperlink r:id="rId5"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://doi.org/10.1007/s41887-021-00068-1</w:t>
        </w:r>
      </w:hyperlink>
      <w:r>
        <w:rPr>
          <w:rFonts w:ascii="Times New Roman" w:hAnsi="Times New Roman" w:cs="Times New Roman"/>
          <w:sz w:val="24"/>
          <w:szCs w:val="24"/>
          <w:lang w:val="en-US"/>
        </w:rPr>
        <w:t>.</w:t>
      </w:r>
    </w:p>
    <w:p w14:paraId="4C3AA8CF"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BRIGGS, R. (2010). Community engagement for counterterrorism: lessons from the United Kingdom. </w:t>
      </w:r>
      <w:r>
        <w:rPr>
          <w:rFonts w:ascii="Times New Roman" w:hAnsi="Times New Roman" w:cs="Times New Roman"/>
          <w:i/>
          <w:iCs/>
          <w:sz w:val="24"/>
          <w:szCs w:val="24"/>
          <w:lang w:val="en-US"/>
        </w:rPr>
        <w:t>International Affairs</w:t>
      </w:r>
      <w:r>
        <w:rPr>
          <w:rFonts w:ascii="Times New Roman" w:hAnsi="Times New Roman" w:cs="Times New Roman"/>
          <w:sz w:val="24"/>
          <w:szCs w:val="24"/>
          <w:lang w:val="en-US"/>
        </w:rPr>
        <w:t xml:space="preserve">, [online] 86(4), pp.971–981. </w:t>
      </w:r>
      <w:proofErr w:type="spellStart"/>
      <w:r>
        <w:rPr>
          <w:rFonts w:ascii="Times New Roman" w:hAnsi="Times New Roman" w:cs="Times New Roman"/>
          <w:sz w:val="24"/>
          <w:szCs w:val="24"/>
          <w:lang w:val="en-US"/>
        </w:rPr>
        <w:t>doi:</w:t>
      </w:r>
      <w:hyperlink r:id="rId6"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://doi.org/10.1111/j.1468-2346.2010.00923.x</w:t>
        </w:r>
      </w:hyperlink>
      <w:r>
        <w:rPr>
          <w:rFonts w:ascii="Times New Roman" w:hAnsi="Times New Roman" w:cs="Times New Roman"/>
          <w:sz w:val="24"/>
          <w:szCs w:val="24"/>
          <w:lang w:val="en-US"/>
        </w:rPr>
        <w:t>.</w:t>
      </w:r>
    </w:p>
    <w:p w14:paraId="016AF31C"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Capewell</w:t>
      </w:r>
      <w:proofErr w:type="spellEnd"/>
      <w:r>
        <w:rPr>
          <w:rFonts w:ascii="Times New Roman" w:hAnsi="Times New Roman" w:cs="Times New Roman"/>
          <w:sz w:val="24"/>
          <w:szCs w:val="24"/>
          <w:lang w:val="en-US"/>
        </w:rPr>
        <w:t xml:space="preserve">, C., Ralph, S. and </w:t>
      </w:r>
      <w:proofErr w:type="spellStart"/>
      <w:r>
        <w:rPr>
          <w:rFonts w:ascii="Times New Roman" w:hAnsi="Times New Roman" w:cs="Times New Roman"/>
          <w:sz w:val="24"/>
          <w:szCs w:val="24"/>
          <w:lang w:val="en-US"/>
        </w:rPr>
        <w:t>Bonnett</w:t>
      </w:r>
      <w:proofErr w:type="spellEnd"/>
      <w:r>
        <w:rPr>
          <w:rFonts w:ascii="Times New Roman" w:hAnsi="Times New Roman" w:cs="Times New Roman"/>
          <w:sz w:val="24"/>
          <w:szCs w:val="24"/>
          <w:lang w:val="en-US"/>
        </w:rPr>
        <w:t xml:space="preserve">, L. (2015). The continuing violence towards disabled people. </w:t>
      </w:r>
      <w:r>
        <w:rPr>
          <w:rFonts w:ascii="Times New Roman" w:hAnsi="Times New Roman" w:cs="Times New Roman"/>
          <w:i/>
          <w:iCs/>
          <w:sz w:val="24"/>
          <w:szCs w:val="24"/>
          <w:lang w:val="en-US"/>
        </w:rPr>
        <w:t>Journal of Research in Special Educational Needs</w:t>
      </w:r>
      <w:r>
        <w:rPr>
          <w:rFonts w:ascii="Times New Roman" w:hAnsi="Times New Roman" w:cs="Times New Roman"/>
          <w:sz w:val="24"/>
          <w:szCs w:val="24"/>
          <w:lang w:val="en-US"/>
        </w:rPr>
        <w:t xml:space="preserve">, [online] 15(3), pp.211–221. </w:t>
      </w:r>
      <w:proofErr w:type="spellStart"/>
      <w:r>
        <w:rPr>
          <w:rFonts w:ascii="Times New Roman" w:hAnsi="Times New Roman" w:cs="Times New Roman"/>
          <w:sz w:val="24"/>
          <w:szCs w:val="24"/>
          <w:lang w:val="en-US"/>
        </w:rPr>
        <w:t>doi:</w:t>
      </w:r>
      <w:hyperlink r:id="rId7"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://doi.org/10.1111/1471-3802.12112</w:t>
        </w:r>
      </w:hyperlink>
      <w:r>
        <w:rPr>
          <w:rFonts w:ascii="Times New Roman" w:hAnsi="Times New Roman" w:cs="Times New Roman"/>
          <w:sz w:val="24"/>
          <w:szCs w:val="24"/>
          <w:lang w:val="en-US"/>
        </w:rPr>
        <w:t>.</w:t>
      </w:r>
    </w:p>
    <w:p w14:paraId="7EFD1E7C"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Chenery, S., Henshaw, C. and Pease, K. (2002). Repeat </w:t>
      </w:r>
      <w:proofErr w:type="spellStart"/>
      <w:r>
        <w:rPr>
          <w:rFonts w:ascii="Times New Roman" w:hAnsi="Times New Roman" w:cs="Times New Roman"/>
          <w:sz w:val="24"/>
          <w:szCs w:val="24"/>
          <w:lang w:val="en-US"/>
        </w:rPr>
        <w:t>Victimisation</w:t>
      </w:r>
      <w:proofErr w:type="spellEnd"/>
      <w:r>
        <w:rPr>
          <w:rFonts w:ascii="Times New Roman" w:hAnsi="Times New Roman" w:cs="Times New Roman"/>
          <w:sz w:val="24"/>
          <w:szCs w:val="24"/>
          <w:lang w:val="en-US"/>
        </w:rPr>
        <w:t xml:space="preserve"> and the Policing of Communities. </w:t>
      </w:r>
      <w:r>
        <w:rPr>
          <w:rFonts w:ascii="Times New Roman" w:hAnsi="Times New Roman" w:cs="Times New Roman"/>
          <w:i/>
          <w:iCs/>
          <w:sz w:val="24"/>
          <w:szCs w:val="24"/>
          <w:lang w:val="en-US"/>
        </w:rPr>
        <w:t>International Review of Victimology</w:t>
      </w:r>
      <w:r>
        <w:rPr>
          <w:rFonts w:ascii="Times New Roman" w:hAnsi="Times New Roman" w:cs="Times New Roman"/>
          <w:sz w:val="24"/>
          <w:szCs w:val="24"/>
          <w:lang w:val="en-US"/>
        </w:rPr>
        <w:t xml:space="preserve">, [online] 9(2), pp.137–148. </w:t>
      </w:r>
      <w:proofErr w:type="spellStart"/>
      <w:r>
        <w:rPr>
          <w:rFonts w:ascii="Times New Roman" w:hAnsi="Times New Roman" w:cs="Times New Roman"/>
          <w:sz w:val="24"/>
          <w:szCs w:val="24"/>
          <w:lang w:val="en-US"/>
        </w:rPr>
        <w:t>doi:</w:t>
      </w:r>
      <w:hyperlink r:id="rId8"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://doi.org/10.1177/026975800200900204</w:t>
        </w:r>
      </w:hyperlink>
      <w:r>
        <w:rPr>
          <w:rFonts w:ascii="Times New Roman" w:hAnsi="Times New Roman" w:cs="Times New Roman"/>
          <w:sz w:val="24"/>
          <w:szCs w:val="24"/>
          <w:lang w:val="en-US"/>
        </w:rPr>
        <w:t>.</w:t>
      </w:r>
    </w:p>
    <w:p w14:paraId="4F87666B"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9" w:history="1">
        <w:r>
          <w:rPr>
            <w:rStyle w:val="Hyperlink"/>
            <w:rFonts w:ascii="Times New Roman" w:hAnsi="Times New Roman" w:cs="Times New Roman"/>
            <w:color w:val="auto"/>
            <w:sz w:val="24"/>
            <w:szCs w:val="24"/>
            <w:u w:val="none"/>
            <w:lang w:val="en-US"/>
          </w:rPr>
          <w:t>https://www.college.police.uk/app/national-decision-model/national-decision-model</w:t>
        </w:r>
      </w:hyperlink>
      <w:r>
        <w:rPr>
          <w:rFonts w:ascii="Times New Roman" w:hAnsi="Times New Roman" w:cs="Times New Roman"/>
          <w:sz w:val="24"/>
          <w:szCs w:val="24"/>
          <w:lang w:val="en-US"/>
        </w:rPr>
        <w:t xml:space="preserve"> [Accessed 14 Jul. 2023].</w:t>
      </w:r>
    </w:p>
    <w:p w14:paraId="1871077E"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Code of Ethics</w:t>
      </w:r>
      <w:r>
        <w:rPr>
          <w:rFonts w:ascii="Times New Roman" w:hAnsi="Times New Roman" w:cs="Times New Roman"/>
          <w:sz w:val="24"/>
          <w:szCs w:val="24"/>
          <w:lang w:val="en-US"/>
        </w:rPr>
        <w:t xml:space="preserve">. [online] College of Policing. Available at: </w:t>
      </w:r>
      <w:hyperlink r:id="rId10" w:history="1">
        <w:r>
          <w:rPr>
            <w:rStyle w:val="Hyperlink"/>
            <w:rFonts w:ascii="Times New Roman" w:hAnsi="Times New Roman" w:cs="Times New Roman"/>
            <w:color w:val="auto"/>
            <w:sz w:val="24"/>
            <w:szCs w:val="24"/>
            <w:u w:val="none"/>
            <w:lang w:val="en-US"/>
          </w:rPr>
          <w:t>https://www.college.police.uk/ethics/code-of-ethics</w:t>
        </w:r>
      </w:hyperlink>
      <w:r>
        <w:rPr>
          <w:rFonts w:ascii="Times New Roman" w:hAnsi="Times New Roman" w:cs="Times New Roman"/>
          <w:sz w:val="24"/>
          <w:szCs w:val="24"/>
          <w:lang w:val="en-US"/>
        </w:rPr>
        <w:t xml:space="preserve"> [Accessed 27 May 2023].</w:t>
      </w:r>
    </w:p>
    <w:p w14:paraId="43392079"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Cope, N. (2004). ‘Intelligence Led Policing or Policing Led Intelligence?’: Integrating Volume Crime Analysis into Policing. </w:t>
      </w:r>
      <w:r>
        <w:rPr>
          <w:rFonts w:ascii="Times New Roman" w:hAnsi="Times New Roman" w:cs="Times New Roman"/>
          <w:i/>
          <w:iCs/>
          <w:sz w:val="24"/>
          <w:szCs w:val="24"/>
          <w:lang w:val="en-US"/>
        </w:rPr>
        <w:t>British Journal of Criminology</w:t>
      </w:r>
      <w:r>
        <w:rPr>
          <w:rFonts w:ascii="Times New Roman" w:hAnsi="Times New Roman" w:cs="Times New Roman"/>
          <w:sz w:val="24"/>
          <w:szCs w:val="24"/>
          <w:lang w:val="en-US"/>
        </w:rPr>
        <w:t xml:space="preserve">, [online] 44(2), pp.188–203. </w:t>
      </w:r>
      <w:proofErr w:type="spellStart"/>
      <w:r>
        <w:rPr>
          <w:rFonts w:ascii="Times New Roman" w:hAnsi="Times New Roman" w:cs="Times New Roman"/>
          <w:sz w:val="24"/>
          <w:szCs w:val="24"/>
          <w:lang w:val="en-US"/>
        </w:rPr>
        <w:t>doi:</w:t>
      </w:r>
      <w:hyperlink r:id="rId11"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://doi.org/10.1093/</w:t>
        </w:r>
        <w:proofErr w:type="spellStart"/>
        <w:r>
          <w:rPr>
            <w:rStyle w:val="Hyperlink"/>
            <w:rFonts w:ascii="Times New Roman" w:hAnsi="Times New Roman" w:cs="Times New Roman"/>
            <w:color w:val="auto"/>
            <w:sz w:val="24"/>
            <w:szCs w:val="24"/>
            <w:u w:val="none"/>
            <w:lang w:val="en-US"/>
          </w:rPr>
          <w:t>bjc</w:t>
        </w:r>
        <w:proofErr w:type="spellEnd"/>
        <w:r>
          <w:rPr>
            <w:rStyle w:val="Hyperlink"/>
            <w:rFonts w:ascii="Times New Roman" w:hAnsi="Times New Roman" w:cs="Times New Roman"/>
            <w:color w:val="auto"/>
            <w:sz w:val="24"/>
            <w:szCs w:val="24"/>
            <w:u w:val="none"/>
            <w:lang w:val="en-US"/>
          </w:rPr>
          <w:t>/44.2.188</w:t>
        </w:r>
      </w:hyperlink>
      <w:r>
        <w:rPr>
          <w:rFonts w:ascii="Times New Roman" w:hAnsi="Times New Roman" w:cs="Times New Roman"/>
          <w:sz w:val="24"/>
          <w:szCs w:val="24"/>
          <w:lang w:val="en-US"/>
        </w:rPr>
        <w:t>.</w:t>
      </w:r>
    </w:p>
    <w:p w14:paraId="019FA88A"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Counter Terrorism Policing (2023). </w:t>
      </w:r>
      <w:r>
        <w:rPr>
          <w:rFonts w:ascii="Times New Roman" w:hAnsi="Times New Roman" w:cs="Times New Roman"/>
          <w:i/>
          <w:iCs/>
          <w:sz w:val="24"/>
          <w:szCs w:val="24"/>
          <w:lang w:val="en-US"/>
        </w:rPr>
        <w:t>Counter Terrorism Policing</w:t>
      </w:r>
      <w:r>
        <w:rPr>
          <w:rFonts w:ascii="Times New Roman" w:hAnsi="Times New Roman" w:cs="Times New Roman"/>
          <w:sz w:val="24"/>
          <w:szCs w:val="24"/>
          <w:lang w:val="en-US"/>
        </w:rPr>
        <w:t xml:space="preserve">. [online] Counter Terrorism Policing. Available at: </w:t>
      </w:r>
      <w:hyperlink r:id="rId12" w:history="1">
        <w:r>
          <w:rPr>
            <w:rStyle w:val="Hyperlink"/>
            <w:rFonts w:ascii="Times New Roman" w:hAnsi="Times New Roman" w:cs="Times New Roman"/>
            <w:color w:val="auto"/>
            <w:sz w:val="24"/>
            <w:szCs w:val="24"/>
            <w:u w:val="none"/>
            <w:lang w:val="en-US"/>
          </w:rPr>
          <w:t>https://www.counterterrorism.police.uk/</w:t>
        </w:r>
      </w:hyperlink>
      <w:r>
        <w:rPr>
          <w:rFonts w:ascii="Times New Roman" w:hAnsi="Times New Roman" w:cs="Times New Roman"/>
          <w:sz w:val="24"/>
          <w:szCs w:val="24"/>
          <w:lang w:val="en-US"/>
        </w:rPr>
        <w:t xml:space="preserve"> [Accessed 4 Aug. 2023].</w:t>
      </w:r>
    </w:p>
    <w:p w14:paraId="65115CCB"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Graham-Kevan, N., Brooks, M., Willan, V., Lowe, M., Robinson, P., Khan, R., Stokes, R., Irving, M., </w:t>
      </w:r>
      <w:proofErr w:type="spellStart"/>
      <w:r>
        <w:rPr>
          <w:rFonts w:ascii="Times New Roman" w:hAnsi="Times New Roman" w:cs="Times New Roman"/>
          <w:sz w:val="24"/>
          <w:szCs w:val="24"/>
          <w:lang w:val="en-US"/>
        </w:rPr>
        <w:t>Karwacka</w:t>
      </w:r>
      <w:proofErr w:type="spellEnd"/>
      <w:r>
        <w:rPr>
          <w:rFonts w:ascii="Times New Roman" w:hAnsi="Times New Roman" w:cs="Times New Roman"/>
          <w:sz w:val="24"/>
          <w:szCs w:val="24"/>
          <w:lang w:val="en-US"/>
        </w:rPr>
        <w:t xml:space="preserve">, M. and Bryce, J. (2015). Repeat </w:t>
      </w:r>
      <w:proofErr w:type="spellStart"/>
      <w:r>
        <w:rPr>
          <w:rFonts w:ascii="Times New Roman" w:hAnsi="Times New Roman" w:cs="Times New Roman"/>
          <w:sz w:val="24"/>
          <w:szCs w:val="24"/>
          <w:lang w:val="en-US"/>
        </w:rPr>
        <w:t>Victimisation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Retraumatisation</w:t>
      </w:r>
      <w:proofErr w:type="spellEnd"/>
      <w:r>
        <w:rPr>
          <w:rFonts w:ascii="Times New Roman" w:hAnsi="Times New Roman" w:cs="Times New Roman"/>
          <w:sz w:val="24"/>
          <w:szCs w:val="24"/>
          <w:lang w:val="en-US"/>
        </w:rPr>
        <w:t xml:space="preserve"> and </w:t>
      </w:r>
      <w:r>
        <w:rPr>
          <w:rFonts w:ascii="Times New Roman" w:hAnsi="Times New Roman" w:cs="Times New Roman"/>
          <w:sz w:val="24"/>
          <w:szCs w:val="24"/>
          <w:lang w:val="en-US"/>
        </w:rPr>
        <w:lastRenderedPageBreak/>
        <w:t xml:space="preserve">Victim Vulnerability. </w:t>
      </w:r>
      <w:r>
        <w:rPr>
          <w:rFonts w:ascii="Times New Roman" w:hAnsi="Times New Roman" w:cs="Times New Roman"/>
          <w:i/>
          <w:iCs/>
          <w:sz w:val="24"/>
          <w:szCs w:val="24"/>
          <w:lang w:val="en-US"/>
        </w:rPr>
        <w:t>The Open Criminology Journal</w:t>
      </w:r>
      <w:r>
        <w:rPr>
          <w:rFonts w:ascii="Times New Roman" w:hAnsi="Times New Roman" w:cs="Times New Roman"/>
          <w:sz w:val="24"/>
          <w:szCs w:val="24"/>
          <w:lang w:val="en-US"/>
        </w:rPr>
        <w:t xml:space="preserve">, [online] 8(1), pp.36–48. </w:t>
      </w:r>
      <w:proofErr w:type="spellStart"/>
      <w:r>
        <w:rPr>
          <w:rFonts w:ascii="Times New Roman" w:hAnsi="Times New Roman" w:cs="Times New Roman"/>
          <w:sz w:val="24"/>
          <w:szCs w:val="24"/>
          <w:lang w:val="en-US"/>
        </w:rPr>
        <w:t>doi:</w:t>
      </w:r>
      <w:hyperlink r:id="rId13"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://doi.org/10.2174/1874917801508010036</w:t>
        </w:r>
      </w:hyperlink>
      <w:r>
        <w:rPr>
          <w:rFonts w:ascii="Times New Roman" w:hAnsi="Times New Roman" w:cs="Times New Roman"/>
          <w:sz w:val="24"/>
          <w:szCs w:val="24"/>
          <w:lang w:val="en-US"/>
        </w:rPr>
        <w:t>.</w:t>
      </w:r>
    </w:p>
    <w:p w14:paraId="6621CD75"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Heaton, R. (2000). The prospects for intelligence‐led policing: Some Historical and quantitative considerations. </w:t>
      </w:r>
      <w:r>
        <w:rPr>
          <w:rFonts w:ascii="Times New Roman" w:hAnsi="Times New Roman" w:cs="Times New Roman"/>
          <w:i/>
          <w:iCs/>
          <w:sz w:val="24"/>
          <w:szCs w:val="24"/>
          <w:lang w:val="en-US"/>
        </w:rPr>
        <w:t>Policing and Society</w:t>
      </w:r>
      <w:r>
        <w:rPr>
          <w:rFonts w:ascii="Times New Roman" w:hAnsi="Times New Roman" w:cs="Times New Roman"/>
          <w:sz w:val="24"/>
          <w:szCs w:val="24"/>
          <w:lang w:val="en-US"/>
        </w:rPr>
        <w:t xml:space="preserve">, 9(4), pp.337–355. </w:t>
      </w:r>
      <w:proofErr w:type="spellStart"/>
      <w:r>
        <w:rPr>
          <w:rFonts w:ascii="Times New Roman" w:hAnsi="Times New Roman" w:cs="Times New Roman"/>
          <w:sz w:val="24"/>
          <w:szCs w:val="24"/>
          <w:lang w:val="en-US"/>
        </w:rPr>
        <w:t>doi:</w:t>
      </w:r>
      <w:hyperlink r:id="rId14"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://doi.org/10.1080/10439463.2000.9964822</w:t>
        </w:r>
      </w:hyperlink>
      <w:r>
        <w:rPr>
          <w:rFonts w:ascii="Times New Roman" w:hAnsi="Times New Roman" w:cs="Times New Roman"/>
          <w:sz w:val="24"/>
          <w:szCs w:val="24"/>
          <w:lang w:val="en-US"/>
        </w:rPr>
        <w:t>.</w:t>
      </w:r>
    </w:p>
    <w:p w14:paraId="39D3F485"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HMICFRS (2023). </w:t>
      </w:r>
      <w:r>
        <w:rPr>
          <w:rFonts w:ascii="Times New Roman" w:hAnsi="Times New Roman" w:cs="Times New Roman"/>
          <w:i/>
          <w:iCs/>
          <w:sz w:val="24"/>
          <w:szCs w:val="24"/>
          <w:lang w:val="en-US"/>
        </w:rPr>
        <w:t>National intelligence model (NIM)</w:t>
      </w:r>
      <w:r>
        <w:rPr>
          <w:rFonts w:ascii="Times New Roman" w:hAnsi="Times New Roman" w:cs="Times New Roman"/>
          <w:sz w:val="24"/>
          <w:szCs w:val="24"/>
          <w:lang w:val="en-US"/>
        </w:rPr>
        <w:t xml:space="preserve">. [online] His Majesty’s Inspectorate of Constabulary and Fire &amp; Rescue Services (HMICFRS) – Home. Available at: </w:t>
      </w:r>
      <w:hyperlink r:id="rId15" w:history="1">
        <w:r>
          <w:rPr>
            <w:rStyle w:val="Hyperlink"/>
            <w:rFonts w:ascii="Times New Roman" w:hAnsi="Times New Roman" w:cs="Times New Roman"/>
            <w:color w:val="auto"/>
            <w:sz w:val="24"/>
            <w:szCs w:val="24"/>
            <w:u w:val="none"/>
            <w:lang w:val="en-US"/>
          </w:rPr>
          <w:t>https://www.justiceinspectorates.gov.uk/hmicfrs/glossary/national-intelligence-model/</w:t>
        </w:r>
      </w:hyperlink>
      <w:r>
        <w:rPr>
          <w:rFonts w:ascii="Times New Roman" w:hAnsi="Times New Roman" w:cs="Times New Roman"/>
          <w:sz w:val="24"/>
          <w:szCs w:val="24"/>
          <w:lang w:val="en-US"/>
        </w:rPr>
        <w:t xml:space="preserve"> [Accessed 22 Jul. 2023].</w:t>
      </w:r>
    </w:p>
    <w:p w14:paraId="13586531"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Innes, M. (2006). Policing Uncertainty: Countering Terror through Community Intelligence and Democratic Policing. </w:t>
      </w:r>
      <w:r>
        <w:rPr>
          <w:rFonts w:ascii="Times New Roman" w:hAnsi="Times New Roman" w:cs="Times New Roman"/>
          <w:i/>
          <w:iCs/>
          <w:sz w:val="24"/>
          <w:szCs w:val="24"/>
          <w:lang w:val="en-US"/>
        </w:rPr>
        <w:t>The ANNALS of the American Academy of Political and Social Science</w:t>
      </w:r>
      <w:r>
        <w:rPr>
          <w:rFonts w:ascii="Times New Roman" w:hAnsi="Times New Roman" w:cs="Times New Roman"/>
          <w:sz w:val="24"/>
          <w:szCs w:val="24"/>
          <w:lang w:val="en-US"/>
        </w:rPr>
        <w:t xml:space="preserve">, [online] 605(1), pp.222–241. </w:t>
      </w:r>
      <w:proofErr w:type="spellStart"/>
      <w:r>
        <w:rPr>
          <w:rFonts w:ascii="Times New Roman" w:hAnsi="Times New Roman" w:cs="Times New Roman"/>
          <w:sz w:val="24"/>
          <w:szCs w:val="24"/>
          <w:lang w:val="en-US"/>
        </w:rPr>
        <w:t>doi:</w:t>
      </w:r>
      <w:hyperlink r:id="rId16"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://doi.org/10.1177/0002716206287118</w:t>
        </w:r>
      </w:hyperlink>
      <w:r>
        <w:rPr>
          <w:rFonts w:ascii="Times New Roman" w:hAnsi="Times New Roman" w:cs="Times New Roman"/>
          <w:sz w:val="24"/>
          <w:szCs w:val="24"/>
          <w:lang w:val="en-US"/>
        </w:rPr>
        <w:t>.</w:t>
      </w:r>
    </w:p>
    <w:p w14:paraId="412EB83B"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IPCC (2009). </w:t>
      </w:r>
      <w:r>
        <w:rPr>
          <w:rFonts w:ascii="Times New Roman" w:hAnsi="Times New Roman" w:cs="Times New Roman"/>
          <w:i/>
          <w:iCs/>
          <w:sz w:val="24"/>
          <w:szCs w:val="24"/>
          <w:lang w:val="en-US"/>
        </w:rPr>
        <w:t xml:space="preserve">IPCC report into the contact between </w:t>
      </w:r>
      <w:proofErr w:type="gramStart"/>
      <w:r>
        <w:rPr>
          <w:rFonts w:ascii="Times New Roman" w:hAnsi="Times New Roman" w:cs="Times New Roman"/>
          <w:i/>
          <w:iCs/>
          <w:sz w:val="24"/>
          <w:szCs w:val="24"/>
          <w:lang w:val="en-US"/>
        </w:rPr>
        <w:t>Fiona  Pilkington</w:t>
      </w:r>
      <w:proofErr w:type="gramEnd"/>
      <w:r>
        <w:rPr>
          <w:rFonts w:ascii="Times New Roman" w:hAnsi="Times New Roman" w:cs="Times New Roman"/>
          <w:i/>
          <w:iCs/>
          <w:sz w:val="24"/>
          <w:szCs w:val="24"/>
          <w:lang w:val="en-US"/>
        </w:rPr>
        <w:t xml:space="preserve"> and Leicestershire Constabulary  2004-2007</w:t>
      </w:r>
      <w:r>
        <w:rPr>
          <w:rFonts w:ascii="Times New Roman" w:hAnsi="Times New Roman" w:cs="Times New Roman"/>
          <w:sz w:val="24"/>
          <w:szCs w:val="24"/>
          <w:lang w:val="en-US"/>
        </w:rPr>
        <w:t xml:space="preserve">. [online] Available at: </w:t>
      </w:r>
      <w:hyperlink r:id="rId17" w:history="1">
        <w:r>
          <w:rPr>
            <w:rStyle w:val="Hyperlink"/>
            <w:rFonts w:ascii="Times New Roman" w:hAnsi="Times New Roman" w:cs="Times New Roman"/>
            <w:color w:val="auto"/>
            <w:sz w:val="24"/>
            <w:szCs w:val="24"/>
            <w:u w:val="none"/>
            <w:lang w:val="en-US"/>
          </w:rPr>
          <w:t>https://www.report-it.org.uk/files/ipcc_report-fiona-pilkington-leicestershire.pdf</w:t>
        </w:r>
      </w:hyperlink>
      <w:r>
        <w:rPr>
          <w:rFonts w:ascii="Times New Roman" w:hAnsi="Times New Roman" w:cs="Times New Roman"/>
          <w:sz w:val="24"/>
          <w:szCs w:val="24"/>
          <w:lang w:val="en-US"/>
        </w:rPr>
        <w:t xml:space="preserve"> [Accessed 23 Aug. 2023].</w:t>
      </w:r>
    </w:p>
    <w:p w14:paraId="385E8873"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Lambert, R. and Parsons, T. (2017). Community-Based Counterterrorism Policing: Recommendations for Practitioners. </w:t>
      </w:r>
      <w:r>
        <w:rPr>
          <w:rFonts w:ascii="Times New Roman" w:hAnsi="Times New Roman" w:cs="Times New Roman"/>
          <w:i/>
          <w:iCs/>
          <w:sz w:val="24"/>
          <w:szCs w:val="24"/>
          <w:lang w:val="en-US"/>
        </w:rPr>
        <w:t>Studies in Conflict &amp; Terrorism</w:t>
      </w:r>
      <w:r>
        <w:rPr>
          <w:rFonts w:ascii="Times New Roman" w:hAnsi="Times New Roman" w:cs="Times New Roman"/>
          <w:sz w:val="24"/>
          <w:szCs w:val="24"/>
          <w:lang w:val="en-US"/>
        </w:rPr>
        <w:t xml:space="preserve">, [online] 40(12), pp.1054–1071. </w:t>
      </w:r>
      <w:proofErr w:type="spellStart"/>
      <w:r>
        <w:rPr>
          <w:rFonts w:ascii="Times New Roman" w:hAnsi="Times New Roman" w:cs="Times New Roman"/>
          <w:sz w:val="24"/>
          <w:szCs w:val="24"/>
          <w:lang w:val="en-US"/>
        </w:rPr>
        <w:t>doi:</w:t>
      </w:r>
      <w:hyperlink r:id="rId18"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://doi.org/10.1080/1057610x.2016.1253989</w:t>
        </w:r>
      </w:hyperlink>
      <w:r>
        <w:rPr>
          <w:rFonts w:ascii="Times New Roman" w:hAnsi="Times New Roman" w:cs="Times New Roman"/>
          <w:sz w:val="24"/>
          <w:szCs w:val="24"/>
          <w:lang w:val="en-US"/>
        </w:rPr>
        <w:t>.</w:t>
      </w:r>
    </w:p>
    <w:p w14:paraId="1DA57587"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Maguire, M. and John, T. (2006). Intelligence Led Policing, Managerialism and Community Engagement: Competing Priorities and the Role of the National Intelligence Model in the UK. </w:t>
      </w:r>
      <w:r>
        <w:rPr>
          <w:rFonts w:ascii="Times New Roman" w:hAnsi="Times New Roman" w:cs="Times New Roman"/>
          <w:i/>
          <w:iCs/>
          <w:sz w:val="24"/>
          <w:szCs w:val="24"/>
          <w:lang w:val="en-US"/>
        </w:rPr>
        <w:t>Policing and Society</w:t>
      </w:r>
      <w:r>
        <w:rPr>
          <w:rFonts w:ascii="Times New Roman" w:hAnsi="Times New Roman" w:cs="Times New Roman"/>
          <w:sz w:val="24"/>
          <w:szCs w:val="24"/>
          <w:lang w:val="en-US"/>
        </w:rPr>
        <w:t xml:space="preserve">, [online] 16(1), pp.67–85. </w:t>
      </w:r>
      <w:proofErr w:type="spellStart"/>
      <w:r>
        <w:rPr>
          <w:rFonts w:ascii="Times New Roman" w:hAnsi="Times New Roman" w:cs="Times New Roman"/>
          <w:sz w:val="24"/>
          <w:szCs w:val="24"/>
          <w:lang w:val="en-US"/>
        </w:rPr>
        <w:t>doi:</w:t>
      </w:r>
      <w:hyperlink r:id="rId19"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://doi.org/10.1080/10439460500399791</w:t>
        </w:r>
      </w:hyperlink>
      <w:r>
        <w:rPr>
          <w:rFonts w:ascii="Times New Roman" w:hAnsi="Times New Roman" w:cs="Times New Roman"/>
          <w:sz w:val="24"/>
          <w:szCs w:val="24"/>
          <w:lang w:val="en-US"/>
        </w:rPr>
        <w:t>.</w:t>
      </w:r>
    </w:p>
    <w:p w14:paraId="6F9A7609"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Parmar, A. (2011). Stop and search in London: </w:t>
      </w:r>
      <w:proofErr w:type="gramStart"/>
      <w:r>
        <w:rPr>
          <w:rFonts w:ascii="Times New Roman" w:hAnsi="Times New Roman" w:cs="Times New Roman"/>
          <w:sz w:val="24"/>
          <w:szCs w:val="24"/>
          <w:lang w:val="en-US"/>
        </w:rPr>
        <w:t>counter-terrorist</w:t>
      </w:r>
      <w:proofErr w:type="gramEnd"/>
      <w:r>
        <w:rPr>
          <w:rFonts w:ascii="Times New Roman" w:hAnsi="Times New Roman" w:cs="Times New Roman"/>
          <w:sz w:val="24"/>
          <w:szCs w:val="24"/>
          <w:lang w:val="en-US"/>
        </w:rPr>
        <w:t xml:space="preserve"> or counter-productive? </w:t>
      </w:r>
      <w:r>
        <w:rPr>
          <w:rFonts w:ascii="Times New Roman" w:hAnsi="Times New Roman" w:cs="Times New Roman"/>
          <w:i/>
          <w:iCs/>
          <w:sz w:val="24"/>
          <w:szCs w:val="24"/>
          <w:lang w:val="en-US"/>
        </w:rPr>
        <w:t>Policing and Society</w:t>
      </w:r>
      <w:r>
        <w:rPr>
          <w:rFonts w:ascii="Times New Roman" w:hAnsi="Times New Roman" w:cs="Times New Roman"/>
          <w:sz w:val="24"/>
          <w:szCs w:val="24"/>
          <w:lang w:val="en-US"/>
        </w:rPr>
        <w:t xml:space="preserve">, [online] 21(4), pp.369–382. </w:t>
      </w:r>
      <w:proofErr w:type="spellStart"/>
      <w:r>
        <w:rPr>
          <w:rFonts w:ascii="Times New Roman" w:hAnsi="Times New Roman" w:cs="Times New Roman"/>
          <w:sz w:val="24"/>
          <w:szCs w:val="24"/>
          <w:lang w:val="en-US"/>
        </w:rPr>
        <w:t>doi:</w:t>
      </w:r>
      <w:hyperlink r:id="rId20"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://doi.org/10.1080/10439463.2011.617984</w:t>
        </w:r>
      </w:hyperlink>
      <w:r>
        <w:rPr>
          <w:rFonts w:ascii="Times New Roman" w:hAnsi="Times New Roman" w:cs="Times New Roman"/>
          <w:sz w:val="24"/>
          <w:szCs w:val="24"/>
          <w:lang w:val="en-US"/>
        </w:rPr>
        <w:t>.</w:t>
      </w:r>
    </w:p>
    <w:p w14:paraId="13AF27BD"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Pease, K., </w:t>
      </w:r>
      <w:proofErr w:type="spellStart"/>
      <w:r>
        <w:rPr>
          <w:rFonts w:ascii="Times New Roman" w:hAnsi="Times New Roman" w:cs="Times New Roman"/>
          <w:sz w:val="24"/>
          <w:szCs w:val="24"/>
          <w:lang w:val="en-US"/>
        </w:rPr>
        <w:t>Ignatans</w:t>
      </w:r>
      <w:proofErr w:type="spellEnd"/>
      <w:r>
        <w:rPr>
          <w:rFonts w:ascii="Times New Roman" w:hAnsi="Times New Roman" w:cs="Times New Roman"/>
          <w:sz w:val="24"/>
          <w:szCs w:val="24"/>
          <w:lang w:val="en-US"/>
        </w:rPr>
        <w:t xml:space="preserve">, D. and Batty, L. (2018). Whatever happened to repeat </w:t>
      </w:r>
      <w:proofErr w:type="spellStart"/>
      <w:r>
        <w:rPr>
          <w:rFonts w:ascii="Times New Roman" w:hAnsi="Times New Roman" w:cs="Times New Roman"/>
          <w:sz w:val="24"/>
          <w:szCs w:val="24"/>
          <w:lang w:val="en-US"/>
        </w:rPr>
        <w:t>victimisation</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Crime Prevention and Community Safety</w:t>
      </w:r>
      <w:r>
        <w:rPr>
          <w:rFonts w:ascii="Times New Roman" w:hAnsi="Times New Roman" w:cs="Times New Roman"/>
          <w:sz w:val="24"/>
          <w:szCs w:val="24"/>
          <w:lang w:val="en-US"/>
        </w:rPr>
        <w:t xml:space="preserve">, [online] 20(4), pp.256–267. </w:t>
      </w:r>
      <w:proofErr w:type="spellStart"/>
      <w:r>
        <w:rPr>
          <w:rFonts w:ascii="Times New Roman" w:hAnsi="Times New Roman" w:cs="Times New Roman"/>
          <w:sz w:val="24"/>
          <w:szCs w:val="24"/>
          <w:lang w:val="en-US"/>
        </w:rPr>
        <w:t>doi:</w:t>
      </w:r>
      <w:hyperlink r:id="rId21"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://doi.org/10.1057/s41300-018-0051-x</w:t>
        </w:r>
      </w:hyperlink>
      <w:r>
        <w:rPr>
          <w:rFonts w:ascii="Times New Roman" w:hAnsi="Times New Roman" w:cs="Times New Roman"/>
          <w:sz w:val="24"/>
          <w:szCs w:val="24"/>
          <w:lang w:val="en-US"/>
        </w:rPr>
        <w:t>.</w:t>
      </w:r>
    </w:p>
    <w:p w14:paraId="419449DD"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Pickering, S., McCulloch, J. and Wright-Neville, D. (2008). Counter-terrorism policing: towards social cohesion. </w:t>
      </w:r>
      <w:r>
        <w:rPr>
          <w:rFonts w:ascii="Times New Roman" w:hAnsi="Times New Roman" w:cs="Times New Roman"/>
          <w:i/>
          <w:iCs/>
          <w:sz w:val="24"/>
          <w:szCs w:val="24"/>
          <w:lang w:val="en-US"/>
        </w:rPr>
        <w:t xml:space="preserve">Crime, </w:t>
      </w:r>
      <w:proofErr w:type="gramStart"/>
      <w:r>
        <w:rPr>
          <w:rFonts w:ascii="Times New Roman" w:hAnsi="Times New Roman" w:cs="Times New Roman"/>
          <w:i/>
          <w:iCs/>
          <w:sz w:val="24"/>
          <w:szCs w:val="24"/>
          <w:lang w:val="en-US"/>
        </w:rPr>
        <w:t>Law</w:t>
      </w:r>
      <w:proofErr w:type="gramEnd"/>
      <w:r>
        <w:rPr>
          <w:rFonts w:ascii="Times New Roman" w:hAnsi="Times New Roman" w:cs="Times New Roman"/>
          <w:i/>
          <w:iCs/>
          <w:sz w:val="24"/>
          <w:szCs w:val="24"/>
          <w:lang w:val="en-US"/>
        </w:rPr>
        <w:t xml:space="preserve"> and Social Change</w:t>
      </w:r>
      <w:r>
        <w:rPr>
          <w:rFonts w:ascii="Times New Roman" w:hAnsi="Times New Roman" w:cs="Times New Roman"/>
          <w:sz w:val="24"/>
          <w:szCs w:val="24"/>
          <w:lang w:val="en-US"/>
        </w:rPr>
        <w:t xml:space="preserve">, [online] 50(1-2), pp.91–109. </w:t>
      </w:r>
      <w:proofErr w:type="spellStart"/>
      <w:r>
        <w:rPr>
          <w:rFonts w:ascii="Times New Roman" w:hAnsi="Times New Roman" w:cs="Times New Roman"/>
          <w:sz w:val="24"/>
          <w:szCs w:val="24"/>
          <w:lang w:val="en-US"/>
        </w:rPr>
        <w:t>doi:</w:t>
      </w:r>
      <w:hyperlink r:id="rId22"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://doi.org/10.1007/s10611-008-9119-3</w:t>
        </w:r>
      </w:hyperlink>
      <w:r>
        <w:rPr>
          <w:rFonts w:ascii="Times New Roman" w:hAnsi="Times New Roman" w:cs="Times New Roman"/>
          <w:sz w:val="24"/>
          <w:szCs w:val="24"/>
          <w:lang w:val="en-US"/>
        </w:rPr>
        <w:t>.</w:t>
      </w:r>
    </w:p>
    <w:p w14:paraId="70E272B5"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.17, 24 (2) [online] Available at: </w:t>
      </w:r>
      <w:hyperlink r:id="rId23" w:history="1">
        <w:r>
          <w:rPr>
            <w:rStyle w:val="Hyperlink"/>
            <w:rFonts w:ascii="Times New Roman" w:hAnsi="Times New Roman" w:cs="Times New Roman"/>
            <w:color w:val="auto"/>
            <w:sz w:val="24"/>
            <w:szCs w:val="24"/>
            <w:u w:val="none"/>
            <w:lang w:val="en-US"/>
          </w:rPr>
          <w:t>https://www.legislation.gov.uk/ukpga/1984/60/contents</w:t>
        </w:r>
      </w:hyperlink>
      <w:r>
        <w:rPr>
          <w:rFonts w:ascii="Times New Roman" w:hAnsi="Times New Roman" w:cs="Times New Roman"/>
          <w:sz w:val="24"/>
          <w:szCs w:val="24"/>
          <w:lang w:val="en-US"/>
        </w:rPr>
        <w:t xml:space="preserve"> [Accessed 15 Jul. 2023].</w:t>
      </w:r>
    </w:p>
    <w:p w14:paraId="3A577846"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Ratcliffe, J. (2002). Intelligence-led policing and the problems of turning rhetoric into practice. </w:t>
      </w:r>
      <w:r>
        <w:rPr>
          <w:rFonts w:ascii="Times New Roman" w:hAnsi="Times New Roman" w:cs="Times New Roman"/>
          <w:i/>
          <w:iCs/>
          <w:sz w:val="24"/>
          <w:szCs w:val="24"/>
          <w:lang w:val="en-US"/>
        </w:rPr>
        <w:t>Policing and Society</w:t>
      </w:r>
      <w:r>
        <w:rPr>
          <w:rFonts w:ascii="Times New Roman" w:hAnsi="Times New Roman" w:cs="Times New Roman"/>
          <w:sz w:val="24"/>
          <w:szCs w:val="24"/>
          <w:lang w:val="en-US"/>
        </w:rPr>
        <w:t xml:space="preserve">, [online] 12(1), pp.53–66. </w:t>
      </w:r>
      <w:proofErr w:type="spellStart"/>
      <w:r>
        <w:rPr>
          <w:rFonts w:ascii="Times New Roman" w:hAnsi="Times New Roman" w:cs="Times New Roman"/>
          <w:sz w:val="24"/>
          <w:szCs w:val="24"/>
          <w:lang w:val="en-US"/>
        </w:rPr>
        <w:t>doi:</w:t>
      </w:r>
      <w:hyperlink r:id="rId24"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://doi.org/10.1080/10439460290006673</w:t>
        </w:r>
      </w:hyperlink>
      <w:r>
        <w:rPr>
          <w:rFonts w:ascii="Times New Roman" w:hAnsi="Times New Roman" w:cs="Times New Roman"/>
          <w:sz w:val="24"/>
          <w:szCs w:val="24"/>
          <w:lang w:val="en-US"/>
        </w:rPr>
        <w:t>.</w:t>
      </w:r>
    </w:p>
    <w:p w14:paraId="48ADEC45"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Sheptycki</w:t>
      </w:r>
      <w:proofErr w:type="spellEnd"/>
      <w:r>
        <w:rPr>
          <w:rFonts w:ascii="Times New Roman" w:hAnsi="Times New Roman" w:cs="Times New Roman"/>
          <w:sz w:val="24"/>
          <w:szCs w:val="24"/>
          <w:lang w:val="en-US"/>
        </w:rPr>
        <w:t xml:space="preserve">, J. (2004). Organizational Pathologies in Police Intelligence Systems. </w:t>
      </w:r>
      <w:r>
        <w:rPr>
          <w:rFonts w:ascii="Times New Roman" w:hAnsi="Times New Roman" w:cs="Times New Roman"/>
          <w:i/>
          <w:iCs/>
          <w:sz w:val="24"/>
          <w:szCs w:val="24"/>
          <w:lang w:val="en-US"/>
        </w:rPr>
        <w:t>European Journal of Criminology</w:t>
      </w:r>
      <w:r>
        <w:rPr>
          <w:rFonts w:ascii="Times New Roman" w:hAnsi="Times New Roman" w:cs="Times New Roman"/>
          <w:sz w:val="24"/>
          <w:szCs w:val="24"/>
          <w:lang w:val="en-US"/>
        </w:rPr>
        <w:t xml:space="preserve">, [online] 1(3), pp.307–332. </w:t>
      </w:r>
      <w:proofErr w:type="spellStart"/>
      <w:r>
        <w:rPr>
          <w:rFonts w:ascii="Times New Roman" w:hAnsi="Times New Roman" w:cs="Times New Roman"/>
          <w:sz w:val="24"/>
          <w:szCs w:val="24"/>
          <w:lang w:val="en-US"/>
        </w:rPr>
        <w:t>doi:</w:t>
      </w:r>
      <w:hyperlink r:id="rId25" w:history="1">
        <w:r>
          <w:rPr>
            <w:rStyle w:val="Hyperlink"/>
            <w:rFonts w:ascii="Times New Roman" w:hAnsi="Times New Roman" w:cs="Times New Roman"/>
            <w:color w:val="auto"/>
            <w:sz w:val="24"/>
            <w:szCs w:val="24"/>
            <w:u w:val="none"/>
            <w:lang w:val="en-US"/>
          </w:rPr>
          <w:t>https</w:t>
        </w:r>
        <w:proofErr w:type="spellEnd"/>
        <w:r>
          <w:rPr>
            <w:rStyle w:val="Hyperlink"/>
            <w:rFonts w:ascii="Times New Roman" w:hAnsi="Times New Roman" w:cs="Times New Roman"/>
            <w:color w:val="auto"/>
            <w:sz w:val="24"/>
            <w:szCs w:val="24"/>
            <w:u w:val="none"/>
            <w:lang w:val="en-US"/>
          </w:rPr>
          <w:t>://doi.org/10.1177/1477370804044005</w:t>
        </w:r>
      </w:hyperlink>
      <w:r>
        <w:rPr>
          <w:rFonts w:ascii="Times New Roman" w:hAnsi="Times New Roman" w:cs="Times New Roman"/>
          <w:sz w:val="24"/>
          <w:szCs w:val="24"/>
          <w:lang w:val="en-US"/>
        </w:rPr>
        <w:t>.</w:t>
      </w:r>
    </w:p>
    <w:p w14:paraId="534E00E9"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Terrorism Act 2000</w:t>
      </w:r>
      <w:r>
        <w:rPr>
          <w:rFonts w:ascii="Times New Roman" w:hAnsi="Times New Roman" w:cs="Times New Roman"/>
          <w:sz w:val="24"/>
          <w:szCs w:val="24"/>
          <w:lang w:val="en-US"/>
        </w:rPr>
        <w:t xml:space="preserve">.4 [online] Available at: </w:t>
      </w:r>
      <w:hyperlink r:id="rId26" w:history="1">
        <w:r>
          <w:rPr>
            <w:rStyle w:val="Hyperlink"/>
            <w:rFonts w:ascii="Times New Roman" w:hAnsi="Times New Roman" w:cs="Times New Roman"/>
            <w:color w:val="auto"/>
            <w:sz w:val="24"/>
            <w:szCs w:val="24"/>
            <w:u w:val="none"/>
            <w:lang w:val="en-US"/>
          </w:rPr>
          <w:t>https://www.legislation.gov.uk/ukpga/2000/11/schedule/16</w:t>
        </w:r>
      </w:hyperlink>
      <w:r>
        <w:rPr>
          <w:rFonts w:ascii="Times New Roman" w:hAnsi="Times New Roman" w:cs="Times New Roman"/>
          <w:sz w:val="24"/>
          <w:szCs w:val="24"/>
          <w:lang w:val="en-US"/>
        </w:rPr>
        <w:t xml:space="preserve"> [Accessed 29 Jul. 2023].</w:t>
      </w:r>
    </w:p>
    <w:p w14:paraId="7285CF6C"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Terrorism Act 2006</w:t>
      </w:r>
      <w:r>
        <w:rPr>
          <w:rFonts w:ascii="Times New Roman" w:hAnsi="Times New Roman" w:cs="Times New Roman"/>
          <w:sz w:val="24"/>
          <w:szCs w:val="24"/>
          <w:lang w:val="en-US"/>
        </w:rPr>
        <w:t xml:space="preserve">.1 [online] Available at: </w:t>
      </w:r>
      <w:hyperlink r:id="rId27" w:history="1">
        <w:r>
          <w:rPr>
            <w:rStyle w:val="Hyperlink"/>
            <w:rFonts w:ascii="Times New Roman" w:hAnsi="Times New Roman" w:cs="Times New Roman"/>
            <w:color w:val="auto"/>
            <w:sz w:val="24"/>
            <w:szCs w:val="24"/>
            <w:u w:val="none"/>
            <w:lang w:val="en-US"/>
          </w:rPr>
          <w:t>https://www.legislation.gov.uk/ukpga/2006/11/contents</w:t>
        </w:r>
      </w:hyperlink>
      <w:r>
        <w:rPr>
          <w:rFonts w:ascii="Times New Roman" w:hAnsi="Times New Roman" w:cs="Times New Roman"/>
          <w:sz w:val="24"/>
          <w:szCs w:val="24"/>
          <w:lang w:val="en-US"/>
        </w:rPr>
        <w:t xml:space="preserve"> [Accessed 24 Jul. 2023].</w:t>
      </w:r>
    </w:p>
    <w:p w14:paraId="127347D7"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Wood, D., Bradshaw, S., Dickens, T., Parker-McLeod, J., Simpson, F. and Weaver, G. (2022). </w:t>
      </w:r>
      <w:r>
        <w:rPr>
          <w:rFonts w:ascii="Times New Roman" w:hAnsi="Times New Roman" w:cs="Times New Roman"/>
          <w:i/>
          <w:iCs/>
          <w:sz w:val="24"/>
          <w:szCs w:val="24"/>
          <w:lang w:val="en-US"/>
        </w:rPr>
        <w:t xml:space="preserve">Blackstone’s Handbook </w:t>
      </w:r>
      <w:proofErr w:type="gramStart"/>
      <w:r>
        <w:rPr>
          <w:rFonts w:ascii="Times New Roman" w:hAnsi="Times New Roman" w:cs="Times New Roman"/>
          <w:i/>
          <w:iCs/>
          <w:sz w:val="24"/>
          <w:szCs w:val="24"/>
          <w:lang w:val="en-US"/>
        </w:rPr>
        <w:t>For</w:t>
      </w:r>
      <w:proofErr w:type="gramEnd"/>
      <w:r>
        <w:rPr>
          <w:rFonts w:ascii="Times New Roman" w:hAnsi="Times New Roman" w:cs="Times New Roman"/>
          <w:i/>
          <w:iCs/>
          <w:sz w:val="24"/>
          <w:szCs w:val="24"/>
          <w:lang w:val="en-US"/>
        </w:rPr>
        <w:t xml:space="preserve"> Policing Students 2023.</w:t>
      </w:r>
      <w:r>
        <w:rPr>
          <w:rFonts w:ascii="Times New Roman" w:hAnsi="Times New Roman" w:cs="Times New Roman"/>
          <w:sz w:val="24"/>
          <w:szCs w:val="24"/>
          <w:lang w:val="en-US"/>
        </w:rPr>
        <w:t xml:space="preserve"> S.L.: Oxford Univ Press.</w:t>
      </w:r>
    </w:p>
    <w:p w14:paraId="6B97C245" w14:textId="77777777" w:rsidR="00726AB7" w:rsidRDefault="00726AB7" w:rsidP="00726AB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Wortley, R. and </w:t>
      </w:r>
      <w:proofErr w:type="spellStart"/>
      <w:r>
        <w:rPr>
          <w:rFonts w:ascii="Times New Roman" w:hAnsi="Times New Roman" w:cs="Times New Roman"/>
          <w:sz w:val="24"/>
          <w:szCs w:val="24"/>
          <w:lang w:val="en-US"/>
        </w:rPr>
        <w:t>Townsley</w:t>
      </w:r>
      <w:proofErr w:type="spellEnd"/>
      <w:r>
        <w:rPr>
          <w:rFonts w:ascii="Times New Roman" w:hAnsi="Times New Roman" w:cs="Times New Roman"/>
          <w:sz w:val="24"/>
          <w:szCs w:val="24"/>
          <w:lang w:val="en-US"/>
        </w:rPr>
        <w:t xml:space="preserve">, M. (2017). </w:t>
      </w:r>
      <w:r>
        <w:rPr>
          <w:rFonts w:ascii="Times New Roman" w:hAnsi="Times New Roman" w:cs="Times New Roman"/>
          <w:i/>
          <w:iCs/>
          <w:sz w:val="24"/>
          <w:szCs w:val="24"/>
          <w:lang w:val="en-US"/>
        </w:rPr>
        <w:t>Environmental criminology and crime analysis</w:t>
      </w:r>
      <w:r>
        <w:rPr>
          <w:rFonts w:ascii="Times New Roman" w:hAnsi="Times New Roman" w:cs="Times New Roman"/>
          <w:sz w:val="24"/>
          <w:szCs w:val="24"/>
          <w:lang w:val="en-US"/>
        </w:rPr>
        <w:t xml:space="preserve">. Abingdon, </w:t>
      </w:r>
      <w:proofErr w:type="gramStart"/>
      <w:r>
        <w:rPr>
          <w:rFonts w:ascii="Times New Roman" w:hAnsi="Times New Roman" w:cs="Times New Roman"/>
          <w:sz w:val="24"/>
          <w:szCs w:val="24"/>
          <w:lang w:val="en-US"/>
        </w:rPr>
        <w:t>Oxon ;</w:t>
      </w:r>
      <w:proofErr w:type="gramEnd"/>
      <w:r>
        <w:rPr>
          <w:rFonts w:ascii="Times New Roman" w:hAnsi="Times New Roman" w:cs="Times New Roman"/>
          <w:sz w:val="24"/>
          <w:szCs w:val="24"/>
          <w:lang w:val="en-US"/>
        </w:rPr>
        <w:t xml:space="preserve"> New York, Ny: Routledge, An Imprint Of The Taylor &amp; Francis Group.</w:t>
      </w:r>
    </w:p>
    <w:p w14:paraId="369F19AF" w14:textId="77777777" w:rsidR="00726AB7" w:rsidRDefault="00726AB7"/>
    <w:sectPr w:rsidR="00726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AB7"/>
    <w:rsid w:val="00726AB7"/>
    <w:rsid w:val="00A53B04"/>
    <w:rsid w:val="00B32AD2"/>
    <w:rsid w:val="00D83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5065B"/>
  <w15:chartTrackingRefBased/>
  <w15:docId w15:val="{49AB86A5-46D6-497A-AE5B-61EA2EACF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AB7"/>
    <w:pPr>
      <w:spacing w:after="0" w:line="276" w:lineRule="auto"/>
    </w:pPr>
    <w:rPr>
      <w:rFonts w:ascii="Arial" w:eastAsia="Arial" w:hAnsi="Arial" w:cs="Arial"/>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26A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565783">
      <w:bodyDiv w:val="1"/>
      <w:marLeft w:val="0"/>
      <w:marRight w:val="0"/>
      <w:marTop w:val="0"/>
      <w:marBottom w:val="0"/>
      <w:divBdr>
        <w:top w:val="none" w:sz="0" w:space="0" w:color="auto"/>
        <w:left w:val="none" w:sz="0" w:space="0" w:color="auto"/>
        <w:bottom w:val="none" w:sz="0" w:space="0" w:color="auto"/>
        <w:right w:val="none" w:sz="0" w:space="0" w:color="auto"/>
      </w:divBdr>
    </w:div>
    <w:div w:id="862942952">
      <w:bodyDiv w:val="1"/>
      <w:marLeft w:val="0"/>
      <w:marRight w:val="0"/>
      <w:marTop w:val="0"/>
      <w:marBottom w:val="0"/>
      <w:divBdr>
        <w:top w:val="none" w:sz="0" w:space="0" w:color="auto"/>
        <w:left w:val="none" w:sz="0" w:space="0" w:color="auto"/>
        <w:bottom w:val="none" w:sz="0" w:space="0" w:color="auto"/>
        <w:right w:val="none" w:sz="0" w:space="0" w:color="auto"/>
      </w:divBdr>
    </w:div>
    <w:div w:id="168736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975800200900204" TargetMode="External"/><Relationship Id="rId13" Type="http://schemas.openxmlformats.org/officeDocument/2006/relationships/hyperlink" Target="https://doi.org/10.2174/1874917801508010036" TargetMode="External"/><Relationship Id="rId18" Type="http://schemas.openxmlformats.org/officeDocument/2006/relationships/hyperlink" Target="https://doi.org/10.1080/1057610x.2016.1253989" TargetMode="External"/><Relationship Id="rId26" Type="http://schemas.openxmlformats.org/officeDocument/2006/relationships/hyperlink" Target="https://www.legislation.gov.uk/ukpga/2000/11/schedule/16" TargetMode="External"/><Relationship Id="rId3" Type="http://schemas.openxmlformats.org/officeDocument/2006/relationships/webSettings" Target="webSettings.xml"/><Relationship Id="rId21" Type="http://schemas.openxmlformats.org/officeDocument/2006/relationships/hyperlink" Target="https://doi.org/10.1057/s41300-018-0051-x" TargetMode="External"/><Relationship Id="rId7" Type="http://schemas.openxmlformats.org/officeDocument/2006/relationships/hyperlink" Target="https://doi.org/10.1111/1471-3802.12112" TargetMode="External"/><Relationship Id="rId12" Type="http://schemas.openxmlformats.org/officeDocument/2006/relationships/hyperlink" Target="https://www.counterterrorism.police.uk/" TargetMode="External"/><Relationship Id="rId17" Type="http://schemas.openxmlformats.org/officeDocument/2006/relationships/hyperlink" Target="https://www.report-it.org.uk/files/ipcc_report-fiona-pilkington-leicestershire.pdf" TargetMode="External"/><Relationship Id="rId25" Type="http://schemas.openxmlformats.org/officeDocument/2006/relationships/hyperlink" Target="https://doi.org/10.1177/1477370804044005" TargetMode="External"/><Relationship Id="rId2" Type="http://schemas.openxmlformats.org/officeDocument/2006/relationships/settings" Target="settings.xml"/><Relationship Id="rId16" Type="http://schemas.openxmlformats.org/officeDocument/2006/relationships/hyperlink" Target="https://doi.org/10.1177/0002716206287118" TargetMode="External"/><Relationship Id="rId20" Type="http://schemas.openxmlformats.org/officeDocument/2006/relationships/hyperlink" Target="https://doi.org/10.1080/10439463.2011.617984"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111/j.1468-2346.2010.00923.x" TargetMode="External"/><Relationship Id="rId11" Type="http://schemas.openxmlformats.org/officeDocument/2006/relationships/hyperlink" Target="https://doi.org/10.1093/bjc/44.2.188" TargetMode="External"/><Relationship Id="rId24" Type="http://schemas.openxmlformats.org/officeDocument/2006/relationships/hyperlink" Target="https://doi.org/10.1080/10439460290006673" TargetMode="External"/><Relationship Id="rId5" Type="http://schemas.openxmlformats.org/officeDocument/2006/relationships/hyperlink" Target="https://doi.org/10.1007/s41887-021-00068-1" TargetMode="External"/><Relationship Id="rId15" Type="http://schemas.openxmlformats.org/officeDocument/2006/relationships/hyperlink" Target="https://www.justiceinspectorates.gov.uk/hmicfrs/glossary/national-intelligence-model/" TargetMode="External"/><Relationship Id="rId23" Type="http://schemas.openxmlformats.org/officeDocument/2006/relationships/hyperlink" Target="https://www.legislation.gov.uk/ukpga/1984/60/contents" TargetMode="External"/><Relationship Id="rId28" Type="http://schemas.openxmlformats.org/officeDocument/2006/relationships/fontTable" Target="fontTable.xml"/><Relationship Id="rId10" Type="http://schemas.openxmlformats.org/officeDocument/2006/relationships/hyperlink" Target="https://www.college.police.uk/ethics/code-of-ethics" TargetMode="External"/><Relationship Id="rId19" Type="http://schemas.openxmlformats.org/officeDocument/2006/relationships/hyperlink" Target="https://doi.org/10.1080/10439460500399791" TargetMode="External"/><Relationship Id="rId4" Type="http://schemas.openxmlformats.org/officeDocument/2006/relationships/hyperlink" Target="https://www.legislation.gov.uk/ukpga/2014/12/contents/enacted" TargetMode="External"/><Relationship Id="rId9" Type="http://schemas.openxmlformats.org/officeDocument/2006/relationships/hyperlink" Target="https://www.college.police.uk/app/national-decision-model/national-decision-model" TargetMode="External"/><Relationship Id="rId14" Type="http://schemas.openxmlformats.org/officeDocument/2006/relationships/hyperlink" Target="https://doi.org/10.1080/10439463.2000.9964822" TargetMode="External"/><Relationship Id="rId22" Type="http://schemas.openxmlformats.org/officeDocument/2006/relationships/hyperlink" Target="https://doi.org/10.1007/s10611-008-9119-3" TargetMode="External"/><Relationship Id="rId27" Type="http://schemas.openxmlformats.org/officeDocument/2006/relationships/hyperlink" Target="https://www.legislation.gov.uk/ukpga/2006/1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5028</Words>
  <Characters>28663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Rowland,Aled swp8182</dc:creator>
  <cp:keywords/>
  <dc:description/>
  <cp:lastModifiedBy>Rowland,Aled swp8182</cp:lastModifiedBy>
  <cp:revision>1</cp:revision>
  <dcterms:created xsi:type="dcterms:W3CDTF">2023-09-05T22:27:00Z</dcterms:created>
  <dcterms:modified xsi:type="dcterms:W3CDTF">2023-09-05T22:52:00Z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2023-09-05T22:52:53Z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7cb4db04-4bda-425e-af0c-a7cc13e1e34e</vt:lpwstr>
  </property>
  <property fmtid="{D5CDD505-2E9C-101B-9397-08002B2CF9AE}" pid="8" name="MSIP_Label_66cf8fe5-b7b7-4df7-b38d-1c61ac2f6639_ContentBits">
    <vt:lpwstr>0</vt:lpwstr>
  </property>
</Properties>
</file>