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5085024"/>
        <w:docPartObj>
          <w:docPartGallery w:val="Cover Pages"/>
          <w:docPartUnique/>
        </w:docPartObj>
      </w:sdtPr>
      <w:sdtContent>
        <w:p w14:paraId="76B4528D" w14:textId="78FD50D8" w:rsidR="00437E9C" w:rsidRDefault="00635062">
          <w:r>
            <w:rPr>
              <w:noProof/>
            </w:rPr>
            <mc:AlternateContent>
              <mc:Choice Requires="wps">
                <w:drawing>
                  <wp:anchor distT="0" distB="0" distL="114300" distR="114300" simplePos="0" relativeHeight="251664384" behindDoc="0" locked="0" layoutInCell="1" allowOverlap="1" wp14:anchorId="1C8D066C" wp14:editId="196C4427">
                    <wp:simplePos x="0" y="0"/>
                    <wp:positionH relativeFrom="page">
                      <wp:posOffset>285860</wp:posOffset>
                    </wp:positionH>
                    <wp:positionV relativeFrom="page">
                      <wp:posOffset>8260798</wp:posOffset>
                    </wp:positionV>
                    <wp:extent cx="7315200" cy="100965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1C934" w14:textId="52C93E11" w:rsidR="00635062" w:rsidRDefault="00635062" w:rsidP="00635062">
                                <w:pPr>
                                  <w:pStyle w:val="NoSpacing"/>
                                  <w:jc w:val="right"/>
                                  <w:rPr>
                                    <w:color w:val="4472C4" w:themeColor="accent1"/>
                                    <w:sz w:val="28"/>
                                    <w:szCs w:val="28"/>
                                  </w:rPr>
                                </w:pPr>
                                <w:r>
                                  <w:rPr>
                                    <w:color w:val="4472C4" w:themeColor="accent1"/>
                                    <w:sz w:val="28"/>
                                    <w:szCs w:val="28"/>
                                  </w:rPr>
                                  <w:t>Word Count: 1866</w:t>
                                </w:r>
                              </w:p>
                              <w:p w14:paraId="4B90C527" w14:textId="77777777" w:rsidR="00635062" w:rsidRDefault="00635062" w:rsidP="00635062">
                                <w:pPr>
                                  <w:pStyle w:val="NoSpacing"/>
                                  <w:jc w:val="right"/>
                                  <w:rPr>
                                    <w:color w:val="4472C4" w:themeColor="accent1"/>
                                    <w:sz w:val="28"/>
                                    <w:szCs w:val="28"/>
                                  </w:rPr>
                                </w:pPr>
                              </w:p>
                              <w:sdt>
                                <w:sdtPr>
                                  <w:rPr>
                                    <w:color w:val="595959" w:themeColor="text1" w:themeTint="A6"/>
                                    <w:sz w:val="20"/>
                                    <w:szCs w:val="20"/>
                                  </w:rPr>
                                  <w:alias w:val="Abstract"/>
                                  <w:tag w:val=""/>
                                  <w:id w:val="-445621181"/>
                                  <w:showingPlcHdr/>
                                  <w:dataBinding w:prefixMappings="xmlns:ns0='http://schemas.microsoft.com/office/2006/coverPageProps' " w:xpath="/ns0:CoverPageProperties[1]/ns0:Abstract[1]" w:storeItemID="{55AF091B-3C7A-41E3-B477-F2FDAA23CFDA}"/>
                                  <w:text w:multiLine="1"/>
                                </w:sdtPr>
                                <w:sdtContent>
                                  <w:p w14:paraId="0BE84D47" w14:textId="77777777" w:rsidR="00635062" w:rsidRDefault="00635062" w:rsidP="0063506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C8D066C" id="_x0000_t202" coordsize="21600,21600" o:spt="202" path="m,l,21600r21600,l21600,xe">
                    <v:stroke joinstyle="miter"/>
                    <v:path gradientshapeok="t" o:connecttype="rect"/>
                  </v:shapetype>
                  <v:shape id="Text Box 1" o:spid="_x0000_s1026" type="#_x0000_t202" style="position:absolute;margin-left:22.5pt;margin-top:650.45pt;width:8in;height:7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" filled="f" stroked="f" strokeweight=".5pt">
                    <v:textbox style="mso-fit-shape-to-text:t" inset="126pt,0,54pt,0">
                      <w:txbxContent>
                        <w:p w14:paraId="5C01C934" w14:textId="52C93E11" w:rsidR="00635062" w:rsidRDefault="00635062" w:rsidP="00635062">
                          <w:pPr>
                            <w:pStyle w:val="NoSpacing"/>
                            <w:jc w:val="right"/>
                            <w:rPr>
                              <w:color w:val="4472C4" w:themeColor="accent1"/>
                              <w:sz w:val="28"/>
                              <w:szCs w:val="28"/>
                            </w:rPr>
                          </w:pPr>
                          <w:r>
                            <w:rPr>
                              <w:color w:val="4472C4" w:themeColor="accent1"/>
                              <w:sz w:val="28"/>
                              <w:szCs w:val="28"/>
                            </w:rPr>
                            <w:t>Word Count: 1866</w:t>
                          </w:r>
                        </w:p>
                        <w:p w14:paraId="4B90C527" w14:textId="77777777" w:rsidR="00635062" w:rsidRDefault="00635062" w:rsidP="00635062">
                          <w:pPr>
                            <w:pStyle w:val="NoSpacing"/>
                            <w:jc w:val="right"/>
                            <w:rPr>
                              <w:color w:val="4472C4" w:themeColor="accent1"/>
                              <w:sz w:val="28"/>
                              <w:szCs w:val="28"/>
                            </w:rPr>
                          </w:pPr>
                        </w:p>
                        <w:sdt>
                          <w:sdtPr>
                            <w:rPr>
                              <w:color w:val="595959" w:themeColor="text1" w:themeTint="A6"/>
                              <w:sz w:val="20"/>
                              <w:szCs w:val="20"/>
                            </w:rPr>
                            <w:alias w:val="Abstract"/>
                            <w:tag w:val=""/>
                            <w:id w:val="-445621181"/>
                            <w:showingPlcHdr/>
                            <w:dataBinding w:prefixMappings="xmlns:ns0='http://schemas.microsoft.com/office/2006/coverPageProps' " w:xpath="/ns0:CoverPageProperties[1]/ns0:Abstract[1]" w:storeItemID="{55AF091B-3C7A-41E3-B477-F2FDAA23CFDA}"/>
                            <w:text w:multiLine="1"/>
                          </w:sdtPr>
                          <w:sdtContent>
                            <w:p w14:paraId="0BE84D47" w14:textId="77777777" w:rsidR="00635062" w:rsidRDefault="00635062" w:rsidP="0063506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437E9C">
            <w:rPr>
              <w:noProof/>
            </w:rPr>
            <mc:AlternateContent>
              <mc:Choice Requires="wpg">
                <w:drawing>
                  <wp:anchor distT="0" distB="0" distL="114300" distR="114300" simplePos="0" relativeHeight="251662336" behindDoc="0" locked="0" layoutInCell="1" allowOverlap="1" wp14:anchorId="7ECFF35D" wp14:editId="0AB838A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6721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437E9C">
            <w:rPr>
              <w:noProof/>
            </w:rPr>
            <mc:AlternateContent>
              <mc:Choice Requires="wps">
                <w:drawing>
                  <wp:anchor distT="0" distB="0" distL="114300" distR="114300" simplePos="0" relativeHeight="251660288" behindDoc="0" locked="0" layoutInCell="1" allowOverlap="1" wp14:anchorId="586196D0" wp14:editId="32E37BF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47FE25" w14:textId="740DF32F" w:rsidR="00437E9C" w:rsidRDefault="00437E9C">
                                    <w:pPr>
                                      <w:pStyle w:val="NoSpacing"/>
                                      <w:jc w:val="right"/>
                                      <w:rPr>
                                        <w:color w:val="595959" w:themeColor="text1" w:themeTint="A6"/>
                                        <w:sz w:val="28"/>
                                        <w:szCs w:val="28"/>
                                      </w:rPr>
                                    </w:pPr>
                                    <w:r>
                                      <w:rPr>
                                        <w:color w:val="595959" w:themeColor="text1" w:themeTint="A6"/>
                                        <w:sz w:val="28"/>
                                        <w:szCs w:val="28"/>
                                      </w:rPr>
                                      <w:t>Luke Hunt</w:t>
                                    </w:r>
                                  </w:p>
                                </w:sdtContent>
                              </w:sdt>
                              <w:p w14:paraId="72EDC607" w14:textId="657B7B4C" w:rsidR="00437E9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37E9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86196D0"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47FE25" w14:textId="740DF32F" w:rsidR="00437E9C" w:rsidRDefault="00437E9C">
                              <w:pPr>
                                <w:pStyle w:val="NoSpacing"/>
                                <w:jc w:val="right"/>
                                <w:rPr>
                                  <w:color w:val="595959" w:themeColor="text1" w:themeTint="A6"/>
                                  <w:sz w:val="28"/>
                                  <w:szCs w:val="28"/>
                                </w:rPr>
                              </w:pPr>
                              <w:r>
                                <w:rPr>
                                  <w:color w:val="595959" w:themeColor="text1" w:themeTint="A6"/>
                                  <w:sz w:val="28"/>
                                  <w:szCs w:val="28"/>
                                </w:rPr>
                                <w:t>Luke Hunt</w:t>
                              </w:r>
                            </w:p>
                          </w:sdtContent>
                        </w:sdt>
                        <w:p w14:paraId="72EDC607" w14:textId="657B7B4C" w:rsidR="00437E9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37E9C">
                                <w:rPr>
                                  <w:color w:val="595959" w:themeColor="text1" w:themeTint="A6"/>
                                  <w:sz w:val="18"/>
                                  <w:szCs w:val="18"/>
                                </w:rPr>
                                <w:t xml:space="preserve">     </w:t>
                              </w:r>
                            </w:sdtContent>
                          </w:sdt>
                        </w:p>
                      </w:txbxContent>
                    </v:textbox>
                    <w10:wrap type="square" anchorx="page" anchory="page"/>
                  </v:shape>
                </w:pict>
              </mc:Fallback>
            </mc:AlternateContent>
          </w:r>
          <w:r w:rsidR="00437E9C">
            <w:rPr>
              <w:noProof/>
            </w:rPr>
            <mc:AlternateContent>
              <mc:Choice Requires="wps">
                <w:drawing>
                  <wp:anchor distT="0" distB="0" distL="114300" distR="114300" simplePos="0" relativeHeight="251661312" behindDoc="0" locked="0" layoutInCell="1" allowOverlap="1" wp14:anchorId="5C1844E4" wp14:editId="2A17D09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4B76C5" w14:textId="060314C0" w:rsidR="00437E9C" w:rsidRDefault="00437E9C" w:rsidP="00437E9C">
                                <w:pPr>
                                  <w:pStyle w:val="NoSpacing"/>
                                  <w:jc w:val="right"/>
                                  <w:rPr>
                                    <w:color w:val="4472C4" w:themeColor="accent1"/>
                                    <w:sz w:val="28"/>
                                    <w:szCs w:val="28"/>
                                  </w:rPr>
                                </w:pPr>
                                <w:r>
                                  <w:rPr>
                                    <w:color w:val="4472C4" w:themeColor="accent1"/>
                                    <w:sz w:val="28"/>
                                    <w:szCs w:val="28"/>
                                  </w:rPr>
                                  <w:t>Prepared for:</w:t>
                                </w:r>
                              </w:p>
                              <w:p w14:paraId="1B184FEA" w14:textId="77777777" w:rsidR="00437E9C" w:rsidRDefault="00437E9C" w:rsidP="00437E9C">
                                <w:pPr>
                                  <w:pStyle w:val="NoSpacing"/>
                                  <w:jc w:val="right"/>
                                  <w:rPr>
                                    <w:color w:val="4472C4" w:themeColor="accent1"/>
                                    <w:sz w:val="28"/>
                                    <w:szCs w:val="28"/>
                                  </w:rPr>
                                </w:pPr>
                                <w:r>
                                  <w:rPr>
                                    <w:color w:val="4472C4" w:themeColor="accent1"/>
                                    <w:sz w:val="28"/>
                                    <w:szCs w:val="28"/>
                                  </w:rPr>
                                  <w:t>Lara Hopkinson</w:t>
                                </w:r>
                              </w:p>
                              <w:p w14:paraId="04CDDB73" w14:textId="0EBE9083" w:rsidR="00437E9C" w:rsidRDefault="00437E9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688C43" w14:textId="0B28AD4C" w:rsidR="00437E9C" w:rsidRDefault="00437E9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1844E4"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654B76C5" w14:textId="060314C0" w:rsidR="00437E9C" w:rsidRDefault="00437E9C" w:rsidP="00437E9C">
                          <w:pPr>
                            <w:pStyle w:val="NoSpacing"/>
                            <w:jc w:val="right"/>
                            <w:rPr>
                              <w:color w:val="4472C4" w:themeColor="accent1"/>
                              <w:sz w:val="28"/>
                              <w:szCs w:val="28"/>
                            </w:rPr>
                          </w:pPr>
                          <w:r>
                            <w:rPr>
                              <w:color w:val="4472C4" w:themeColor="accent1"/>
                              <w:sz w:val="28"/>
                              <w:szCs w:val="28"/>
                            </w:rPr>
                            <w:t>Prepared for:</w:t>
                          </w:r>
                        </w:p>
                        <w:p w14:paraId="1B184FEA" w14:textId="77777777" w:rsidR="00437E9C" w:rsidRDefault="00437E9C" w:rsidP="00437E9C">
                          <w:pPr>
                            <w:pStyle w:val="NoSpacing"/>
                            <w:jc w:val="right"/>
                            <w:rPr>
                              <w:color w:val="4472C4" w:themeColor="accent1"/>
                              <w:sz w:val="28"/>
                              <w:szCs w:val="28"/>
                            </w:rPr>
                          </w:pPr>
                          <w:r>
                            <w:rPr>
                              <w:color w:val="4472C4" w:themeColor="accent1"/>
                              <w:sz w:val="28"/>
                              <w:szCs w:val="28"/>
                            </w:rPr>
                            <w:t>Lara Hopkinson</w:t>
                          </w:r>
                        </w:p>
                        <w:p w14:paraId="04CDDB73" w14:textId="0EBE9083" w:rsidR="00437E9C" w:rsidRDefault="00437E9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8688C43" w14:textId="0B28AD4C" w:rsidR="00437E9C" w:rsidRDefault="00437E9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437E9C">
            <w:rPr>
              <w:noProof/>
            </w:rPr>
            <mc:AlternateContent>
              <mc:Choice Requires="wps">
                <w:drawing>
                  <wp:anchor distT="0" distB="0" distL="114300" distR="114300" simplePos="0" relativeHeight="251659264" behindDoc="0" locked="0" layoutInCell="1" allowOverlap="1" wp14:anchorId="6EA94089" wp14:editId="6E1DBD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040476" w14:textId="2E4684F5" w:rsidR="00437E9C" w:rsidRDefault="00000000">
                                <w:pPr>
                                  <w:jc w:val="right"/>
                                  <w:rPr>
                                    <w:color w:val="4472C4" w:themeColor="accent1"/>
                                    <w:sz w:val="64"/>
                                    <w:szCs w:val="64"/>
                                  </w:rPr>
                                </w:pPr>
                                <w:sdt>
                                  <w:sdtPr>
                                    <w:rPr>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37E9C" w:rsidRPr="00437E9C">
                                      <w:rPr>
                                        <w:color w:val="4472C4" w:themeColor="accent1"/>
                                        <w:sz w:val="72"/>
                                        <w:szCs w:val="72"/>
                                      </w:rPr>
                                      <w:t>NEGLIGENCE IN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2C10CA" w14:textId="74F0E977" w:rsidR="00437E9C" w:rsidRDefault="00437E9C">
                                    <w:pPr>
                                      <w:jc w:val="right"/>
                                      <w:rPr>
                                        <w:smallCaps/>
                                        <w:color w:val="404040" w:themeColor="text1" w:themeTint="BF"/>
                                        <w:sz w:val="36"/>
                                        <w:szCs w:val="36"/>
                                      </w:rPr>
                                    </w:pPr>
                                    <w:r w:rsidRPr="009A224A">
                                      <w:rPr>
                                        <w:color w:val="404040" w:themeColor="text1" w:themeTint="BF"/>
                                        <w:sz w:val="36"/>
                                        <w:szCs w:val="36"/>
                                      </w:rPr>
                                      <w:t>Date Completed: 2022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A94089" id="Text Box 154" o:spid="_x0000_s1029"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CzFbgIAAEA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" filled="f" stroked="f" strokeweight=".5pt">
                    <v:textbox inset="126pt,0,54pt,0">
                      <w:txbxContent>
                        <w:p w14:paraId="7A040476" w14:textId="2E4684F5" w:rsidR="00437E9C" w:rsidRDefault="00000000">
                          <w:pPr>
                            <w:jc w:val="right"/>
                            <w:rPr>
                              <w:color w:val="4472C4" w:themeColor="accent1"/>
                              <w:sz w:val="64"/>
                              <w:szCs w:val="64"/>
                            </w:rPr>
                          </w:pPr>
                          <w:sdt>
                            <w:sdtPr>
                              <w:rPr>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37E9C" w:rsidRPr="00437E9C">
                                <w:rPr>
                                  <w:color w:val="4472C4" w:themeColor="accent1"/>
                                  <w:sz w:val="72"/>
                                  <w:szCs w:val="72"/>
                                </w:rPr>
                                <w:t>NEGLIGENCE IN CONSTRUCTION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2C10CA" w14:textId="74F0E977" w:rsidR="00437E9C" w:rsidRDefault="00437E9C">
                              <w:pPr>
                                <w:jc w:val="right"/>
                                <w:rPr>
                                  <w:smallCaps/>
                                  <w:color w:val="404040" w:themeColor="text1" w:themeTint="BF"/>
                                  <w:sz w:val="36"/>
                                  <w:szCs w:val="36"/>
                                </w:rPr>
                              </w:pPr>
                              <w:r w:rsidRPr="009A224A">
                                <w:rPr>
                                  <w:color w:val="404040" w:themeColor="text1" w:themeTint="BF"/>
                                  <w:sz w:val="36"/>
                                  <w:szCs w:val="36"/>
                                </w:rPr>
                                <w:t>Date Completed: 2022</w:t>
                              </w:r>
                            </w:p>
                          </w:sdtContent>
                        </w:sdt>
                      </w:txbxContent>
                    </v:textbox>
                    <w10:wrap type="square" anchorx="page" anchory="page"/>
                  </v:shape>
                </w:pict>
              </mc:Fallback>
            </mc:AlternateContent>
          </w:r>
        </w:p>
        <w:p w14:paraId="2DC486A9" w14:textId="39EA9FB2" w:rsidR="00437E9C" w:rsidRDefault="00437E9C">
          <w:r>
            <w:br w:type="page"/>
          </w:r>
        </w:p>
      </w:sdtContent>
    </w:sdt>
    <w:sdt>
      <w:sdtPr>
        <w:rPr>
          <w:rFonts w:asciiTheme="minorHAnsi" w:eastAsiaTheme="minorHAnsi" w:hAnsiTheme="minorHAnsi" w:cstheme="minorBidi"/>
          <w:color w:val="auto"/>
          <w:sz w:val="22"/>
          <w:szCs w:val="22"/>
          <w:lang w:val="en-GB"/>
        </w:rPr>
        <w:id w:val="-1415312056"/>
        <w:docPartObj>
          <w:docPartGallery w:val="Table of Contents"/>
          <w:docPartUnique/>
        </w:docPartObj>
      </w:sdtPr>
      <w:sdtEndPr>
        <w:rPr>
          <w:b/>
          <w:bCs/>
          <w:noProof/>
        </w:rPr>
      </w:sdtEndPr>
      <w:sdtContent>
        <w:p w14:paraId="5A05A940" w14:textId="77777777" w:rsidR="00437E9C" w:rsidRDefault="00437E9C" w:rsidP="00437E9C">
          <w:pPr>
            <w:pStyle w:val="TOCHeading"/>
            <w:rPr>
              <w:b/>
              <w:bCs/>
            </w:rPr>
          </w:pPr>
          <w:r w:rsidRPr="00574ADA">
            <w:rPr>
              <w:b/>
              <w:bCs/>
            </w:rPr>
            <w:t>Table of Contents</w:t>
          </w:r>
        </w:p>
        <w:p w14:paraId="263AE035" w14:textId="77777777" w:rsidR="00437E9C" w:rsidRPr="00ED66B1" w:rsidRDefault="00437E9C" w:rsidP="00437E9C">
          <w:pPr>
            <w:rPr>
              <w:lang w:val="en-US"/>
            </w:rPr>
          </w:pPr>
        </w:p>
        <w:p w14:paraId="3BB81092" w14:textId="77777777" w:rsidR="00437E9C" w:rsidRDefault="00437E9C" w:rsidP="00437E9C">
          <w:pPr>
            <w:pStyle w:val="TOC1"/>
            <w:tabs>
              <w:tab w:val="left" w:pos="660"/>
              <w:tab w:val="right" w:leader="dot" w:pos="9016"/>
            </w:tabs>
            <w:rPr>
              <w:rFonts w:cstheme="minorBidi"/>
              <w:noProof/>
              <w:lang w:val="en-GB" w:eastAsia="en-GB"/>
            </w:rPr>
          </w:pPr>
          <w:r>
            <w:fldChar w:fldCharType="begin"/>
          </w:r>
          <w:r>
            <w:instrText xml:space="preserve"> TOC \o "1-3" \h \z \u </w:instrText>
          </w:r>
          <w:r>
            <w:fldChar w:fldCharType="separate"/>
          </w:r>
          <w:hyperlink w:anchor="_Toc120902309" w:history="1">
            <w:r w:rsidRPr="00E376D0">
              <w:rPr>
                <w:rStyle w:val="Hyperlink"/>
                <w:b/>
                <w:bCs/>
                <w:noProof/>
              </w:rPr>
              <w:t>1.0</w:t>
            </w:r>
            <w:r>
              <w:rPr>
                <w:rFonts w:cstheme="minorBidi"/>
                <w:noProof/>
                <w:lang w:val="en-GB" w:eastAsia="en-GB"/>
              </w:rPr>
              <w:tab/>
            </w:r>
            <w:r w:rsidRPr="00E376D0">
              <w:rPr>
                <w:rStyle w:val="Hyperlink"/>
                <w:b/>
                <w:bCs/>
                <w:noProof/>
              </w:rPr>
              <w:t>Introduction</w:t>
            </w:r>
            <w:r>
              <w:rPr>
                <w:noProof/>
                <w:webHidden/>
              </w:rPr>
              <w:tab/>
            </w:r>
            <w:r>
              <w:rPr>
                <w:noProof/>
                <w:webHidden/>
              </w:rPr>
              <w:fldChar w:fldCharType="begin"/>
            </w:r>
            <w:r>
              <w:rPr>
                <w:noProof/>
                <w:webHidden/>
              </w:rPr>
              <w:instrText xml:space="preserve"> PAGEREF _Toc120902309 \h </w:instrText>
            </w:r>
            <w:r>
              <w:rPr>
                <w:noProof/>
                <w:webHidden/>
              </w:rPr>
            </w:r>
            <w:r>
              <w:rPr>
                <w:noProof/>
                <w:webHidden/>
              </w:rPr>
              <w:fldChar w:fldCharType="separate"/>
            </w:r>
            <w:r>
              <w:rPr>
                <w:noProof/>
                <w:webHidden/>
              </w:rPr>
              <w:t>1</w:t>
            </w:r>
            <w:r>
              <w:rPr>
                <w:noProof/>
                <w:webHidden/>
              </w:rPr>
              <w:fldChar w:fldCharType="end"/>
            </w:r>
          </w:hyperlink>
        </w:p>
        <w:p w14:paraId="1F60772D" w14:textId="77777777" w:rsidR="00437E9C" w:rsidRDefault="00000000" w:rsidP="00437E9C">
          <w:pPr>
            <w:pStyle w:val="TOC2"/>
            <w:tabs>
              <w:tab w:val="left" w:pos="880"/>
              <w:tab w:val="right" w:leader="dot" w:pos="9016"/>
            </w:tabs>
            <w:rPr>
              <w:rFonts w:cstheme="minorBidi"/>
              <w:noProof/>
              <w:lang w:val="en-GB" w:eastAsia="en-GB"/>
            </w:rPr>
          </w:pPr>
          <w:hyperlink w:anchor="_Toc120902310" w:history="1">
            <w:r w:rsidR="00437E9C" w:rsidRPr="00E376D0">
              <w:rPr>
                <w:rStyle w:val="Hyperlink"/>
                <w:noProof/>
              </w:rPr>
              <w:t>2.1</w:t>
            </w:r>
            <w:r w:rsidR="00437E9C">
              <w:rPr>
                <w:rFonts w:cstheme="minorBidi"/>
                <w:noProof/>
                <w:lang w:val="en-GB" w:eastAsia="en-GB"/>
              </w:rPr>
              <w:tab/>
            </w:r>
            <w:r w:rsidR="00437E9C" w:rsidRPr="00E376D0">
              <w:rPr>
                <w:rStyle w:val="Hyperlink"/>
                <w:noProof/>
              </w:rPr>
              <w:t>Purpose of Study:</w:t>
            </w:r>
            <w:r w:rsidR="00437E9C">
              <w:rPr>
                <w:noProof/>
                <w:webHidden/>
              </w:rPr>
              <w:tab/>
            </w:r>
            <w:r w:rsidR="00437E9C">
              <w:rPr>
                <w:noProof/>
                <w:webHidden/>
              </w:rPr>
              <w:fldChar w:fldCharType="begin"/>
            </w:r>
            <w:r w:rsidR="00437E9C">
              <w:rPr>
                <w:noProof/>
                <w:webHidden/>
              </w:rPr>
              <w:instrText xml:space="preserve"> PAGEREF _Toc120902310 \h </w:instrText>
            </w:r>
            <w:r w:rsidR="00437E9C">
              <w:rPr>
                <w:noProof/>
                <w:webHidden/>
              </w:rPr>
            </w:r>
            <w:r w:rsidR="00437E9C">
              <w:rPr>
                <w:noProof/>
                <w:webHidden/>
              </w:rPr>
              <w:fldChar w:fldCharType="separate"/>
            </w:r>
            <w:r w:rsidR="00437E9C">
              <w:rPr>
                <w:noProof/>
                <w:webHidden/>
              </w:rPr>
              <w:t>2</w:t>
            </w:r>
            <w:r w:rsidR="00437E9C">
              <w:rPr>
                <w:noProof/>
                <w:webHidden/>
              </w:rPr>
              <w:fldChar w:fldCharType="end"/>
            </w:r>
          </w:hyperlink>
        </w:p>
        <w:p w14:paraId="52C8AD6C" w14:textId="77777777" w:rsidR="00437E9C" w:rsidRDefault="00000000" w:rsidP="00437E9C">
          <w:pPr>
            <w:pStyle w:val="TOC1"/>
            <w:tabs>
              <w:tab w:val="left" w:pos="660"/>
              <w:tab w:val="right" w:leader="dot" w:pos="9016"/>
            </w:tabs>
            <w:rPr>
              <w:rFonts w:cstheme="minorBidi"/>
              <w:noProof/>
              <w:lang w:val="en-GB" w:eastAsia="en-GB"/>
            </w:rPr>
          </w:pPr>
          <w:hyperlink w:anchor="_Toc120902311" w:history="1">
            <w:r w:rsidR="00437E9C" w:rsidRPr="00E376D0">
              <w:rPr>
                <w:rStyle w:val="Hyperlink"/>
                <w:b/>
                <w:bCs/>
                <w:noProof/>
              </w:rPr>
              <w:t>3.0</w:t>
            </w:r>
            <w:r w:rsidR="00437E9C">
              <w:rPr>
                <w:rFonts w:cstheme="minorBidi"/>
                <w:noProof/>
                <w:lang w:val="en-GB" w:eastAsia="en-GB"/>
              </w:rPr>
              <w:tab/>
            </w:r>
            <w:r w:rsidR="00437E9C" w:rsidRPr="00E376D0">
              <w:rPr>
                <w:rStyle w:val="Hyperlink"/>
                <w:b/>
                <w:bCs/>
                <w:noProof/>
              </w:rPr>
              <w:t>Findings</w:t>
            </w:r>
            <w:r w:rsidR="00437E9C">
              <w:rPr>
                <w:noProof/>
                <w:webHidden/>
              </w:rPr>
              <w:tab/>
            </w:r>
            <w:r w:rsidR="00437E9C">
              <w:rPr>
                <w:noProof/>
                <w:webHidden/>
              </w:rPr>
              <w:fldChar w:fldCharType="begin"/>
            </w:r>
            <w:r w:rsidR="00437E9C">
              <w:rPr>
                <w:noProof/>
                <w:webHidden/>
              </w:rPr>
              <w:instrText xml:space="preserve"> PAGEREF _Toc120902311 \h </w:instrText>
            </w:r>
            <w:r w:rsidR="00437E9C">
              <w:rPr>
                <w:noProof/>
                <w:webHidden/>
              </w:rPr>
            </w:r>
            <w:r w:rsidR="00437E9C">
              <w:rPr>
                <w:noProof/>
                <w:webHidden/>
              </w:rPr>
              <w:fldChar w:fldCharType="separate"/>
            </w:r>
            <w:r w:rsidR="00437E9C">
              <w:rPr>
                <w:noProof/>
                <w:webHidden/>
              </w:rPr>
              <w:t>2</w:t>
            </w:r>
            <w:r w:rsidR="00437E9C">
              <w:rPr>
                <w:noProof/>
                <w:webHidden/>
              </w:rPr>
              <w:fldChar w:fldCharType="end"/>
            </w:r>
          </w:hyperlink>
        </w:p>
        <w:p w14:paraId="77B1EB49" w14:textId="77777777" w:rsidR="00437E9C" w:rsidRDefault="00000000" w:rsidP="00437E9C">
          <w:pPr>
            <w:pStyle w:val="TOC2"/>
            <w:tabs>
              <w:tab w:val="right" w:leader="dot" w:pos="9016"/>
            </w:tabs>
            <w:rPr>
              <w:rFonts w:cstheme="minorBidi"/>
              <w:noProof/>
              <w:lang w:val="en-GB" w:eastAsia="en-GB"/>
            </w:rPr>
          </w:pPr>
          <w:hyperlink w:anchor="_Toc120902312" w:history="1">
            <w:r w:rsidR="00437E9C" w:rsidRPr="00E376D0">
              <w:rPr>
                <w:rStyle w:val="Hyperlink"/>
                <w:noProof/>
              </w:rPr>
              <w:t>3.1 – Tort of Negligence and its essential elements</w:t>
            </w:r>
            <w:r w:rsidR="00437E9C">
              <w:rPr>
                <w:noProof/>
                <w:webHidden/>
              </w:rPr>
              <w:tab/>
            </w:r>
            <w:r w:rsidR="00437E9C">
              <w:rPr>
                <w:noProof/>
                <w:webHidden/>
              </w:rPr>
              <w:fldChar w:fldCharType="begin"/>
            </w:r>
            <w:r w:rsidR="00437E9C">
              <w:rPr>
                <w:noProof/>
                <w:webHidden/>
              </w:rPr>
              <w:instrText xml:space="preserve"> PAGEREF _Toc120902312 \h </w:instrText>
            </w:r>
            <w:r w:rsidR="00437E9C">
              <w:rPr>
                <w:noProof/>
                <w:webHidden/>
              </w:rPr>
            </w:r>
            <w:r w:rsidR="00437E9C">
              <w:rPr>
                <w:noProof/>
                <w:webHidden/>
              </w:rPr>
              <w:fldChar w:fldCharType="separate"/>
            </w:r>
            <w:r w:rsidR="00437E9C">
              <w:rPr>
                <w:noProof/>
                <w:webHidden/>
              </w:rPr>
              <w:t>2</w:t>
            </w:r>
            <w:r w:rsidR="00437E9C">
              <w:rPr>
                <w:noProof/>
                <w:webHidden/>
              </w:rPr>
              <w:fldChar w:fldCharType="end"/>
            </w:r>
          </w:hyperlink>
        </w:p>
        <w:p w14:paraId="7F9C54AA" w14:textId="77777777" w:rsidR="00437E9C" w:rsidRDefault="00000000" w:rsidP="00437E9C">
          <w:pPr>
            <w:pStyle w:val="TOC2"/>
            <w:tabs>
              <w:tab w:val="right" w:leader="dot" w:pos="9016"/>
            </w:tabs>
            <w:rPr>
              <w:rFonts w:cstheme="minorBidi"/>
              <w:noProof/>
              <w:lang w:val="en-GB" w:eastAsia="en-GB"/>
            </w:rPr>
          </w:pPr>
          <w:hyperlink w:anchor="_Toc120902313" w:history="1">
            <w:r w:rsidR="00437E9C" w:rsidRPr="00E376D0">
              <w:rPr>
                <w:rStyle w:val="Hyperlink"/>
                <w:noProof/>
              </w:rPr>
              <w:t>3.2 – Importance of negligence within construction</w:t>
            </w:r>
            <w:r w:rsidR="00437E9C">
              <w:rPr>
                <w:noProof/>
                <w:webHidden/>
              </w:rPr>
              <w:tab/>
            </w:r>
            <w:r w:rsidR="00437E9C">
              <w:rPr>
                <w:noProof/>
                <w:webHidden/>
              </w:rPr>
              <w:fldChar w:fldCharType="begin"/>
            </w:r>
            <w:r w:rsidR="00437E9C">
              <w:rPr>
                <w:noProof/>
                <w:webHidden/>
              </w:rPr>
              <w:instrText xml:space="preserve"> PAGEREF _Toc120902313 \h </w:instrText>
            </w:r>
            <w:r w:rsidR="00437E9C">
              <w:rPr>
                <w:noProof/>
                <w:webHidden/>
              </w:rPr>
            </w:r>
            <w:r w:rsidR="00437E9C">
              <w:rPr>
                <w:noProof/>
                <w:webHidden/>
              </w:rPr>
              <w:fldChar w:fldCharType="separate"/>
            </w:r>
            <w:r w:rsidR="00437E9C">
              <w:rPr>
                <w:noProof/>
                <w:webHidden/>
              </w:rPr>
              <w:t>3</w:t>
            </w:r>
            <w:r w:rsidR="00437E9C">
              <w:rPr>
                <w:noProof/>
                <w:webHidden/>
              </w:rPr>
              <w:fldChar w:fldCharType="end"/>
            </w:r>
          </w:hyperlink>
        </w:p>
        <w:p w14:paraId="2B68F56B" w14:textId="77777777" w:rsidR="00437E9C" w:rsidRDefault="00000000" w:rsidP="00437E9C">
          <w:pPr>
            <w:pStyle w:val="TOC2"/>
            <w:tabs>
              <w:tab w:val="right" w:leader="dot" w:pos="9016"/>
            </w:tabs>
            <w:rPr>
              <w:rFonts w:cstheme="minorBidi"/>
              <w:noProof/>
              <w:lang w:val="en-GB" w:eastAsia="en-GB"/>
            </w:rPr>
          </w:pPr>
          <w:hyperlink w:anchor="_Toc120902314" w:history="1">
            <w:r w:rsidR="00437E9C" w:rsidRPr="00E376D0">
              <w:rPr>
                <w:rStyle w:val="Hyperlink"/>
                <w:noProof/>
              </w:rPr>
              <w:t>3.3 – Impact of adjudication</w:t>
            </w:r>
            <w:r w:rsidR="00437E9C">
              <w:rPr>
                <w:noProof/>
                <w:webHidden/>
              </w:rPr>
              <w:tab/>
            </w:r>
            <w:r w:rsidR="00437E9C">
              <w:rPr>
                <w:noProof/>
                <w:webHidden/>
              </w:rPr>
              <w:fldChar w:fldCharType="begin"/>
            </w:r>
            <w:r w:rsidR="00437E9C">
              <w:rPr>
                <w:noProof/>
                <w:webHidden/>
              </w:rPr>
              <w:instrText xml:space="preserve"> PAGEREF _Toc120902314 \h </w:instrText>
            </w:r>
            <w:r w:rsidR="00437E9C">
              <w:rPr>
                <w:noProof/>
                <w:webHidden/>
              </w:rPr>
            </w:r>
            <w:r w:rsidR="00437E9C">
              <w:rPr>
                <w:noProof/>
                <w:webHidden/>
              </w:rPr>
              <w:fldChar w:fldCharType="separate"/>
            </w:r>
            <w:r w:rsidR="00437E9C">
              <w:rPr>
                <w:noProof/>
                <w:webHidden/>
              </w:rPr>
              <w:t>4</w:t>
            </w:r>
            <w:r w:rsidR="00437E9C">
              <w:rPr>
                <w:noProof/>
                <w:webHidden/>
              </w:rPr>
              <w:fldChar w:fldCharType="end"/>
            </w:r>
          </w:hyperlink>
        </w:p>
        <w:p w14:paraId="749BE6DB" w14:textId="77777777" w:rsidR="00437E9C" w:rsidRDefault="00000000" w:rsidP="00437E9C">
          <w:pPr>
            <w:pStyle w:val="TOC1"/>
            <w:tabs>
              <w:tab w:val="left" w:pos="660"/>
              <w:tab w:val="right" w:leader="dot" w:pos="9016"/>
            </w:tabs>
            <w:rPr>
              <w:rFonts w:cstheme="minorBidi"/>
              <w:noProof/>
              <w:lang w:val="en-GB" w:eastAsia="en-GB"/>
            </w:rPr>
          </w:pPr>
          <w:hyperlink w:anchor="_Toc120902315" w:history="1">
            <w:r w:rsidR="00437E9C" w:rsidRPr="00E376D0">
              <w:rPr>
                <w:rStyle w:val="Hyperlink"/>
                <w:b/>
                <w:bCs/>
                <w:noProof/>
              </w:rPr>
              <w:t>4.0</w:t>
            </w:r>
            <w:r w:rsidR="00437E9C">
              <w:rPr>
                <w:rFonts w:cstheme="minorBidi"/>
                <w:noProof/>
                <w:lang w:val="en-GB" w:eastAsia="en-GB"/>
              </w:rPr>
              <w:tab/>
            </w:r>
            <w:r w:rsidR="00437E9C" w:rsidRPr="00E376D0">
              <w:rPr>
                <w:rStyle w:val="Hyperlink"/>
                <w:b/>
                <w:bCs/>
                <w:noProof/>
              </w:rPr>
              <w:t>Conclusion</w:t>
            </w:r>
            <w:r w:rsidR="00437E9C">
              <w:rPr>
                <w:noProof/>
                <w:webHidden/>
              </w:rPr>
              <w:tab/>
            </w:r>
            <w:r w:rsidR="00437E9C">
              <w:rPr>
                <w:noProof/>
                <w:webHidden/>
              </w:rPr>
              <w:fldChar w:fldCharType="begin"/>
            </w:r>
            <w:r w:rsidR="00437E9C">
              <w:rPr>
                <w:noProof/>
                <w:webHidden/>
              </w:rPr>
              <w:instrText xml:space="preserve"> PAGEREF _Toc120902315 \h </w:instrText>
            </w:r>
            <w:r w:rsidR="00437E9C">
              <w:rPr>
                <w:noProof/>
                <w:webHidden/>
              </w:rPr>
            </w:r>
            <w:r w:rsidR="00437E9C">
              <w:rPr>
                <w:noProof/>
                <w:webHidden/>
              </w:rPr>
              <w:fldChar w:fldCharType="separate"/>
            </w:r>
            <w:r w:rsidR="00437E9C">
              <w:rPr>
                <w:noProof/>
                <w:webHidden/>
              </w:rPr>
              <w:t>6</w:t>
            </w:r>
            <w:r w:rsidR="00437E9C">
              <w:rPr>
                <w:noProof/>
                <w:webHidden/>
              </w:rPr>
              <w:fldChar w:fldCharType="end"/>
            </w:r>
          </w:hyperlink>
        </w:p>
        <w:p w14:paraId="1BF4495C" w14:textId="77777777" w:rsidR="00437E9C" w:rsidRDefault="00000000" w:rsidP="00437E9C">
          <w:pPr>
            <w:pStyle w:val="TOC1"/>
            <w:tabs>
              <w:tab w:val="right" w:leader="dot" w:pos="9016"/>
            </w:tabs>
            <w:rPr>
              <w:rFonts w:cstheme="minorBidi"/>
              <w:noProof/>
              <w:lang w:val="en-GB" w:eastAsia="en-GB"/>
            </w:rPr>
          </w:pPr>
          <w:hyperlink w:anchor="_Toc120902316" w:history="1">
            <w:r w:rsidR="00437E9C" w:rsidRPr="00E376D0">
              <w:rPr>
                <w:rStyle w:val="Hyperlink"/>
                <w:noProof/>
              </w:rPr>
              <w:t>6.0    References</w:t>
            </w:r>
            <w:r w:rsidR="00437E9C">
              <w:rPr>
                <w:noProof/>
                <w:webHidden/>
              </w:rPr>
              <w:tab/>
            </w:r>
            <w:r w:rsidR="00437E9C">
              <w:rPr>
                <w:noProof/>
                <w:webHidden/>
              </w:rPr>
              <w:fldChar w:fldCharType="begin"/>
            </w:r>
            <w:r w:rsidR="00437E9C">
              <w:rPr>
                <w:noProof/>
                <w:webHidden/>
              </w:rPr>
              <w:instrText xml:space="preserve"> PAGEREF _Toc120902316 \h </w:instrText>
            </w:r>
            <w:r w:rsidR="00437E9C">
              <w:rPr>
                <w:noProof/>
                <w:webHidden/>
              </w:rPr>
            </w:r>
            <w:r w:rsidR="00437E9C">
              <w:rPr>
                <w:noProof/>
                <w:webHidden/>
              </w:rPr>
              <w:fldChar w:fldCharType="separate"/>
            </w:r>
            <w:r w:rsidR="00437E9C">
              <w:rPr>
                <w:noProof/>
                <w:webHidden/>
              </w:rPr>
              <w:t>6</w:t>
            </w:r>
            <w:r w:rsidR="00437E9C">
              <w:rPr>
                <w:noProof/>
                <w:webHidden/>
              </w:rPr>
              <w:fldChar w:fldCharType="end"/>
            </w:r>
          </w:hyperlink>
        </w:p>
        <w:p w14:paraId="05AF142F" w14:textId="77777777" w:rsidR="00437E9C" w:rsidRDefault="00437E9C" w:rsidP="00437E9C">
          <w:r>
            <w:rPr>
              <w:b/>
              <w:bCs/>
              <w:noProof/>
            </w:rPr>
            <w:fldChar w:fldCharType="end"/>
          </w:r>
        </w:p>
      </w:sdtContent>
    </w:sdt>
    <w:p w14:paraId="28A606AC" w14:textId="77777777" w:rsidR="00437E9C" w:rsidRPr="00A15265" w:rsidRDefault="00437E9C" w:rsidP="00437E9C">
      <w:pPr>
        <w:tabs>
          <w:tab w:val="left" w:pos="726"/>
        </w:tabs>
        <w:rPr>
          <w:rFonts w:ascii="Arial" w:hAnsi="Arial" w:cs="Arial"/>
          <w:b/>
          <w:bCs/>
          <w:sz w:val="36"/>
          <w:szCs w:val="36"/>
        </w:rPr>
      </w:pPr>
      <w:r>
        <w:rPr>
          <w:rFonts w:ascii="Arial" w:hAnsi="Arial" w:cs="Arial"/>
          <w:b/>
          <w:bCs/>
          <w:sz w:val="36"/>
          <w:szCs w:val="36"/>
        </w:rPr>
        <w:tab/>
      </w:r>
    </w:p>
    <w:p w14:paraId="7AEF2126" w14:textId="740953EE" w:rsidR="008A40D4" w:rsidRDefault="008A40D4"/>
    <w:p w14:paraId="24E5CDB2" w14:textId="1F10DF70" w:rsidR="00437E9C" w:rsidRPr="00437E9C" w:rsidRDefault="00437E9C" w:rsidP="00437E9C"/>
    <w:p w14:paraId="655880E2" w14:textId="0F555CF5" w:rsidR="00437E9C" w:rsidRPr="00437E9C" w:rsidRDefault="00437E9C" w:rsidP="00437E9C"/>
    <w:p w14:paraId="58DBEA56" w14:textId="07B9BC16" w:rsidR="00437E9C" w:rsidRPr="00437E9C" w:rsidRDefault="00437E9C" w:rsidP="00437E9C"/>
    <w:p w14:paraId="7B715F78" w14:textId="476889BC" w:rsidR="00437E9C" w:rsidRPr="00437E9C" w:rsidRDefault="00437E9C" w:rsidP="00437E9C"/>
    <w:p w14:paraId="1078D6FA" w14:textId="06DBFAF5" w:rsidR="00437E9C" w:rsidRPr="00437E9C" w:rsidRDefault="00437E9C" w:rsidP="00437E9C"/>
    <w:p w14:paraId="40373D14" w14:textId="222F0B53" w:rsidR="00437E9C" w:rsidRPr="00437E9C" w:rsidRDefault="00437E9C" w:rsidP="00437E9C"/>
    <w:p w14:paraId="01D22794" w14:textId="7645039F" w:rsidR="00437E9C" w:rsidRPr="00437E9C" w:rsidRDefault="00437E9C" w:rsidP="00437E9C"/>
    <w:p w14:paraId="50A8E712" w14:textId="7AB57521" w:rsidR="00437E9C" w:rsidRPr="00437E9C" w:rsidRDefault="00437E9C" w:rsidP="00437E9C"/>
    <w:p w14:paraId="1E5B59CB" w14:textId="31907C51" w:rsidR="00437E9C" w:rsidRPr="00437E9C" w:rsidRDefault="00437E9C" w:rsidP="00437E9C"/>
    <w:p w14:paraId="0EFDF26A" w14:textId="3F498ED2" w:rsidR="00437E9C" w:rsidRPr="00437E9C" w:rsidRDefault="00437E9C" w:rsidP="00437E9C"/>
    <w:p w14:paraId="03F8DE9E" w14:textId="7D80FC15" w:rsidR="00437E9C" w:rsidRPr="00437E9C" w:rsidRDefault="00437E9C" w:rsidP="00437E9C"/>
    <w:p w14:paraId="5853A3AB" w14:textId="1BBAC2A5" w:rsidR="00437E9C" w:rsidRPr="00437E9C" w:rsidRDefault="00437E9C" w:rsidP="00437E9C"/>
    <w:p w14:paraId="66CA0084" w14:textId="6E82BA37" w:rsidR="00437E9C" w:rsidRDefault="00437E9C" w:rsidP="00437E9C"/>
    <w:p w14:paraId="282ED042" w14:textId="1EA01EAB" w:rsidR="00437E9C" w:rsidRDefault="00437E9C" w:rsidP="00437E9C">
      <w:pPr>
        <w:tabs>
          <w:tab w:val="left" w:pos="1553"/>
        </w:tabs>
      </w:pPr>
      <w:r>
        <w:tab/>
      </w:r>
    </w:p>
    <w:p w14:paraId="7FC554B8" w14:textId="50500570" w:rsidR="00437E9C" w:rsidRDefault="00437E9C" w:rsidP="00437E9C">
      <w:pPr>
        <w:tabs>
          <w:tab w:val="left" w:pos="1553"/>
        </w:tabs>
      </w:pPr>
    </w:p>
    <w:p w14:paraId="28ED776D" w14:textId="390B4CFE" w:rsidR="00437E9C" w:rsidRDefault="00437E9C" w:rsidP="00437E9C">
      <w:pPr>
        <w:tabs>
          <w:tab w:val="left" w:pos="1553"/>
        </w:tabs>
      </w:pPr>
    </w:p>
    <w:p w14:paraId="01956F30" w14:textId="5CD73FC7" w:rsidR="00437E9C" w:rsidRDefault="00437E9C" w:rsidP="00437E9C">
      <w:pPr>
        <w:tabs>
          <w:tab w:val="left" w:pos="1553"/>
        </w:tabs>
      </w:pPr>
    </w:p>
    <w:p w14:paraId="48B6B01A" w14:textId="238EAF96" w:rsidR="00437E9C" w:rsidRDefault="00437E9C" w:rsidP="00437E9C">
      <w:pPr>
        <w:tabs>
          <w:tab w:val="left" w:pos="1553"/>
        </w:tabs>
      </w:pPr>
    </w:p>
    <w:p w14:paraId="33F2D4AD" w14:textId="05D5B9C2" w:rsidR="00437E9C" w:rsidRDefault="00437E9C" w:rsidP="00437E9C">
      <w:pPr>
        <w:tabs>
          <w:tab w:val="left" w:pos="1553"/>
        </w:tabs>
      </w:pPr>
    </w:p>
    <w:p w14:paraId="7343F0D6" w14:textId="107B25C6" w:rsidR="00437E9C" w:rsidRDefault="00437E9C" w:rsidP="00437E9C">
      <w:pPr>
        <w:tabs>
          <w:tab w:val="left" w:pos="1553"/>
        </w:tabs>
      </w:pPr>
    </w:p>
    <w:p w14:paraId="18073F1F" w14:textId="77777777" w:rsidR="00437E9C" w:rsidRDefault="00437E9C" w:rsidP="00437E9C">
      <w:pPr>
        <w:pStyle w:val="Heading1"/>
        <w:numPr>
          <w:ilvl w:val="0"/>
          <w:numId w:val="2"/>
        </w:numPr>
        <w:tabs>
          <w:tab w:val="num" w:pos="360"/>
        </w:tabs>
        <w:ind w:left="0" w:firstLine="0"/>
        <w:rPr>
          <w:b/>
          <w:bCs/>
        </w:rPr>
      </w:pPr>
      <w:bookmarkStart w:id="0" w:name="_Toc120902309"/>
      <w:r>
        <w:rPr>
          <w:b/>
          <w:bCs/>
        </w:rPr>
        <w:t>Introduction</w:t>
      </w:r>
      <w:bookmarkEnd w:id="0"/>
    </w:p>
    <w:p w14:paraId="690D3451" w14:textId="77777777" w:rsidR="00437E9C" w:rsidRDefault="00437E9C" w:rsidP="00EF2F4E">
      <w:pPr>
        <w:tabs>
          <w:tab w:val="left" w:pos="2254"/>
        </w:tabs>
        <w:spacing w:line="360" w:lineRule="auto"/>
        <w:jc w:val="both"/>
        <w:rPr>
          <w:rFonts w:ascii="Arial" w:hAnsi="Arial" w:cs="Arial"/>
          <w:sz w:val="24"/>
          <w:szCs w:val="24"/>
        </w:rPr>
      </w:pPr>
      <w:r>
        <w:rPr>
          <w:rFonts w:ascii="Arial" w:hAnsi="Arial" w:cs="Arial"/>
          <w:sz w:val="24"/>
          <w:szCs w:val="24"/>
        </w:rPr>
        <w:t>The fundamental basis of this</w:t>
      </w:r>
      <w:r w:rsidRPr="000D2D98">
        <w:rPr>
          <w:rFonts w:ascii="Arial" w:hAnsi="Arial" w:cs="Arial"/>
          <w:sz w:val="24"/>
          <w:szCs w:val="24"/>
        </w:rPr>
        <w:t xml:space="preserve"> topic </w:t>
      </w:r>
      <w:r>
        <w:rPr>
          <w:rFonts w:ascii="Arial" w:hAnsi="Arial" w:cs="Arial"/>
          <w:sz w:val="24"/>
          <w:szCs w:val="24"/>
        </w:rPr>
        <w:t xml:space="preserve">discussion is to gain a crucial understanding of tort law and the structures within it, that are there to provide common ground, fairness, and legal structure in order to ensure that the best outcome is provided, within construction. In order to provide clarity, I have used case law and case scenarios that link into specified points of interest like the tort of negligence, how that impacts construction in general, how it can affect the progression of a project and the impact of adjudication. </w:t>
      </w:r>
    </w:p>
    <w:p w14:paraId="3A9D0023" w14:textId="77777777" w:rsidR="00437E9C" w:rsidRPr="00521E21" w:rsidRDefault="00437E9C" w:rsidP="006E76FC">
      <w:pPr>
        <w:tabs>
          <w:tab w:val="left" w:pos="2254"/>
        </w:tabs>
        <w:jc w:val="both"/>
        <w:rPr>
          <w:rFonts w:ascii="Arial" w:hAnsi="Arial" w:cs="Arial"/>
          <w:sz w:val="24"/>
          <w:szCs w:val="24"/>
        </w:rPr>
      </w:pPr>
    </w:p>
    <w:p w14:paraId="341B0A18" w14:textId="77777777" w:rsidR="00437E9C" w:rsidRPr="00521E21" w:rsidRDefault="00437E9C" w:rsidP="006E76FC">
      <w:pPr>
        <w:pStyle w:val="Heading2"/>
        <w:numPr>
          <w:ilvl w:val="1"/>
          <w:numId w:val="2"/>
        </w:numPr>
        <w:tabs>
          <w:tab w:val="num" w:pos="360"/>
        </w:tabs>
        <w:ind w:left="0" w:firstLine="0"/>
        <w:jc w:val="both"/>
      </w:pPr>
      <w:bookmarkStart w:id="1" w:name="_Toc120902310"/>
      <w:r>
        <w:t>Purpose of Study:</w:t>
      </w:r>
      <w:bookmarkEnd w:id="1"/>
    </w:p>
    <w:p w14:paraId="0C5F0A39" w14:textId="77777777" w:rsidR="00437E9C" w:rsidRDefault="00437E9C" w:rsidP="006E76FC">
      <w:pPr>
        <w:pStyle w:val="ListParagraph"/>
        <w:numPr>
          <w:ilvl w:val="0"/>
          <w:numId w:val="1"/>
        </w:numPr>
        <w:tabs>
          <w:tab w:val="left" w:pos="1640"/>
        </w:tabs>
        <w:jc w:val="both"/>
        <w:rPr>
          <w:rFonts w:ascii="Arial" w:hAnsi="Arial" w:cs="Arial"/>
          <w:sz w:val="24"/>
          <w:szCs w:val="24"/>
        </w:rPr>
      </w:pPr>
      <w:r>
        <w:rPr>
          <w:rFonts w:ascii="Arial" w:hAnsi="Arial" w:cs="Arial"/>
          <w:sz w:val="24"/>
          <w:szCs w:val="24"/>
        </w:rPr>
        <w:t>To describe and understand the tort of negligence and its essential elements</w:t>
      </w:r>
    </w:p>
    <w:p w14:paraId="3517D578" w14:textId="77777777" w:rsidR="00437E9C" w:rsidRDefault="00437E9C" w:rsidP="006E76FC">
      <w:pPr>
        <w:pStyle w:val="ListParagraph"/>
        <w:tabs>
          <w:tab w:val="left" w:pos="1640"/>
        </w:tabs>
        <w:jc w:val="both"/>
        <w:rPr>
          <w:rFonts w:ascii="Arial" w:hAnsi="Arial" w:cs="Arial"/>
          <w:sz w:val="24"/>
          <w:szCs w:val="24"/>
        </w:rPr>
      </w:pPr>
    </w:p>
    <w:p w14:paraId="6E652F3D" w14:textId="77777777" w:rsidR="00437E9C" w:rsidRDefault="00437E9C" w:rsidP="006E76FC">
      <w:pPr>
        <w:pStyle w:val="ListParagraph"/>
        <w:numPr>
          <w:ilvl w:val="0"/>
          <w:numId w:val="1"/>
        </w:numPr>
        <w:tabs>
          <w:tab w:val="left" w:pos="1640"/>
        </w:tabs>
        <w:jc w:val="both"/>
        <w:rPr>
          <w:rFonts w:ascii="Arial" w:hAnsi="Arial" w:cs="Arial"/>
          <w:sz w:val="24"/>
          <w:szCs w:val="24"/>
        </w:rPr>
      </w:pPr>
      <w:r>
        <w:rPr>
          <w:rFonts w:ascii="Arial" w:hAnsi="Arial" w:cs="Arial"/>
          <w:sz w:val="24"/>
          <w:szCs w:val="24"/>
        </w:rPr>
        <w:t>Outline the importance of the tort of negligence and its essential for construction and how it can impact a projects progression, using case law</w:t>
      </w:r>
    </w:p>
    <w:p w14:paraId="3AD21E69" w14:textId="77777777" w:rsidR="00437E9C" w:rsidRPr="00887EF4" w:rsidRDefault="00437E9C" w:rsidP="006E76FC">
      <w:pPr>
        <w:pStyle w:val="ListParagraph"/>
        <w:tabs>
          <w:tab w:val="left" w:pos="1640"/>
        </w:tabs>
        <w:jc w:val="both"/>
        <w:rPr>
          <w:rFonts w:ascii="Arial" w:hAnsi="Arial" w:cs="Arial"/>
          <w:sz w:val="24"/>
          <w:szCs w:val="24"/>
        </w:rPr>
      </w:pPr>
    </w:p>
    <w:p w14:paraId="29E587AD" w14:textId="77777777" w:rsidR="00437E9C" w:rsidRDefault="00437E9C" w:rsidP="006E76FC">
      <w:pPr>
        <w:pStyle w:val="ListParagraph"/>
        <w:numPr>
          <w:ilvl w:val="0"/>
          <w:numId w:val="1"/>
        </w:numPr>
        <w:tabs>
          <w:tab w:val="left" w:pos="1640"/>
        </w:tabs>
        <w:jc w:val="both"/>
        <w:rPr>
          <w:rFonts w:ascii="Arial" w:hAnsi="Arial" w:cs="Arial"/>
          <w:sz w:val="24"/>
          <w:szCs w:val="24"/>
        </w:rPr>
      </w:pPr>
      <w:r>
        <w:rPr>
          <w:rFonts w:ascii="Arial" w:hAnsi="Arial" w:cs="Arial"/>
          <w:sz w:val="24"/>
          <w:szCs w:val="24"/>
        </w:rPr>
        <w:t>Outline the impact of adjudication of a given case</w:t>
      </w:r>
    </w:p>
    <w:p w14:paraId="6592B00B" w14:textId="77777777" w:rsidR="00437E9C" w:rsidRPr="00887EF4" w:rsidRDefault="00437E9C" w:rsidP="006E76FC">
      <w:pPr>
        <w:pStyle w:val="ListParagraph"/>
        <w:jc w:val="both"/>
        <w:rPr>
          <w:rFonts w:ascii="Arial" w:hAnsi="Arial" w:cs="Arial"/>
          <w:sz w:val="24"/>
          <w:szCs w:val="24"/>
        </w:rPr>
      </w:pPr>
    </w:p>
    <w:p w14:paraId="477878AD" w14:textId="77777777" w:rsidR="00437E9C" w:rsidRDefault="00437E9C" w:rsidP="006E76FC">
      <w:pPr>
        <w:pStyle w:val="ListParagraph"/>
        <w:numPr>
          <w:ilvl w:val="0"/>
          <w:numId w:val="1"/>
        </w:numPr>
        <w:tabs>
          <w:tab w:val="left" w:pos="1640"/>
        </w:tabs>
        <w:jc w:val="both"/>
        <w:rPr>
          <w:rFonts w:ascii="Arial" w:hAnsi="Arial" w:cs="Arial"/>
          <w:sz w:val="24"/>
          <w:szCs w:val="24"/>
        </w:rPr>
      </w:pPr>
      <w:r>
        <w:rPr>
          <w:rFonts w:ascii="Arial" w:hAnsi="Arial" w:cs="Arial"/>
          <w:sz w:val="24"/>
          <w:szCs w:val="24"/>
        </w:rPr>
        <w:t>Understand and apply relevant legislative and compliance frameworks associated with the construction industry</w:t>
      </w:r>
    </w:p>
    <w:p w14:paraId="73BA6727" w14:textId="77777777" w:rsidR="00437E9C" w:rsidRPr="00887EF4" w:rsidRDefault="00437E9C" w:rsidP="006E76FC">
      <w:pPr>
        <w:pStyle w:val="ListParagraph"/>
        <w:jc w:val="both"/>
        <w:rPr>
          <w:rFonts w:ascii="Arial" w:hAnsi="Arial" w:cs="Arial"/>
          <w:sz w:val="24"/>
          <w:szCs w:val="24"/>
        </w:rPr>
      </w:pPr>
    </w:p>
    <w:p w14:paraId="511428FF" w14:textId="77777777" w:rsidR="00437E9C" w:rsidRPr="000C282D" w:rsidRDefault="00437E9C" w:rsidP="006E76FC">
      <w:pPr>
        <w:pStyle w:val="ListParagraph"/>
        <w:numPr>
          <w:ilvl w:val="0"/>
          <w:numId w:val="1"/>
        </w:numPr>
        <w:tabs>
          <w:tab w:val="left" w:pos="1640"/>
        </w:tabs>
        <w:jc w:val="both"/>
        <w:rPr>
          <w:rFonts w:ascii="Arial" w:hAnsi="Arial" w:cs="Arial"/>
          <w:sz w:val="24"/>
          <w:szCs w:val="24"/>
        </w:rPr>
      </w:pPr>
      <w:r>
        <w:rPr>
          <w:rFonts w:ascii="Arial" w:hAnsi="Arial" w:cs="Arial"/>
          <w:sz w:val="24"/>
          <w:szCs w:val="24"/>
        </w:rPr>
        <w:t>Be able to apply this knowledge to a basic scenario</w:t>
      </w:r>
    </w:p>
    <w:p w14:paraId="0D7592C9" w14:textId="77777777" w:rsidR="00437E9C" w:rsidRDefault="00437E9C" w:rsidP="00437E9C">
      <w:pPr>
        <w:tabs>
          <w:tab w:val="left" w:pos="914"/>
        </w:tabs>
      </w:pPr>
      <w:r>
        <w:tab/>
      </w:r>
    </w:p>
    <w:p w14:paraId="5F64E349" w14:textId="3C7056DD" w:rsidR="00437E9C" w:rsidRDefault="00437E9C" w:rsidP="00437E9C">
      <w:pPr>
        <w:tabs>
          <w:tab w:val="left" w:pos="1553"/>
        </w:tabs>
      </w:pPr>
    </w:p>
    <w:p w14:paraId="3CC132FA" w14:textId="5ACD80BA" w:rsidR="00437E9C" w:rsidRDefault="00437E9C" w:rsidP="00437E9C">
      <w:pPr>
        <w:tabs>
          <w:tab w:val="left" w:pos="1553"/>
        </w:tabs>
      </w:pPr>
    </w:p>
    <w:p w14:paraId="18D04C98" w14:textId="0A1721B6" w:rsidR="00437E9C" w:rsidRDefault="00437E9C" w:rsidP="00437E9C">
      <w:pPr>
        <w:tabs>
          <w:tab w:val="left" w:pos="1553"/>
        </w:tabs>
      </w:pPr>
    </w:p>
    <w:p w14:paraId="34750953" w14:textId="08F39690" w:rsidR="00437E9C" w:rsidRDefault="00437E9C" w:rsidP="00437E9C">
      <w:pPr>
        <w:tabs>
          <w:tab w:val="left" w:pos="1553"/>
        </w:tabs>
      </w:pPr>
    </w:p>
    <w:p w14:paraId="03E3CAE3" w14:textId="54EB1F42" w:rsidR="00437E9C" w:rsidRDefault="00437E9C" w:rsidP="00437E9C">
      <w:pPr>
        <w:tabs>
          <w:tab w:val="left" w:pos="1553"/>
        </w:tabs>
      </w:pPr>
    </w:p>
    <w:p w14:paraId="5B1B1B0A" w14:textId="39E93656" w:rsidR="00437E9C" w:rsidRDefault="00437E9C" w:rsidP="00437E9C">
      <w:pPr>
        <w:tabs>
          <w:tab w:val="left" w:pos="1553"/>
        </w:tabs>
      </w:pPr>
    </w:p>
    <w:p w14:paraId="42D643B4" w14:textId="30F02EA7" w:rsidR="00437E9C" w:rsidRDefault="00437E9C" w:rsidP="00437E9C">
      <w:pPr>
        <w:tabs>
          <w:tab w:val="left" w:pos="1553"/>
        </w:tabs>
      </w:pPr>
    </w:p>
    <w:p w14:paraId="093A837B" w14:textId="24D2ABC0" w:rsidR="00437E9C" w:rsidRDefault="00437E9C" w:rsidP="00437E9C">
      <w:pPr>
        <w:tabs>
          <w:tab w:val="left" w:pos="1553"/>
        </w:tabs>
      </w:pPr>
    </w:p>
    <w:p w14:paraId="4113A2B7" w14:textId="295628A3" w:rsidR="00437E9C" w:rsidRDefault="00437E9C" w:rsidP="00437E9C">
      <w:pPr>
        <w:tabs>
          <w:tab w:val="left" w:pos="1553"/>
        </w:tabs>
      </w:pPr>
    </w:p>
    <w:p w14:paraId="6961CD1B" w14:textId="6806611E" w:rsidR="00437E9C" w:rsidRDefault="00437E9C" w:rsidP="00437E9C">
      <w:pPr>
        <w:tabs>
          <w:tab w:val="left" w:pos="1553"/>
        </w:tabs>
      </w:pPr>
    </w:p>
    <w:p w14:paraId="57C8B3B5" w14:textId="49A3119A" w:rsidR="00437E9C" w:rsidRDefault="00437E9C" w:rsidP="00437E9C">
      <w:pPr>
        <w:tabs>
          <w:tab w:val="left" w:pos="1553"/>
        </w:tabs>
      </w:pPr>
    </w:p>
    <w:p w14:paraId="0FE71B89" w14:textId="30182166" w:rsidR="00437E9C" w:rsidRDefault="00437E9C" w:rsidP="00437E9C">
      <w:pPr>
        <w:tabs>
          <w:tab w:val="left" w:pos="1553"/>
        </w:tabs>
      </w:pPr>
    </w:p>
    <w:p w14:paraId="28C61C99" w14:textId="5343EB8D" w:rsidR="00437E9C" w:rsidRDefault="00437E9C" w:rsidP="00437E9C">
      <w:pPr>
        <w:tabs>
          <w:tab w:val="left" w:pos="1553"/>
        </w:tabs>
      </w:pPr>
    </w:p>
    <w:p w14:paraId="400717F7" w14:textId="77777777" w:rsidR="00437E9C" w:rsidRDefault="00437E9C" w:rsidP="00437E9C">
      <w:pPr>
        <w:pStyle w:val="Heading1"/>
        <w:numPr>
          <w:ilvl w:val="0"/>
          <w:numId w:val="3"/>
        </w:numPr>
        <w:tabs>
          <w:tab w:val="num" w:pos="360"/>
        </w:tabs>
        <w:ind w:left="0" w:firstLine="0"/>
        <w:rPr>
          <w:b/>
          <w:bCs/>
        </w:rPr>
      </w:pPr>
      <w:bookmarkStart w:id="2" w:name="_Toc120902311"/>
      <w:r>
        <w:rPr>
          <w:b/>
          <w:bCs/>
        </w:rPr>
        <w:t>Findings</w:t>
      </w:r>
      <w:bookmarkEnd w:id="2"/>
    </w:p>
    <w:p w14:paraId="6B2F430F" w14:textId="77777777" w:rsidR="00437E9C" w:rsidRPr="00FA0725" w:rsidRDefault="00437E9C" w:rsidP="00437E9C"/>
    <w:p w14:paraId="0F2C789C" w14:textId="77777777" w:rsidR="00437E9C" w:rsidRPr="008A7471" w:rsidRDefault="00437E9C" w:rsidP="00437E9C">
      <w:pPr>
        <w:pStyle w:val="Heading2"/>
      </w:pPr>
      <w:bookmarkStart w:id="3" w:name="_Toc120902312"/>
      <w:r>
        <w:t xml:space="preserve">3.1 </w:t>
      </w:r>
      <w:r w:rsidRPr="008A7471">
        <w:t>– Tort of Negligence and it</w:t>
      </w:r>
      <w:r>
        <w:t>s</w:t>
      </w:r>
      <w:r w:rsidRPr="008A7471">
        <w:t xml:space="preserve"> essential elements</w:t>
      </w:r>
      <w:bookmarkEnd w:id="3"/>
    </w:p>
    <w:p w14:paraId="4E12CFD7" w14:textId="77777777" w:rsidR="00635062" w:rsidRDefault="00437E9C" w:rsidP="00EF2F4E">
      <w:pPr>
        <w:tabs>
          <w:tab w:val="left" w:pos="1640"/>
        </w:tabs>
        <w:spacing w:line="360" w:lineRule="auto"/>
        <w:contextualSpacing/>
        <w:jc w:val="both"/>
        <w:rPr>
          <w:rFonts w:ascii="Arial" w:hAnsi="Arial" w:cs="Arial"/>
          <w:sz w:val="24"/>
          <w:szCs w:val="24"/>
        </w:rPr>
      </w:pPr>
      <w:r>
        <w:rPr>
          <w:rFonts w:ascii="Arial" w:hAnsi="Arial" w:cs="Arial"/>
          <w:sz w:val="24"/>
          <w:szCs w:val="24"/>
        </w:rPr>
        <w:t xml:space="preserve">The Designing Buildings website defines tort as a person </w:t>
      </w:r>
      <w:r w:rsidRPr="008A7471">
        <w:rPr>
          <w:rFonts w:ascii="Arial" w:hAnsi="Arial" w:cs="Arial"/>
          <w:sz w:val="24"/>
          <w:szCs w:val="24"/>
        </w:rPr>
        <w:t>who is compelled to provide circumspection but has wrongfully committed careless behaviour that has resulted in injury, potentially leading to a civil suit for damages</w:t>
      </w:r>
      <w:sdt>
        <w:sdtPr>
          <w:rPr>
            <w:rFonts w:ascii="Arial" w:hAnsi="Arial" w:cs="Arial"/>
            <w:sz w:val="24"/>
            <w:szCs w:val="24"/>
          </w:rPr>
          <w:id w:val="-1179739084"/>
          <w:citation/>
        </w:sdtPr>
        <w:sdtContent>
          <w:r>
            <w:rPr>
              <w:rFonts w:ascii="Arial" w:hAnsi="Arial" w:cs="Arial"/>
              <w:sz w:val="24"/>
              <w:szCs w:val="24"/>
            </w:rPr>
            <w:fldChar w:fldCharType="begin"/>
          </w:r>
          <w:r>
            <w:rPr>
              <w:rFonts w:ascii="Arial" w:hAnsi="Arial" w:cs="Arial"/>
              <w:sz w:val="24"/>
              <w:szCs w:val="24"/>
            </w:rPr>
            <w:instrText xml:space="preserve"> CITATION Des20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(Designing Buildings The Construction Wiki, 2020)</w:t>
          </w:r>
          <w:r>
            <w:rPr>
              <w:rFonts w:ascii="Arial" w:hAnsi="Arial" w:cs="Arial"/>
              <w:sz w:val="24"/>
              <w:szCs w:val="24"/>
            </w:rPr>
            <w:fldChar w:fldCharType="end"/>
          </w:r>
        </w:sdtContent>
      </w:sdt>
      <w:r w:rsidRPr="008A7471">
        <w:rPr>
          <w:rFonts w:ascii="Arial" w:hAnsi="Arial" w:cs="Arial"/>
          <w:sz w:val="24"/>
          <w:szCs w:val="24"/>
        </w:rPr>
        <w:t>.</w:t>
      </w:r>
      <w:r>
        <w:rPr>
          <w:rFonts w:ascii="Arial" w:hAnsi="Arial" w:cs="Arial"/>
          <w:sz w:val="24"/>
          <w:szCs w:val="24"/>
        </w:rPr>
        <w:t xml:space="preserve"> </w:t>
      </w:r>
      <w:r w:rsidRPr="008A7471">
        <w:rPr>
          <w:rFonts w:ascii="Arial" w:hAnsi="Arial" w:cs="Arial"/>
          <w:sz w:val="24"/>
          <w:szCs w:val="24"/>
        </w:rPr>
        <w:t xml:space="preserve">Negligence is </w:t>
      </w:r>
      <w:r>
        <w:rPr>
          <w:rFonts w:ascii="Arial" w:hAnsi="Arial" w:cs="Arial"/>
          <w:sz w:val="24"/>
          <w:szCs w:val="24"/>
        </w:rPr>
        <w:t>a form of tort law that can be defined as</w:t>
      </w:r>
      <w:r w:rsidR="00EF2F4E">
        <w:rPr>
          <w:rFonts w:ascii="Arial" w:hAnsi="Arial" w:cs="Arial"/>
          <w:sz w:val="24"/>
          <w:szCs w:val="24"/>
        </w:rPr>
        <w:t>,</w:t>
      </w:r>
      <w:r>
        <w:rPr>
          <w:rFonts w:ascii="Arial" w:hAnsi="Arial" w:cs="Arial"/>
          <w:sz w:val="24"/>
          <w:szCs w:val="24"/>
        </w:rPr>
        <w:t xml:space="preserve"> written in the website Wright/Hassall</w:t>
      </w:r>
      <w:r w:rsidR="00EF2F4E">
        <w:rPr>
          <w:rFonts w:ascii="Arial" w:hAnsi="Arial" w:cs="Arial"/>
          <w:sz w:val="24"/>
          <w:szCs w:val="24"/>
        </w:rPr>
        <w:t xml:space="preserve"> (2015),</w:t>
      </w:r>
      <w:r>
        <w:rPr>
          <w:rFonts w:ascii="Arial" w:hAnsi="Arial" w:cs="Arial"/>
          <w:sz w:val="24"/>
          <w:szCs w:val="24"/>
        </w:rPr>
        <w:t xml:space="preserve"> </w:t>
      </w:r>
      <w:r w:rsidRPr="008A7471">
        <w:rPr>
          <w:rFonts w:ascii="Arial" w:hAnsi="Arial" w:cs="Arial"/>
          <w:sz w:val="24"/>
          <w:szCs w:val="24"/>
        </w:rPr>
        <w:t>the lack of appropriate care given in any circumstance, resulting in inadvertent injury to another party</w:t>
      </w:r>
      <w:r w:rsidR="00EF2F4E">
        <w:rPr>
          <w:rFonts w:ascii="Arial" w:hAnsi="Arial" w:cs="Arial"/>
          <w:sz w:val="24"/>
          <w:szCs w:val="24"/>
        </w:rPr>
        <w:t xml:space="preserve">. </w:t>
      </w:r>
      <w:r w:rsidRPr="008A7471">
        <w:rPr>
          <w:rFonts w:ascii="Arial" w:hAnsi="Arial" w:cs="Arial"/>
          <w:sz w:val="24"/>
          <w:szCs w:val="24"/>
        </w:rPr>
        <w:t>Therefore, the term tort of negligence refers to whether the defendants’ actions, or their lack of</w:t>
      </w:r>
      <w:r w:rsidR="00EF2F4E">
        <w:rPr>
          <w:rFonts w:ascii="Arial" w:hAnsi="Arial" w:cs="Arial"/>
          <w:sz w:val="24"/>
          <w:szCs w:val="24"/>
        </w:rPr>
        <w:t xml:space="preserve"> actions</w:t>
      </w:r>
      <w:r w:rsidRPr="008A7471">
        <w:rPr>
          <w:rFonts w:ascii="Arial" w:hAnsi="Arial" w:cs="Arial"/>
          <w:sz w:val="24"/>
          <w:szCs w:val="24"/>
        </w:rPr>
        <w:t>, can be concluded as appropriate or not</w:t>
      </w:r>
      <w:r w:rsidR="00EF2F4E">
        <w:rPr>
          <w:rFonts w:ascii="Arial" w:hAnsi="Arial" w:cs="Arial"/>
          <w:sz w:val="24"/>
          <w:szCs w:val="24"/>
        </w:rPr>
        <w:t>, b</w:t>
      </w:r>
      <w:r w:rsidRPr="008A7471">
        <w:rPr>
          <w:rFonts w:ascii="Arial" w:hAnsi="Arial" w:cs="Arial"/>
          <w:sz w:val="24"/>
          <w:szCs w:val="24"/>
        </w:rPr>
        <w:t>ased on someone of conventional pragmatism who would have exerted the same level of care in the equivalent circumstances</w:t>
      </w:r>
      <w:sdt>
        <w:sdtPr>
          <w:rPr>
            <w:rFonts w:ascii="Arial" w:hAnsi="Arial" w:cs="Arial"/>
            <w:i/>
            <w:iCs/>
            <w:sz w:val="24"/>
            <w:szCs w:val="24"/>
          </w:rPr>
          <w:id w:val="1423527512"/>
          <w:citation/>
        </w:sdtPr>
        <w:sdtContent>
          <w:r w:rsidRPr="00516D61">
            <w:rPr>
              <w:rFonts w:ascii="Arial" w:hAnsi="Arial" w:cs="Arial"/>
              <w:i/>
              <w:iCs/>
              <w:sz w:val="24"/>
              <w:szCs w:val="24"/>
            </w:rPr>
            <w:fldChar w:fldCharType="begin"/>
          </w:r>
          <w:r w:rsidRPr="00516D61">
            <w:rPr>
              <w:rFonts w:ascii="Arial" w:hAnsi="Arial" w:cs="Arial"/>
              <w:i/>
              <w:iCs/>
              <w:sz w:val="24"/>
              <w:szCs w:val="24"/>
            </w:rPr>
            <w:instrText xml:space="preserve"> CITATION Leg22 \l 2057 </w:instrText>
          </w:r>
          <w:r w:rsidRPr="00516D61">
            <w:rPr>
              <w:rFonts w:ascii="Arial" w:hAnsi="Arial" w:cs="Arial"/>
              <w:i/>
              <w:iCs/>
              <w:sz w:val="24"/>
              <w:szCs w:val="24"/>
            </w:rPr>
            <w:fldChar w:fldCharType="separate"/>
          </w:r>
          <w:r w:rsidR="002E4A24">
            <w:rPr>
              <w:rFonts w:ascii="Arial" w:hAnsi="Arial" w:cs="Arial"/>
              <w:i/>
              <w:iCs/>
              <w:noProof/>
              <w:sz w:val="24"/>
              <w:szCs w:val="24"/>
            </w:rPr>
            <w:t xml:space="preserve"> </w:t>
          </w:r>
          <w:r w:rsidR="002E4A24" w:rsidRPr="002E4A24">
            <w:rPr>
              <w:rFonts w:ascii="Arial" w:hAnsi="Arial" w:cs="Arial"/>
              <w:noProof/>
              <w:sz w:val="24"/>
              <w:szCs w:val="24"/>
            </w:rPr>
            <w:t>(Legalknowledgebase, 2022)</w:t>
          </w:r>
          <w:r w:rsidRPr="00516D61">
            <w:rPr>
              <w:rFonts w:ascii="Arial" w:hAnsi="Arial" w:cs="Arial"/>
              <w:i/>
              <w:iCs/>
              <w:sz w:val="24"/>
              <w:szCs w:val="24"/>
            </w:rPr>
            <w:fldChar w:fldCharType="end"/>
          </w:r>
        </w:sdtContent>
      </w:sdt>
      <w:r w:rsidRPr="008A7471">
        <w:rPr>
          <w:rFonts w:ascii="Arial" w:hAnsi="Arial" w:cs="Arial"/>
          <w:sz w:val="24"/>
          <w:szCs w:val="24"/>
        </w:rPr>
        <w:t>.</w:t>
      </w:r>
    </w:p>
    <w:p w14:paraId="4F4E3FD0" w14:textId="77777777" w:rsidR="00635062" w:rsidRDefault="00635062" w:rsidP="00EF2F4E">
      <w:pPr>
        <w:tabs>
          <w:tab w:val="left" w:pos="1640"/>
        </w:tabs>
        <w:spacing w:line="360" w:lineRule="auto"/>
        <w:contextualSpacing/>
        <w:jc w:val="both"/>
        <w:rPr>
          <w:rFonts w:ascii="Arial" w:hAnsi="Arial" w:cs="Arial"/>
          <w:sz w:val="24"/>
          <w:szCs w:val="24"/>
        </w:rPr>
      </w:pPr>
    </w:p>
    <w:p w14:paraId="18630295" w14:textId="42BC5D26" w:rsidR="00437E9C" w:rsidRDefault="00437E9C" w:rsidP="00EF2F4E">
      <w:pPr>
        <w:tabs>
          <w:tab w:val="left" w:pos="1640"/>
        </w:tabs>
        <w:spacing w:line="360" w:lineRule="auto"/>
        <w:contextualSpacing/>
        <w:jc w:val="both"/>
        <w:rPr>
          <w:rFonts w:ascii="Arial" w:hAnsi="Arial" w:cs="Arial"/>
          <w:sz w:val="24"/>
          <w:szCs w:val="24"/>
        </w:rPr>
      </w:pPr>
      <w:r>
        <w:rPr>
          <w:rFonts w:ascii="Arial" w:hAnsi="Arial" w:cs="Arial"/>
          <w:sz w:val="24"/>
          <w:szCs w:val="24"/>
        </w:rPr>
        <w:t xml:space="preserve">The Legal Knowledge Base </w:t>
      </w:r>
      <w:r w:rsidR="00EF2F4E">
        <w:rPr>
          <w:rFonts w:ascii="Arial" w:hAnsi="Arial" w:cs="Arial"/>
          <w:sz w:val="24"/>
          <w:szCs w:val="24"/>
        </w:rPr>
        <w:t>(2022)</w:t>
      </w:r>
      <w:r>
        <w:rPr>
          <w:rFonts w:ascii="Arial" w:hAnsi="Arial" w:cs="Arial"/>
          <w:sz w:val="24"/>
          <w:szCs w:val="24"/>
        </w:rPr>
        <w:t xml:space="preserve"> defines th</w:t>
      </w:r>
      <w:r w:rsidRPr="008A7471">
        <w:rPr>
          <w:rFonts w:ascii="Arial" w:hAnsi="Arial" w:cs="Arial"/>
          <w:sz w:val="24"/>
          <w:szCs w:val="24"/>
        </w:rPr>
        <w:t xml:space="preserve">e </w:t>
      </w:r>
      <w:r>
        <w:rPr>
          <w:rFonts w:ascii="Arial" w:hAnsi="Arial" w:cs="Arial"/>
          <w:sz w:val="24"/>
          <w:szCs w:val="24"/>
        </w:rPr>
        <w:t xml:space="preserve">3 essential elements within the </w:t>
      </w:r>
      <w:r w:rsidRPr="008A7471">
        <w:rPr>
          <w:rFonts w:ascii="Arial" w:hAnsi="Arial" w:cs="Arial"/>
          <w:sz w:val="24"/>
          <w:szCs w:val="24"/>
        </w:rPr>
        <w:t xml:space="preserve">tort of negligence that can be exercised in a court of law that allows for clarification within the circumstances, </w:t>
      </w:r>
      <w:r>
        <w:rPr>
          <w:rFonts w:ascii="Arial" w:hAnsi="Arial" w:cs="Arial"/>
          <w:sz w:val="24"/>
          <w:szCs w:val="24"/>
        </w:rPr>
        <w:t>which</w:t>
      </w:r>
      <w:r w:rsidRPr="008A7471">
        <w:rPr>
          <w:rFonts w:ascii="Arial" w:hAnsi="Arial" w:cs="Arial"/>
          <w:sz w:val="24"/>
          <w:szCs w:val="24"/>
        </w:rPr>
        <w:t xml:space="preserve"> </w:t>
      </w:r>
      <w:r>
        <w:rPr>
          <w:rFonts w:ascii="Arial" w:hAnsi="Arial" w:cs="Arial"/>
          <w:sz w:val="24"/>
          <w:szCs w:val="24"/>
        </w:rPr>
        <w:t>suggest that</w:t>
      </w:r>
      <w:r w:rsidRPr="008A7471">
        <w:rPr>
          <w:rFonts w:ascii="Arial" w:hAnsi="Arial" w:cs="Arial"/>
          <w:sz w:val="24"/>
          <w:szCs w:val="24"/>
        </w:rPr>
        <w:t>:</w:t>
      </w:r>
    </w:p>
    <w:p w14:paraId="2966D756" w14:textId="77777777" w:rsidR="00437E9C" w:rsidRDefault="00437E9C" w:rsidP="00EF2F4E">
      <w:pPr>
        <w:pStyle w:val="ListParagraph"/>
        <w:numPr>
          <w:ilvl w:val="0"/>
          <w:numId w:val="4"/>
        </w:numPr>
        <w:tabs>
          <w:tab w:val="left" w:pos="1640"/>
        </w:tabs>
        <w:spacing w:line="360" w:lineRule="auto"/>
        <w:jc w:val="both"/>
        <w:rPr>
          <w:rFonts w:ascii="Arial" w:hAnsi="Arial" w:cs="Arial"/>
          <w:sz w:val="24"/>
          <w:szCs w:val="24"/>
        </w:rPr>
      </w:pPr>
      <w:r>
        <w:rPr>
          <w:rFonts w:ascii="Arial" w:hAnsi="Arial" w:cs="Arial"/>
          <w:sz w:val="24"/>
          <w:szCs w:val="24"/>
        </w:rPr>
        <w:t>Duty of care is present among the claimant and the negligent person</w:t>
      </w:r>
    </w:p>
    <w:p w14:paraId="695FC379" w14:textId="77777777" w:rsidR="00437E9C" w:rsidRDefault="00437E9C" w:rsidP="00EF2F4E">
      <w:pPr>
        <w:pStyle w:val="ListParagraph"/>
        <w:numPr>
          <w:ilvl w:val="0"/>
          <w:numId w:val="4"/>
        </w:numPr>
        <w:tabs>
          <w:tab w:val="left" w:pos="1640"/>
        </w:tabs>
        <w:spacing w:line="360" w:lineRule="auto"/>
        <w:jc w:val="both"/>
        <w:rPr>
          <w:rFonts w:ascii="Arial" w:hAnsi="Arial" w:cs="Arial"/>
          <w:sz w:val="24"/>
          <w:szCs w:val="24"/>
        </w:rPr>
      </w:pPr>
      <w:r>
        <w:rPr>
          <w:rFonts w:ascii="Arial" w:hAnsi="Arial" w:cs="Arial"/>
          <w:sz w:val="24"/>
          <w:szCs w:val="24"/>
        </w:rPr>
        <w:t xml:space="preserve">Duty of care is breached by the negligent person </w:t>
      </w:r>
    </w:p>
    <w:p w14:paraId="19DAF2DE" w14:textId="18FCCE28" w:rsidR="00437E9C" w:rsidRPr="005B7362" w:rsidRDefault="00437E9C" w:rsidP="00EF2F4E">
      <w:pPr>
        <w:pStyle w:val="ListParagraph"/>
        <w:numPr>
          <w:ilvl w:val="0"/>
          <w:numId w:val="4"/>
        </w:numPr>
        <w:tabs>
          <w:tab w:val="left" w:pos="1640"/>
        </w:tabs>
        <w:spacing w:line="360" w:lineRule="auto"/>
        <w:jc w:val="both"/>
        <w:rPr>
          <w:rFonts w:ascii="Arial" w:hAnsi="Arial" w:cs="Arial"/>
          <w:sz w:val="24"/>
          <w:szCs w:val="24"/>
        </w:rPr>
      </w:pPr>
      <w:r>
        <w:rPr>
          <w:rFonts w:ascii="Arial" w:hAnsi="Arial" w:cs="Arial"/>
          <w:sz w:val="24"/>
          <w:szCs w:val="24"/>
        </w:rPr>
        <w:t>Failure to implement duty of care results in injury and/or damage</w:t>
      </w:r>
      <w:r w:rsidR="00EF2F4E">
        <w:t>.</w:t>
      </w:r>
    </w:p>
    <w:p w14:paraId="7FA3F66D" w14:textId="4D8D1FE8" w:rsidR="00437E9C" w:rsidRPr="00D04A71" w:rsidRDefault="00437E9C" w:rsidP="00EF2F4E">
      <w:pPr>
        <w:spacing w:line="360" w:lineRule="auto"/>
        <w:jc w:val="both"/>
        <w:rPr>
          <w:rFonts w:ascii="Arial" w:hAnsi="Arial" w:cs="Arial"/>
          <w:sz w:val="24"/>
          <w:szCs w:val="24"/>
        </w:rPr>
      </w:pPr>
      <w:r w:rsidRPr="00AB3E8C">
        <w:rPr>
          <w:rFonts w:ascii="Arial" w:hAnsi="Arial" w:cs="Arial"/>
          <w:b/>
          <w:bCs/>
          <w:sz w:val="24"/>
          <w:szCs w:val="24"/>
        </w:rPr>
        <w:t>Duty of care –</w:t>
      </w:r>
      <w:r w:rsidRPr="00D04A71">
        <w:rPr>
          <w:rFonts w:ascii="Arial" w:hAnsi="Arial" w:cs="Arial"/>
          <w:sz w:val="24"/>
          <w:szCs w:val="24"/>
        </w:rPr>
        <w:t xml:space="preserve"> This element can pertain to an array of situations where one has acted carelessly, </w:t>
      </w:r>
      <w:r>
        <w:rPr>
          <w:rFonts w:ascii="Arial" w:hAnsi="Arial" w:cs="Arial"/>
          <w:sz w:val="24"/>
          <w:szCs w:val="24"/>
        </w:rPr>
        <w:t>however, it is crucial that the defendant is established with a duty of care over the claimant who is harmed, otherwise the claim will not be considered in a court of law</w:t>
      </w:r>
      <w:sdt>
        <w:sdtPr>
          <w:rPr>
            <w:rFonts w:ascii="Arial" w:hAnsi="Arial" w:cs="Arial"/>
            <w:sz w:val="24"/>
            <w:szCs w:val="24"/>
          </w:rPr>
          <w:id w:val="-1774932972"/>
          <w:citation/>
        </w:sdtPr>
        <w:sdtContent>
          <w:r>
            <w:rPr>
              <w:rFonts w:ascii="Arial" w:hAnsi="Arial" w:cs="Arial"/>
              <w:sz w:val="24"/>
              <w:szCs w:val="24"/>
            </w:rPr>
            <w:fldChar w:fldCharType="begin"/>
          </w:r>
          <w:r>
            <w:rPr>
              <w:rFonts w:ascii="Arial" w:hAnsi="Arial" w:cs="Arial"/>
              <w:sz w:val="24"/>
              <w:szCs w:val="24"/>
            </w:rPr>
            <w:instrText xml:space="preserve">CITATION Law22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(LawTeacher, 2018)</w:t>
          </w:r>
          <w:r>
            <w:rPr>
              <w:rFonts w:ascii="Arial" w:hAnsi="Arial" w:cs="Arial"/>
              <w:sz w:val="24"/>
              <w:szCs w:val="24"/>
            </w:rPr>
            <w:fldChar w:fldCharType="end"/>
          </w:r>
        </w:sdtContent>
      </w:sdt>
      <w:r>
        <w:rPr>
          <w:rFonts w:ascii="Arial" w:hAnsi="Arial" w:cs="Arial"/>
          <w:sz w:val="24"/>
          <w:szCs w:val="24"/>
        </w:rPr>
        <w:t xml:space="preserve">. </w:t>
      </w:r>
    </w:p>
    <w:p w14:paraId="5031B440" w14:textId="116CFDB2" w:rsidR="00437E9C" w:rsidRDefault="00437E9C" w:rsidP="00EF2F4E">
      <w:pPr>
        <w:spacing w:line="360" w:lineRule="auto"/>
        <w:jc w:val="both"/>
        <w:rPr>
          <w:rFonts w:ascii="Arial" w:hAnsi="Arial" w:cs="Arial"/>
          <w:sz w:val="24"/>
          <w:szCs w:val="24"/>
        </w:rPr>
      </w:pPr>
      <w:r w:rsidRPr="007F606A">
        <w:rPr>
          <w:rFonts w:ascii="Arial" w:hAnsi="Arial" w:cs="Arial"/>
          <w:b/>
          <w:bCs/>
          <w:sz w:val="24"/>
          <w:szCs w:val="24"/>
        </w:rPr>
        <w:t>Breach of duty of care –</w:t>
      </w:r>
      <w:r>
        <w:rPr>
          <w:rFonts w:ascii="Arial" w:hAnsi="Arial" w:cs="Arial"/>
          <w:sz w:val="24"/>
          <w:szCs w:val="24"/>
        </w:rPr>
        <w:t xml:space="preserve"> Breach of Duty leads on from the first element once the duty of care is established. Part of establishing a breach of duty of care is making a clear distinction between how the defendant acted and someone of conventional pragmatism would have acted in the same scenario. This will then lead to a distinct conclusion as to whether the defendant has “fallen short of this standard”</w:t>
      </w:r>
      <w:sdt>
        <w:sdtPr>
          <w:rPr>
            <w:rFonts w:ascii="Arial" w:hAnsi="Arial" w:cs="Arial"/>
            <w:sz w:val="24"/>
            <w:szCs w:val="24"/>
          </w:rPr>
          <w:id w:val="2116016776"/>
          <w:citation/>
        </w:sdtPr>
        <w:sdtContent>
          <w:r>
            <w:rPr>
              <w:rFonts w:ascii="Arial" w:hAnsi="Arial" w:cs="Arial"/>
              <w:sz w:val="24"/>
              <w:szCs w:val="24"/>
            </w:rPr>
            <w:fldChar w:fldCharType="begin"/>
          </w:r>
          <w:r>
            <w:rPr>
              <w:rFonts w:ascii="Arial" w:hAnsi="Arial" w:cs="Arial"/>
              <w:sz w:val="24"/>
              <w:szCs w:val="24"/>
            </w:rPr>
            <w:instrText xml:space="preserve">CITATION Law18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(LawTeacher, 2018)</w:t>
          </w:r>
          <w:r>
            <w:rPr>
              <w:rFonts w:ascii="Arial" w:hAnsi="Arial" w:cs="Arial"/>
              <w:sz w:val="24"/>
              <w:szCs w:val="24"/>
            </w:rPr>
            <w:fldChar w:fldCharType="end"/>
          </w:r>
        </w:sdtContent>
      </w:sdt>
      <w:r>
        <w:rPr>
          <w:rFonts w:ascii="Arial" w:hAnsi="Arial" w:cs="Arial"/>
          <w:sz w:val="24"/>
          <w:szCs w:val="24"/>
        </w:rPr>
        <w:t>.</w:t>
      </w:r>
    </w:p>
    <w:p w14:paraId="1DDCD072" w14:textId="4D5F2010" w:rsidR="00437E9C" w:rsidRDefault="00437E9C" w:rsidP="00EF2F4E">
      <w:pPr>
        <w:spacing w:line="360" w:lineRule="auto"/>
        <w:jc w:val="both"/>
        <w:rPr>
          <w:rFonts w:ascii="Arial" w:hAnsi="Arial" w:cs="Arial"/>
          <w:sz w:val="24"/>
          <w:szCs w:val="24"/>
        </w:rPr>
      </w:pPr>
      <w:r w:rsidRPr="007F606A">
        <w:rPr>
          <w:rFonts w:ascii="Arial" w:hAnsi="Arial" w:cs="Arial"/>
          <w:b/>
          <w:bCs/>
          <w:sz w:val="24"/>
          <w:szCs w:val="24"/>
        </w:rPr>
        <w:lastRenderedPageBreak/>
        <w:t xml:space="preserve">Damage must be caused from the breach </w:t>
      </w:r>
      <w:r>
        <w:rPr>
          <w:rFonts w:ascii="Arial" w:hAnsi="Arial" w:cs="Arial"/>
          <w:b/>
          <w:bCs/>
          <w:sz w:val="24"/>
          <w:szCs w:val="24"/>
        </w:rPr>
        <w:t>–</w:t>
      </w:r>
      <w:r w:rsidRPr="007F606A">
        <w:rPr>
          <w:rFonts w:ascii="Arial" w:hAnsi="Arial" w:cs="Arial"/>
          <w:sz w:val="24"/>
          <w:szCs w:val="24"/>
        </w:rPr>
        <w:t xml:space="preserve"> </w:t>
      </w:r>
      <w:r>
        <w:rPr>
          <w:rFonts w:ascii="Arial" w:hAnsi="Arial" w:cs="Arial"/>
          <w:sz w:val="24"/>
          <w:szCs w:val="24"/>
        </w:rPr>
        <w:t>Once a breach of duty has been established, the court is to then prove that the defendant caused injury and/or damage to the claimant and must decide that the damage inflicted “was not too ‘remote’ from the breach”</w:t>
      </w:r>
      <w:sdt>
        <w:sdtPr>
          <w:rPr>
            <w:rFonts w:ascii="Arial" w:hAnsi="Arial" w:cs="Arial"/>
            <w:sz w:val="24"/>
            <w:szCs w:val="24"/>
          </w:rPr>
          <w:id w:val="1278224606"/>
          <w:citation/>
        </w:sdtPr>
        <w:sdtContent>
          <w:r>
            <w:rPr>
              <w:rFonts w:ascii="Arial" w:hAnsi="Arial" w:cs="Arial"/>
              <w:sz w:val="24"/>
              <w:szCs w:val="24"/>
            </w:rPr>
            <w:fldChar w:fldCharType="begin"/>
          </w:r>
          <w:r>
            <w:rPr>
              <w:rFonts w:ascii="Arial" w:hAnsi="Arial" w:cs="Arial"/>
              <w:sz w:val="24"/>
              <w:szCs w:val="24"/>
            </w:rPr>
            <w:instrText xml:space="preserve"> CITATION Law181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(LawTeacher, 2018)</w:t>
          </w:r>
          <w:r>
            <w:rPr>
              <w:rFonts w:ascii="Arial" w:hAnsi="Arial" w:cs="Arial"/>
              <w:sz w:val="24"/>
              <w:szCs w:val="24"/>
            </w:rPr>
            <w:fldChar w:fldCharType="end"/>
          </w:r>
        </w:sdtContent>
      </w:sdt>
      <w:r>
        <w:rPr>
          <w:rFonts w:ascii="Arial" w:hAnsi="Arial" w:cs="Arial"/>
          <w:sz w:val="24"/>
          <w:szCs w:val="24"/>
        </w:rPr>
        <w:t>.</w:t>
      </w:r>
    </w:p>
    <w:p w14:paraId="6464776B" w14:textId="357D9C50" w:rsidR="00437E9C" w:rsidRPr="00EF2F4E" w:rsidRDefault="00437E9C" w:rsidP="00EF2F4E">
      <w:pPr>
        <w:spacing w:line="360" w:lineRule="auto"/>
        <w:jc w:val="both"/>
        <w:rPr>
          <w:rFonts w:ascii="Arial" w:hAnsi="Arial" w:cs="Arial"/>
          <w:sz w:val="28"/>
          <w:szCs w:val="28"/>
        </w:rPr>
      </w:pPr>
      <w:r w:rsidRPr="00B9460B">
        <w:rPr>
          <w:rFonts w:ascii="Arial" w:hAnsi="Arial" w:cs="Arial"/>
          <w:sz w:val="24"/>
          <w:szCs w:val="24"/>
        </w:rPr>
        <w:t>In order to come to a fair conclusion, and to have a strong case against the claimant, one must establish evidence for each of “the five elements of tort of negligence: Duty, cause, in fact, proximate cause, and harm”</w:t>
      </w:r>
      <w:sdt>
        <w:sdtPr>
          <w:rPr>
            <w:rFonts w:ascii="Arial" w:hAnsi="Arial" w:cs="Arial"/>
            <w:b/>
            <w:bCs/>
            <w:i/>
            <w:iCs/>
            <w:sz w:val="24"/>
            <w:szCs w:val="24"/>
          </w:rPr>
          <w:id w:val="-1605803446"/>
          <w:citation/>
        </w:sdtPr>
        <w:sdtContent>
          <w:r w:rsidRPr="00B9460B">
            <w:rPr>
              <w:rFonts w:ascii="Arial" w:hAnsi="Arial" w:cs="Arial"/>
              <w:b/>
              <w:bCs/>
              <w:i/>
              <w:iCs/>
              <w:sz w:val="24"/>
              <w:szCs w:val="24"/>
            </w:rPr>
            <w:fldChar w:fldCharType="begin"/>
          </w:r>
          <w:r w:rsidRPr="00B9460B">
            <w:rPr>
              <w:rFonts w:ascii="Arial" w:hAnsi="Arial" w:cs="Arial"/>
              <w:b/>
              <w:bCs/>
              <w:i/>
              <w:iCs/>
              <w:sz w:val="24"/>
              <w:szCs w:val="24"/>
            </w:rPr>
            <w:instrText xml:space="preserve"> CITATION Leg22 \l 2057 </w:instrText>
          </w:r>
          <w:r w:rsidRPr="00B9460B">
            <w:rPr>
              <w:rFonts w:ascii="Arial" w:hAnsi="Arial" w:cs="Arial"/>
              <w:b/>
              <w:bCs/>
              <w:i/>
              <w:iCs/>
              <w:sz w:val="24"/>
              <w:szCs w:val="24"/>
            </w:rPr>
            <w:fldChar w:fldCharType="separate"/>
          </w:r>
          <w:r w:rsidR="002E4A24">
            <w:rPr>
              <w:rFonts w:ascii="Arial" w:hAnsi="Arial" w:cs="Arial"/>
              <w:b/>
              <w:bCs/>
              <w:i/>
              <w:iCs/>
              <w:noProof/>
              <w:sz w:val="24"/>
              <w:szCs w:val="24"/>
            </w:rPr>
            <w:t xml:space="preserve"> </w:t>
          </w:r>
          <w:r w:rsidR="002E4A24" w:rsidRPr="002E4A24">
            <w:rPr>
              <w:rFonts w:ascii="Arial" w:hAnsi="Arial" w:cs="Arial"/>
              <w:noProof/>
              <w:sz w:val="24"/>
              <w:szCs w:val="24"/>
            </w:rPr>
            <w:t>(Legalknowledgebase, 2022)</w:t>
          </w:r>
          <w:r w:rsidRPr="00B9460B">
            <w:rPr>
              <w:rFonts w:ascii="Arial" w:hAnsi="Arial" w:cs="Arial"/>
              <w:b/>
              <w:bCs/>
              <w:i/>
              <w:iCs/>
              <w:sz w:val="24"/>
              <w:szCs w:val="24"/>
            </w:rPr>
            <w:fldChar w:fldCharType="end"/>
          </w:r>
        </w:sdtContent>
      </w:sdt>
      <w:r w:rsidRPr="00B9460B">
        <w:rPr>
          <w:rFonts w:ascii="Arial" w:hAnsi="Arial" w:cs="Arial"/>
          <w:b/>
          <w:bCs/>
          <w:i/>
          <w:iCs/>
          <w:sz w:val="24"/>
          <w:szCs w:val="24"/>
        </w:rPr>
        <w:t>.</w:t>
      </w:r>
    </w:p>
    <w:p w14:paraId="077E2ED1" w14:textId="0ED6BDA7" w:rsidR="00437E9C" w:rsidRDefault="00437E9C" w:rsidP="00EF2F4E">
      <w:pPr>
        <w:tabs>
          <w:tab w:val="left" w:pos="1553"/>
        </w:tabs>
        <w:spacing w:line="360" w:lineRule="auto"/>
        <w:jc w:val="both"/>
      </w:pPr>
    </w:p>
    <w:p w14:paraId="6EC17970" w14:textId="77777777" w:rsidR="00437E9C" w:rsidRDefault="00437E9C" w:rsidP="00EF2F4E">
      <w:pPr>
        <w:pStyle w:val="Heading2"/>
        <w:spacing w:line="360" w:lineRule="auto"/>
        <w:jc w:val="both"/>
      </w:pPr>
      <w:bookmarkStart w:id="4" w:name="_Toc120902313"/>
      <w:r>
        <w:t>3.2 – Importance of negligence within construction</w:t>
      </w:r>
      <w:bookmarkEnd w:id="4"/>
    </w:p>
    <w:p w14:paraId="0F5CADB5" w14:textId="77777777" w:rsidR="00437E9C" w:rsidRDefault="00437E9C" w:rsidP="00EF2F4E">
      <w:pPr>
        <w:spacing w:line="360" w:lineRule="auto"/>
        <w:contextualSpacing/>
        <w:jc w:val="both"/>
        <w:rPr>
          <w:rFonts w:ascii="Arial" w:hAnsi="Arial" w:cs="Arial"/>
          <w:sz w:val="24"/>
          <w:szCs w:val="24"/>
        </w:rPr>
      </w:pPr>
    </w:p>
    <w:p w14:paraId="7180C182" w14:textId="0E76D5D3" w:rsidR="00437E9C" w:rsidRDefault="00635062" w:rsidP="00EF2F4E">
      <w:pPr>
        <w:spacing w:line="360" w:lineRule="auto"/>
        <w:contextualSpacing/>
        <w:jc w:val="both"/>
        <w:rPr>
          <w:rFonts w:ascii="Arial" w:hAnsi="Arial" w:cs="Arial"/>
          <w:sz w:val="24"/>
          <w:szCs w:val="24"/>
        </w:rPr>
      </w:pPr>
      <w:r w:rsidRPr="00EF47C0">
        <w:rPr>
          <w:rFonts w:ascii="Arial" w:hAnsi="Arial" w:cs="Arial"/>
          <w:sz w:val="24"/>
          <w:szCs w:val="24"/>
        </w:rPr>
        <w:t>The case of D&amp;F Estates Limited and Others v Church Commissioners for England and others (1988, 1989)</w:t>
      </w:r>
      <w:r w:rsidR="00437E9C" w:rsidRPr="00EF47C0">
        <w:rPr>
          <w:rFonts w:ascii="Arial" w:hAnsi="Arial" w:cs="Arial"/>
          <w:sz w:val="24"/>
          <w:szCs w:val="24"/>
        </w:rPr>
        <w:t xml:space="preserve"> is a crucial </w:t>
      </w:r>
      <w:r w:rsidR="00437E9C">
        <w:rPr>
          <w:rFonts w:ascii="Arial" w:hAnsi="Arial" w:cs="Arial"/>
          <w:sz w:val="24"/>
          <w:szCs w:val="24"/>
        </w:rPr>
        <w:t xml:space="preserve">element </w:t>
      </w:r>
      <w:r w:rsidR="00EF2F4E">
        <w:rPr>
          <w:rFonts w:ascii="Arial" w:hAnsi="Arial" w:cs="Arial"/>
          <w:sz w:val="24"/>
          <w:szCs w:val="24"/>
        </w:rPr>
        <w:t>of</w:t>
      </w:r>
      <w:r w:rsidR="00437E9C" w:rsidRPr="00EF47C0">
        <w:rPr>
          <w:rFonts w:ascii="Arial" w:hAnsi="Arial" w:cs="Arial"/>
          <w:sz w:val="24"/>
          <w:szCs w:val="24"/>
        </w:rPr>
        <w:t xml:space="preserve"> tort law and the evolution of negligence within English law. From the first case law of negligence in 1932, relating to Donoghue v Stevenson</w:t>
      </w:r>
      <w:sdt>
        <w:sdtPr>
          <w:rPr>
            <w:rFonts w:ascii="Arial" w:hAnsi="Arial" w:cs="Arial"/>
            <w:sz w:val="24"/>
            <w:szCs w:val="24"/>
          </w:rPr>
          <w:id w:val="1000849233"/>
          <w:citation/>
        </w:sdtPr>
        <w:sdtContent>
          <w:r w:rsidR="00437E9C" w:rsidRPr="00EF47C0">
            <w:rPr>
              <w:rFonts w:ascii="Arial" w:hAnsi="Arial" w:cs="Arial"/>
              <w:sz w:val="24"/>
              <w:szCs w:val="24"/>
            </w:rPr>
            <w:fldChar w:fldCharType="begin"/>
          </w:r>
          <w:r w:rsidR="00437E9C" w:rsidRPr="00EF47C0">
            <w:rPr>
              <w:rFonts w:ascii="Arial" w:hAnsi="Arial" w:cs="Arial"/>
              <w:sz w:val="24"/>
              <w:szCs w:val="24"/>
            </w:rPr>
            <w:instrText xml:space="preserve">CITATION Car19 \p "11, 12" \l 2057 </w:instrText>
          </w:r>
          <w:r w:rsidR="00437E9C" w:rsidRPr="00EF47C0">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(Brennon, 2019, pp. 11, 12)</w:t>
          </w:r>
          <w:r w:rsidR="00437E9C" w:rsidRPr="00EF47C0">
            <w:rPr>
              <w:rFonts w:ascii="Arial" w:hAnsi="Arial" w:cs="Arial"/>
              <w:sz w:val="24"/>
              <w:szCs w:val="24"/>
            </w:rPr>
            <w:fldChar w:fldCharType="end"/>
          </w:r>
        </w:sdtContent>
      </w:sdt>
      <w:r w:rsidR="00437E9C">
        <w:rPr>
          <w:rFonts w:ascii="Arial" w:hAnsi="Arial" w:cs="Arial"/>
          <w:sz w:val="24"/>
          <w:szCs w:val="24"/>
        </w:rPr>
        <w:t>, there have been further cases related to negligence, developing, and improving tort law. The neighbour principle, considered common law as ‘love your neighbour’, was used to develop into ‘you must not injure your neighbour</w:t>
      </w:r>
      <w:r>
        <w:rPr>
          <w:rFonts w:ascii="Arial" w:hAnsi="Arial" w:cs="Arial"/>
          <w:sz w:val="24"/>
          <w:szCs w:val="24"/>
        </w:rPr>
        <w:t>’</w:t>
      </w:r>
      <w:sdt>
        <w:sdtPr>
          <w:rPr>
            <w:rFonts w:ascii="Arial" w:hAnsi="Arial" w:cs="Arial"/>
            <w:sz w:val="24"/>
            <w:szCs w:val="24"/>
          </w:rPr>
          <w:id w:val="1910725638"/>
          <w:citation/>
        </w:sdtPr>
        <w:sdtContent>
          <w:r w:rsidR="00437E9C">
            <w:rPr>
              <w:rFonts w:ascii="Arial" w:hAnsi="Arial" w:cs="Arial"/>
              <w:sz w:val="24"/>
              <w:szCs w:val="24"/>
            </w:rPr>
            <w:fldChar w:fldCharType="begin"/>
          </w:r>
          <w:r w:rsidR="00437E9C">
            <w:rPr>
              <w:rFonts w:ascii="Arial" w:hAnsi="Arial" w:cs="Arial"/>
              <w:sz w:val="24"/>
              <w:szCs w:val="24"/>
            </w:rPr>
            <w:instrText xml:space="preserve">CITATION Car19 \p 12 \l 2057 </w:instrText>
          </w:r>
          <w:r w:rsidR="00437E9C">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(Brennon, 2019, p. 12)</w:t>
          </w:r>
          <w:r w:rsidR="00437E9C">
            <w:rPr>
              <w:rFonts w:ascii="Arial" w:hAnsi="Arial" w:cs="Arial"/>
              <w:sz w:val="24"/>
              <w:szCs w:val="24"/>
            </w:rPr>
            <w:fldChar w:fldCharType="end"/>
          </w:r>
        </w:sdtContent>
      </w:sdt>
      <w:r w:rsidR="00437E9C">
        <w:rPr>
          <w:rFonts w:ascii="Arial" w:hAnsi="Arial" w:cs="Arial"/>
          <w:sz w:val="24"/>
          <w:szCs w:val="24"/>
        </w:rPr>
        <w:t xml:space="preserve">. Mrs Donoghue prevailed through the tort of negligence, and the case provided a path of evolution for any future cases. </w:t>
      </w:r>
    </w:p>
    <w:p w14:paraId="5DC3273F" w14:textId="77777777" w:rsidR="00635062" w:rsidRDefault="00635062" w:rsidP="00EF2F4E">
      <w:pPr>
        <w:spacing w:line="360" w:lineRule="auto"/>
        <w:contextualSpacing/>
        <w:jc w:val="both"/>
        <w:rPr>
          <w:rFonts w:ascii="Arial" w:hAnsi="Arial" w:cs="Arial"/>
          <w:sz w:val="24"/>
          <w:szCs w:val="24"/>
        </w:rPr>
      </w:pPr>
    </w:p>
    <w:p w14:paraId="738C8060" w14:textId="7FF5B273" w:rsidR="00437E9C" w:rsidRDefault="00437E9C" w:rsidP="00EF2F4E">
      <w:pPr>
        <w:spacing w:line="360" w:lineRule="auto"/>
        <w:contextualSpacing/>
        <w:jc w:val="both"/>
        <w:rPr>
          <w:rFonts w:ascii="Arial" w:hAnsi="Arial" w:cs="Arial"/>
          <w:sz w:val="24"/>
          <w:szCs w:val="24"/>
        </w:rPr>
      </w:pPr>
      <w:r>
        <w:rPr>
          <w:rFonts w:ascii="Arial" w:hAnsi="Arial" w:cs="Arial"/>
          <w:sz w:val="24"/>
          <w:szCs w:val="24"/>
        </w:rPr>
        <w:t xml:space="preserve">The basis of the </w:t>
      </w:r>
      <w:r w:rsidRPr="00EF47C0">
        <w:rPr>
          <w:rFonts w:ascii="Arial" w:hAnsi="Arial" w:cs="Arial"/>
          <w:sz w:val="24"/>
          <w:szCs w:val="24"/>
        </w:rPr>
        <w:t>D&amp;F Estates Limited and Others v Church Commissioners for England and others (1988, 1989)</w:t>
      </w:r>
      <w:r>
        <w:rPr>
          <w:rFonts w:ascii="Arial" w:hAnsi="Arial" w:cs="Arial"/>
          <w:sz w:val="24"/>
          <w:szCs w:val="24"/>
        </w:rPr>
        <w:t xml:space="preserve"> case is that a contractor firm built a property for Church Commissioners, who had sub-contracted plastering work to be completed. The Church Commissioners found that, after 15 years, the plaster was failing to remain on the walls. The plaintiff claimed for negligence, but found the damage was only economic loss, as decided by The House of Lords. The reason for this is because there was no injury or damage to anyone or anything other than the defective product, thus the damages were not recoverable</w:t>
      </w:r>
      <w:sdt>
        <w:sdtPr>
          <w:rPr>
            <w:rFonts w:ascii="Arial" w:hAnsi="Arial" w:cs="Arial"/>
            <w:sz w:val="24"/>
            <w:szCs w:val="24"/>
          </w:rPr>
          <w:id w:val="1242455835"/>
          <w:citation/>
        </w:sdtPr>
        <w:sdtContent>
          <w:r>
            <w:rPr>
              <w:rFonts w:ascii="Arial" w:hAnsi="Arial" w:cs="Arial"/>
              <w:sz w:val="24"/>
              <w:szCs w:val="24"/>
            </w:rPr>
            <w:fldChar w:fldCharType="begin"/>
          </w:r>
          <w:r>
            <w:rPr>
              <w:rFonts w:ascii="Arial" w:hAnsi="Arial" w:cs="Arial"/>
              <w:sz w:val="24"/>
              <w:szCs w:val="24"/>
            </w:rPr>
            <w:instrText xml:space="preserve"> CITATION Cla15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(Classic case law: Teaching tort, 2015)</w:t>
          </w:r>
          <w:r>
            <w:rPr>
              <w:rFonts w:ascii="Arial" w:hAnsi="Arial" w:cs="Arial"/>
              <w:sz w:val="24"/>
              <w:szCs w:val="24"/>
            </w:rPr>
            <w:fldChar w:fldCharType="end"/>
          </w:r>
        </w:sdtContent>
      </w:sdt>
      <w:r>
        <w:rPr>
          <w:rFonts w:ascii="Arial" w:hAnsi="Arial" w:cs="Arial"/>
          <w:sz w:val="24"/>
          <w:szCs w:val="24"/>
        </w:rPr>
        <w:t>.</w:t>
      </w:r>
    </w:p>
    <w:p w14:paraId="0FCBEBD4" w14:textId="77777777" w:rsidR="00635062" w:rsidRDefault="00635062" w:rsidP="00EF2F4E">
      <w:pPr>
        <w:spacing w:line="360" w:lineRule="auto"/>
        <w:contextualSpacing/>
        <w:jc w:val="both"/>
        <w:rPr>
          <w:rFonts w:ascii="Arial" w:hAnsi="Arial" w:cs="Arial"/>
          <w:sz w:val="24"/>
          <w:szCs w:val="24"/>
        </w:rPr>
      </w:pPr>
    </w:p>
    <w:p w14:paraId="7025CF4B" w14:textId="77777777" w:rsidR="00437E9C" w:rsidRDefault="00437E9C" w:rsidP="00EF2F4E">
      <w:pPr>
        <w:spacing w:line="360" w:lineRule="auto"/>
        <w:contextualSpacing/>
        <w:jc w:val="both"/>
        <w:rPr>
          <w:rFonts w:ascii="Arial" w:hAnsi="Arial" w:cs="Arial"/>
          <w:sz w:val="24"/>
          <w:szCs w:val="24"/>
        </w:rPr>
      </w:pPr>
      <w:r>
        <w:rPr>
          <w:rFonts w:ascii="Arial" w:hAnsi="Arial" w:cs="Arial"/>
          <w:sz w:val="24"/>
          <w:szCs w:val="24"/>
        </w:rPr>
        <w:t xml:space="preserve">This case is considered important in terms of the tort of negligence and its essential elements because it provides a good comparison between itself and the Donoghue case. In the Donoghue case, the claimant was injured and thus awarded the damages. Whereas, the D&amp;F Estates v Church Commissioners case provides an example of </w:t>
      </w:r>
      <w:r>
        <w:rPr>
          <w:rFonts w:ascii="Arial" w:hAnsi="Arial" w:cs="Arial"/>
          <w:sz w:val="24"/>
          <w:szCs w:val="24"/>
        </w:rPr>
        <w:lastRenderedPageBreak/>
        <w:t>circumstances whereby nobody was hurt, and nothing was damaged, only suffering economic losses, suggesting that economic losses are not considered as crucial in law as someone or something that does get injured or damaged.</w:t>
      </w:r>
    </w:p>
    <w:p w14:paraId="758E6A27" w14:textId="77777777" w:rsidR="00437E9C" w:rsidRDefault="00437E9C" w:rsidP="00EF2F4E">
      <w:pPr>
        <w:spacing w:line="360" w:lineRule="auto"/>
        <w:contextualSpacing/>
        <w:jc w:val="both"/>
        <w:rPr>
          <w:rFonts w:ascii="Arial" w:hAnsi="Arial" w:cs="Arial"/>
          <w:sz w:val="24"/>
          <w:szCs w:val="24"/>
        </w:rPr>
      </w:pPr>
    </w:p>
    <w:p w14:paraId="738B4862" w14:textId="1BFDF028" w:rsidR="00437E9C" w:rsidRDefault="00437E9C" w:rsidP="00EF2F4E">
      <w:pPr>
        <w:spacing w:line="360" w:lineRule="auto"/>
        <w:contextualSpacing/>
        <w:jc w:val="both"/>
        <w:rPr>
          <w:rFonts w:ascii="Arial" w:hAnsi="Arial" w:cs="Arial"/>
          <w:sz w:val="24"/>
          <w:szCs w:val="24"/>
        </w:rPr>
      </w:pPr>
      <w:r>
        <w:rPr>
          <w:rFonts w:ascii="Arial" w:hAnsi="Arial" w:cs="Arial"/>
          <w:sz w:val="24"/>
          <w:szCs w:val="24"/>
        </w:rPr>
        <w:t>It c</w:t>
      </w:r>
      <w:r w:rsidR="00635062">
        <w:rPr>
          <w:rFonts w:ascii="Arial" w:hAnsi="Arial" w:cs="Arial"/>
          <w:sz w:val="24"/>
          <w:szCs w:val="24"/>
        </w:rPr>
        <w:t>ould</w:t>
      </w:r>
      <w:r>
        <w:rPr>
          <w:rFonts w:ascii="Arial" w:hAnsi="Arial" w:cs="Arial"/>
          <w:sz w:val="24"/>
          <w:szCs w:val="24"/>
        </w:rPr>
        <w:t xml:space="preserve"> be argued that, although this relevant case was not deemed negligent within the court of law, it should still be considered that economic losses did occur. The main contractor would have been in charge over the sub-contractor, making it their prerogative to ensure that the job was completed safely</w:t>
      </w:r>
      <w:sdt>
        <w:sdtPr>
          <w:rPr>
            <w:rFonts w:ascii="Arial" w:hAnsi="Arial" w:cs="Arial"/>
            <w:sz w:val="24"/>
            <w:szCs w:val="24"/>
          </w:rPr>
          <w:id w:val="-2130003805"/>
          <w:citation/>
        </w:sdtPr>
        <w:sdtContent>
          <w:r>
            <w:rPr>
              <w:rFonts w:ascii="Arial" w:hAnsi="Arial" w:cs="Arial"/>
              <w:sz w:val="24"/>
              <w:szCs w:val="24"/>
            </w:rPr>
            <w:fldChar w:fldCharType="begin"/>
          </w:r>
          <w:r>
            <w:rPr>
              <w:rFonts w:ascii="Arial" w:hAnsi="Arial" w:cs="Arial"/>
              <w:sz w:val="24"/>
              <w:szCs w:val="24"/>
            </w:rPr>
            <w:instrText xml:space="preserve"> CITATION Rat22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(Ratzan Weissman Boldt, 2022)</w:t>
          </w:r>
          <w:r>
            <w:rPr>
              <w:rFonts w:ascii="Arial" w:hAnsi="Arial" w:cs="Arial"/>
              <w:sz w:val="24"/>
              <w:szCs w:val="24"/>
            </w:rPr>
            <w:fldChar w:fldCharType="end"/>
          </w:r>
        </w:sdtContent>
      </w:sdt>
      <w:r>
        <w:rPr>
          <w:rFonts w:ascii="Arial" w:hAnsi="Arial" w:cs="Arial"/>
          <w:sz w:val="24"/>
          <w:szCs w:val="24"/>
        </w:rPr>
        <w:t>.</w:t>
      </w:r>
    </w:p>
    <w:p w14:paraId="4164DF4C" w14:textId="1D22D5D8" w:rsidR="00437E9C" w:rsidRDefault="00437E9C" w:rsidP="00EF2F4E">
      <w:pPr>
        <w:spacing w:line="360" w:lineRule="auto"/>
        <w:contextualSpacing/>
        <w:jc w:val="both"/>
        <w:rPr>
          <w:rFonts w:ascii="Arial" w:hAnsi="Arial" w:cs="Arial"/>
          <w:sz w:val="24"/>
          <w:szCs w:val="24"/>
        </w:rPr>
      </w:pPr>
      <w:r>
        <w:rPr>
          <w:rFonts w:ascii="Arial" w:hAnsi="Arial" w:cs="Arial"/>
          <w:sz w:val="24"/>
          <w:szCs w:val="24"/>
        </w:rPr>
        <w:t>1979 was the first introduction of the BS-5750 (British Standard – Quality Assurance)</w:t>
      </w:r>
      <w:sdt>
        <w:sdtPr>
          <w:rPr>
            <w:rFonts w:ascii="Arial" w:hAnsi="Arial" w:cs="Arial"/>
            <w:sz w:val="24"/>
            <w:szCs w:val="24"/>
          </w:rPr>
          <w:id w:val="-413938315"/>
          <w:citation/>
        </w:sdtPr>
        <w:sdtContent>
          <w:r w:rsidR="00B804A6">
            <w:rPr>
              <w:rFonts w:ascii="Arial" w:hAnsi="Arial" w:cs="Arial"/>
              <w:sz w:val="24"/>
              <w:szCs w:val="24"/>
            </w:rPr>
            <w:fldChar w:fldCharType="begin"/>
          </w:r>
          <w:r w:rsidR="00B804A6">
            <w:rPr>
              <w:rFonts w:ascii="Arial" w:hAnsi="Arial" w:cs="Arial"/>
              <w:sz w:val="24"/>
              <w:szCs w:val="24"/>
            </w:rPr>
            <w:instrText xml:space="preserve"> CITATION ISO22 \l 2057 </w:instrText>
          </w:r>
          <w:r w:rsidR="00B804A6">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(ISO-9000 Help.co.uk, n.d.)</w:t>
          </w:r>
          <w:r w:rsidR="00B804A6">
            <w:rPr>
              <w:rFonts w:ascii="Arial" w:hAnsi="Arial" w:cs="Arial"/>
              <w:sz w:val="24"/>
              <w:szCs w:val="24"/>
            </w:rPr>
            <w:fldChar w:fldCharType="end"/>
          </w:r>
        </w:sdtContent>
      </w:sdt>
      <w:r>
        <w:rPr>
          <w:rFonts w:ascii="Arial" w:hAnsi="Arial" w:cs="Arial"/>
          <w:sz w:val="24"/>
          <w:szCs w:val="24"/>
        </w:rPr>
        <w:t>, and the ISO 9000 (International Organisation Standardisation – Quality management system)</w:t>
      </w:r>
      <w:sdt>
        <w:sdtPr>
          <w:rPr>
            <w:rFonts w:ascii="Arial" w:hAnsi="Arial" w:cs="Arial"/>
            <w:sz w:val="24"/>
            <w:szCs w:val="24"/>
          </w:rPr>
          <w:id w:val="-1591152838"/>
          <w:citation/>
        </w:sdtPr>
        <w:sdtContent>
          <w:r>
            <w:rPr>
              <w:rFonts w:ascii="Arial" w:hAnsi="Arial" w:cs="Arial"/>
              <w:sz w:val="24"/>
              <w:szCs w:val="24"/>
            </w:rPr>
            <w:fldChar w:fldCharType="begin"/>
          </w:r>
          <w:r>
            <w:rPr>
              <w:rFonts w:ascii="Arial" w:hAnsi="Arial" w:cs="Arial"/>
              <w:sz w:val="24"/>
              <w:szCs w:val="24"/>
            </w:rPr>
            <w:instrText xml:space="preserve">CITATION Don97 \p 4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(Don Sanders, 1997, p. 4)</w:t>
          </w:r>
          <w:r>
            <w:rPr>
              <w:rFonts w:ascii="Arial" w:hAnsi="Arial" w:cs="Arial"/>
              <w:sz w:val="24"/>
              <w:szCs w:val="24"/>
            </w:rPr>
            <w:fldChar w:fldCharType="end"/>
          </w:r>
        </w:sdtContent>
      </w:sdt>
      <w:r>
        <w:rPr>
          <w:rFonts w:ascii="Arial" w:hAnsi="Arial" w:cs="Arial"/>
          <w:sz w:val="24"/>
          <w:szCs w:val="24"/>
        </w:rPr>
        <w:t xml:space="preserve"> in 1987.</w:t>
      </w:r>
      <w:r w:rsidR="00635062">
        <w:rPr>
          <w:rFonts w:ascii="Arial" w:hAnsi="Arial" w:cs="Arial"/>
          <w:sz w:val="24"/>
          <w:szCs w:val="24"/>
        </w:rPr>
        <w:t xml:space="preserve"> </w:t>
      </w:r>
      <w:r>
        <w:rPr>
          <w:rFonts w:ascii="Arial" w:hAnsi="Arial" w:cs="Arial"/>
          <w:sz w:val="24"/>
          <w:szCs w:val="24"/>
        </w:rPr>
        <w:t xml:space="preserve">This suggests that at the time of this case there would have been limited Standards by which to set the work as they were only then being introduced. This implies that the quality of work would not have been there, alongside a lack of standards for the materials and the workmanship. As these requirements have improved, it has ensured that project progression is safer, in order to protect people and property from being injured or damaged, leading to negligence. </w:t>
      </w:r>
    </w:p>
    <w:p w14:paraId="55D73EA6" w14:textId="77777777" w:rsidR="00437E9C" w:rsidRPr="00D73ADD" w:rsidRDefault="00437E9C" w:rsidP="00EF2F4E">
      <w:pPr>
        <w:spacing w:line="360" w:lineRule="auto"/>
        <w:contextualSpacing/>
        <w:jc w:val="both"/>
        <w:rPr>
          <w:rFonts w:ascii="Arial" w:hAnsi="Arial" w:cs="Arial"/>
          <w:sz w:val="24"/>
          <w:szCs w:val="24"/>
        </w:rPr>
      </w:pPr>
      <w:r>
        <w:rPr>
          <w:rFonts w:ascii="Arial" w:hAnsi="Arial" w:cs="Arial"/>
          <w:sz w:val="24"/>
          <w:szCs w:val="24"/>
        </w:rPr>
        <w:t>It is important to recognise that injury or damage could have occurred during this instance and a claim for negligence would have been valid. It is therefore essential, that in construction, every necessary step and precaution is made to prevent a claim against a company for negligence.</w:t>
      </w:r>
    </w:p>
    <w:p w14:paraId="04B356DB" w14:textId="77777777" w:rsidR="00437E9C" w:rsidRDefault="00437E9C" w:rsidP="00EF2F4E">
      <w:pPr>
        <w:pStyle w:val="Heading2"/>
        <w:spacing w:line="360" w:lineRule="auto"/>
        <w:jc w:val="both"/>
      </w:pPr>
      <w:bookmarkStart w:id="5" w:name="_Toc120902314"/>
      <w:r>
        <w:t>3.3 – Impact of adjudication</w:t>
      </w:r>
      <w:bookmarkEnd w:id="5"/>
      <w:r>
        <w:t xml:space="preserve"> </w:t>
      </w:r>
    </w:p>
    <w:p w14:paraId="6F17BE50" w14:textId="6EAD32B3" w:rsidR="00437E9C" w:rsidRDefault="00437E9C" w:rsidP="00EF2F4E">
      <w:pPr>
        <w:tabs>
          <w:tab w:val="left" w:pos="914"/>
        </w:tabs>
        <w:spacing w:line="360" w:lineRule="auto"/>
        <w:contextualSpacing/>
        <w:jc w:val="both"/>
        <w:rPr>
          <w:rFonts w:ascii="Arial" w:hAnsi="Arial" w:cs="Arial"/>
          <w:sz w:val="24"/>
          <w:szCs w:val="24"/>
        </w:rPr>
      </w:pPr>
      <w:r w:rsidRPr="006807A2">
        <w:rPr>
          <w:rFonts w:ascii="Arial" w:hAnsi="Arial" w:cs="Arial"/>
          <w:sz w:val="24"/>
          <w:szCs w:val="24"/>
        </w:rPr>
        <w:t>Adjudication is the legal process governed by the Housing Grants, Construction and Regeneration Act 1996, whereby any party within construction i.e., construction contracts, has a right to dispute an issue between two or more parties in order to determine a cost effective, and quick outcome based on the adjudicator’s decision</w:t>
      </w:r>
      <w:sdt>
        <w:sdtPr>
          <w:rPr>
            <w:rFonts w:ascii="Arial" w:hAnsi="Arial" w:cs="Arial"/>
            <w:sz w:val="24"/>
            <w:szCs w:val="24"/>
          </w:rPr>
          <w:id w:val="-2043738844"/>
          <w:citation/>
        </w:sdtPr>
        <w:sdtContent>
          <w:r w:rsidRPr="006807A2">
            <w:rPr>
              <w:rFonts w:ascii="Arial" w:hAnsi="Arial" w:cs="Arial"/>
              <w:sz w:val="24"/>
              <w:szCs w:val="24"/>
            </w:rPr>
            <w:fldChar w:fldCharType="begin"/>
          </w:r>
          <w:r w:rsidRPr="006807A2">
            <w:rPr>
              <w:rFonts w:ascii="Arial" w:hAnsi="Arial" w:cs="Arial"/>
              <w:sz w:val="24"/>
              <w:szCs w:val="24"/>
            </w:rPr>
            <w:instrText xml:space="preserve"> CITATION Adj22 \l 2057 </w:instrText>
          </w:r>
          <w:r w:rsidRPr="006807A2">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(Adjudication.co.uk, n.d.)</w:t>
          </w:r>
          <w:r w:rsidRPr="006807A2">
            <w:rPr>
              <w:rFonts w:ascii="Arial" w:hAnsi="Arial" w:cs="Arial"/>
              <w:sz w:val="24"/>
              <w:szCs w:val="24"/>
            </w:rPr>
            <w:fldChar w:fldCharType="end"/>
          </w:r>
        </w:sdtContent>
      </w:sdt>
      <w:r w:rsidRPr="006807A2">
        <w:rPr>
          <w:rFonts w:ascii="Arial" w:hAnsi="Arial" w:cs="Arial"/>
          <w:sz w:val="24"/>
          <w:szCs w:val="24"/>
        </w:rPr>
        <w:t xml:space="preserve">. Adjudication can be considered as a form of insurance for the either party, to ensure that other parties stick to the agreed contract, and if not, can protect them from an unfair dispute. </w:t>
      </w:r>
    </w:p>
    <w:p w14:paraId="7CECF595" w14:textId="08E38141" w:rsidR="00437E9C" w:rsidRPr="004C66F0" w:rsidRDefault="00437E9C" w:rsidP="00EF2F4E">
      <w:pPr>
        <w:tabs>
          <w:tab w:val="left" w:pos="914"/>
        </w:tabs>
        <w:spacing w:line="360" w:lineRule="auto"/>
        <w:contextualSpacing/>
        <w:jc w:val="both"/>
        <w:rPr>
          <w:rStyle w:val="legds"/>
          <w:rFonts w:ascii="Arial" w:hAnsi="Arial" w:cs="Arial"/>
          <w:color w:val="000000"/>
          <w:sz w:val="24"/>
          <w:szCs w:val="24"/>
        </w:rPr>
      </w:pPr>
      <w:r w:rsidRPr="006807A2">
        <w:rPr>
          <w:rFonts w:ascii="Arial" w:hAnsi="Arial" w:cs="Arial"/>
          <w:sz w:val="24"/>
          <w:szCs w:val="24"/>
        </w:rPr>
        <w:t>As stated by the government legislation</w:t>
      </w:r>
      <w:r>
        <w:rPr>
          <w:rFonts w:ascii="Arial" w:hAnsi="Arial" w:cs="Arial"/>
          <w:sz w:val="24"/>
          <w:szCs w:val="24"/>
        </w:rPr>
        <w:t xml:space="preserve"> under Section 108</w:t>
      </w:r>
      <w:r w:rsidRPr="006807A2">
        <w:rPr>
          <w:rFonts w:ascii="Arial" w:hAnsi="Arial" w:cs="Arial"/>
          <w:sz w:val="24"/>
          <w:szCs w:val="24"/>
        </w:rPr>
        <w:t>, any ‘standard’ form of</w:t>
      </w:r>
      <w:r>
        <w:rPr>
          <w:rFonts w:ascii="Arial" w:hAnsi="Arial" w:cs="Arial"/>
          <w:sz w:val="24"/>
          <w:szCs w:val="24"/>
        </w:rPr>
        <w:t xml:space="preserve"> </w:t>
      </w:r>
      <w:r w:rsidR="00635062">
        <w:rPr>
          <w:rFonts w:ascii="Arial" w:hAnsi="Arial" w:cs="Arial"/>
          <w:sz w:val="24"/>
          <w:szCs w:val="24"/>
        </w:rPr>
        <w:t>‘</w:t>
      </w:r>
      <w:r w:rsidRPr="00F334EF">
        <w:rPr>
          <w:rFonts w:ascii="Arial" w:hAnsi="Arial" w:cs="Arial"/>
          <w:sz w:val="24"/>
          <w:szCs w:val="24"/>
        </w:rPr>
        <w:t>construction contract has the right to refer a dispute for adjudication</w:t>
      </w:r>
      <w:r w:rsidRPr="00F334EF">
        <w:rPr>
          <w:rStyle w:val="legds"/>
          <w:rFonts w:ascii="Arial" w:hAnsi="Arial" w:cs="Arial"/>
        </w:rPr>
        <w:t xml:space="preserve"> </w:t>
      </w:r>
      <w:sdt>
        <w:sdtPr>
          <w:rPr>
            <w:rStyle w:val="legds"/>
            <w:rFonts w:ascii="Arial" w:hAnsi="Arial" w:cs="Arial"/>
            <w:sz w:val="24"/>
            <w:szCs w:val="24"/>
          </w:rPr>
          <w:id w:val="1600603265"/>
          <w:citation/>
        </w:sdtPr>
        <w:sdtEndPr>
          <w:rPr>
            <w:rStyle w:val="legds"/>
            <w:color w:val="000000"/>
          </w:rPr>
        </w:sdtEndPr>
        <w:sdtContent>
          <w:r w:rsidRPr="004C66F0">
            <w:rPr>
              <w:rStyle w:val="legds"/>
              <w:rFonts w:ascii="Arial" w:hAnsi="Arial" w:cs="Arial"/>
              <w:sz w:val="24"/>
              <w:szCs w:val="24"/>
            </w:rPr>
            <w:fldChar w:fldCharType="begin"/>
          </w:r>
          <w:r w:rsidRPr="004C66F0">
            <w:rPr>
              <w:rStyle w:val="legds"/>
              <w:rFonts w:ascii="Arial" w:hAnsi="Arial" w:cs="Arial"/>
              <w:sz w:val="24"/>
              <w:szCs w:val="24"/>
            </w:rPr>
            <w:instrText xml:space="preserve"> CITATION leg17 \l 2057 </w:instrText>
          </w:r>
          <w:r w:rsidRPr="004C66F0">
            <w:rPr>
              <w:rStyle w:val="legds"/>
              <w:rFonts w:ascii="Arial" w:hAnsi="Arial" w:cs="Arial"/>
              <w:sz w:val="24"/>
              <w:szCs w:val="24"/>
            </w:rPr>
            <w:fldChar w:fldCharType="separate"/>
          </w:r>
          <w:r w:rsidR="002E4A24" w:rsidRPr="002E4A24">
            <w:rPr>
              <w:rFonts w:ascii="Arial" w:hAnsi="Arial" w:cs="Arial"/>
              <w:noProof/>
              <w:sz w:val="24"/>
              <w:szCs w:val="24"/>
            </w:rPr>
            <w:t>(legislation.gov.uk, 2017)</w:t>
          </w:r>
          <w:r w:rsidRPr="004C66F0">
            <w:rPr>
              <w:rStyle w:val="legds"/>
              <w:rFonts w:ascii="Arial" w:hAnsi="Arial" w:cs="Arial"/>
              <w:sz w:val="24"/>
              <w:szCs w:val="24"/>
            </w:rPr>
            <w:fldChar w:fldCharType="end"/>
          </w:r>
        </w:sdtContent>
      </w:sdt>
      <w:r w:rsidRPr="004C66F0">
        <w:rPr>
          <w:rStyle w:val="legds"/>
          <w:rFonts w:ascii="Arial" w:hAnsi="Arial" w:cs="Arial"/>
          <w:color w:val="000000"/>
          <w:sz w:val="24"/>
          <w:szCs w:val="24"/>
        </w:rPr>
        <w:t>. The contract intends to:</w:t>
      </w:r>
    </w:p>
    <w:p w14:paraId="29965316" w14:textId="77777777" w:rsidR="00437E9C" w:rsidRPr="00F541F6" w:rsidRDefault="00437E9C" w:rsidP="00EF2F4E">
      <w:pPr>
        <w:tabs>
          <w:tab w:val="left" w:pos="914"/>
        </w:tabs>
        <w:spacing w:line="360" w:lineRule="auto"/>
        <w:contextualSpacing/>
        <w:jc w:val="both"/>
        <w:rPr>
          <w:rFonts w:ascii="Arial" w:hAnsi="Arial" w:cs="Arial"/>
          <w:color w:val="000000"/>
        </w:rPr>
      </w:pPr>
    </w:p>
    <w:p w14:paraId="06FE3382" w14:textId="77777777" w:rsidR="00437E9C" w:rsidRPr="00F541F6" w:rsidRDefault="00437E9C" w:rsidP="00EF2F4E">
      <w:pPr>
        <w:pStyle w:val="legclearfix"/>
        <w:numPr>
          <w:ilvl w:val="0"/>
          <w:numId w:val="5"/>
        </w:numPr>
        <w:shd w:val="clear" w:color="auto" w:fill="FFFFFF"/>
        <w:spacing w:before="0" w:beforeAutospacing="0" w:after="120" w:afterAutospacing="0" w:line="360" w:lineRule="auto"/>
        <w:jc w:val="both"/>
        <w:rPr>
          <w:rFonts w:ascii="Arial" w:hAnsi="Arial" w:cs="Arial"/>
        </w:rPr>
      </w:pPr>
      <w:r w:rsidRPr="00F541F6">
        <w:rPr>
          <w:rStyle w:val="legds"/>
          <w:rFonts w:ascii="Arial" w:hAnsi="Arial" w:cs="Arial"/>
        </w:rPr>
        <w:t>Enable a party to give notice at any time of his intention to refer a dispute to adjudication</w:t>
      </w:r>
    </w:p>
    <w:p w14:paraId="610AC4C3" w14:textId="77777777" w:rsidR="00437E9C" w:rsidRPr="00F541F6" w:rsidRDefault="00437E9C" w:rsidP="00EF2F4E">
      <w:pPr>
        <w:pStyle w:val="legclearfix"/>
        <w:numPr>
          <w:ilvl w:val="0"/>
          <w:numId w:val="5"/>
        </w:numPr>
        <w:shd w:val="clear" w:color="auto" w:fill="FFFFFF"/>
        <w:spacing w:before="0" w:beforeAutospacing="0" w:after="120" w:afterAutospacing="0" w:line="360" w:lineRule="auto"/>
        <w:jc w:val="both"/>
        <w:rPr>
          <w:rFonts w:ascii="Arial" w:hAnsi="Arial" w:cs="Arial"/>
        </w:rPr>
      </w:pPr>
      <w:r w:rsidRPr="00F541F6">
        <w:rPr>
          <w:rStyle w:val="legds"/>
          <w:rFonts w:ascii="Arial" w:hAnsi="Arial" w:cs="Arial"/>
        </w:rPr>
        <w:t>Provide a timetable with the object of securing the appointment of the adjudicator and referral of the dispute to him within 7 days of such notice</w:t>
      </w:r>
    </w:p>
    <w:p w14:paraId="752B5211" w14:textId="77777777" w:rsidR="00437E9C" w:rsidRPr="00F541F6" w:rsidRDefault="00437E9C" w:rsidP="00EF2F4E">
      <w:pPr>
        <w:pStyle w:val="legclearfix"/>
        <w:numPr>
          <w:ilvl w:val="0"/>
          <w:numId w:val="5"/>
        </w:numPr>
        <w:shd w:val="clear" w:color="auto" w:fill="FFFFFF"/>
        <w:spacing w:before="0" w:beforeAutospacing="0" w:after="120" w:afterAutospacing="0" w:line="360" w:lineRule="auto"/>
        <w:jc w:val="both"/>
        <w:rPr>
          <w:rFonts w:ascii="Arial" w:hAnsi="Arial" w:cs="Arial"/>
        </w:rPr>
      </w:pPr>
      <w:r w:rsidRPr="00F541F6">
        <w:rPr>
          <w:rStyle w:val="legds"/>
          <w:rFonts w:ascii="Arial" w:hAnsi="Arial" w:cs="Arial"/>
        </w:rPr>
        <w:t>Require the adjudicator to reach a decision within 28 days of referral or such longer period as is agreed by the parties after the dispute has been referred</w:t>
      </w:r>
    </w:p>
    <w:p w14:paraId="19F83F3A" w14:textId="77777777" w:rsidR="00437E9C" w:rsidRPr="00F541F6" w:rsidRDefault="00437E9C" w:rsidP="00EF2F4E">
      <w:pPr>
        <w:pStyle w:val="legclearfix"/>
        <w:numPr>
          <w:ilvl w:val="0"/>
          <w:numId w:val="5"/>
        </w:numPr>
        <w:shd w:val="clear" w:color="auto" w:fill="FFFFFF"/>
        <w:spacing w:before="0" w:beforeAutospacing="0" w:after="120" w:afterAutospacing="0" w:line="360" w:lineRule="auto"/>
        <w:jc w:val="both"/>
        <w:rPr>
          <w:rFonts w:ascii="Arial" w:hAnsi="Arial" w:cs="Arial"/>
        </w:rPr>
      </w:pPr>
      <w:r w:rsidRPr="00F541F6">
        <w:rPr>
          <w:rStyle w:val="legds"/>
          <w:rFonts w:ascii="Arial" w:hAnsi="Arial" w:cs="Arial"/>
        </w:rPr>
        <w:t>Allow the adjudicator to extend the period of 28 days by up to 14 days, with the consent of the party by Whom the dispute was referred</w:t>
      </w:r>
    </w:p>
    <w:p w14:paraId="639E6105" w14:textId="77777777" w:rsidR="00437E9C" w:rsidRPr="00F541F6" w:rsidRDefault="00437E9C" w:rsidP="00EF2F4E">
      <w:pPr>
        <w:pStyle w:val="legclearfix"/>
        <w:numPr>
          <w:ilvl w:val="0"/>
          <w:numId w:val="5"/>
        </w:numPr>
        <w:shd w:val="clear" w:color="auto" w:fill="FFFFFF"/>
        <w:spacing w:before="0" w:beforeAutospacing="0" w:after="120" w:afterAutospacing="0" w:line="360" w:lineRule="auto"/>
        <w:jc w:val="both"/>
        <w:rPr>
          <w:rFonts w:ascii="Arial" w:hAnsi="Arial" w:cs="Arial"/>
        </w:rPr>
      </w:pPr>
      <w:r w:rsidRPr="00F541F6">
        <w:rPr>
          <w:rStyle w:val="legds"/>
          <w:rFonts w:ascii="Arial" w:hAnsi="Arial" w:cs="Arial"/>
        </w:rPr>
        <w:t>Impose a duty on the adjudicator to act impartially</w:t>
      </w:r>
    </w:p>
    <w:p w14:paraId="4DFCEB8F" w14:textId="17B8692B" w:rsidR="00437E9C" w:rsidRPr="00F541F6" w:rsidRDefault="00437E9C" w:rsidP="00EF2F4E">
      <w:pPr>
        <w:pStyle w:val="legclearfix"/>
        <w:numPr>
          <w:ilvl w:val="0"/>
          <w:numId w:val="5"/>
        </w:numPr>
        <w:shd w:val="clear" w:color="auto" w:fill="FFFFFF"/>
        <w:spacing w:before="0" w:beforeAutospacing="0" w:after="120" w:afterAutospacing="0" w:line="360" w:lineRule="auto"/>
        <w:jc w:val="both"/>
        <w:rPr>
          <w:rFonts w:ascii="Arial" w:hAnsi="Arial" w:cs="Arial"/>
        </w:rPr>
      </w:pPr>
      <w:r w:rsidRPr="00F541F6">
        <w:rPr>
          <w:rStyle w:val="legds"/>
          <w:rFonts w:ascii="Arial" w:hAnsi="Arial" w:cs="Arial"/>
        </w:rPr>
        <w:t>Enable the adjudicator to take the initiative in ascertaining the facts and the law</w:t>
      </w:r>
      <w:r w:rsidR="00635062">
        <w:rPr>
          <w:rStyle w:val="legds"/>
          <w:rFonts w:ascii="Arial" w:hAnsi="Arial" w:cs="Arial"/>
        </w:rPr>
        <w:t>’</w:t>
      </w:r>
      <w:sdt>
        <w:sdtPr>
          <w:rPr>
            <w:rStyle w:val="legds"/>
            <w:rFonts w:ascii="Arial" w:hAnsi="Arial" w:cs="Arial"/>
          </w:rPr>
          <w:id w:val="-504901803"/>
          <w:citation/>
        </w:sdtPr>
        <w:sdtContent>
          <w:r w:rsidRPr="00F541F6">
            <w:rPr>
              <w:rStyle w:val="legds"/>
              <w:rFonts w:ascii="Arial" w:hAnsi="Arial" w:cs="Arial"/>
            </w:rPr>
            <w:fldChar w:fldCharType="begin"/>
          </w:r>
          <w:r w:rsidRPr="00F541F6">
            <w:rPr>
              <w:rStyle w:val="legds"/>
              <w:rFonts w:ascii="Arial" w:hAnsi="Arial" w:cs="Arial"/>
            </w:rPr>
            <w:instrText xml:space="preserve"> CITATION leg17 \l 2057 </w:instrText>
          </w:r>
          <w:r w:rsidRPr="00F541F6">
            <w:rPr>
              <w:rStyle w:val="legds"/>
              <w:rFonts w:ascii="Arial" w:hAnsi="Arial" w:cs="Arial"/>
            </w:rPr>
            <w:fldChar w:fldCharType="separate"/>
          </w:r>
          <w:r w:rsidR="002E4A24">
            <w:rPr>
              <w:rStyle w:val="legds"/>
              <w:rFonts w:ascii="Arial" w:hAnsi="Arial" w:cs="Arial"/>
              <w:noProof/>
            </w:rPr>
            <w:t xml:space="preserve"> </w:t>
          </w:r>
          <w:r w:rsidR="002E4A24" w:rsidRPr="002E4A24">
            <w:rPr>
              <w:rFonts w:ascii="Arial" w:hAnsi="Arial" w:cs="Arial"/>
              <w:noProof/>
            </w:rPr>
            <w:t>(legislation.gov.uk, 2017)</w:t>
          </w:r>
          <w:r w:rsidRPr="00F541F6">
            <w:rPr>
              <w:rStyle w:val="legds"/>
              <w:rFonts w:ascii="Arial" w:hAnsi="Arial" w:cs="Arial"/>
            </w:rPr>
            <w:fldChar w:fldCharType="end"/>
          </w:r>
        </w:sdtContent>
      </w:sdt>
      <w:r>
        <w:rPr>
          <w:rStyle w:val="legds"/>
          <w:rFonts w:ascii="Arial" w:hAnsi="Arial" w:cs="Arial"/>
        </w:rPr>
        <w:t>.</w:t>
      </w:r>
    </w:p>
    <w:p w14:paraId="7AE5B89E" w14:textId="77777777" w:rsidR="00437E9C" w:rsidRDefault="00437E9C" w:rsidP="00EF2F4E">
      <w:pPr>
        <w:tabs>
          <w:tab w:val="left" w:pos="914"/>
        </w:tabs>
        <w:spacing w:line="360" w:lineRule="auto"/>
        <w:jc w:val="both"/>
      </w:pPr>
    </w:p>
    <w:p w14:paraId="59E88646" w14:textId="33554A23" w:rsidR="00437E9C" w:rsidRDefault="00437E9C" w:rsidP="00EF2F4E">
      <w:pPr>
        <w:tabs>
          <w:tab w:val="left" w:pos="914"/>
        </w:tabs>
        <w:spacing w:line="360" w:lineRule="auto"/>
        <w:jc w:val="both"/>
        <w:rPr>
          <w:rFonts w:ascii="Arial" w:hAnsi="Arial" w:cs="Arial"/>
          <w:sz w:val="24"/>
          <w:szCs w:val="24"/>
        </w:rPr>
      </w:pPr>
      <w:r w:rsidRPr="000A5A47">
        <w:rPr>
          <w:rFonts w:ascii="Arial" w:hAnsi="Arial" w:cs="Arial"/>
          <w:sz w:val="24"/>
          <w:szCs w:val="24"/>
        </w:rPr>
        <w:t xml:space="preserve">The </w:t>
      </w:r>
      <w:r>
        <w:rPr>
          <w:rFonts w:ascii="Arial" w:hAnsi="Arial" w:cs="Arial"/>
          <w:sz w:val="24"/>
          <w:szCs w:val="24"/>
        </w:rPr>
        <w:t>Vinci Construction UK Ltd v Beumer Group UK Ltd case</w:t>
      </w:r>
      <w:sdt>
        <w:sdtPr>
          <w:rPr>
            <w:rFonts w:ascii="Arial" w:hAnsi="Arial" w:cs="Arial"/>
            <w:sz w:val="24"/>
            <w:szCs w:val="24"/>
          </w:rPr>
          <w:id w:val="-1107888263"/>
          <w:citation/>
        </w:sdtPr>
        <w:sdtContent>
          <w:r>
            <w:rPr>
              <w:rFonts w:ascii="Arial" w:hAnsi="Arial" w:cs="Arial"/>
              <w:sz w:val="24"/>
              <w:szCs w:val="24"/>
            </w:rPr>
            <w:fldChar w:fldCharType="begin"/>
          </w:r>
          <w:r>
            <w:rPr>
              <w:rFonts w:ascii="Arial" w:hAnsi="Arial" w:cs="Arial"/>
              <w:sz w:val="24"/>
              <w:szCs w:val="24"/>
            </w:rPr>
            <w:instrText xml:space="preserve"> CITATION Con18 \l 2057 </w:instrText>
          </w:r>
          <w:r>
            <w:rPr>
              <w:rFonts w:ascii="Arial" w:hAnsi="Arial" w:cs="Arial"/>
              <w:sz w:val="24"/>
              <w:szCs w:val="24"/>
            </w:rPr>
            <w:fldChar w:fldCharType="separate"/>
          </w:r>
          <w:r w:rsidR="002E4A24">
            <w:rPr>
              <w:rFonts w:ascii="Arial" w:hAnsi="Arial" w:cs="Arial"/>
              <w:noProof/>
              <w:sz w:val="24"/>
              <w:szCs w:val="24"/>
            </w:rPr>
            <w:t xml:space="preserve"> </w:t>
          </w:r>
          <w:r w:rsidR="002E4A24" w:rsidRPr="002E4A24">
            <w:rPr>
              <w:rFonts w:ascii="Arial" w:hAnsi="Arial" w:cs="Arial"/>
              <w:noProof/>
              <w:sz w:val="24"/>
              <w:szCs w:val="24"/>
            </w:rPr>
            <w:t>(Construction Management, 2018)</w:t>
          </w:r>
          <w:r>
            <w:rPr>
              <w:rFonts w:ascii="Arial" w:hAnsi="Arial" w:cs="Arial"/>
              <w:sz w:val="24"/>
              <w:szCs w:val="24"/>
            </w:rPr>
            <w:fldChar w:fldCharType="end"/>
          </w:r>
        </w:sdtContent>
      </w:sdt>
      <w:r>
        <w:rPr>
          <w:rFonts w:ascii="Arial" w:hAnsi="Arial" w:cs="Arial"/>
          <w:sz w:val="24"/>
          <w:szCs w:val="24"/>
        </w:rPr>
        <w:t xml:space="preserve"> is the perfect example of outlining adjudication and its impact on any given contract. This is a case where Vinci, the main contractor, and its subcontractor, Beumer entered into a dispute where seven adjudications took hold over a period of time. Beumer was assigned to a sectional completion contract on specialist works; however, there were delays on two of the later sections, providing Vinci with an enforceable claim for £9.7 million in liquidated and ascertained damages. The first six adjudications, commenced by Beumer, were due to the sub-contractor’s dispute for EOT’s or extension of time claims and refusal to pay based on Beumer’s argument. The seventh adjudication as commenced by Vinci because Beumer again, refused to pay the damages; the sub-contractors’ arguments being the breach of natural justice, based on three grounds, as stated on the Construction Management website: </w:t>
      </w:r>
    </w:p>
    <w:p w14:paraId="48741574" w14:textId="2BEF3BD3" w:rsidR="00437E9C" w:rsidRPr="00E90E82" w:rsidRDefault="00635062" w:rsidP="00EF2F4E">
      <w:pPr>
        <w:pStyle w:val="ListParagraph"/>
        <w:numPr>
          <w:ilvl w:val="0"/>
          <w:numId w:val="6"/>
        </w:numPr>
        <w:tabs>
          <w:tab w:val="left" w:pos="914"/>
        </w:tabs>
        <w:spacing w:line="360" w:lineRule="auto"/>
        <w:jc w:val="both"/>
        <w:rPr>
          <w:rFonts w:ascii="Arial" w:hAnsi="Arial" w:cs="Arial"/>
        </w:rPr>
      </w:pPr>
      <w:r>
        <w:rPr>
          <w:rFonts w:ascii="Arial" w:eastAsia="Times New Roman" w:hAnsi="Arial" w:cs="Arial"/>
          <w:sz w:val="24"/>
          <w:szCs w:val="24"/>
          <w:lang w:eastAsia="en-GB"/>
        </w:rPr>
        <w:t>‘</w:t>
      </w:r>
      <w:r w:rsidR="00437E9C" w:rsidRPr="00E90E82">
        <w:rPr>
          <w:rFonts w:ascii="Arial" w:eastAsia="Times New Roman" w:hAnsi="Arial" w:cs="Arial"/>
          <w:sz w:val="24"/>
          <w:szCs w:val="24"/>
          <w:lang w:eastAsia="en-GB"/>
        </w:rPr>
        <w:t>The adjudicator’s decision in the seventh adjudication was inconsistent with his decisions in adjudications four and six</w:t>
      </w:r>
    </w:p>
    <w:p w14:paraId="2867DDCE" w14:textId="77777777" w:rsidR="00437E9C" w:rsidRPr="00E90E82" w:rsidRDefault="00437E9C" w:rsidP="00EF2F4E">
      <w:pPr>
        <w:pStyle w:val="ListParagraph"/>
        <w:numPr>
          <w:ilvl w:val="0"/>
          <w:numId w:val="6"/>
        </w:numPr>
        <w:shd w:val="clear" w:color="auto" w:fill="FFFFFF"/>
        <w:spacing w:after="0" w:line="360" w:lineRule="auto"/>
        <w:jc w:val="both"/>
        <w:rPr>
          <w:rFonts w:ascii="Arial" w:eastAsia="Times New Roman" w:hAnsi="Arial" w:cs="Arial"/>
          <w:sz w:val="24"/>
          <w:szCs w:val="24"/>
          <w:lang w:eastAsia="en-GB"/>
        </w:rPr>
      </w:pPr>
      <w:r w:rsidRPr="00E90E82">
        <w:rPr>
          <w:rFonts w:ascii="Arial" w:eastAsia="Times New Roman" w:hAnsi="Arial" w:cs="Arial"/>
          <w:sz w:val="24"/>
          <w:szCs w:val="24"/>
          <w:lang w:eastAsia="en-GB"/>
        </w:rPr>
        <w:t>The adjudicator did not give any adequate reasons for his decision</w:t>
      </w:r>
    </w:p>
    <w:p w14:paraId="1F41A343" w14:textId="7D2604DD" w:rsidR="00437E9C" w:rsidRPr="00E90E82" w:rsidRDefault="00437E9C" w:rsidP="00EF2F4E">
      <w:pPr>
        <w:pStyle w:val="ListParagraph"/>
        <w:numPr>
          <w:ilvl w:val="0"/>
          <w:numId w:val="6"/>
        </w:numPr>
        <w:shd w:val="clear" w:color="auto" w:fill="FFFFFF"/>
        <w:spacing w:after="0" w:line="360" w:lineRule="auto"/>
        <w:jc w:val="both"/>
        <w:rPr>
          <w:rFonts w:ascii="Arial" w:eastAsia="Times New Roman" w:hAnsi="Arial" w:cs="Arial"/>
          <w:sz w:val="24"/>
          <w:szCs w:val="24"/>
          <w:lang w:eastAsia="en-GB"/>
        </w:rPr>
      </w:pPr>
      <w:r w:rsidRPr="00E90E82">
        <w:rPr>
          <w:rFonts w:ascii="Arial" w:eastAsia="Times New Roman" w:hAnsi="Arial" w:cs="Arial"/>
          <w:sz w:val="24"/>
          <w:szCs w:val="24"/>
          <w:lang w:eastAsia="en-GB"/>
        </w:rPr>
        <w:lastRenderedPageBreak/>
        <w:t>The adjudicator did not disclose or order Vinci to disclose material from a previous adjudication between Vinci and a Balfour Beatty company on the same project</w:t>
      </w:r>
      <w:r w:rsidR="00635062">
        <w:rPr>
          <w:rFonts w:ascii="Arial" w:eastAsia="Times New Roman" w:hAnsi="Arial" w:cs="Arial"/>
          <w:sz w:val="24"/>
          <w:szCs w:val="24"/>
          <w:lang w:eastAsia="en-GB"/>
        </w:rPr>
        <w:t>’</w:t>
      </w:r>
      <w:sdt>
        <w:sdtPr>
          <w:rPr>
            <w:rFonts w:ascii="Arial" w:eastAsia="Times New Roman" w:hAnsi="Arial" w:cs="Arial"/>
            <w:sz w:val="24"/>
            <w:szCs w:val="24"/>
            <w:lang w:eastAsia="en-GB"/>
          </w:rPr>
          <w:id w:val="-857195908"/>
          <w:citation/>
        </w:sdtPr>
        <w:sdtContent>
          <w:r w:rsidRPr="006E76FC">
            <w:rPr>
              <w:rFonts w:ascii="Arial" w:eastAsia="Times New Roman" w:hAnsi="Arial" w:cs="Arial"/>
              <w:sz w:val="24"/>
              <w:szCs w:val="24"/>
              <w:lang w:eastAsia="en-GB"/>
            </w:rPr>
            <w:fldChar w:fldCharType="begin"/>
          </w:r>
          <w:r w:rsidRPr="006E76FC">
            <w:rPr>
              <w:rFonts w:ascii="Arial" w:eastAsia="Times New Roman" w:hAnsi="Arial" w:cs="Arial"/>
              <w:sz w:val="24"/>
              <w:szCs w:val="24"/>
              <w:lang w:eastAsia="en-GB"/>
            </w:rPr>
            <w:instrText xml:space="preserve"> CITATION Con18 \l 2057 </w:instrText>
          </w:r>
          <w:r w:rsidRPr="006E76FC">
            <w:rPr>
              <w:rFonts w:ascii="Arial" w:eastAsia="Times New Roman" w:hAnsi="Arial" w:cs="Arial"/>
              <w:sz w:val="24"/>
              <w:szCs w:val="24"/>
              <w:lang w:eastAsia="en-GB"/>
            </w:rPr>
            <w:fldChar w:fldCharType="separate"/>
          </w:r>
          <w:r w:rsidR="002E4A24" w:rsidRPr="006E76FC">
            <w:rPr>
              <w:rFonts w:ascii="Arial" w:eastAsia="Times New Roman" w:hAnsi="Arial" w:cs="Arial"/>
              <w:noProof/>
              <w:sz w:val="24"/>
              <w:szCs w:val="24"/>
              <w:lang w:eastAsia="en-GB"/>
            </w:rPr>
            <w:t xml:space="preserve"> (Construction Management, 2018)</w:t>
          </w:r>
          <w:r w:rsidRPr="006E76FC">
            <w:rPr>
              <w:rFonts w:ascii="Arial" w:eastAsia="Times New Roman" w:hAnsi="Arial" w:cs="Arial"/>
              <w:sz w:val="24"/>
              <w:szCs w:val="24"/>
              <w:lang w:eastAsia="en-GB"/>
            </w:rPr>
            <w:fldChar w:fldCharType="end"/>
          </w:r>
        </w:sdtContent>
      </w:sdt>
      <w:r w:rsidRPr="006E76FC">
        <w:rPr>
          <w:rFonts w:ascii="Arial" w:eastAsia="Times New Roman" w:hAnsi="Arial" w:cs="Arial"/>
          <w:sz w:val="24"/>
          <w:szCs w:val="24"/>
          <w:lang w:eastAsia="en-GB"/>
        </w:rPr>
        <w:t>.</w:t>
      </w:r>
    </w:p>
    <w:p w14:paraId="3420FBB6" w14:textId="77777777" w:rsidR="00437E9C" w:rsidRDefault="00437E9C" w:rsidP="00EF2F4E">
      <w:pPr>
        <w:shd w:val="clear" w:color="auto" w:fill="FFFFFF"/>
        <w:spacing w:after="0" w:line="360" w:lineRule="auto"/>
        <w:jc w:val="both"/>
        <w:rPr>
          <w:rFonts w:ascii="Arial" w:eastAsia="Times New Roman" w:hAnsi="Arial" w:cs="Arial"/>
          <w:color w:val="010000"/>
          <w:sz w:val="24"/>
          <w:szCs w:val="24"/>
          <w:lang w:eastAsia="en-GB"/>
        </w:rPr>
      </w:pPr>
    </w:p>
    <w:p w14:paraId="70653BB2" w14:textId="51736EF4" w:rsidR="00437E9C" w:rsidRDefault="00437E9C" w:rsidP="00EF2F4E">
      <w:pPr>
        <w:shd w:val="clear" w:color="auto" w:fill="FFFFFF"/>
        <w:spacing w:after="0" w:line="360" w:lineRule="auto"/>
        <w:jc w:val="both"/>
        <w:rPr>
          <w:rFonts w:ascii="Arial" w:hAnsi="Arial" w:cs="Arial"/>
          <w:color w:val="010000"/>
          <w:sz w:val="24"/>
          <w:szCs w:val="24"/>
          <w:shd w:val="clear" w:color="auto" w:fill="FFFFFF"/>
        </w:rPr>
      </w:pPr>
      <w:r>
        <w:rPr>
          <w:rFonts w:ascii="Arial" w:eastAsia="Times New Roman" w:hAnsi="Arial" w:cs="Arial"/>
          <w:color w:val="010000"/>
          <w:sz w:val="24"/>
          <w:szCs w:val="24"/>
          <w:lang w:eastAsia="en-GB"/>
        </w:rPr>
        <w:t>The three grounds on which Beumer claimed adjudication, as stated above, were dismissed by the adjudicator on the basis of three final decision. The information was not disclosed from a separate adjudication between Vinci and another company during the same project, that was led by the same adjudicator as Vinci and Beumer’s adjudications four and six. Although aware, Beumer made no objection until adjudication seven, to argue the point. Furthermore, there was no case made for the disclosure, and finally, the evidence provided showed no clear inconsistency, thus invalidating the claim of breach of natural justice</w:t>
      </w:r>
      <w:sdt>
        <w:sdtPr>
          <w:rPr>
            <w:rFonts w:ascii="Arial" w:hAnsi="Arial" w:cs="Arial"/>
            <w:color w:val="010000"/>
            <w:sz w:val="24"/>
            <w:szCs w:val="24"/>
            <w:shd w:val="clear" w:color="auto" w:fill="FFFFFF"/>
          </w:rPr>
          <w:id w:val="-490640839"/>
          <w:citation/>
        </w:sdtPr>
        <w:sdtContent>
          <w:r>
            <w:rPr>
              <w:rFonts w:ascii="Arial" w:hAnsi="Arial" w:cs="Arial"/>
              <w:color w:val="010000"/>
              <w:sz w:val="24"/>
              <w:szCs w:val="24"/>
              <w:shd w:val="clear" w:color="auto" w:fill="FFFFFF"/>
            </w:rPr>
            <w:fldChar w:fldCharType="begin"/>
          </w:r>
          <w:r>
            <w:rPr>
              <w:rFonts w:ascii="Arial" w:hAnsi="Arial" w:cs="Arial"/>
              <w:color w:val="010000"/>
              <w:sz w:val="24"/>
              <w:szCs w:val="24"/>
              <w:shd w:val="clear" w:color="auto" w:fill="FFFFFF"/>
            </w:rPr>
            <w:instrText xml:space="preserve"> CITATION Con18 \l 2057 </w:instrText>
          </w:r>
          <w:r>
            <w:rPr>
              <w:rFonts w:ascii="Arial" w:hAnsi="Arial" w:cs="Arial"/>
              <w:color w:val="010000"/>
              <w:sz w:val="24"/>
              <w:szCs w:val="24"/>
              <w:shd w:val="clear" w:color="auto" w:fill="FFFFFF"/>
            </w:rPr>
            <w:fldChar w:fldCharType="separate"/>
          </w:r>
          <w:r w:rsidR="002E4A24">
            <w:rPr>
              <w:rFonts w:ascii="Arial" w:hAnsi="Arial" w:cs="Arial"/>
              <w:noProof/>
              <w:color w:val="010000"/>
              <w:sz w:val="24"/>
              <w:szCs w:val="24"/>
              <w:shd w:val="clear" w:color="auto" w:fill="FFFFFF"/>
            </w:rPr>
            <w:t xml:space="preserve"> </w:t>
          </w:r>
          <w:r w:rsidR="002E4A24" w:rsidRPr="002E4A24">
            <w:rPr>
              <w:rFonts w:ascii="Arial" w:hAnsi="Arial" w:cs="Arial"/>
              <w:noProof/>
              <w:color w:val="010000"/>
              <w:sz w:val="24"/>
              <w:szCs w:val="24"/>
              <w:shd w:val="clear" w:color="auto" w:fill="FFFFFF"/>
            </w:rPr>
            <w:t>(Construction Management, 2018)</w:t>
          </w:r>
          <w:r>
            <w:rPr>
              <w:rFonts w:ascii="Arial" w:hAnsi="Arial" w:cs="Arial"/>
              <w:color w:val="010000"/>
              <w:sz w:val="24"/>
              <w:szCs w:val="24"/>
              <w:shd w:val="clear" w:color="auto" w:fill="FFFFFF"/>
            </w:rPr>
            <w:fldChar w:fldCharType="end"/>
          </w:r>
        </w:sdtContent>
      </w:sdt>
      <w:r>
        <w:rPr>
          <w:rFonts w:ascii="Arial" w:hAnsi="Arial" w:cs="Arial"/>
          <w:color w:val="010000"/>
          <w:sz w:val="24"/>
          <w:szCs w:val="24"/>
          <w:shd w:val="clear" w:color="auto" w:fill="FFFFFF"/>
        </w:rPr>
        <w:t xml:space="preserve">. </w:t>
      </w:r>
    </w:p>
    <w:p w14:paraId="76B01FE9" w14:textId="77777777" w:rsidR="00437E9C" w:rsidRDefault="00437E9C" w:rsidP="00EF2F4E">
      <w:pPr>
        <w:shd w:val="clear" w:color="auto" w:fill="FFFFFF"/>
        <w:spacing w:after="0" w:line="360" w:lineRule="auto"/>
        <w:jc w:val="both"/>
        <w:rPr>
          <w:rFonts w:ascii="Arial" w:hAnsi="Arial" w:cs="Arial"/>
          <w:color w:val="010000"/>
          <w:sz w:val="24"/>
          <w:szCs w:val="24"/>
          <w:shd w:val="clear" w:color="auto" w:fill="FFFFFF"/>
        </w:rPr>
      </w:pPr>
    </w:p>
    <w:p w14:paraId="5DC51E69" w14:textId="36958CB8" w:rsidR="00437E9C" w:rsidRDefault="00437E9C" w:rsidP="00EF2F4E">
      <w:pPr>
        <w:shd w:val="clear" w:color="auto" w:fill="FFFFFF"/>
        <w:spacing w:after="0" w:line="360" w:lineRule="auto"/>
        <w:jc w:val="both"/>
        <w:rPr>
          <w:rFonts w:ascii="Arial" w:hAnsi="Arial" w:cs="Arial"/>
          <w:sz w:val="24"/>
          <w:szCs w:val="24"/>
          <w:shd w:val="clear" w:color="auto" w:fill="FFFFFF"/>
        </w:rPr>
      </w:pPr>
      <w:r w:rsidRPr="00B804A6">
        <w:rPr>
          <w:rFonts w:ascii="Arial" w:hAnsi="Arial" w:cs="Arial"/>
          <w:sz w:val="24"/>
          <w:szCs w:val="24"/>
          <w:shd w:val="clear" w:color="auto" w:fill="FFFFFF"/>
        </w:rPr>
        <w:t>In terms of the impact that adjudication has on a case such as this, it is important to recognise that the overall process is unforeseeable. As written by James Pickavance, the author of ‘A practical guide to construction Adjudication’, adjudication is the best way to resolve a dispute within construction. Although the cost of adjudication is significantly less than that of litigation and arbitration, there are still costs attached, and they can vary depending on factors like the size of the companies in dispute</w:t>
      </w:r>
      <w:sdt>
        <w:sdtPr>
          <w:rPr>
            <w:rFonts w:ascii="Arial" w:hAnsi="Arial" w:cs="Arial"/>
            <w:sz w:val="24"/>
            <w:szCs w:val="24"/>
            <w:shd w:val="clear" w:color="auto" w:fill="FFFFFF"/>
          </w:rPr>
          <w:id w:val="-1460401683"/>
          <w:citation/>
        </w:sdtPr>
        <w:sdtContent>
          <w:r w:rsidRPr="00B804A6">
            <w:rPr>
              <w:rFonts w:ascii="Arial" w:hAnsi="Arial" w:cs="Arial"/>
              <w:sz w:val="24"/>
              <w:szCs w:val="24"/>
              <w:shd w:val="clear" w:color="auto" w:fill="FFFFFF"/>
            </w:rPr>
            <w:fldChar w:fldCharType="begin"/>
          </w:r>
          <w:r w:rsidRPr="00B804A6">
            <w:rPr>
              <w:rFonts w:ascii="Arial" w:hAnsi="Arial" w:cs="Arial"/>
              <w:sz w:val="24"/>
              <w:szCs w:val="24"/>
              <w:shd w:val="clear" w:color="auto" w:fill="FFFFFF"/>
            </w:rPr>
            <w:instrText xml:space="preserve">CITATION Pic15 \p 19 \l 2057 </w:instrText>
          </w:r>
          <w:r w:rsidRPr="00B804A6">
            <w:rPr>
              <w:rFonts w:ascii="Arial" w:hAnsi="Arial" w:cs="Arial"/>
              <w:sz w:val="24"/>
              <w:szCs w:val="24"/>
              <w:shd w:val="clear" w:color="auto" w:fill="FFFFFF"/>
            </w:rPr>
            <w:fldChar w:fldCharType="separate"/>
          </w:r>
          <w:r w:rsidR="002E4A24">
            <w:rPr>
              <w:rFonts w:ascii="Arial" w:hAnsi="Arial" w:cs="Arial"/>
              <w:noProof/>
              <w:sz w:val="24"/>
              <w:szCs w:val="24"/>
              <w:shd w:val="clear" w:color="auto" w:fill="FFFFFF"/>
            </w:rPr>
            <w:t xml:space="preserve"> </w:t>
          </w:r>
          <w:r w:rsidR="002E4A24" w:rsidRPr="002E4A24">
            <w:rPr>
              <w:rFonts w:ascii="Arial" w:hAnsi="Arial" w:cs="Arial"/>
              <w:noProof/>
              <w:sz w:val="24"/>
              <w:szCs w:val="24"/>
              <w:shd w:val="clear" w:color="auto" w:fill="FFFFFF"/>
            </w:rPr>
            <w:t>(Pickavance, 2015, p. 19)</w:t>
          </w:r>
          <w:r w:rsidRPr="00B804A6">
            <w:rPr>
              <w:rFonts w:ascii="Arial" w:hAnsi="Arial" w:cs="Arial"/>
              <w:sz w:val="24"/>
              <w:szCs w:val="24"/>
              <w:shd w:val="clear" w:color="auto" w:fill="FFFFFF"/>
            </w:rPr>
            <w:fldChar w:fldCharType="end"/>
          </w:r>
        </w:sdtContent>
      </w:sdt>
      <w:r w:rsidRPr="00B804A6">
        <w:rPr>
          <w:rFonts w:ascii="Arial" w:hAnsi="Arial" w:cs="Arial"/>
          <w:sz w:val="24"/>
          <w:szCs w:val="24"/>
          <w:shd w:val="clear" w:color="auto" w:fill="FFFFFF"/>
        </w:rPr>
        <w:t>. Furthermore, the speed of the process is considered its best strength. Any dispute, unless extended will come to a decision in 35 days</w:t>
      </w:r>
      <w:sdt>
        <w:sdtPr>
          <w:rPr>
            <w:rFonts w:ascii="Arial" w:hAnsi="Arial" w:cs="Arial"/>
            <w:sz w:val="24"/>
            <w:szCs w:val="24"/>
            <w:shd w:val="clear" w:color="auto" w:fill="FFFFFF"/>
          </w:rPr>
          <w:id w:val="1997688600"/>
          <w:citation/>
        </w:sdtPr>
        <w:sdtContent>
          <w:r w:rsidRPr="00B804A6">
            <w:rPr>
              <w:rFonts w:ascii="Arial" w:hAnsi="Arial" w:cs="Arial"/>
              <w:sz w:val="24"/>
              <w:szCs w:val="24"/>
              <w:shd w:val="clear" w:color="auto" w:fill="FFFFFF"/>
            </w:rPr>
            <w:fldChar w:fldCharType="begin"/>
          </w:r>
          <w:r w:rsidRPr="00B804A6">
            <w:rPr>
              <w:rFonts w:ascii="Arial" w:hAnsi="Arial" w:cs="Arial"/>
              <w:sz w:val="24"/>
              <w:szCs w:val="24"/>
              <w:shd w:val="clear" w:color="auto" w:fill="FFFFFF"/>
            </w:rPr>
            <w:instrText xml:space="preserve">CITATION Pic15 \p 18 \l 2057 </w:instrText>
          </w:r>
          <w:r w:rsidRPr="00B804A6">
            <w:rPr>
              <w:rFonts w:ascii="Arial" w:hAnsi="Arial" w:cs="Arial"/>
              <w:sz w:val="24"/>
              <w:szCs w:val="24"/>
              <w:shd w:val="clear" w:color="auto" w:fill="FFFFFF"/>
            </w:rPr>
            <w:fldChar w:fldCharType="separate"/>
          </w:r>
          <w:r w:rsidR="002E4A24">
            <w:rPr>
              <w:rFonts w:ascii="Arial" w:hAnsi="Arial" w:cs="Arial"/>
              <w:noProof/>
              <w:sz w:val="24"/>
              <w:szCs w:val="24"/>
              <w:shd w:val="clear" w:color="auto" w:fill="FFFFFF"/>
            </w:rPr>
            <w:t xml:space="preserve"> </w:t>
          </w:r>
          <w:r w:rsidR="002E4A24" w:rsidRPr="002E4A24">
            <w:rPr>
              <w:rFonts w:ascii="Arial" w:hAnsi="Arial" w:cs="Arial"/>
              <w:noProof/>
              <w:sz w:val="24"/>
              <w:szCs w:val="24"/>
              <w:shd w:val="clear" w:color="auto" w:fill="FFFFFF"/>
            </w:rPr>
            <w:t>(Pickavance, 2015, p. 18)</w:t>
          </w:r>
          <w:r w:rsidRPr="00B804A6">
            <w:rPr>
              <w:rFonts w:ascii="Arial" w:hAnsi="Arial" w:cs="Arial"/>
              <w:sz w:val="24"/>
              <w:szCs w:val="24"/>
              <w:shd w:val="clear" w:color="auto" w:fill="FFFFFF"/>
            </w:rPr>
            <w:fldChar w:fldCharType="end"/>
          </w:r>
        </w:sdtContent>
      </w:sdt>
      <w:r w:rsidRPr="00B804A6">
        <w:rPr>
          <w:rFonts w:ascii="Arial" w:hAnsi="Arial" w:cs="Arial"/>
          <w:sz w:val="24"/>
          <w:szCs w:val="24"/>
          <w:shd w:val="clear" w:color="auto" w:fill="FFFFFF"/>
        </w:rPr>
        <w:t>. Although it is beneficial to the parties involved and the project progression, in the case of Vinci v Beumer, there were seven adjudications, which would have created concern for the project in terms of delays, costs and approaching deadlines</w:t>
      </w:r>
      <w:sdt>
        <w:sdtPr>
          <w:rPr>
            <w:rFonts w:ascii="Arial" w:hAnsi="Arial" w:cs="Arial"/>
            <w:sz w:val="24"/>
            <w:szCs w:val="24"/>
            <w:shd w:val="clear" w:color="auto" w:fill="FFFFFF"/>
          </w:rPr>
          <w:id w:val="1087500256"/>
          <w:citation/>
        </w:sdtPr>
        <w:sdtContent>
          <w:r w:rsidRPr="00B804A6">
            <w:rPr>
              <w:rFonts w:ascii="Arial" w:hAnsi="Arial" w:cs="Arial"/>
              <w:sz w:val="24"/>
              <w:szCs w:val="24"/>
              <w:shd w:val="clear" w:color="auto" w:fill="FFFFFF"/>
            </w:rPr>
            <w:fldChar w:fldCharType="begin"/>
          </w:r>
          <w:r w:rsidRPr="00B804A6">
            <w:rPr>
              <w:rFonts w:ascii="Arial" w:hAnsi="Arial" w:cs="Arial"/>
              <w:sz w:val="24"/>
              <w:szCs w:val="24"/>
              <w:shd w:val="clear" w:color="auto" w:fill="FFFFFF"/>
            </w:rPr>
            <w:instrText xml:space="preserve">CITATION Pic15 \p 18 \l 2057 </w:instrText>
          </w:r>
          <w:r w:rsidRPr="00B804A6">
            <w:rPr>
              <w:rFonts w:ascii="Arial" w:hAnsi="Arial" w:cs="Arial"/>
              <w:sz w:val="24"/>
              <w:szCs w:val="24"/>
              <w:shd w:val="clear" w:color="auto" w:fill="FFFFFF"/>
            </w:rPr>
            <w:fldChar w:fldCharType="separate"/>
          </w:r>
          <w:r w:rsidR="002E4A24">
            <w:rPr>
              <w:rFonts w:ascii="Arial" w:hAnsi="Arial" w:cs="Arial"/>
              <w:noProof/>
              <w:sz w:val="24"/>
              <w:szCs w:val="24"/>
              <w:shd w:val="clear" w:color="auto" w:fill="FFFFFF"/>
            </w:rPr>
            <w:t xml:space="preserve"> </w:t>
          </w:r>
          <w:r w:rsidR="002E4A24" w:rsidRPr="002E4A24">
            <w:rPr>
              <w:rFonts w:ascii="Arial" w:hAnsi="Arial" w:cs="Arial"/>
              <w:noProof/>
              <w:sz w:val="24"/>
              <w:szCs w:val="24"/>
              <w:shd w:val="clear" w:color="auto" w:fill="FFFFFF"/>
            </w:rPr>
            <w:t>(Pickavance, 2015, p. 18)</w:t>
          </w:r>
          <w:r w:rsidRPr="00B804A6">
            <w:rPr>
              <w:rFonts w:ascii="Arial" w:hAnsi="Arial" w:cs="Arial"/>
              <w:sz w:val="24"/>
              <w:szCs w:val="24"/>
              <w:shd w:val="clear" w:color="auto" w:fill="FFFFFF"/>
            </w:rPr>
            <w:fldChar w:fldCharType="end"/>
          </w:r>
        </w:sdtContent>
      </w:sdt>
      <w:r w:rsidRPr="00B804A6">
        <w:rPr>
          <w:rFonts w:ascii="Arial" w:hAnsi="Arial" w:cs="Arial"/>
          <w:sz w:val="24"/>
          <w:szCs w:val="24"/>
          <w:shd w:val="clear" w:color="auto" w:fill="FFFFFF"/>
        </w:rPr>
        <w:t xml:space="preserve">. </w:t>
      </w:r>
    </w:p>
    <w:p w14:paraId="22444131" w14:textId="77777777" w:rsidR="00635062" w:rsidRPr="00B804A6" w:rsidRDefault="00635062" w:rsidP="00EF2F4E">
      <w:pPr>
        <w:shd w:val="clear" w:color="auto" w:fill="FFFFFF"/>
        <w:spacing w:after="0" w:line="360" w:lineRule="auto"/>
        <w:jc w:val="both"/>
        <w:rPr>
          <w:rFonts w:ascii="Arial" w:hAnsi="Arial" w:cs="Arial"/>
          <w:sz w:val="24"/>
          <w:szCs w:val="24"/>
          <w:shd w:val="clear" w:color="auto" w:fill="FFFFFF"/>
        </w:rPr>
      </w:pPr>
    </w:p>
    <w:p w14:paraId="6E2C8A38" w14:textId="129D769D" w:rsidR="00437E9C" w:rsidRPr="00B804A6" w:rsidRDefault="00437E9C" w:rsidP="00EF2F4E">
      <w:pPr>
        <w:shd w:val="clear" w:color="auto" w:fill="FFFFFF"/>
        <w:spacing w:after="0" w:line="360" w:lineRule="auto"/>
        <w:jc w:val="both"/>
        <w:rPr>
          <w:rFonts w:ascii="Arial" w:hAnsi="Arial" w:cs="Arial"/>
          <w:sz w:val="24"/>
          <w:szCs w:val="24"/>
        </w:rPr>
      </w:pPr>
      <w:r w:rsidRPr="00B804A6">
        <w:rPr>
          <w:rFonts w:ascii="Arial" w:hAnsi="Arial" w:cs="Arial"/>
          <w:sz w:val="24"/>
          <w:szCs w:val="24"/>
          <w:shd w:val="clear" w:color="auto" w:fill="FFFFFF"/>
        </w:rPr>
        <w:t>Privacy is another benefit of adjudication, keeping all parties protected from public view. However, the Vinci and Beumer case was also taken to the TCC (Technology and Construction Court) 3 times. Taking the case to court would have publicised the initially private dispute, exposing them to the potential risk of reputation damage</w:t>
      </w:r>
      <w:sdt>
        <w:sdtPr>
          <w:rPr>
            <w:rFonts w:ascii="Arial" w:hAnsi="Arial" w:cs="Arial"/>
            <w:sz w:val="24"/>
            <w:szCs w:val="24"/>
            <w:shd w:val="clear" w:color="auto" w:fill="FFFFFF"/>
          </w:rPr>
          <w:id w:val="812458637"/>
          <w:citation/>
        </w:sdtPr>
        <w:sdtContent>
          <w:r w:rsidRPr="00B804A6">
            <w:rPr>
              <w:rFonts w:ascii="Arial" w:hAnsi="Arial" w:cs="Arial"/>
              <w:sz w:val="24"/>
              <w:szCs w:val="24"/>
              <w:shd w:val="clear" w:color="auto" w:fill="FFFFFF"/>
            </w:rPr>
            <w:fldChar w:fldCharType="begin"/>
          </w:r>
          <w:r w:rsidRPr="00B804A6">
            <w:rPr>
              <w:rFonts w:ascii="Arial" w:hAnsi="Arial" w:cs="Arial"/>
              <w:sz w:val="24"/>
              <w:szCs w:val="24"/>
              <w:shd w:val="clear" w:color="auto" w:fill="FFFFFF"/>
            </w:rPr>
            <w:instrText xml:space="preserve">CITATION Pic15 \p "19, 20" \l 2057 </w:instrText>
          </w:r>
          <w:r w:rsidRPr="00B804A6">
            <w:rPr>
              <w:rFonts w:ascii="Arial" w:hAnsi="Arial" w:cs="Arial"/>
              <w:sz w:val="24"/>
              <w:szCs w:val="24"/>
              <w:shd w:val="clear" w:color="auto" w:fill="FFFFFF"/>
            </w:rPr>
            <w:fldChar w:fldCharType="separate"/>
          </w:r>
          <w:r w:rsidR="002E4A24">
            <w:rPr>
              <w:rFonts w:ascii="Arial" w:hAnsi="Arial" w:cs="Arial"/>
              <w:noProof/>
              <w:sz w:val="24"/>
              <w:szCs w:val="24"/>
              <w:shd w:val="clear" w:color="auto" w:fill="FFFFFF"/>
            </w:rPr>
            <w:t xml:space="preserve"> </w:t>
          </w:r>
          <w:r w:rsidR="002E4A24" w:rsidRPr="002E4A24">
            <w:rPr>
              <w:rFonts w:ascii="Arial" w:hAnsi="Arial" w:cs="Arial"/>
              <w:noProof/>
              <w:sz w:val="24"/>
              <w:szCs w:val="24"/>
              <w:shd w:val="clear" w:color="auto" w:fill="FFFFFF"/>
            </w:rPr>
            <w:t>(Pickavance, 2015, pp. 19, 20)</w:t>
          </w:r>
          <w:r w:rsidRPr="00B804A6">
            <w:rPr>
              <w:rFonts w:ascii="Arial" w:hAnsi="Arial" w:cs="Arial"/>
              <w:sz w:val="24"/>
              <w:szCs w:val="24"/>
              <w:shd w:val="clear" w:color="auto" w:fill="FFFFFF"/>
            </w:rPr>
            <w:fldChar w:fldCharType="end"/>
          </w:r>
        </w:sdtContent>
      </w:sdt>
      <w:r w:rsidRPr="00B804A6">
        <w:rPr>
          <w:rFonts w:ascii="Arial" w:hAnsi="Arial" w:cs="Arial"/>
          <w:sz w:val="24"/>
          <w:szCs w:val="24"/>
          <w:shd w:val="clear" w:color="auto" w:fill="FFFFFF"/>
        </w:rPr>
        <w:t>.</w:t>
      </w:r>
      <w:r w:rsidRPr="00B804A6">
        <w:rPr>
          <w:rFonts w:ascii="Arial" w:hAnsi="Arial" w:cs="Arial"/>
          <w:sz w:val="24"/>
          <w:szCs w:val="24"/>
        </w:rPr>
        <w:t xml:space="preserve"> </w:t>
      </w:r>
    </w:p>
    <w:p w14:paraId="3DBF6BA6" w14:textId="77777777" w:rsidR="00437E9C" w:rsidRDefault="00437E9C" w:rsidP="00EF2F4E">
      <w:pPr>
        <w:tabs>
          <w:tab w:val="left" w:pos="914"/>
        </w:tabs>
        <w:spacing w:line="360" w:lineRule="auto"/>
        <w:jc w:val="both"/>
        <w:rPr>
          <w:rFonts w:ascii="Arial" w:hAnsi="Arial" w:cs="Arial"/>
          <w:sz w:val="24"/>
          <w:szCs w:val="24"/>
        </w:rPr>
      </w:pPr>
    </w:p>
    <w:p w14:paraId="0896CC69" w14:textId="1C2C936A" w:rsidR="00437E9C" w:rsidRDefault="00437E9C" w:rsidP="00EF2F4E">
      <w:pPr>
        <w:tabs>
          <w:tab w:val="left" w:pos="1553"/>
        </w:tabs>
        <w:spacing w:line="360" w:lineRule="auto"/>
        <w:jc w:val="both"/>
      </w:pPr>
    </w:p>
    <w:bookmarkStart w:id="6" w:name="_Toc120902316" w:displacedByCustomXml="next"/>
    <w:sdt>
      <w:sdtPr>
        <w:rPr>
          <w:rFonts w:asciiTheme="minorHAnsi" w:eastAsiaTheme="minorHAnsi" w:hAnsiTheme="minorHAnsi" w:cstheme="minorBidi"/>
          <w:color w:val="auto"/>
          <w:sz w:val="22"/>
          <w:szCs w:val="22"/>
        </w:rPr>
        <w:id w:val="-731229390"/>
        <w:docPartObj>
          <w:docPartGallery w:val="Bibliographies"/>
          <w:docPartUnique/>
        </w:docPartObj>
      </w:sdtPr>
      <w:sdtContent>
        <w:p w14:paraId="585DE321" w14:textId="77777777" w:rsidR="00437E9C" w:rsidRDefault="00437E9C" w:rsidP="00EF2F4E">
          <w:pPr>
            <w:pStyle w:val="Heading1"/>
            <w:spacing w:line="360" w:lineRule="auto"/>
            <w:jc w:val="both"/>
          </w:pPr>
          <w:r>
            <w:t>4.0    References</w:t>
          </w:r>
          <w:bookmarkEnd w:id="6"/>
        </w:p>
        <w:p w14:paraId="24DF40A8" w14:textId="77777777" w:rsidR="00437E9C" w:rsidRPr="00FA0725" w:rsidRDefault="00437E9C" w:rsidP="00EF2F4E">
          <w:pPr>
            <w:spacing w:line="360" w:lineRule="auto"/>
          </w:pPr>
        </w:p>
        <w:sdt>
          <w:sdtPr>
            <w:id w:val="-573587230"/>
            <w:bibliography/>
          </w:sdtPr>
          <w:sdtContent>
            <w:p w14:paraId="616A2CAF" w14:textId="77777777" w:rsidR="002E4A24" w:rsidRDefault="00437E9C" w:rsidP="00EF2F4E">
              <w:pPr>
                <w:pStyle w:val="Bibliography"/>
                <w:spacing w:line="360" w:lineRule="auto"/>
                <w:rPr>
                  <w:noProof/>
                  <w:sz w:val="24"/>
                  <w:szCs w:val="24"/>
                </w:rPr>
              </w:pPr>
              <w:r>
                <w:fldChar w:fldCharType="begin"/>
              </w:r>
              <w:r>
                <w:instrText xml:space="preserve"> BIBLIOGRAPHY </w:instrText>
              </w:r>
              <w:r>
                <w:fldChar w:fldCharType="separate"/>
              </w:r>
              <w:r w:rsidR="002E4A24">
                <w:rPr>
                  <w:noProof/>
                </w:rPr>
                <w:t xml:space="preserve">Adjudication.co.uk, n.d. </w:t>
              </w:r>
              <w:r w:rsidR="002E4A24">
                <w:rPr>
                  <w:i/>
                  <w:iCs/>
                  <w:noProof/>
                </w:rPr>
                <w:t xml:space="preserve">What is Adjudication. </w:t>
              </w:r>
              <w:r w:rsidR="002E4A24">
                <w:rPr>
                  <w:noProof/>
                </w:rPr>
                <w:t xml:space="preserve">[Online] </w:t>
              </w:r>
              <w:r w:rsidR="002E4A24">
                <w:rPr>
                  <w:noProof/>
                </w:rPr>
                <w:br/>
                <w:t xml:space="preserve">Available at: </w:t>
              </w:r>
              <w:r w:rsidR="002E4A24">
                <w:rPr>
                  <w:noProof/>
                  <w:u w:val="single"/>
                </w:rPr>
                <w:t>http://www.adjudication.co.uk/faq/</w:t>
              </w:r>
              <w:r w:rsidR="002E4A24">
                <w:rPr>
                  <w:noProof/>
                </w:rPr>
                <w:br/>
                <w:t>[Accessed 25th November 2022].</w:t>
              </w:r>
            </w:p>
            <w:p w14:paraId="41411D6D" w14:textId="77777777" w:rsidR="002E4A24" w:rsidRDefault="002E4A24" w:rsidP="00EF2F4E">
              <w:pPr>
                <w:pStyle w:val="Bibliography"/>
                <w:spacing w:line="360" w:lineRule="auto"/>
                <w:rPr>
                  <w:noProof/>
                </w:rPr>
              </w:pPr>
              <w:r>
                <w:rPr>
                  <w:noProof/>
                </w:rPr>
                <w:t xml:space="preserve">Brennon, C., 2019. Introduction to the Tort of Negligence . In: </w:t>
              </w:r>
              <w:r>
                <w:rPr>
                  <w:i/>
                  <w:iCs/>
                  <w:noProof/>
                </w:rPr>
                <w:t xml:space="preserve">Tort Law Concentrate: Law Revision and Study Guide. </w:t>
              </w:r>
              <w:r>
                <w:rPr>
                  <w:noProof/>
                </w:rPr>
                <w:t>United Kingdom: Oxford Univestiy Press, pp. 11, 12.</w:t>
              </w:r>
            </w:p>
            <w:p w14:paraId="7A12AEFE" w14:textId="77777777" w:rsidR="002E4A24" w:rsidRDefault="002E4A24" w:rsidP="00EF2F4E">
              <w:pPr>
                <w:pStyle w:val="Bibliography"/>
                <w:spacing w:line="360" w:lineRule="auto"/>
                <w:rPr>
                  <w:noProof/>
                </w:rPr>
              </w:pPr>
              <w:r>
                <w:rPr>
                  <w:noProof/>
                </w:rPr>
                <w:t xml:space="preserve">Classic case law: Teaching tort, 2015. </w:t>
              </w:r>
              <w:r>
                <w:rPr>
                  <w:i/>
                  <w:iCs/>
                  <w:noProof/>
                </w:rPr>
                <w:t xml:space="preserve">&amp; F Estates Ltd v Church Commissioners for England &amp; Others (1989) AC 177. </w:t>
              </w:r>
              <w:r>
                <w:rPr>
                  <w:noProof/>
                </w:rPr>
                <w:t xml:space="preserve">[Online] </w:t>
              </w:r>
              <w:r>
                <w:rPr>
                  <w:noProof/>
                </w:rPr>
                <w:br/>
                <w:t xml:space="preserve">Available at: </w:t>
              </w:r>
              <w:r>
                <w:rPr>
                  <w:noProof/>
                  <w:u w:val="single"/>
                </w:rPr>
                <w:t xml:space="preserve">https://www.thenbs.com/knowledge/classic-case-law-teaching-tort </w:t>
              </w:r>
              <w:r>
                <w:rPr>
                  <w:noProof/>
                </w:rPr>
                <w:br/>
                <w:t>[Accessed 26th November 2022].</w:t>
              </w:r>
            </w:p>
            <w:p w14:paraId="39D042A8" w14:textId="77777777" w:rsidR="002E4A24" w:rsidRDefault="002E4A24" w:rsidP="00EF2F4E">
              <w:pPr>
                <w:pStyle w:val="Bibliography"/>
                <w:spacing w:line="360" w:lineRule="auto"/>
                <w:rPr>
                  <w:noProof/>
                </w:rPr>
              </w:pPr>
              <w:r>
                <w:rPr>
                  <w:noProof/>
                </w:rPr>
                <w:t xml:space="preserve">Construction Management, 2018. </w:t>
              </w:r>
              <w:r>
                <w:rPr>
                  <w:i/>
                  <w:iCs/>
                  <w:noProof/>
                </w:rPr>
                <w:t xml:space="preserve">Vinci v Beumer: Baggage delays lead to £9.7m payout. </w:t>
              </w:r>
              <w:r>
                <w:rPr>
                  <w:noProof/>
                </w:rPr>
                <w:t xml:space="preserve">[Online] </w:t>
              </w:r>
              <w:r>
                <w:rPr>
                  <w:noProof/>
                </w:rPr>
                <w:br/>
                <w:t xml:space="preserve">Available at: </w:t>
              </w:r>
              <w:r>
                <w:rPr>
                  <w:noProof/>
                  <w:u w:val="single"/>
                </w:rPr>
                <w:t>https://constructionmanagement.co.uk/vinci-v-beumer-baggage-delays-lead-97m-payout/</w:t>
              </w:r>
              <w:r>
                <w:rPr>
                  <w:noProof/>
                </w:rPr>
                <w:br/>
                <w:t>[Accessed 25th November 2022].</w:t>
              </w:r>
            </w:p>
            <w:p w14:paraId="0599EE97" w14:textId="77777777" w:rsidR="002E4A24" w:rsidRDefault="002E4A24" w:rsidP="00EF2F4E">
              <w:pPr>
                <w:pStyle w:val="Bibliography"/>
                <w:spacing w:line="360" w:lineRule="auto"/>
                <w:rPr>
                  <w:noProof/>
                </w:rPr>
              </w:pPr>
              <w:r>
                <w:rPr>
                  <w:noProof/>
                </w:rPr>
                <w:t xml:space="preserve">Designing Buildings The Construction Wiki, 2020. </w:t>
              </w:r>
              <w:r>
                <w:rPr>
                  <w:i/>
                  <w:iCs/>
                  <w:noProof/>
                </w:rPr>
                <w:t xml:space="preserve">Negligence in building design and construction. </w:t>
              </w:r>
              <w:r>
                <w:rPr>
                  <w:noProof/>
                </w:rPr>
                <w:t xml:space="preserve">[Online] </w:t>
              </w:r>
              <w:r>
                <w:rPr>
                  <w:noProof/>
                </w:rPr>
                <w:br/>
                <w:t xml:space="preserve">Available at: </w:t>
              </w:r>
              <w:r>
                <w:rPr>
                  <w:noProof/>
                  <w:u w:val="single"/>
                </w:rPr>
                <w:t>https://www.designingbuildings.co.uk/wiki/Negligence_in_building_design_and_construction</w:t>
              </w:r>
              <w:r>
                <w:rPr>
                  <w:noProof/>
                </w:rPr>
                <w:br/>
                <w:t>[Accessed 24th Novmber 2022].</w:t>
              </w:r>
            </w:p>
            <w:p w14:paraId="7D62DC3C" w14:textId="77777777" w:rsidR="002E4A24" w:rsidRDefault="002E4A24" w:rsidP="00EF2F4E">
              <w:pPr>
                <w:pStyle w:val="Bibliography"/>
                <w:spacing w:line="360" w:lineRule="auto"/>
                <w:rPr>
                  <w:noProof/>
                </w:rPr>
              </w:pPr>
              <w:r>
                <w:rPr>
                  <w:noProof/>
                </w:rPr>
                <w:t xml:space="preserve">Don Sanders, D. A. S. C. F. S., 1997. </w:t>
              </w:r>
              <w:r>
                <w:rPr>
                  <w:i/>
                  <w:iCs/>
                  <w:noProof/>
                </w:rPr>
                <w:t xml:space="preserve">What is ISO-9000. </w:t>
              </w:r>
              <w:r>
                <w:rPr>
                  <w:noProof/>
                </w:rPr>
                <w:t>United Kindom: Taylor &amp; Francis.</w:t>
              </w:r>
            </w:p>
            <w:p w14:paraId="54A7F1A4" w14:textId="77777777" w:rsidR="002E4A24" w:rsidRDefault="002E4A24" w:rsidP="00EF2F4E">
              <w:pPr>
                <w:pStyle w:val="Bibliography"/>
                <w:spacing w:line="360" w:lineRule="auto"/>
                <w:rPr>
                  <w:noProof/>
                </w:rPr>
              </w:pPr>
              <w:r>
                <w:rPr>
                  <w:noProof/>
                </w:rPr>
                <w:t xml:space="preserve">ISO-9000 Help.co.uk, n.d. </w:t>
              </w:r>
              <w:r>
                <w:rPr>
                  <w:i/>
                  <w:iCs/>
                  <w:noProof/>
                </w:rPr>
                <w:t xml:space="preserve">Management system guidance. </w:t>
              </w:r>
              <w:r>
                <w:rPr>
                  <w:noProof/>
                </w:rPr>
                <w:t xml:space="preserve">[Online] </w:t>
              </w:r>
              <w:r>
                <w:rPr>
                  <w:noProof/>
                </w:rPr>
                <w:br/>
                <w:t xml:space="preserve">Available at: </w:t>
              </w:r>
              <w:r>
                <w:rPr>
                  <w:noProof/>
                  <w:u w:val="single"/>
                </w:rPr>
                <w:t>https://www.iso9001help.co.uk/ISO-9000-history.html</w:t>
              </w:r>
              <w:r>
                <w:rPr>
                  <w:noProof/>
                </w:rPr>
                <w:br/>
                <w:t>[Accessed 29th November 2022].</w:t>
              </w:r>
            </w:p>
            <w:p w14:paraId="49EE068E" w14:textId="77777777" w:rsidR="002E4A24" w:rsidRDefault="002E4A24" w:rsidP="00EF2F4E">
              <w:pPr>
                <w:pStyle w:val="Bibliography"/>
                <w:spacing w:line="360" w:lineRule="auto"/>
                <w:rPr>
                  <w:noProof/>
                </w:rPr>
              </w:pPr>
              <w:r>
                <w:rPr>
                  <w:noProof/>
                </w:rPr>
                <w:t xml:space="preserve">LawTeacher, 2018. </w:t>
              </w:r>
              <w:r>
                <w:rPr>
                  <w:i/>
                  <w:iCs/>
                  <w:noProof/>
                </w:rPr>
                <w:t xml:space="preserve">Breach of Duty Lecture. </w:t>
              </w:r>
              <w:r>
                <w:rPr>
                  <w:noProof/>
                </w:rPr>
                <w:t xml:space="preserve">[Online] </w:t>
              </w:r>
              <w:r>
                <w:rPr>
                  <w:noProof/>
                </w:rPr>
                <w:br/>
                <w:t xml:space="preserve">Available at: </w:t>
              </w:r>
              <w:r>
                <w:rPr>
                  <w:noProof/>
                  <w:u w:val="single"/>
                </w:rPr>
                <w:t xml:space="preserve">https://www.lawteacher.net/lectures/tort-law/negligence/duty-of-care/ </w:t>
              </w:r>
              <w:r>
                <w:rPr>
                  <w:noProof/>
                </w:rPr>
                <w:br/>
                <w:t>[Accessed 24th November 2022].</w:t>
              </w:r>
            </w:p>
            <w:p w14:paraId="4B7E5797" w14:textId="77777777" w:rsidR="002E4A24" w:rsidRDefault="002E4A24" w:rsidP="00EF2F4E">
              <w:pPr>
                <w:pStyle w:val="Bibliography"/>
                <w:spacing w:line="360" w:lineRule="auto"/>
                <w:rPr>
                  <w:noProof/>
                </w:rPr>
              </w:pPr>
              <w:r>
                <w:rPr>
                  <w:noProof/>
                </w:rPr>
                <w:t xml:space="preserve">LawTeacher, 2018. </w:t>
              </w:r>
              <w:r>
                <w:rPr>
                  <w:i/>
                  <w:iCs/>
                  <w:noProof/>
                </w:rPr>
                <w:t xml:space="preserve">Damage Caused Was Not Too Remote. </w:t>
              </w:r>
              <w:r>
                <w:rPr>
                  <w:noProof/>
                </w:rPr>
                <w:t xml:space="preserve">[Online] </w:t>
              </w:r>
              <w:r>
                <w:rPr>
                  <w:noProof/>
                </w:rPr>
                <w:br/>
                <w:t xml:space="preserve">Available at: </w:t>
              </w:r>
              <w:r>
                <w:rPr>
                  <w:noProof/>
                  <w:u w:val="single"/>
                </w:rPr>
                <w:t xml:space="preserve">https://www.lawteacher.net/lectures/tort-law/negligence/duty-of-care/ </w:t>
              </w:r>
              <w:r>
                <w:rPr>
                  <w:noProof/>
                </w:rPr>
                <w:br/>
                <w:t>[Accessed 24th November 2022].</w:t>
              </w:r>
            </w:p>
            <w:p w14:paraId="48F32C2C" w14:textId="77777777" w:rsidR="002E4A24" w:rsidRDefault="002E4A24" w:rsidP="00EF2F4E">
              <w:pPr>
                <w:pStyle w:val="Bibliography"/>
                <w:spacing w:line="360" w:lineRule="auto"/>
                <w:rPr>
                  <w:noProof/>
                </w:rPr>
              </w:pPr>
              <w:r>
                <w:rPr>
                  <w:noProof/>
                </w:rPr>
                <w:lastRenderedPageBreak/>
                <w:t xml:space="preserve">LawTeacher, 2018. </w:t>
              </w:r>
              <w:r>
                <w:rPr>
                  <w:i/>
                  <w:iCs/>
                  <w:noProof/>
                </w:rPr>
                <w:t xml:space="preserve">Duty of Care Lecture. </w:t>
              </w:r>
              <w:r>
                <w:rPr>
                  <w:noProof/>
                </w:rPr>
                <w:t xml:space="preserve">[Online] </w:t>
              </w:r>
              <w:r>
                <w:rPr>
                  <w:noProof/>
                </w:rPr>
                <w:br/>
                <w:t xml:space="preserve">Available at: </w:t>
              </w:r>
              <w:r>
                <w:rPr>
                  <w:noProof/>
                  <w:u w:val="single"/>
                </w:rPr>
                <w:t>https://www.lawteacher.net/lectures/tort-law/negligence/duty-of-care/</w:t>
              </w:r>
              <w:r>
                <w:rPr>
                  <w:noProof/>
                </w:rPr>
                <w:br/>
                <w:t>[Accessed 24th November 2022].</w:t>
              </w:r>
            </w:p>
            <w:p w14:paraId="33F2788A" w14:textId="77777777" w:rsidR="002E4A24" w:rsidRDefault="002E4A24" w:rsidP="00EF2F4E">
              <w:pPr>
                <w:pStyle w:val="Bibliography"/>
                <w:spacing w:line="360" w:lineRule="auto"/>
                <w:rPr>
                  <w:noProof/>
                </w:rPr>
              </w:pPr>
              <w:r>
                <w:rPr>
                  <w:noProof/>
                </w:rPr>
                <w:t xml:space="preserve">Legalknowledgebase, 2022. </w:t>
              </w:r>
              <w:r>
                <w:rPr>
                  <w:i/>
                  <w:iCs/>
                  <w:noProof/>
                </w:rPr>
                <w:t xml:space="preserve">What is tort negligence UK?. </w:t>
              </w:r>
              <w:r>
                <w:rPr>
                  <w:noProof/>
                </w:rPr>
                <w:t xml:space="preserve">[Online] </w:t>
              </w:r>
              <w:r>
                <w:rPr>
                  <w:noProof/>
                </w:rPr>
                <w:br/>
                <w:t xml:space="preserve">Available at: </w:t>
              </w:r>
              <w:r>
                <w:rPr>
                  <w:noProof/>
                  <w:u w:val="single"/>
                </w:rPr>
                <w:t>https://legalknowledgebase.com/what-is-tort-negligence-uk</w:t>
              </w:r>
              <w:r>
                <w:rPr>
                  <w:noProof/>
                </w:rPr>
                <w:br/>
                <w:t>[Accessed 11th November 2022].</w:t>
              </w:r>
            </w:p>
            <w:p w14:paraId="780716D4" w14:textId="77777777" w:rsidR="002E4A24" w:rsidRDefault="002E4A24" w:rsidP="00EF2F4E">
              <w:pPr>
                <w:pStyle w:val="Bibliography"/>
                <w:spacing w:line="360" w:lineRule="auto"/>
                <w:rPr>
                  <w:noProof/>
                </w:rPr>
              </w:pPr>
              <w:r>
                <w:rPr>
                  <w:noProof/>
                </w:rPr>
                <w:t xml:space="preserve">legislation.gov.uk, 2017. </w:t>
              </w:r>
              <w:r>
                <w:rPr>
                  <w:i/>
                  <w:iCs/>
                  <w:noProof/>
                </w:rPr>
                <w:t xml:space="preserve">Housing Grants, Construction and Regeneration Act 1996. </w:t>
              </w:r>
              <w:r>
                <w:rPr>
                  <w:noProof/>
                </w:rPr>
                <w:t xml:space="preserve">[Online] </w:t>
              </w:r>
              <w:r>
                <w:rPr>
                  <w:noProof/>
                </w:rPr>
                <w:br/>
                <w:t xml:space="preserve">Available at: </w:t>
              </w:r>
              <w:r>
                <w:rPr>
                  <w:noProof/>
                  <w:u w:val="single"/>
                </w:rPr>
                <w:t xml:space="preserve">https://www.legislation.gov.uk/ukpga/1996/53/section/108 </w:t>
              </w:r>
              <w:r>
                <w:rPr>
                  <w:noProof/>
                </w:rPr>
                <w:br/>
                <w:t>[Accessed 25th November 2022].</w:t>
              </w:r>
            </w:p>
            <w:p w14:paraId="4303B4E8" w14:textId="77777777" w:rsidR="002E4A24" w:rsidRDefault="002E4A24" w:rsidP="00EF2F4E">
              <w:pPr>
                <w:pStyle w:val="Bibliography"/>
                <w:spacing w:line="360" w:lineRule="auto"/>
                <w:rPr>
                  <w:noProof/>
                </w:rPr>
              </w:pPr>
              <w:r>
                <w:rPr>
                  <w:noProof/>
                </w:rPr>
                <w:t xml:space="preserve">Pickavance, J., 2015. Advantages. In: </w:t>
              </w:r>
              <w:r>
                <w:rPr>
                  <w:i/>
                  <w:iCs/>
                  <w:noProof/>
                </w:rPr>
                <w:t xml:space="preserve">A practical Guide to Construction Adjudication. </w:t>
              </w:r>
              <w:r>
                <w:rPr>
                  <w:noProof/>
                </w:rPr>
                <w:t>United Kingdom: Wiley, pp. 18, 19, 20.</w:t>
              </w:r>
            </w:p>
            <w:p w14:paraId="004005B9" w14:textId="77777777" w:rsidR="002E4A24" w:rsidRDefault="002E4A24" w:rsidP="00EF2F4E">
              <w:pPr>
                <w:pStyle w:val="Bibliography"/>
                <w:spacing w:line="360" w:lineRule="auto"/>
                <w:rPr>
                  <w:noProof/>
                </w:rPr>
              </w:pPr>
              <w:r>
                <w:rPr>
                  <w:noProof/>
                </w:rPr>
                <w:t xml:space="preserve">Ratzan Weissman Boldt, 2022. </w:t>
              </w:r>
              <w:r>
                <w:rPr>
                  <w:i/>
                  <w:iCs/>
                  <w:noProof/>
                </w:rPr>
                <w:t xml:space="preserve">Important Factors in Determining Negligence in Construction. </w:t>
              </w:r>
              <w:r>
                <w:rPr>
                  <w:noProof/>
                </w:rPr>
                <w:t xml:space="preserve">[Online] </w:t>
              </w:r>
              <w:r>
                <w:rPr>
                  <w:noProof/>
                </w:rPr>
                <w:br/>
                <w:t xml:space="preserve">Available at: </w:t>
              </w:r>
              <w:r>
                <w:rPr>
                  <w:noProof/>
                  <w:u w:val="single"/>
                </w:rPr>
                <w:t>https://www.rwblawyers.com/news/how-to-identify-negligence-in-construction</w:t>
              </w:r>
              <w:r>
                <w:rPr>
                  <w:noProof/>
                </w:rPr>
                <w:br/>
                <w:t>[Accessed 29th November 2022].</w:t>
              </w:r>
            </w:p>
            <w:p w14:paraId="33282ABA" w14:textId="77777777" w:rsidR="002E4A24" w:rsidRDefault="002E4A24" w:rsidP="00EF2F4E">
              <w:pPr>
                <w:pStyle w:val="Bibliography"/>
                <w:spacing w:line="360" w:lineRule="auto"/>
                <w:rPr>
                  <w:noProof/>
                </w:rPr>
              </w:pPr>
              <w:r>
                <w:rPr>
                  <w:noProof/>
                </w:rPr>
                <w:t xml:space="preserve">Wright/Hassall, 2015. </w:t>
              </w:r>
              <w:r>
                <w:rPr>
                  <w:i/>
                  <w:iCs/>
                  <w:noProof/>
                </w:rPr>
                <w:t xml:space="preserve">What is the definition of negligence?. </w:t>
              </w:r>
              <w:r>
                <w:rPr>
                  <w:noProof/>
                </w:rPr>
                <w:t xml:space="preserve">[Online] </w:t>
              </w:r>
              <w:r>
                <w:rPr>
                  <w:noProof/>
                </w:rPr>
                <w:br/>
                <w:t xml:space="preserve">Available at: </w:t>
              </w:r>
              <w:r>
                <w:rPr>
                  <w:noProof/>
                  <w:u w:val="single"/>
                </w:rPr>
                <w:t>https://www.wrighthassall.co.uk/knowledge-base/what-is-the-definition-of-negligence</w:t>
              </w:r>
              <w:r>
                <w:rPr>
                  <w:noProof/>
                </w:rPr>
                <w:br/>
                <w:t>[Accessed 24th November 2022].</w:t>
              </w:r>
            </w:p>
            <w:p w14:paraId="5494AD27" w14:textId="77777777" w:rsidR="00437E9C" w:rsidRDefault="00437E9C" w:rsidP="00EF2F4E">
              <w:pPr>
                <w:spacing w:line="360" w:lineRule="auto"/>
              </w:pPr>
              <w:r>
                <w:rPr>
                  <w:b/>
                  <w:bCs/>
                  <w:noProof/>
                </w:rPr>
                <w:fldChar w:fldCharType="end"/>
              </w:r>
            </w:p>
          </w:sdtContent>
        </w:sdt>
      </w:sdtContent>
    </w:sdt>
    <w:p w14:paraId="4B34B4A9" w14:textId="77777777" w:rsidR="00437E9C" w:rsidRPr="00A2470C" w:rsidRDefault="00437E9C" w:rsidP="00EF2F4E">
      <w:pPr>
        <w:spacing w:line="360" w:lineRule="auto"/>
        <w:jc w:val="both"/>
      </w:pPr>
    </w:p>
    <w:p w14:paraId="752016FB" w14:textId="6B1E9457" w:rsidR="00437E9C" w:rsidRDefault="00437E9C" w:rsidP="00EF2F4E">
      <w:pPr>
        <w:tabs>
          <w:tab w:val="left" w:pos="1553"/>
        </w:tabs>
        <w:spacing w:line="360" w:lineRule="auto"/>
        <w:jc w:val="both"/>
      </w:pPr>
    </w:p>
    <w:p w14:paraId="0F2DC2DF" w14:textId="6999A2D3" w:rsidR="00437E9C" w:rsidRDefault="00437E9C" w:rsidP="00EF2F4E">
      <w:pPr>
        <w:tabs>
          <w:tab w:val="left" w:pos="1553"/>
        </w:tabs>
        <w:spacing w:line="360" w:lineRule="auto"/>
        <w:jc w:val="both"/>
      </w:pPr>
    </w:p>
    <w:p w14:paraId="4608733C" w14:textId="4D39A4EE" w:rsidR="00437E9C" w:rsidRDefault="00437E9C" w:rsidP="00EF2F4E">
      <w:pPr>
        <w:tabs>
          <w:tab w:val="left" w:pos="1553"/>
        </w:tabs>
        <w:spacing w:line="360" w:lineRule="auto"/>
        <w:jc w:val="both"/>
      </w:pPr>
    </w:p>
    <w:p w14:paraId="37791A06" w14:textId="3BE830AC" w:rsidR="00437E9C" w:rsidRDefault="00437E9C" w:rsidP="00EF2F4E">
      <w:pPr>
        <w:tabs>
          <w:tab w:val="left" w:pos="1553"/>
        </w:tabs>
        <w:spacing w:line="360" w:lineRule="auto"/>
        <w:jc w:val="both"/>
      </w:pPr>
    </w:p>
    <w:p w14:paraId="3BB6F943" w14:textId="77777777" w:rsidR="00437E9C" w:rsidRPr="00437E9C" w:rsidRDefault="00437E9C" w:rsidP="00437E9C">
      <w:pPr>
        <w:tabs>
          <w:tab w:val="left" w:pos="1553"/>
        </w:tabs>
      </w:pPr>
    </w:p>
    <w:sectPr w:rsidR="00437E9C" w:rsidRPr="00437E9C" w:rsidSect="00437E9C">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91106" w14:textId="77777777" w:rsidR="007E0117" w:rsidRDefault="007E0117" w:rsidP="00437E9C">
      <w:pPr>
        <w:spacing w:after="0" w:line="240" w:lineRule="auto"/>
      </w:pPr>
      <w:r>
        <w:separator/>
      </w:r>
    </w:p>
  </w:endnote>
  <w:endnote w:type="continuationSeparator" w:id="0">
    <w:p w14:paraId="6BF674D4" w14:textId="77777777" w:rsidR="007E0117" w:rsidRDefault="007E0117" w:rsidP="00437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476930"/>
      <w:docPartObj>
        <w:docPartGallery w:val="Page Numbers (Bottom of Page)"/>
        <w:docPartUnique/>
      </w:docPartObj>
    </w:sdtPr>
    <w:sdtEndPr>
      <w:rPr>
        <w:noProof/>
      </w:rPr>
    </w:sdtEndPr>
    <w:sdtContent>
      <w:p w14:paraId="368E78BF" w14:textId="2C9C5ABD" w:rsidR="00437E9C" w:rsidRDefault="00437E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2ADF4" w14:textId="77777777" w:rsidR="00437E9C" w:rsidRDefault="00437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DB28D" w14:textId="77777777" w:rsidR="007E0117" w:rsidRDefault="007E0117" w:rsidP="00437E9C">
      <w:pPr>
        <w:spacing w:after="0" w:line="240" w:lineRule="auto"/>
      </w:pPr>
      <w:r>
        <w:separator/>
      </w:r>
    </w:p>
  </w:footnote>
  <w:footnote w:type="continuationSeparator" w:id="0">
    <w:p w14:paraId="055134E9" w14:textId="77777777" w:rsidR="007E0117" w:rsidRDefault="007E0117" w:rsidP="00437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A652A" w14:textId="77777777" w:rsidR="00437E9C" w:rsidRPr="00A15265" w:rsidRDefault="00437E9C" w:rsidP="00437E9C">
    <w:pPr>
      <w:pStyle w:val="Header"/>
      <w:rPr>
        <w:rFonts w:ascii="Times New Roman" w:hAnsi="Times New Roman" w:cs="Times New Roman"/>
      </w:rPr>
    </w:pPr>
    <w:r>
      <w:rPr>
        <w:rFonts w:ascii="Times New Roman" w:hAnsi="Times New Roman" w:cs="Times New Roman"/>
      </w:rPr>
      <w:t xml:space="preserve">Legal and Contract responsibilities in the Built Environment </w:t>
    </w:r>
    <w:r w:rsidRPr="00A15265">
      <w:rPr>
        <w:rFonts w:ascii="Times New Roman" w:hAnsi="Times New Roman" w:cs="Times New Roman"/>
      </w:rPr>
      <w:t>ACBA</w:t>
    </w:r>
    <w:r>
      <w:rPr>
        <w:rFonts w:ascii="Times New Roman" w:hAnsi="Times New Roman" w:cs="Times New Roman"/>
      </w:rPr>
      <w:t>4004</w:t>
    </w:r>
    <w:r w:rsidRPr="00A15265">
      <w:rPr>
        <w:rFonts w:ascii="Times New Roman" w:hAnsi="Times New Roman" w:cs="Times New Roman"/>
      </w:rPr>
      <w:tab/>
      <w:t>L. Hunt - 2220977</w:t>
    </w:r>
  </w:p>
  <w:p w14:paraId="27A19D63" w14:textId="77777777" w:rsidR="00437E9C" w:rsidRDefault="00437E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041911"/>
    <w:multiLevelType w:val="hybridMultilevel"/>
    <w:tmpl w:val="8CDE9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611DD7"/>
    <w:multiLevelType w:val="hybridMultilevel"/>
    <w:tmpl w:val="E77E5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14B06"/>
    <w:multiLevelType w:val="hybridMultilevel"/>
    <w:tmpl w:val="A6382E2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E3D7D32"/>
    <w:multiLevelType w:val="multilevel"/>
    <w:tmpl w:val="AA04E88E"/>
    <w:lvl w:ilvl="0">
      <w:start w:val="3"/>
      <w:numFmt w:val="decimal"/>
      <w:lvlText w:val="%1.0"/>
      <w:lvlJc w:val="left"/>
      <w:pPr>
        <w:ind w:left="720" w:hanging="720"/>
      </w:pPr>
      <w:rPr>
        <w:rFonts w:hint="default"/>
      </w:rPr>
    </w:lvl>
    <w:lvl w:ilvl="1">
      <w:start w:val="1"/>
      <w:numFmt w:val="decimal"/>
      <w:lvlText w:val="%1.%2"/>
      <w:lvlJc w:val="left"/>
      <w:pPr>
        <w:ind w:left="720" w:hanging="720"/>
      </w:pPr>
      <w:rPr>
        <w:rFonts w:hint="default"/>
        <w:color w:val="2F5496" w:themeColor="accent1" w:themeShade="BF"/>
        <w:sz w:val="24"/>
        <w:szCs w:val="24"/>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EA45112"/>
    <w:multiLevelType w:val="multilevel"/>
    <w:tmpl w:val="B3CAFDC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63E0B03"/>
    <w:multiLevelType w:val="hybridMultilevel"/>
    <w:tmpl w:val="FB3818A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21720537">
    <w:abstractNumId w:val="0"/>
  </w:num>
  <w:num w:numId="2" w16cid:durableId="1652372017">
    <w:abstractNumId w:val="4"/>
  </w:num>
  <w:num w:numId="3" w16cid:durableId="1786000056">
    <w:abstractNumId w:val="3"/>
  </w:num>
  <w:num w:numId="4" w16cid:durableId="33626051">
    <w:abstractNumId w:val="5"/>
  </w:num>
  <w:num w:numId="5" w16cid:durableId="1806466205">
    <w:abstractNumId w:val="1"/>
  </w:num>
  <w:num w:numId="6" w16cid:durableId="14459210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E9C"/>
    <w:rsid w:val="001517E0"/>
    <w:rsid w:val="002E4A24"/>
    <w:rsid w:val="00437E9C"/>
    <w:rsid w:val="00635062"/>
    <w:rsid w:val="00675F49"/>
    <w:rsid w:val="006E76FC"/>
    <w:rsid w:val="00764AD2"/>
    <w:rsid w:val="007E0117"/>
    <w:rsid w:val="008A40D4"/>
    <w:rsid w:val="00B37ACD"/>
    <w:rsid w:val="00B804A6"/>
    <w:rsid w:val="00CE4347"/>
    <w:rsid w:val="00EF2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B0121"/>
  <w15:chartTrackingRefBased/>
  <w15:docId w15:val="{3A7F1854-913B-4AEB-A8E7-6BCA35844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E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7E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7E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7E9C"/>
    <w:rPr>
      <w:rFonts w:eastAsiaTheme="minorEastAsia"/>
      <w:lang w:val="en-US"/>
    </w:rPr>
  </w:style>
  <w:style w:type="character" w:customStyle="1" w:styleId="Heading1Char">
    <w:name w:val="Heading 1 Char"/>
    <w:basedOn w:val="DefaultParagraphFont"/>
    <w:link w:val="Heading1"/>
    <w:uiPriority w:val="9"/>
    <w:rsid w:val="00437E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7E9C"/>
    <w:pPr>
      <w:outlineLvl w:val="9"/>
    </w:pPr>
    <w:rPr>
      <w:lang w:val="en-US"/>
    </w:rPr>
  </w:style>
  <w:style w:type="paragraph" w:styleId="TOC2">
    <w:name w:val="toc 2"/>
    <w:basedOn w:val="Normal"/>
    <w:next w:val="Normal"/>
    <w:autoRedefine/>
    <w:uiPriority w:val="39"/>
    <w:unhideWhenUsed/>
    <w:rsid w:val="00437E9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37E9C"/>
    <w:pPr>
      <w:spacing w:after="100"/>
    </w:pPr>
    <w:rPr>
      <w:rFonts w:eastAsiaTheme="minorEastAsia" w:cs="Times New Roman"/>
      <w:lang w:val="en-US"/>
    </w:rPr>
  </w:style>
  <w:style w:type="character" w:styleId="Hyperlink">
    <w:name w:val="Hyperlink"/>
    <w:basedOn w:val="DefaultParagraphFont"/>
    <w:uiPriority w:val="99"/>
    <w:unhideWhenUsed/>
    <w:rsid w:val="00437E9C"/>
    <w:rPr>
      <w:color w:val="0563C1" w:themeColor="hyperlink"/>
      <w:u w:val="single"/>
    </w:rPr>
  </w:style>
  <w:style w:type="paragraph" w:styleId="Header">
    <w:name w:val="header"/>
    <w:basedOn w:val="Normal"/>
    <w:link w:val="HeaderChar"/>
    <w:uiPriority w:val="99"/>
    <w:unhideWhenUsed/>
    <w:rsid w:val="00437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E9C"/>
  </w:style>
  <w:style w:type="paragraph" w:styleId="Footer">
    <w:name w:val="footer"/>
    <w:basedOn w:val="Normal"/>
    <w:link w:val="FooterChar"/>
    <w:uiPriority w:val="99"/>
    <w:unhideWhenUsed/>
    <w:rsid w:val="00437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E9C"/>
  </w:style>
  <w:style w:type="character" w:customStyle="1" w:styleId="Heading2Char">
    <w:name w:val="Heading 2 Char"/>
    <w:basedOn w:val="DefaultParagraphFont"/>
    <w:link w:val="Heading2"/>
    <w:uiPriority w:val="9"/>
    <w:rsid w:val="00437E9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37E9C"/>
    <w:pPr>
      <w:ind w:left="720"/>
      <w:contextualSpacing/>
    </w:pPr>
  </w:style>
  <w:style w:type="paragraph" w:customStyle="1" w:styleId="legclearfix">
    <w:name w:val="legclearfix"/>
    <w:basedOn w:val="Normal"/>
    <w:rsid w:val="00437E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437E9C"/>
  </w:style>
  <w:style w:type="paragraph" w:styleId="Bibliography">
    <w:name w:val="Bibliography"/>
    <w:basedOn w:val="Normal"/>
    <w:next w:val="Normal"/>
    <w:uiPriority w:val="37"/>
    <w:unhideWhenUsed/>
    <w:rsid w:val="00437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44155">
      <w:bodyDiv w:val="1"/>
      <w:marLeft w:val="0"/>
      <w:marRight w:val="0"/>
      <w:marTop w:val="0"/>
      <w:marBottom w:val="0"/>
      <w:divBdr>
        <w:top w:val="none" w:sz="0" w:space="0" w:color="auto"/>
        <w:left w:val="none" w:sz="0" w:space="0" w:color="auto"/>
        <w:bottom w:val="none" w:sz="0" w:space="0" w:color="auto"/>
        <w:right w:val="none" w:sz="0" w:space="0" w:color="auto"/>
      </w:divBdr>
    </w:div>
    <w:div w:id="145443348">
      <w:bodyDiv w:val="1"/>
      <w:marLeft w:val="0"/>
      <w:marRight w:val="0"/>
      <w:marTop w:val="0"/>
      <w:marBottom w:val="0"/>
      <w:divBdr>
        <w:top w:val="none" w:sz="0" w:space="0" w:color="auto"/>
        <w:left w:val="none" w:sz="0" w:space="0" w:color="auto"/>
        <w:bottom w:val="none" w:sz="0" w:space="0" w:color="auto"/>
        <w:right w:val="none" w:sz="0" w:space="0" w:color="auto"/>
      </w:divBdr>
    </w:div>
    <w:div w:id="226916182">
      <w:bodyDiv w:val="1"/>
      <w:marLeft w:val="0"/>
      <w:marRight w:val="0"/>
      <w:marTop w:val="0"/>
      <w:marBottom w:val="0"/>
      <w:divBdr>
        <w:top w:val="none" w:sz="0" w:space="0" w:color="auto"/>
        <w:left w:val="none" w:sz="0" w:space="0" w:color="auto"/>
        <w:bottom w:val="none" w:sz="0" w:space="0" w:color="auto"/>
        <w:right w:val="none" w:sz="0" w:space="0" w:color="auto"/>
      </w:divBdr>
    </w:div>
    <w:div w:id="234173407">
      <w:bodyDiv w:val="1"/>
      <w:marLeft w:val="0"/>
      <w:marRight w:val="0"/>
      <w:marTop w:val="0"/>
      <w:marBottom w:val="0"/>
      <w:divBdr>
        <w:top w:val="none" w:sz="0" w:space="0" w:color="auto"/>
        <w:left w:val="none" w:sz="0" w:space="0" w:color="auto"/>
        <w:bottom w:val="none" w:sz="0" w:space="0" w:color="auto"/>
        <w:right w:val="none" w:sz="0" w:space="0" w:color="auto"/>
      </w:divBdr>
    </w:div>
    <w:div w:id="264386869">
      <w:bodyDiv w:val="1"/>
      <w:marLeft w:val="0"/>
      <w:marRight w:val="0"/>
      <w:marTop w:val="0"/>
      <w:marBottom w:val="0"/>
      <w:divBdr>
        <w:top w:val="none" w:sz="0" w:space="0" w:color="auto"/>
        <w:left w:val="none" w:sz="0" w:space="0" w:color="auto"/>
        <w:bottom w:val="none" w:sz="0" w:space="0" w:color="auto"/>
        <w:right w:val="none" w:sz="0" w:space="0" w:color="auto"/>
      </w:divBdr>
    </w:div>
    <w:div w:id="578290397">
      <w:bodyDiv w:val="1"/>
      <w:marLeft w:val="0"/>
      <w:marRight w:val="0"/>
      <w:marTop w:val="0"/>
      <w:marBottom w:val="0"/>
      <w:divBdr>
        <w:top w:val="none" w:sz="0" w:space="0" w:color="auto"/>
        <w:left w:val="none" w:sz="0" w:space="0" w:color="auto"/>
        <w:bottom w:val="none" w:sz="0" w:space="0" w:color="auto"/>
        <w:right w:val="none" w:sz="0" w:space="0" w:color="auto"/>
      </w:divBdr>
    </w:div>
    <w:div w:id="685059217">
      <w:bodyDiv w:val="1"/>
      <w:marLeft w:val="0"/>
      <w:marRight w:val="0"/>
      <w:marTop w:val="0"/>
      <w:marBottom w:val="0"/>
      <w:divBdr>
        <w:top w:val="none" w:sz="0" w:space="0" w:color="auto"/>
        <w:left w:val="none" w:sz="0" w:space="0" w:color="auto"/>
        <w:bottom w:val="none" w:sz="0" w:space="0" w:color="auto"/>
        <w:right w:val="none" w:sz="0" w:space="0" w:color="auto"/>
      </w:divBdr>
    </w:div>
    <w:div w:id="710808710">
      <w:bodyDiv w:val="1"/>
      <w:marLeft w:val="0"/>
      <w:marRight w:val="0"/>
      <w:marTop w:val="0"/>
      <w:marBottom w:val="0"/>
      <w:divBdr>
        <w:top w:val="none" w:sz="0" w:space="0" w:color="auto"/>
        <w:left w:val="none" w:sz="0" w:space="0" w:color="auto"/>
        <w:bottom w:val="none" w:sz="0" w:space="0" w:color="auto"/>
        <w:right w:val="none" w:sz="0" w:space="0" w:color="auto"/>
      </w:divBdr>
    </w:div>
    <w:div w:id="879320498">
      <w:bodyDiv w:val="1"/>
      <w:marLeft w:val="0"/>
      <w:marRight w:val="0"/>
      <w:marTop w:val="0"/>
      <w:marBottom w:val="0"/>
      <w:divBdr>
        <w:top w:val="none" w:sz="0" w:space="0" w:color="auto"/>
        <w:left w:val="none" w:sz="0" w:space="0" w:color="auto"/>
        <w:bottom w:val="none" w:sz="0" w:space="0" w:color="auto"/>
        <w:right w:val="none" w:sz="0" w:space="0" w:color="auto"/>
      </w:divBdr>
    </w:div>
    <w:div w:id="1003775017">
      <w:bodyDiv w:val="1"/>
      <w:marLeft w:val="0"/>
      <w:marRight w:val="0"/>
      <w:marTop w:val="0"/>
      <w:marBottom w:val="0"/>
      <w:divBdr>
        <w:top w:val="none" w:sz="0" w:space="0" w:color="auto"/>
        <w:left w:val="none" w:sz="0" w:space="0" w:color="auto"/>
        <w:bottom w:val="none" w:sz="0" w:space="0" w:color="auto"/>
        <w:right w:val="none" w:sz="0" w:space="0" w:color="auto"/>
      </w:divBdr>
    </w:div>
    <w:div w:id="1122456611">
      <w:bodyDiv w:val="1"/>
      <w:marLeft w:val="0"/>
      <w:marRight w:val="0"/>
      <w:marTop w:val="0"/>
      <w:marBottom w:val="0"/>
      <w:divBdr>
        <w:top w:val="none" w:sz="0" w:space="0" w:color="auto"/>
        <w:left w:val="none" w:sz="0" w:space="0" w:color="auto"/>
        <w:bottom w:val="none" w:sz="0" w:space="0" w:color="auto"/>
        <w:right w:val="none" w:sz="0" w:space="0" w:color="auto"/>
      </w:divBdr>
    </w:div>
    <w:div w:id="1212380518">
      <w:bodyDiv w:val="1"/>
      <w:marLeft w:val="0"/>
      <w:marRight w:val="0"/>
      <w:marTop w:val="0"/>
      <w:marBottom w:val="0"/>
      <w:divBdr>
        <w:top w:val="none" w:sz="0" w:space="0" w:color="auto"/>
        <w:left w:val="none" w:sz="0" w:space="0" w:color="auto"/>
        <w:bottom w:val="none" w:sz="0" w:space="0" w:color="auto"/>
        <w:right w:val="none" w:sz="0" w:space="0" w:color="auto"/>
      </w:divBdr>
    </w:div>
    <w:div w:id="1226456850">
      <w:bodyDiv w:val="1"/>
      <w:marLeft w:val="0"/>
      <w:marRight w:val="0"/>
      <w:marTop w:val="0"/>
      <w:marBottom w:val="0"/>
      <w:divBdr>
        <w:top w:val="none" w:sz="0" w:space="0" w:color="auto"/>
        <w:left w:val="none" w:sz="0" w:space="0" w:color="auto"/>
        <w:bottom w:val="none" w:sz="0" w:space="0" w:color="auto"/>
        <w:right w:val="none" w:sz="0" w:space="0" w:color="auto"/>
      </w:divBdr>
    </w:div>
    <w:div w:id="1270820986">
      <w:bodyDiv w:val="1"/>
      <w:marLeft w:val="0"/>
      <w:marRight w:val="0"/>
      <w:marTop w:val="0"/>
      <w:marBottom w:val="0"/>
      <w:divBdr>
        <w:top w:val="none" w:sz="0" w:space="0" w:color="auto"/>
        <w:left w:val="none" w:sz="0" w:space="0" w:color="auto"/>
        <w:bottom w:val="none" w:sz="0" w:space="0" w:color="auto"/>
        <w:right w:val="none" w:sz="0" w:space="0" w:color="auto"/>
      </w:divBdr>
    </w:div>
    <w:div w:id="1283732441">
      <w:bodyDiv w:val="1"/>
      <w:marLeft w:val="0"/>
      <w:marRight w:val="0"/>
      <w:marTop w:val="0"/>
      <w:marBottom w:val="0"/>
      <w:divBdr>
        <w:top w:val="none" w:sz="0" w:space="0" w:color="auto"/>
        <w:left w:val="none" w:sz="0" w:space="0" w:color="auto"/>
        <w:bottom w:val="none" w:sz="0" w:space="0" w:color="auto"/>
        <w:right w:val="none" w:sz="0" w:space="0" w:color="auto"/>
      </w:divBdr>
    </w:div>
    <w:div w:id="1361007566">
      <w:bodyDiv w:val="1"/>
      <w:marLeft w:val="0"/>
      <w:marRight w:val="0"/>
      <w:marTop w:val="0"/>
      <w:marBottom w:val="0"/>
      <w:divBdr>
        <w:top w:val="none" w:sz="0" w:space="0" w:color="auto"/>
        <w:left w:val="none" w:sz="0" w:space="0" w:color="auto"/>
        <w:bottom w:val="none" w:sz="0" w:space="0" w:color="auto"/>
        <w:right w:val="none" w:sz="0" w:space="0" w:color="auto"/>
      </w:divBdr>
    </w:div>
    <w:div w:id="1413047646">
      <w:bodyDiv w:val="1"/>
      <w:marLeft w:val="0"/>
      <w:marRight w:val="0"/>
      <w:marTop w:val="0"/>
      <w:marBottom w:val="0"/>
      <w:divBdr>
        <w:top w:val="none" w:sz="0" w:space="0" w:color="auto"/>
        <w:left w:val="none" w:sz="0" w:space="0" w:color="auto"/>
        <w:bottom w:val="none" w:sz="0" w:space="0" w:color="auto"/>
        <w:right w:val="none" w:sz="0" w:space="0" w:color="auto"/>
      </w:divBdr>
    </w:div>
    <w:div w:id="1466199435">
      <w:bodyDiv w:val="1"/>
      <w:marLeft w:val="0"/>
      <w:marRight w:val="0"/>
      <w:marTop w:val="0"/>
      <w:marBottom w:val="0"/>
      <w:divBdr>
        <w:top w:val="none" w:sz="0" w:space="0" w:color="auto"/>
        <w:left w:val="none" w:sz="0" w:space="0" w:color="auto"/>
        <w:bottom w:val="none" w:sz="0" w:space="0" w:color="auto"/>
        <w:right w:val="none" w:sz="0" w:space="0" w:color="auto"/>
      </w:divBdr>
    </w:div>
    <w:div w:id="1476678810">
      <w:bodyDiv w:val="1"/>
      <w:marLeft w:val="0"/>
      <w:marRight w:val="0"/>
      <w:marTop w:val="0"/>
      <w:marBottom w:val="0"/>
      <w:divBdr>
        <w:top w:val="none" w:sz="0" w:space="0" w:color="auto"/>
        <w:left w:val="none" w:sz="0" w:space="0" w:color="auto"/>
        <w:bottom w:val="none" w:sz="0" w:space="0" w:color="auto"/>
        <w:right w:val="none" w:sz="0" w:space="0" w:color="auto"/>
      </w:divBdr>
    </w:div>
    <w:div w:id="1609043331">
      <w:bodyDiv w:val="1"/>
      <w:marLeft w:val="0"/>
      <w:marRight w:val="0"/>
      <w:marTop w:val="0"/>
      <w:marBottom w:val="0"/>
      <w:divBdr>
        <w:top w:val="none" w:sz="0" w:space="0" w:color="auto"/>
        <w:left w:val="none" w:sz="0" w:space="0" w:color="auto"/>
        <w:bottom w:val="none" w:sz="0" w:space="0" w:color="auto"/>
        <w:right w:val="none" w:sz="0" w:space="0" w:color="auto"/>
      </w:divBdr>
    </w:div>
    <w:div w:id="1793401747">
      <w:bodyDiv w:val="1"/>
      <w:marLeft w:val="0"/>
      <w:marRight w:val="0"/>
      <w:marTop w:val="0"/>
      <w:marBottom w:val="0"/>
      <w:divBdr>
        <w:top w:val="none" w:sz="0" w:space="0" w:color="auto"/>
        <w:left w:val="none" w:sz="0" w:space="0" w:color="auto"/>
        <w:bottom w:val="none" w:sz="0" w:space="0" w:color="auto"/>
        <w:right w:val="none" w:sz="0" w:space="0" w:color="auto"/>
      </w:divBdr>
    </w:div>
    <w:div w:id="1965188045">
      <w:bodyDiv w:val="1"/>
      <w:marLeft w:val="0"/>
      <w:marRight w:val="0"/>
      <w:marTop w:val="0"/>
      <w:marBottom w:val="0"/>
      <w:divBdr>
        <w:top w:val="none" w:sz="0" w:space="0" w:color="auto"/>
        <w:left w:val="none" w:sz="0" w:space="0" w:color="auto"/>
        <w:bottom w:val="none" w:sz="0" w:space="0" w:color="auto"/>
        <w:right w:val="none" w:sz="0" w:space="0" w:color="auto"/>
      </w:divBdr>
    </w:div>
    <w:div w:id="2004776415">
      <w:bodyDiv w:val="1"/>
      <w:marLeft w:val="0"/>
      <w:marRight w:val="0"/>
      <w:marTop w:val="0"/>
      <w:marBottom w:val="0"/>
      <w:divBdr>
        <w:top w:val="none" w:sz="0" w:space="0" w:color="auto"/>
        <w:left w:val="none" w:sz="0" w:space="0" w:color="auto"/>
        <w:bottom w:val="none" w:sz="0" w:space="0" w:color="auto"/>
        <w:right w:val="none" w:sz="0" w:space="0" w:color="auto"/>
      </w:divBdr>
    </w:div>
    <w:div w:id="2085177642">
      <w:bodyDiv w:val="1"/>
      <w:marLeft w:val="0"/>
      <w:marRight w:val="0"/>
      <w:marTop w:val="0"/>
      <w:marBottom w:val="0"/>
      <w:divBdr>
        <w:top w:val="none" w:sz="0" w:space="0" w:color="auto"/>
        <w:left w:val="none" w:sz="0" w:space="0" w:color="auto"/>
        <w:bottom w:val="none" w:sz="0" w:space="0" w:color="auto"/>
        <w:right w:val="none" w:sz="0" w:space="0" w:color="auto"/>
      </w:divBdr>
    </w:div>
    <w:div w:id="2125030587">
      <w:bodyDiv w:val="1"/>
      <w:marLeft w:val="0"/>
      <w:marRight w:val="0"/>
      <w:marTop w:val="0"/>
      <w:marBottom w:val="0"/>
      <w:divBdr>
        <w:top w:val="none" w:sz="0" w:space="0" w:color="auto"/>
        <w:left w:val="none" w:sz="0" w:space="0" w:color="auto"/>
        <w:bottom w:val="none" w:sz="0" w:space="0" w:color="auto"/>
        <w:right w:val="none" w:sz="0" w:space="0" w:color="auto"/>
      </w:divBdr>
    </w:div>
    <w:div w:id="212896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5D6803-8F5C-4DC8-9847-FD9660483B2D}">
  <we:reference id="wa104382081" version="1.46.0.0" store="en-US" storeType="OMEX"/>
  <we:alternateReferences>
    <we:reference id="wa104382081" version="1.46.0.0" store="en-US"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Des20</b:Tag>
    <b:SourceType>InternetSite</b:SourceType>
    <b:Guid>{6C34E340-09B2-4310-9EF0-BD6738398ED8}</b:Guid>
    <b:Author>
      <b:Author>
        <b:Corporate>Designing Buildings The Construction Wiki</b:Corporate>
      </b:Author>
    </b:Author>
    <b:Title>Negligence in building design and construction</b:Title>
    <b:Year>2020</b:Year>
    <b:YearAccessed>2022</b:YearAccessed>
    <b:MonthAccessed>Novmber</b:MonthAccessed>
    <b:DayAccessed>24th</b:DayAccessed>
    <b:URL>https://www.designingbuildings.co.uk/wiki/Negligence_in_building_design_and_construction</b:URL>
    <b:RefOrder>1</b:RefOrder>
  </b:Source>
  <b:Source>
    <b:Tag>Wri15</b:Tag>
    <b:SourceType>InternetSite</b:SourceType>
    <b:Guid>{D4ACD888-4190-4EB1-8B8F-E54C4E2F9826}</b:Guid>
    <b:Author>
      <b:Author>
        <b:Corporate>Wright/Hassall</b:Corporate>
      </b:Author>
    </b:Author>
    <b:Title>What is the definition of negligence?</b:Title>
    <b:Year>2015</b:Year>
    <b:YearAccessed>2022</b:YearAccessed>
    <b:MonthAccessed>November</b:MonthAccessed>
    <b:DayAccessed>24th</b:DayAccessed>
    <b:URL>https://www.wrighthassall.co.uk/knowledge-base/what-is-the-definition-of-negligence</b:URL>
    <b:RefOrder>2</b:RefOrder>
  </b:Source>
  <b:Source>
    <b:Tag>Leg22</b:Tag>
    <b:SourceType>InternetSite</b:SourceType>
    <b:Guid>{B024C328-4F3D-4009-B3CD-246F842AF049}</b:Guid>
    <b:Author>
      <b:Author>
        <b:Corporate>Legalknowledgebase</b:Corporate>
      </b:Author>
    </b:Author>
    <b:Title>What is tort negligence UK?</b:Title>
    <b:Year>2022</b:Year>
    <b:YearAccessed>2022</b:YearAccessed>
    <b:MonthAccessed>November</b:MonthAccessed>
    <b:DayAccessed>11th</b:DayAccessed>
    <b:URL>https://legalknowledgebase.com/what-is-tort-negligence-uk</b:URL>
    <b:RefOrder>3</b:RefOrder>
  </b:Source>
  <b:Source>
    <b:Tag>Law22</b:Tag>
    <b:SourceType>InternetSite</b:SourceType>
    <b:Guid>{67B3FE30-AD4B-4EFD-B81B-2868D81F7026}</b:Guid>
    <b:Author>
      <b:Author>
        <b:Corporate>LawTeacher</b:Corporate>
      </b:Author>
    </b:Author>
    <b:Title>Duty of Care Lecture</b:Title>
    <b:YearAccessed>2022</b:YearAccessed>
    <b:MonthAccessed>November</b:MonthAccessed>
    <b:DayAccessed>24th</b:DayAccessed>
    <b:URL>https://www.lawteacher.net/lectures/tort-law/negligence/duty-of-care/</b:URL>
    <b:Year>2018</b:Year>
    <b:RefOrder>4</b:RefOrder>
  </b:Source>
  <b:Source>
    <b:Tag>Law18</b:Tag>
    <b:SourceType>InternetSite</b:SourceType>
    <b:Guid>{74E1ADDD-5ABE-4D8F-A67D-DA5AD5C2ADF3}</b:Guid>
    <b:Author>
      <b:Author>
        <b:Corporate>LawTeacher</b:Corporate>
      </b:Author>
    </b:Author>
    <b:Title>Breach of Duty Lecture</b:Title>
    <b:Year>2018</b:Year>
    <b:YearAccessed>2022</b:YearAccessed>
    <b:MonthAccessed>November</b:MonthAccessed>
    <b:DayAccessed>24th</b:DayAccessed>
    <b:URL>https://www.lawteacher.net/lectures/tort-law/negligence/duty-of-care/ </b:URL>
    <b:RefOrder>5</b:RefOrder>
  </b:Source>
  <b:Source>
    <b:Tag>Law181</b:Tag>
    <b:SourceType>InternetSite</b:SourceType>
    <b:Guid>{2CB35015-2830-4983-BB9A-8B96E1A0AAEF}</b:Guid>
    <b:Author>
      <b:Author>
        <b:Corporate>LawTeacher</b:Corporate>
      </b:Author>
    </b:Author>
    <b:Title>Damage Caused Was Not Too Remote</b:Title>
    <b:Year>2018</b:Year>
    <b:YearAccessed>2022</b:YearAccessed>
    <b:MonthAccessed>November</b:MonthAccessed>
    <b:DayAccessed>24th</b:DayAccessed>
    <b:URL>https://www.lawteacher.net/lectures/tort-law/negligence/duty-of-care/ </b:URL>
    <b:RefOrder>6</b:RefOrder>
  </b:Source>
  <b:Source>
    <b:Tag>Car19</b:Tag>
    <b:SourceType>BookSection</b:SourceType>
    <b:Guid>{311A3C32-AC8A-443B-9AC2-CF9ACF5C2EF3}</b:Guid>
    <b:Author>
      <b:Author>
        <b:NameList>
          <b:Person>
            <b:Last>Brennon</b:Last>
            <b:First>Carol</b:First>
          </b:Person>
        </b:NameList>
      </b:Author>
    </b:Author>
    <b:Title>Introduction to the Tort of Negligence </b:Title>
    <b:BookTitle>Tort Law Concentrate: Law Revision and Study Guide</b:BookTitle>
    <b:Year>2019</b:Year>
    <b:Pages>11, 12</b:Pages>
    <b:City>United Kingdom</b:City>
    <b:Publisher>Oxford Univestiy Press</b:Publisher>
    <b:RefOrder>7</b:RefOrder>
  </b:Source>
  <b:Source>
    <b:Tag>Cla15</b:Tag>
    <b:SourceType>InternetSite</b:SourceType>
    <b:Guid>{0C13C268-996F-460E-ABC7-9A5EC7072009}</b:Guid>
    <b:Title> &amp; F Estates Ltd v Church Commissioners for England &amp; Others (1989) AC 177</b:Title>
    <b:Year>2015</b:Year>
    <b:Author>
      <b:Author>
        <b:Corporate>Classic case law: Teaching tort</b:Corporate>
      </b:Author>
    </b:Author>
    <b:YearAccessed>2022</b:YearAccessed>
    <b:MonthAccessed>November</b:MonthAccessed>
    <b:DayAccessed>26th</b:DayAccessed>
    <b:URL>https://www.thenbs.com/knowledge/classic-case-law-teaching-tort </b:URL>
    <b:RefOrder>8</b:RefOrder>
  </b:Source>
  <b:Source>
    <b:Tag>Rat22</b:Tag>
    <b:SourceType>InternetSite</b:SourceType>
    <b:Guid>{29F82FDD-2116-4065-B8E8-FB9FC4440F09}</b:Guid>
    <b:Author>
      <b:Author>
        <b:Corporate>Ratzan Weissman Boldt</b:Corporate>
      </b:Author>
    </b:Author>
    <b:Title>Important Factors in Determining Negligence in Construction</b:Title>
    <b:Year>2022</b:Year>
    <b:YearAccessed>2022</b:YearAccessed>
    <b:MonthAccessed>November</b:MonthAccessed>
    <b:DayAccessed>29th</b:DayAccessed>
    <b:URL>https://www.rwblawyers.com/news/how-to-identify-negligence-in-construction</b:URL>
    <b:RefOrder>9</b:RefOrder>
  </b:Source>
  <b:Source xmlns:b="http://schemas.openxmlformats.org/officeDocument/2006/bibliography">
    <b:Tag>Don97</b:Tag>
    <b:SourceType>Book</b:SourceType>
    <b:Guid>{864106B3-1384-4B33-9CD4-D31305B58CC6}</b:Guid>
    <b:Title>What is ISO-9000</b:Title>
    <b:Year>1997</b:Year>
    <b:Author>
      <b:Author>
        <b:NameList>
          <b:Person>
            <b:Last>Don Sanders</b:Last>
            <b:First>Donald</b:First>
            <b:Middle>A. Sanders, C. Frank Scott</b:Middle>
          </b:Person>
        </b:NameList>
      </b:Author>
    </b:Author>
    <b:BookTitle>Passing Your ISO 9000/QS-9000 Audit Step-by-step Approach</b:BookTitle>
    <b:Pages>4</b:Pages>
    <b:City>United Kindom</b:City>
    <b:Publisher>Taylor &amp; Francis</b:Publisher>
    <b:RefOrder>11</b:RefOrder>
  </b:Source>
  <b:Source>
    <b:Tag>Adj22</b:Tag>
    <b:SourceType>InternetSite</b:SourceType>
    <b:Guid>{16DA884C-8063-42BD-9566-6F8C103FD9CD}</b:Guid>
    <b:Author>
      <b:Author>
        <b:Corporate>Adjudication.co.uk</b:Corporate>
      </b:Author>
    </b:Author>
    <b:Title>What is Adjudication</b:Title>
    <b:YearAccessed>2022</b:YearAccessed>
    <b:MonthAccessed>November</b:MonthAccessed>
    <b:DayAccessed>25th</b:DayAccessed>
    <b:URL>http://www.adjudication.co.uk/faq/</b:URL>
    <b:RefOrder>12</b:RefOrder>
  </b:Source>
  <b:Source>
    <b:Tag>leg17</b:Tag>
    <b:SourceType>InternetSite</b:SourceType>
    <b:Guid>{C170B960-B2A1-4323-A00B-83613E1D4122}</b:Guid>
    <b:Author>
      <b:Author>
        <b:Corporate>legislation.gov.uk</b:Corporate>
      </b:Author>
    </b:Author>
    <b:Title>Housing Grants, Construction and Regeneration Act 1996</b:Title>
    <b:Year>2017</b:Year>
    <b:YearAccessed>2022</b:YearAccessed>
    <b:MonthAccessed>November</b:MonthAccessed>
    <b:DayAccessed>25th</b:DayAccessed>
    <b:URL>https://www.legislation.gov.uk/ukpga/1996/53/section/108 </b:URL>
    <b:RefOrder>13</b:RefOrder>
  </b:Source>
  <b:Source>
    <b:Tag>Con18</b:Tag>
    <b:SourceType>InternetSite</b:SourceType>
    <b:Guid>{879877B2-33DF-4584-B50F-138F60B361C7}</b:Guid>
    <b:Author>
      <b:Author>
        <b:Corporate>Construction Management</b:Corporate>
      </b:Author>
    </b:Author>
    <b:Title>Vinci v Beumer: Baggage delays lead to £9.7m payout</b:Title>
    <b:Year>2018</b:Year>
    <b:YearAccessed>2022</b:YearAccessed>
    <b:MonthAccessed>November</b:MonthAccessed>
    <b:DayAccessed>25th</b:DayAccessed>
    <b:URL>https://constructionmanagement.co.uk/vinci-v-beumer-baggage-delays-lead-97m-payout/</b:URL>
    <b:RefOrder>14</b:RefOrder>
  </b:Source>
  <b:Source>
    <b:Tag>Pic15</b:Tag>
    <b:SourceType>BookSection</b:SourceType>
    <b:Guid>{534C5AE9-58AA-4DB6-A124-8BAEBA330A35}</b:Guid>
    <b:Title>Advantages</b:Title>
    <b:Year>2015</b:Year>
    <b:Author>
      <b:Author>
        <b:NameList>
          <b:Person>
            <b:Last>Pickavance</b:Last>
            <b:First>James</b:First>
          </b:Person>
        </b:NameList>
      </b:Author>
    </b:Author>
    <b:City>United Kingdom</b:City>
    <b:Publisher>Wiley</b:Publisher>
    <b:BookTitle>A practical Guide to Construction Adjudication</b:BookTitle>
    <b:Pages>18, 19, 20</b:Pages>
    <b:RefOrder>15</b:RefOrder>
  </b:Source>
  <b:Source>
    <b:Tag>ISO22</b:Tag>
    <b:SourceType>InternetSite</b:SourceType>
    <b:Guid>{4CCDA754-1699-46C8-B9F0-6FA4C96756EB}</b:Guid>
    <b:Title>Management system guidance</b:Title>
    <b:Author>
      <b:Author>
        <b:Corporate>ISO-9000 Help.co.uk</b:Corporate>
      </b:Author>
    </b:Author>
    <b:YearAccessed>2022</b:YearAccessed>
    <b:MonthAccessed>November</b:MonthAccessed>
    <b:DayAccessed>29th</b:DayAccessed>
    <b:URL>https://www.iso9001help.co.uk/ISO-9000-history.html</b:URL>
    <b:RefOrder>10</b:RefOrder>
  </b:Source>
</b:Sources>
</file>

<file path=customXml/itemProps1.xml><?xml version="1.0" encoding="utf-8"?>
<ds:datastoreItem xmlns:ds="http://schemas.openxmlformats.org/officeDocument/2006/customXml" ds:itemID="{9C572FA0-3579-4497-B158-49D829800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10</Pages>
  <Words>2360</Words>
  <Characters>13456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NEGLIGENCE IN CONSTRUCTION</vt:lpstr>
    </vt:vector>
  </TitlesOfParts>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NEGLIGENCE IN CONSTRUCTION</dc:title>
  <dc:subject>Date Completed: 2022</dc:subject>
  <dc:creator>Luke Hunt</dc:creator>
  <cp:keywords/>
  <dc:description/>
  <cp:lastModifiedBy>Luke Hunt</cp:lastModifiedBy>
  <cp:revision>8</cp:revision>
  <dcterms:created xsi:type="dcterms:W3CDTF">2022-12-02T19:46:00Z</dcterms:created>
  <dcterms:modified xsi:type="dcterms:W3CDTF">2022-12-02T20:44:00Z</dcterms:modified>
</cp:coreProperties>
</file>