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EE033" w14:textId="26F70F17" w:rsidR="00B4431F" w:rsidRPr="00535D85" w:rsidRDefault="00BE443F" w:rsidP="00BE443F">
      <w:pPr>
        <w:jc w:val="center"/>
        <w:rPr>
          <w:sz w:val="28"/>
          <w:szCs w:val="28"/>
          <w:u w:val="single"/>
        </w:rPr>
      </w:pPr>
      <w:r w:rsidRPr="00535D85">
        <w:rPr>
          <w:sz w:val="28"/>
          <w:szCs w:val="28"/>
          <w:u w:val="single"/>
        </w:rPr>
        <w:t>Aseiniad ysgrifenedig sy’n gwerthuso’n feirniadol sut y gellir defnyddio Asesu ar gyfer Dysgu mewn cyfres o gyfleoedd dysgu i hybu cynnydd ar draws y meysydd dysgu a phrofiad a ddewiswyd.</w:t>
      </w:r>
    </w:p>
    <w:p w14:paraId="5259D08B" w14:textId="70EE5424" w:rsidR="14D539CB" w:rsidRDefault="0029139D" w:rsidP="069DB242">
      <w:pPr>
        <w:rPr>
          <w:sz w:val="24"/>
          <w:szCs w:val="24"/>
        </w:rPr>
      </w:pPr>
      <w:r>
        <w:rPr>
          <w:rFonts w:ascii="Calibri" w:hAnsi="Calibri" w:cs="Calibri"/>
          <w:sz w:val="24"/>
          <w:szCs w:val="24"/>
        </w:rPr>
        <w:t xml:space="preserve">Pwrpas yr aseiniaid yw i drafod sut mae defnyddio Asesu ar gyfer dysgu mewn cyfres o gyfleoedd dysgu yn hybu cynnydd i’r disgyblion dros dri maes dysgu a phrofiad, sef Ieithoedd, Llythrennedd a Chyfathrebu, Mathemateg a Rhifedd a Chelfyddydau Mynegiannol. Dywedodd Kirsty Williams “Prif bwrpas asesu yw darparu gwybodaeth a all lywio penderfyniadau am y ffordd orau i symud dysgu'r disgyblion” Llywodraeth Cymru </w:t>
      </w:r>
      <w:r w:rsidR="00B73DA4">
        <w:rPr>
          <w:rFonts w:ascii="Calibri" w:hAnsi="Calibri" w:cs="Calibri"/>
          <w:sz w:val="24"/>
          <w:szCs w:val="24"/>
        </w:rPr>
        <w:t>(</w:t>
      </w:r>
      <w:r>
        <w:rPr>
          <w:rFonts w:ascii="Calibri" w:hAnsi="Calibri" w:cs="Calibri"/>
          <w:sz w:val="24"/>
          <w:szCs w:val="24"/>
        </w:rPr>
        <w:t xml:space="preserve">2017). Mae hyn yn cyfleu taw cynnydd y disgyblion yw canolbwynt y strategaeth asesu ar gyfer dysgu. Mae llawer o wahanol strategaethau asesu ar gyfer dysgu sydd yn hybu cynnydd disgyblion, ond mae gwahanol ddamcaniaethwr yn meddwl mai rhai strategaethau yn gweithio yn well nag eraill. Gan fod sawl un, mae yna un peth mae pob un yn cytuno, a hwn yw pwysigrwydd gweld dysgwyr yn wneud cynnydd a gwella safon gwaith y dosbarth. Yn ôl adroddiad Dyfodol Llwyddiannus, Donaldson </w:t>
      </w:r>
      <w:r w:rsidR="00B73DA4">
        <w:rPr>
          <w:rFonts w:ascii="Calibri" w:hAnsi="Calibri" w:cs="Calibri"/>
          <w:sz w:val="24"/>
          <w:szCs w:val="24"/>
        </w:rPr>
        <w:t>(</w:t>
      </w:r>
      <w:r>
        <w:rPr>
          <w:rFonts w:ascii="Calibri" w:hAnsi="Calibri" w:cs="Calibri"/>
          <w:sz w:val="24"/>
          <w:szCs w:val="24"/>
        </w:rPr>
        <w:t>2015</w:t>
      </w:r>
      <w:r w:rsidR="00B73DA4">
        <w:rPr>
          <w:rFonts w:ascii="Calibri" w:hAnsi="Calibri" w:cs="Calibri"/>
          <w:sz w:val="24"/>
          <w:szCs w:val="24"/>
        </w:rPr>
        <w:t>)</w:t>
      </w:r>
      <w:r>
        <w:rPr>
          <w:rFonts w:ascii="Calibri" w:hAnsi="Calibri" w:cs="Calibri"/>
          <w:sz w:val="24"/>
          <w:szCs w:val="24"/>
        </w:rPr>
        <w:t xml:space="preserve"> “Prif bwrpas asesu yw darparu gwybodaeth i lywio penderfyniadau ynghylch y ffordd orau o sicrhau cynnydd gan blant a phobl ifanc yn eu dysgu ac adrodd i’w rhieni a’u gofalwyr ar y cynnydd hwnnw.” Mae’r athrawon yn defnyddio asesu er mwyn helpu’r dysgwr ond hefyd fel bod nhw yn gallu adrodd nôl at rheini ar sut mae ei phlentyn yn datblygu ac fel bod y rheini yn gallu helpu yn y cartref.  </w:t>
      </w:r>
    </w:p>
    <w:p w14:paraId="00434852" w14:textId="3BBC348B" w:rsidR="00A32D65" w:rsidRDefault="00CB10DF" w:rsidP="069DB242">
      <w:pPr>
        <w:rPr>
          <w:rFonts w:ascii="Calibri" w:hAnsi="Calibri" w:cs="Calibri"/>
          <w:sz w:val="24"/>
          <w:szCs w:val="24"/>
        </w:rPr>
      </w:pPr>
      <w:r>
        <w:rPr>
          <w:rFonts w:ascii="Calibri" w:hAnsi="Calibri" w:cs="Calibri"/>
          <w:sz w:val="24"/>
          <w:szCs w:val="24"/>
        </w:rPr>
        <w:t xml:space="preserve">Thema fy ngwersi yw Cwpan y Byd. Wnes i ddewis hwn fel thema oherwydd mae’n bwysig bod dysgwyr yn dysgu am hanes Cymru ac yr hyn sydd yn </w:t>
      </w:r>
      <w:r w:rsidR="00A32D65">
        <w:rPr>
          <w:rFonts w:ascii="Calibri" w:hAnsi="Calibri" w:cs="Calibri"/>
          <w:sz w:val="24"/>
          <w:szCs w:val="24"/>
        </w:rPr>
        <w:t>gyfredol</w:t>
      </w:r>
      <w:r>
        <w:rPr>
          <w:rFonts w:ascii="Calibri" w:hAnsi="Calibri" w:cs="Calibri"/>
          <w:sz w:val="24"/>
          <w:szCs w:val="24"/>
        </w:rPr>
        <w:t xml:space="preserve">. Mae’r tair gwers dwi wedi ei chynllunio yn seiliedig ar ddatblygu sgiliau gwahanol y disgyblion ond dros yr un thema Cwpan Y Byd. Mae fy ngwersi yn canolbwyntio ar flwyddyn 6 felly disgyblion tua 10 / 11 mlwydd oed, felly dylai’r disgyblion </w:t>
      </w:r>
      <w:r w:rsidR="00A32D65">
        <w:rPr>
          <w:rFonts w:ascii="Calibri" w:hAnsi="Calibri" w:cs="Calibri"/>
          <w:sz w:val="24"/>
          <w:szCs w:val="24"/>
        </w:rPr>
        <w:t>f</w:t>
      </w:r>
      <w:r>
        <w:rPr>
          <w:rFonts w:ascii="Calibri" w:hAnsi="Calibri" w:cs="Calibri"/>
          <w:sz w:val="24"/>
          <w:szCs w:val="24"/>
        </w:rPr>
        <w:t>od yn gweithio ar neu tuag at gam gynnydd 3. Mae llawer o wahanol lefelau gallu yn y dosbarth ac yn y grŵp dwi wedi paratoi'r gwersi a</w:t>
      </w:r>
      <w:r w:rsidR="00A32D65">
        <w:rPr>
          <w:rFonts w:ascii="Calibri" w:hAnsi="Calibri" w:cs="Calibri"/>
          <w:sz w:val="24"/>
          <w:szCs w:val="24"/>
        </w:rPr>
        <w:t>r gyfer,</w:t>
      </w:r>
      <w:r>
        <w:rPr>
          <w:rFonts w:ascii="Calibri" w:hAnsi="Calibri" w:cs="Calibri"/>
          <w:sz w:val="24"/>
          <w:szCs w:val="24"/>
        </w:rPr>
        <w:t xml:space="preserve"> mae yna ambell ddisgybl sydd </w:t>
      </w:r>
      <w:r w:rsidR="00A32D65">
        <w:rPr>
          <w:rFonts w:ascii="Calibri" w:hAnsi="Calibri" w:cs="Calibri"/>
          <w:sz w:val="24"/>
          <w:szCs w:val="24"/>
        </w:rPr>
        <w:t>yn f</w:t>
      </w:r>
      <w:r>
        <w:rPr>
          <w:rFonts w:ascii="Calibri" w:hAnsi="Calibri" w:cs="Calibri"/>
          <w:sz w:val="24"/>
          <w:szCs w:val="24"/>
        </w:rPr>
        <w:t>wy abl a thalentog sydd yn golygu bydd angen</w:t>
      </w:r>
      <w:r w:rsidR="00A32D65">
        <w:rPr>
          <w:rFonts w:ascii="Calibri" w:hAnsi="Calibri" w:cs="Calibri"/>
          <w:sz w:val="24"/>
          <w:szCs w:val="24"/>
        </w:rPr>
        <w:t xml:space="preserve"> gwahaniaethu.</w:t>
      </w:r>
      <w:r>
        <w:rPr>
          <w:rFonts w:ascii="Calibri" w:hAnsi="Calibri" w:cs="Calibri"/>
          <w:sz w:val="24"/>
          <w:szCs w:val="24"/>
        </w:rPr>
        <w:t xml:space="preserve"> </w:t>
      </w:r>
    </w:p>
    <w:p w14:paraId="7E392C55" w14:textId="74D478E6" w:rsidR="2F419C34" w:rsidRPr="00B73DA4" w:rsidRDefault="0029139D" w:rsidP="069DB242">
      <w:pPr>
        <w:rPr>
          <w:rFonts w:ascii="Calibri" w:hAnsi="Calibri" w:cs="Calibri"/>
          <w:sz w:val="24"/>
          <w:szCs w:val="24"/>
        </w:rPr>
      </w:pPr>
      <w:r>
        <w:rPr>
          <w:rFonts w:ascii="Calibri" w:hAnsi="Calibri" w:cs="Calibri"/>
          <w:sz w:val="24"/>
          <w:szCs w:val="24"/>
        </w:rPr>
        <w:t>Fel dywedais yn flaenorol y tri maes dysgu yr wyf wedi dewis yw Ieithoedd, Llythrennedd a Chyfathrebu, Mathemateg a Rhifedd a Chelfyddydau Mynegiannol, wrth drafod cynnydd y plant ac edrych ar gynlluniau gwaith yr athrawes. Mae’r disgyblion wedi gwneud llawer o dasgau a sesiynau blaenorol yn y meysydd yma sydd yn seiliedig ar Gwpan y Byd a byddaf yn mynd mewn i fwy o ddyfnder nes ymlaen. Yn y cwricwlwm newydd y brif thema yw gweithio ar draws y chwe maes dysgu a phrofiad</w:t>
      </w:r>
      <w:r w:rsidR="00B73DA4">
        <w:rPr>
          <w:rFonts w:ascii="Calibri" w:hAnsi="Calibri" w:cs="Calibri"/>
          <w:sz w:val="24"/>
          <w:szCs w:val="24"/>
        </w:rPr>
        <w:t xml:space="preserve"> a tuag at y pedwar diben</w:t>
      </w:r>
      <w:r w:rsidR="00B73DA4" w:rsidRPr="00B73DA4">
        <w:rPr>
          <w:rFonts w:cstheme="minorHAnsi"/>
          <w:sz w:val="24"/>
          <w:szCs w:val="24"/>
        </w:rPr>
        <w:t>. “</w:t>
      </w:r>
      <w:r w:rsidR="00B73DA4" w:rsidRPr="00B73DA4">
        <w:rPr>
          <w:rFonts w:cstheme="minorHAnsi"/>
          <w:sz w:val="24"/>
          <w:szCs w:val="24"/>
          <w:shd w:val="clear" w:color="auto" w:fill="FFFFFF"/>
        </w:rPr>
        <w:t>Does dim yn fwy hanfodol na bod pob plentyn a pherson ifanc yn caffael addysg ac yn cael mynediad cyflawn at y </w:t>
      </w:r>
      <w:r w:rsidR="00B73DA4" w:rsidRPr="00B73DA4">
        <w:rPr>
          <w:rStyle w:val="HTMLDefinition"/>
          <w:rFonts w:cstheme="minorHAnsi"/>
          <w:sz w:val="24"/>
          <w:szCs w:val="24"/>
          <w:bdr w:val="none" w:sz="0" w:space="0" w:color="auto" w:frame="1"/>
          <w:shd w:val="clear" w:color="auto" w:fill="FFFFFF"/>
        </w:rPr>
        <w:t>profiadau</w:t>
      </w:r>
      <w:r w:rsidR="00B73DA4" w:rsidRPr="00B73DA4">
        <w:rPr>
          <w:rFonts w:cstheme="minorHAnsi"/>
          <w:sz w:val="24"/>
          <w:szCs w:val="24"/>
          <w:shd w:val="clear" w:color="auto" w:fill="FFFFFF"/>
        </w:rPr>
        <w:t>, yr </w:t>
      </w:r>
      <w:r w:rsidR="00B73DA4" w:rsidRPr="00B73DA4">
        <w:rPr>
          <w:rStyle w:val="HTMLDefinition"/>
          <w:rFonts w:cstheme="minorHAnsi"/>
          <w:sz w:val="24"/>
          <w:szCs w:val="24"/>
          <w:bdr w:val="none" w:sz="0" w:space="0" w:color="auto" w:frame="1"/>
          <w:shd w:val="clear" w:color="auto" w:fill="FFFFFF"/>
        </w:rPr>
        <w:t>wybodaeth</w:t>
      </w:r>
      <w:r w:rsidR="00B73DA4" w:rsidRPr="00B73DA4">
        <w:rPr>
          <w:rFonts w:cstheme="minorHAnsi"/>
          <w:sz w:val="24"/>
          <w:szCs w:val="24"/>
          <w:shd w:val="clear" w:color="auto" w:fill="FFFFFF"/>
        </w:rPr>
        <w:t> a’r </w:t>
      </w:r>
      <w:r w:rsidR="00B73DA4" w:rsidRPr="00B73DA4">
        <w:rPr>
          <w:rStyle w:val="HTMLDefinition"/>
          <w:rFonts w:cstheme="minorHAnsi"/>
          <w:sz w:val="24"/>
          <w:szCs w:val="24"/>
          <w:bdr w:val="none" w:sz="0" w:space="0" w:color="auto" w:frame="1"/>
          <w:shd w:val="clear" w:color="auto" w:fill="FFFFFF"/>
        </w:rPr>
        <w:t>sgiliau</w:t>
      </w:r>
      <w:r w:rsidR="00B73DA4" w:rsidRPr="00B73DA4">
        <w:rPr>
          <w:rFonts w:cstheme="minorHAnsi"/>
          <w:sz w:val="24"/>
          <w:szCs w:val="24"/>
          <w:shd w:val="clear" w:color="auto" w:fill="FFFFFF"/>
        </w:rPr>
        <w:t> y mae eu hangen arnyn nhw ym myd gwaith, ar gyfer dysgu gydol oes ac er mwyn bod yn ddinasyddion gweithredol,”</w:t>
      </w:r>
      <w:r w:rsidR="00B73DA4">
        <w:rPr>
          <w:rFonts w:cstheme="minorHAnsi"/>
          <w:sz w:val="24"/>
          <w:szCs w:val="24"/>
          <w:shd w:val="clear" w:color="auto" w:fill="FFFFFF"/>
        </w:rPr>
        <w:t xml:space="preserve"> Llywodraeth Cymru, (2020). </w:t>
      </w:r>
      <w:r w:rsidRPr="00B73DA4">
        <w:rPr>
          <w:rFonts w:cstheme="minorHAnsi"/>
          <w:sz w:val="24"/>
          <w:szCs w:val="24"/>
        </w:rPr>
        <w:t xml:space="preserve">O fewn y maes yma bydd y disgyblion yn dysgu sut i </w:t>
      </w:r>
      <w:r>
        <w:rPr>
          <w:rFonts w:ascii="Calibri" w:hAnsi="Calibri" w:cs="Calibri"/>
          <w:sz w:val="24"/>
          <w:szCs w:val="24"/>
        </w:rPr>
        <w:t xml:space="preserve">ysgrifennu gwahanol fathau o genres, darllen ehangach ac ymarfer sillafu ac ysgrifennu. “Golyga hyn y dylid archwilio gwahanol ieithoedd mewn perthynas â’i gilydd yn ogystal â sgiliau gwrando, siarad, darllen ac ysgrifennu,” Llywodraeth Cymru, </w:t>
      </w:r>
      <w:r w:rsidR="00B73DA4">
        <w:rPr>
          <w:rFonts w:ascii="Calibri" w:hAnsi="Calibri" w:cs="Calibri"/>
          <w:sz w:val="24"/>
          <w:szCs w:val="24"/>
        </w:rPr>
        <w:t>(</w:t>
      </w:r>
      <w:r>
        <w:rPr>
          <w:rFonts w:ascii="Calibri" w:hAnsi="Calibri" w:cs="Calibri"/>
          <w:sz w:val="24"/>
          <w:szCs w:val="24"/>
        </w:rPr>
        <w:t>2019</w:t>
      </w:r>
      <w:r w:rsidR="00B73DA4">
        <w:rPr>
          <w:rFonts w:ascii="Calibri" w:hAnsi="Calibri" w:cs="Calibri"/>
          <w:sz w:val="24"/>
          <w:szCs w:val="24"/>
        </w:rPr>
        <w:t>)</w:t>
      </w:r>
      <w:r>
        <w:rPr>
          <w:rFonts w:ascii="Calibri" w:hAnsi="Calibri" w:cs="Calibri"/>
          <w:sz w:val="24"/>
          <w:szCs w:val="24"/>
        </w:rPr>
        <w:t xml:space="preserve">. Yr ail faes dysgu a phrofiad yw Mathemateg a Rhifedd. Yn y maes yma mae disgyblion yn dysgu sut i ddelio gyda phroblemau mathemateg bywyd go iawn a hefyd sgiliau Mathemateg sylfaenol sydd angen arnyn. Y drydydd maes </w:t>
      </w:r>
      <w:r>
        <w:rPr>
          <w:rFonts w:ascii="Calibri" w:hAnsi="Calibri" w:cs="Calibri"/>
          <w:sz w:val="24"/>
          <w:szCs w:val="24"/>
        </w:rPr>
        <w:lastRenderedPageBreak/>
        <w:t xml:space="preserve">dysgu dwi yn mynd i’w drafod yw Celfyddydau mynegiannol. Yn y maes yma mae dysgwyr yn datblygu sgiliau creadigol ac artistig ynghyd â’u sgiliau perfformio. O fewn y maes yma mae yna 5 ardal fach sef celf, cerddoriaeth, dawns, drama, a ffilm a’r cyfryngau digidol. Er bod y 5 ardal yma gyda sgiliau ei hun a phethau ei hun i’w ddatblygu maen nhw gyd o dan gelfyddydau mynegiannol oherwydd maen nhw’n cael ei ystyried fel datblygiad creadigol.  </w:t>
      </w:r>
    </w:p>
    <w:p w14:paraId="781C1320" w14:textId="5167859B" w:rsidR="43ABD22D" w:rsidRDefault="0029139D" w:rsidP="069DB242">
      <w:pPr>
        <w:rPr>
          <w:sz w:val="24"/>
          <w:szCs w:val="24"/>
        </w:rPr>
      </w:pPr>
      <w:r>
        <w:rPr>
          <w:rFonts w:ascii="Calibri" w:hAnsi="Calibri" w:cs="Calibri"/>
          <w:sz w:val="24"/>
          <w:szCs w:val="24"/>
        </w:rPr>
        <w:t xml:space="preserve">“Assessment for learning originates in the research of Paul Black and Dylan Wiliam (1998) who found that students who learn in a formative way, in school education in the UK, learn and perform better than other students.” Mae asesu ar gyfer dysgu i gyd yn seiliedig ar gynnydd mae disgyblion yn ei wneud yn y dosbarth a trwy gydol yr ysgol. </w:t>
      </w:r>
      <w:r w:rsidR="00076052">
        <w:rPr>
          <w:rFonts w:ascii="Calibri" w:hAnsi="Calibri" w:cs="Calibri"/>
          <w:sz w:val="24"/>
          <w:szCs w:val="24"/>
        </w:rPr>
        <w:t>“</w:t>
      </w:r>
      <w:r>
        <w:rPr>
          <w:rFonts w:ascii="Calibri" w:hAnsi="Calibri" w:cs="Calibri"/>
          <w:sz w:val="24"/>
          <w:szCs w:val="24"/>
        </w:rPr>
        <w:t>Asesu ar gyfer dysgu yw’r broses o chwilio am dystiolaeth a dehongli’r dystiolaeth honno er mwyn i ddysgwyr a’u hathrawon ei defnyddio i benderfynu ble yn union mae’r dysgwyr</w:t>
      </w:r>
      <w:r w:rsidR="00076052">
        <w:rPr>
          <w:rFonts w:ascii="Calibri" w:hAnsi="Calibri" w:cs="Calibri"/>
          <w:sz w:val="24"/>
          <w:szCs w:val="24"/>
        </w:rPr>
        <w:t xml:space="preserve">” </w:t>
      </w:r>
      <w:r>
        <w:rPr>
          <w:rFonts w:ascii="Calibri" w:hAnsi="Calibri" w:cs="Calibri"/>
          <w:sz w:val="24"/>
          <w:szCs w:val="24"/>
        </w:rPr>
        <w:t xml:space="preserve">Grŵp diwygio Asesu, </w:t>
      </w:r>
      <w:r w:rsidR="00B73DA4">
        <w:rPr>
          <w:rFonts w:ascii="Calibri" w:hAnsi="Calibri" w:cs="Calibri"/>
          <w:sz w:val="24"/>
          <w:szCs w:val="24"/>
        </w:rPr>
        <w:t>(</w:t>
      </w:r>
      <w:r>
        <w:rPr>
          <w:rFonts w:ascii="Calibri" w:hAnsi="Calibri" w:cs="Calibri"/>
          <w:sz w:val="24"/>
          <w:szCs w:val="24"/>
        </w:rPr>
        <w:t>2002</w:t>
      </w:r>
      <w:r w:rsidR="00B73DA4">
        <w:rPr>
          <w:rFonts w:ascii="Calibri" w:hAnsi="Calibri" w:cs="Calibri"/>
          <w:sz w:val="24"/>
          <w:szCs w:val="24"/>
        </w:rPr>
        <w:t>)</w:t>
      </w:r>
      <w:r>
        <w:rPr>
          <w:rFonts w:ascii="Calibri" w:hAnsi="Calibri" w:cs="Calibri"/>
          <w:sz w:val="24"/>
          <w:szCs w:val="24"/>
        </w:rPr>
        <w:t>. Felly ble byddwn ar y siwrnai dysgu?, ble mae angen iddynt fynd a’r ffordd orau o gyrraedd yno?</w:t>
      </w:r>
      <w:r w:rsidR="003F2333">
        <w:rPr>
          <w:rFonts w:ascii="Calibri" w:hAnsi="Calibri" w:cs="Calibri"/>
          <w:sz w:val="24"/>
          <w:szCs w:val="24"/>
        </w:rPr>
        <w:t xml:space="preserve"> </w:t>
      </w:r>
      <w:r>
        <w:rPr>
          <w:rFonts w:ascii="Calibri" w:hAnsi="Calibri" w:cs="Calibri"/>
          <w:sz w:val="24"/>
          <w:szCs w:val="24"/>
        </w:rPr>
        <w:t xml:space="preserve">Canolbwynt yr athrawes yw bod plant yn gwneud y cynnydd yma ac mae asesu ar gyfer dysgu yn dangos cynnydd trwy gydol gwersi yn well na ar ddiwedd y wers. Mae angen i’r dysgwr cael yr adborth wrth barhau gyda’r dasg nid ar ôl gorffen. Awgrymid Dylan Wiliam bod 'broses funud wrth funud' yn hytrach na phroses sy'n dod tua'r diwedd, a gall strategaethau fel yr uchod ddechrau gwneud hyn yn realiti.  </w:t>
      </w:r>
    </w:p>
    <w:p w14:paraId="4841507D" w14:textId="464D8808" w:rsidR="78BDF255" w:rsidRDefault="0029139D" w:rsidP="069DB242">
      <w:pPr>
        <w:rPr>
          <w:sz w:val="24"/>
          <w:szCs w:val="24"/>
        </w:rPr>
      </w:pPr>
      <w:r>
        <w:rPr>
          <w:rFonts w:ascii="Calibri" w:hAnsi="Calibri" w:cs="Calibri"/>
          <w:sz w:val="24"/>
          <w:szCs w:val="24"/>
        </w:rPr>
        <w:t xml:space="preserve">Mae asesu ar gyfer dysgu yn rhoi fwy o reolaeth i blant a pherchenogaeth dros ddysgu ei hun. “The true conceptual framework describes the teaching and learning process minute by minute as creating independant learners who can self - assess, make improvements and know how to learn,” Shirley Clark. Mae’n hanfodol bod y dysgwyr yn gallu cael yr adborth sydd angen arnynt yn syth ac i werthuso a gwella ei gwaith. Er mwyn i’r dysgwr wneud y cynnydd yma mae yna raid iddynt ddeall yr amcanion dysgu a bod nhw yn ymwybodol ohonynt hwy a’r meini prawf llwyddiant. Os mae’r dysgwyr ddim yn deall y meini prawf, sut gallwn wirio, gwerthuso a deall canlyniadau a’i thargedau? Mha hwn yn rhan hanfodol o’r strategaeth. “More attention needs to be paid to the complementary side of visibility and steps taken to ensure that the things that are so obvious to us as teachers become clear to the students. We need to let students into the secret, allowing them to become insiders of the assessment process,” Royce Sadler, </w:t>
      </w:r>
      <w:r w:rsidR="00B73DA4">
        <w:rPr>
          <w:rFonts w:ascii="Calibri" w:hAnsi="Calibri" w:cs="Calibri"/>
          <w:sz w:val="24"/>
          <w:szCs w:val="24"/>
        </w:rPr>
        <w:t>(</w:t>
      </w:r>
      <w:r>
        <w:rPr>
          <w:rFonts w:ascii="Calibri" w:hAnsi="Calibri" w:cs="Calibri"/>
          <w:sz w:val="24"/>
          <w:szCs w:val="24"/>
        </w:rPr>
        <w:t>1998</w:t>
      </w:r>
      <w:r w:rsidR="00B73DA4">
        <w:rPr>
          <w:rFonts w:ascii="Calibri" w:hAnsi="Calibri" w:cs="Calibri"/>
          <w:sz w:val="24"/>
          <w:szCs w:val="24"/>
        </w:rPr>
        <w:t>)</w:t>
      </w:r>
      <w:r>
        <w:rPr>
          <w:rFonts w:ascii="Calibri" w:hAnsi="Calibri" w:cs="Calibri"/>
          <w:sz w:val="24"/>
          <w:szCs w:val="24"/>
        </w:rPr>
        <w:t>.</w:t>
      </w:r>
    </w:p>
    <w:p w14:paraId="10A4CB8C" w14:textId="617680F3" w:rsidR="0FD243AC" w:rsidRDefault="005F0679" w:rsidP="00B60B80">
      <w:pPr>
        <w:spacing w:before="240"/>
        <w:rPr>
          <w:rStyle w:val="eop"/>
          <w:rFonts w:eastAsiaTheme="majorEastAsia"/>
          <w:sz w:val="24"/>
          <w:szCs w:val="24"/>
        </w:rPr>
      </w:pPr>
      <w:r w:rsidRPr="005F0679">
        <w:rPr>
          <w:rFonts w:cstheme="minorHAnsi"/>
          <w:color w:val="181817"/>
          <w:spacing w:val="6"/>
          <w:sz w:val="24"/>
          <w:szCs w:val="24"/>
          <w:shd w:val="clear" w:color="auto" w:fill="FFFFFF"/>
        </w:rPr>
        <w:t xml:space="preserve">John Hattie’s research shows that </w:t>
      </w:r>
      <w:r>
        <w:rPr>
          <w:rFonts w:cstheme="minorHAnsi"/>
          <w:color w:val="181817"/>
          <w:spacing w:val="6"/>
          <w:sz w:val="24"/>
          <w:szCs w:val="24"/>
          <w:shd w:val="clear" w:color="auto" w:fill="FFFFFF"/>
        </w:rPr>
        <w:t>“</w:t>
      </w:r>
      <w:r w:rsidRPr="005F0679">
        <w:rPr>
          <w:rFonts w:cstheme="minorHAnsi"/>
          <w:color w:val="181817"/>
          <w:spacing w:val="6"/>
          <w:sz w:val="24"/>
          <w:szCs w:val="24"/>
          <w:shd w:val="clear" w:color="auto" w:fill="FFFFFF"/>
        </w:rPr>
        <w:t>feedback is one of the most impactful factors on student achievement, with an average effect size of 0.79 – twice the average effect of all other schooling effects (as discussed in</w:t>
      </w:r>
      <w:r>
        <w:rPr>
          <w:rFonts w:cstheme="minorHAnsi"/>
          <w:color w:val="181817"/>
          <w:spacing w:val="6"/>
          <w:sz w:val="24"/>
          <w:szCs w:val="24"/>
          <w:shd w:val="clear" w:color="auto" w:fill="FFFFFF"/>
        </w:rPr>
        <w:t xml:space="preserve"> Visible Learning</w:t>
      </w:r>
      <w:r w:rsidRPr="005F0679">
        <w:rPr>
          <w:rFonts w:cstheme="minorHAnsi"/>
          <w:color w:val="181817"/>
          <w:spacing w:val="6"/>
          <w:sz w:val="24"/>
          <w:szCs w:val="24"/>
          <w:shd w:val="clear" w:color="auto" w:fill="FFFFFF"/>
        </w:rPr>
        <w:t>, 2011).</w:t>
      </w:r>
      <w:r>
        <w:rPr>
          <w:rFonts w:cstheme="minorHAnsi"/>
          <w:color w:val="181817"/>
          <w:spacing w:val="6"/>
          <w:sz w:val="24"/>
          <w:szCs w:val="24"/>
          <w:shd w:val="clear" w:color="auto" w:fill="FFFFFF"/>
        </w:rPr>
        <w:t xml:space="preserve">” </w:t>
      </w:r>
      <w:r w:rsidR="0FD243AC" w:rsidRPr="005F0679">
        <w:rPr>
          <w:rFonts w:cstheme="minorHAnsi"/>
          <w:sz w:val="24"/>
          <w:szCs w:val="24"/>
        </w:rPr>
        <w:t>Mae</w:t>
      </w:r>
      <w:r w:rsidR="0FD243AC" w:rsidRPr="069DB242">
        <w:rPr>
          <w:sz w:val="24"/>
          <w:szCs w:val="24"/>
        </w:rPr>
        <w:t xml:space="preserve"> defnyddio asesu ar gyfer dysgu yn cynyddu dealltwriaeth, sgiliau a phrofiadau dysgwyr yn yr ystafell dosbarth. Wrth ddefnyddio'r dulliau gwahanol yma o asesu ar gyfer dysgu mae’n cynyddu'r cyfleoedd dysgu mae dysgwyr yn cael yn y dosbarth. Nid yn unig y dysgwyr ond mae yn helpu athrawon deall </w:t>
      </w:r>
      <w:r w:rsidR="000F08A3">
        <w:rPr>
          <w:sz w:val="24"/>
          <w:szCs w:val="24"/>
        </w:rPr>
        <w:t>lefelau’r plant, pwy sydd angen fwy o gymorth ac yn gallu gwahaniaethu.</w:t>
      </w:r>
      <w:r w:rsidR="00B60B80">
        <w:rPr>
          <w:sz w:val="24"/>
          <w:szCs w:val="24"/>
        </w:rPr>
        <w:t xml:space="preserve"> Ond wrth ddefnyddio asesu ar gyfer dysgu mae yna 12 egwyddor mae rhaid i’r athrawon addysgu o fewn i sicrhau bod y dysgwyr yn gwneud cynnydd</w:t>
      </w:r>
      <w:r w:rsidR="00B60B80" w:rsidRPr="00B60B80">
        <w:rPr>
          <w:sz w:val="24"/>
          <w:szCs w:val="24"/>
        </w:rPr>
        <w:t xml:space="preserve">. “Mae addysgeg yn cwmpasu mwy na’r ‘addysgu’ sy’n digwydd drwy ddulliau yn yr ystafell ddosbarth yn unig. Mae’n ymwneud â dethol y dulliau hynny’n ystyriol yng nghyd-destun dibenion y cwricwlwm ac anghenion a chyfnod datblygiadol y plant a phobl ifanc,” Graham Donaldson, </w:t>
      </w:r>
      <w:r w:rsidR="00B73DA4">
        <w:rPr>
          <w:sz w:val="24"/>
          <w:szCs w:val="24"/>
        </w:rPr>
        <w:t>(</w:t>
      </w:r>
      <w:r w:rsidR="00B60B80" w:rsidRPr="00B60B80">
        <w:rPr>
          <w:sz w:val="24"/>
          <w:szCs w:val="24"/>
        </w:rPr>
        <w:t>2015</w:t>
      </w:r>
      <w:r w:rsidR="00B73DA4">
        <w:rPr>
          <w:sz w:val="24"/>
          <w:szCs w:val="24"/>
        </w:rPr>
        <w:t>)</w:t>
      </w:r>
      <w:r w:rsidR="00B60B80" w:rsidRPr="00B60B80">
        <w:rPr>
          <w:sz w:val="24"/>
          <w:szCs w:val="24"/>
        </w:rPr>
        <w:t xml:space="preserve"> Tudalen 64 – 70.</w:t>
      </w:r>
      <w:r w:rsidR="00B60B80">
        <w:t xml:space="preserve"> </w:t>
      </w:r>
    </w:p>
    <w:p w14:paraId="6325957C" w14:textId="10CB8AF5" w:rsidR="0FD243AC" w:rsidRPr="000F08A3" w:rsidRDefault="0029139D" w:rsidP="069DB242">
      <w:pPr>
        <w:rPr>
          <w:rFonts w:eastAsiaTheme="majorEastAsia"/>
          <w:color w:val="538135" w:themeColor="accent6" w:themeShade="BF"/>
        </w:rPr>
      </w:pPr>
      <w:r>
        <w:rPr>
          <w:rFonts w:ascii="Calibri" w:hAnsi="Calibri" w:cs="Calibri"/>
          <w:sz w:val="24"/>
          <w:szCs w:val="24"/>
        </w:rPr>
        <w:lastRenderedPageBreak/>
        <w:t xml:space="preserve">O fewn y maes dysgu Ieithoedd, Llythrennedd a Chyfathrebu mae yna bedwar o’r hyn sy’n bwysig. Yr un cyntaf yw “mae ieithoedd yn ein cysylltu â’n gilydd.” Yr ail hyn sy’n bwysig yw “mae deall yr ieithoedd yn allweddol i ddeall y byd o’n hamgylch.” Y drydydd hyn sy’n bwysig yw “mae mynegi ein hunain drwy ieithoedd yn allweddol i gyfathrebu.” Ar un olaf yw “mae llenyddiaeth yn tanio’r dychymyg ac yn ysbrydoli creadigrwydd.” Mae’r datganiadau yma wedi dod o ddogfen Llywodraeth Cymru y Cwricwlwm Newydd, </w:t>
      </w:r>
      <w:r w:rsidR="00B73DA4">
        <w:rPr>
          <w:rFonts w:ascii="Calibri" w:hAnsi="Calibri" w:cs="Calibri"/>
          <w:sz w:val="24"/>
          <w:szCs w:val="24"/>
        </w:rPr>
        <w:t>(</w:t>
      </w:r>
      <w:r>
        <w:rPr>
          <w:rFonts w:ascii="Calibri" w:hAnsi="Calibri" w:cs="Calibri"/>
          <w:sz w:val="24"/>
          <w:szCs w:val="24"/>
        </w:rPr>
        <w:t>2019</w:t>
      </w:r>
      <w:r w:rsidR="00B73DA4">
        <w:rPr>
          <w:rFonts w:ascii="Calibri" w:hAnsi="Calibri" w:cs="Calibri"/>
          <w:sz w:val="24"/>
          <w:szCs w:val="24"/>
        </w:rPr>
        <w:t>)</w:t>
      </w:r>
      <w:r>
        <w:rPr>
          <w:rFonts w:ascii="Calibri" w:hAnsi="Calibri" w:cs="Calibri"/>
          <w:sz w:val="24"/>
          <w:szCs w:val="24"/>
        </w:rPr>
        <w:t xml:space="preserve">. O fewn pob un o’r datganiadau yma mae yna ddisgrifiadau dysgu dylai pob unigolyn fod yn gweithio tuag at. Mae fy ngwersi i wedi cynllunio i ddysgwyr tuag at gam gynnydd 3, fodd bynnag oherwydd mae’r camau cynnydd yn dweud dylai dysgwr fod </w:t>
      </w:r>
      <w:r w:rsidRPr="003F2333">
        <w:rPr>
          <w:rFonts w:ascii="Calibri" w:hAnsi="Calibri" w:cs="Calibri"/>
          <w:sz w:val="24"/>
          <w:szCs w:val="24"/>
        </w:rPr>
        <w:t xml:space="preserve">tua man penodol mae pob dysgwyr yn unigolyn felly bydd rhai ddim ar gam gynnydd 3. Mae fy ngwers Ieithoedd, Llythrennedd a Chyfathrebu i wedi canolbwyntio ar yr hyn sy’n bwysig 3 a'r disgrifiadau dysgu: rwy’n gallu cynllunio ac ysgrifennu at wahanol ddibenion ac ar gyfer gwahanol gynulleidfaoedd ac rwy’n gallu trefnu fy ngwaith ysgrifennu i ddilyn yn rhesymegol. </w:t>
      </w:r>
    </w:p>
    <w:p w14:paraId="3B733C38" w14:textId="4037918D" w:rsidR="00794707" w:rsidRPr="00452607" w:rsidRDefault="1DD04009" w:rsidP="069DB242">
      <w:pPr>
        <w:rPr>
          <w:sz w:val="24"/>
          <w:szCs w:val="24"/>
        </w:rPr>
      </w:pPr>
      <w:r w:rsidRPr="069DB242">
        <w:rPr>
          <w:sz w:val="24"/>
          <w:szCs w:val="24"/>
        </w:rPr>
        <w:t xml:space="preserve">Yn yr ail faes dysgu Mathemateg a Rhifedd mae yna bedwar o’r hyn sy’n bwysig. Yr un cyntaf yw </w:t>
      </w:r>
      <w:r w:rsidR="000F7635">
        <w:rPr>
          <w:sz w:val="24"/>
          <w:szCs w:val="24"/>
        </w:rPr>
        <w:t>“</w:t>
      </w:r>
      <w:r w:rsidRPr="069DB242">
        <w:rPr>
          <w:sz w:val="24"/>
          <w:szCs w:val="24"/>
        </w:rPr>
        <w:t>defnyddir y system rif i gynrychioli a chymharu’r perthnasoedd rhwng rhifau a meintiau.</w:t>
      </w:r>
      <w:r w:rsidR="000F7635">
        <w:rPr>
          <w:sz w:val="24"/>
          <w:szCs w:val="24"/>
        </w:rPr>
        <w:t>”</w:t>
      </w:r>
      <w:r w:rsidRPr="069DB242">
        <w:rPr>
          <w:sz w:val="24"/>
          <w:szCs w:val="24"/>
        </w:rPr>
        <w:t xml:space="preserve"> Yr ail yw </w:t>
      </w:r>
      <w:r w:rsidR="000F7635">
        <w:rPr>
          <w:sz w:val="24"/>
          <w:szCs w:val="24"/>
        </w:rPr>
        <w:t>“</w:t>
      </w:r>
      <w:r w:rsidRPr="069DB242">
        <w:rPr>
          <w:sz w:val="24"/>
          <w:szCs w:val="24"/>
        </w:rPr>
        <w:t>mae algebra yn defnyddio systemau symbolau i fynegi strwythur perthnasoedd mathemategol.</w:t>
      </w:r>
      <w:r w:rsidR="000F7635">
        <w:rPr>
          <w:sz w:val="24"/>
          <w:szCs w:val="24"/>
        </w:rPr>
        <w:t>”</w:t>
      </w:r>
      <w:r w:rsidRPr="069DB242">
        <w:rPr>
          <w:sz w:val="24"/>
          <w:szCs w:val="24"/>
        </w:rPr>
        <w:t xml:space="preserve"> Y drydydd un yw </w:t>
      </w:r>
      <w:r w:rsidR="000F7635">
        <w:rPr>
          <w:sz w:val="24"/>
          <w:szCs w:val="24"/>
        </w:rPr>
        <w:t>“</w:t>
      </w:r>
      <w:r w:rsidRPr="069DB242">
        <w:rPr>
          <w:sz w:val="24"/>
          <w:szCs w:val="24"/>
        </w:rPr>
        <w:t>mae geometreg yn canolbwyntio ar berthnasoedd sy’n ymwneud a siâp, gofod a safle ac mae mesur yn canolbwyntio ar feintioli ffenomena yn y byd ffisegol</w:t>
      </w:r>
      <w:r w:rsidR="000F7635">
        <w:rPr>
          <w:sz w:val="24"/>
          <w:szCs w:val="24"/>
        </w:rPr>
        <w:t>.”</w:t>
      </w:r>
      <w:r w:rsidRPr="069DB242">
        <w:rPr>
          <w:sz w:val="24"/>
          <w:szCs w:val="24"/>
        </w:rPr>
        <w:t xml:space="preserve"> Ar un diwethaf yw </w:t>
      </w:r>
      <w:r w:rsidR="000F7635">
        <w:rPr>
          <w:sz w:val="24"/>
          <w:szCs w:val="24"/>
        </w:rPr>
        <w:t>“</w:t>
      </w:r>
      <w:r w:rsidRPr="069DB242">
        <w:rPr>
          <w:sz w:val="24"/>
          <w:szCs w:val="24"/>
        </w:rPr>
        <w:t>mae ystadegau yn gynhyrchiol data, mae tebygolrwydd yn modelu siawns, ac mae’r ddau yn cefnogi casgliadau a phenderfyniadau gwybodus.</w:t>
      </w:r>
      <w:r w:rsidR="000F7635">
        <w:rPr>
          <w:sz w:val="24"/>
          <w:szCs w:val="24"/>
        </w:rPr>
        <w:t>”</w:t>
      </w:r>
      <w:r w:rsidRPr="069DB242">
        <w:rPr>
          <w:sz w:val="24"/>
          <w:szCs w:val="24"/>
        </w:rPr>
        <w:t xml:space="preserve"> </w:t>
      </w:r>
      <w:r w:rsidR="000F7635">
        <w:rPr>
          <w:sz w:val="24"/>
          <w:szCs w:val="24"/>
        </w:rPr>
        <w:t xml:space="preserve">Mae’r datganiadau yma wedi dod o ddogfen Llywodraeth Cymru y Cwricwlwm Newydd, </w:t>
      </w:r>
      <w:r w:rsidR="00B73DA4">
        <w:rPr>
          <w:sz w:val="24"/>
          <w:szCs w:val="24"/>
        </w:rPr>
        <w:t>(</w:t>
      </w:r>
      <w:r w:rsidR="000F7635">
        <w:rPr>
          <w:sz w:val="24"/>
          <w:szCs w:val="24"/>
        </w:rPr>
        <w:t>2019</w:t>
      </w:r>
      <w:r w:rsidR="00B73DA4">
        <w:rPr>
          <w:sz w:val="24"/>
          <w:szCs w:val="24"/>
        </w:rPr>
        <w:t>)</w:t>
      </w:r>
      <w:r w:rsidR="000F7635">
        <w:rPr>
          <w:sz w:val="24"/>
          <w:szCs w:val="24"/>
        </w:rPr>
        <w:t xml:space="preserve">. </w:t>
      </w:r>
      <w:r w:rsidRPr="069DB242">
        <w:rPr>
          <w:sz w:val="24"/>
          <w:szCs w:val="24"/>
        </w:rPr>
        <w:t xml:space="preserve">Mae fy ngwers </w:t>
      </w:r>
      <w:r w:rsidRPr="003F2333">
        <w:rPr>
          <w:sz w:val="24"/>
          <w:szCs w:val="24"/>
        </w:rPr>
        <w:t xml:space="preserve">Mathemateg a Rhifedd I wedi canolbwyntio ar yr hyn sy’n bwysig 3 a'r disgrifiad dysgu yw: </w:t>
      </w:r>
      <w:r w:rsidR="00EE0A0B" w:rsidRPr="003F2333">
        <w:rPr>
          <w:sz w:val="24"/>
          <w:szCs w:val="24"/>
        </w:rPr>
        <w:t>“</w:t>
      </w:r>
      <w:r w:rsidRPr="003F2333">
        <w:rPr>
          <w:sz w:val="24"/>
          <w:szCs w:val="24"/>
        </w:rPr>
        <w:t xml:space="preserve">rwy’n gallu defnyddio dulliau effeithlon i ddarganfod </w:t>
      </w:r>
      <w:r w:rsidRPr="069DB242">
        <w:rPr>
          <w:sz w:val="24"/>
          <w:szCs w:val="24"/>
        </w:rPr>
        <w:t>perimedr ac arwynebedd siapiau dau ddimensiwn, gan ddeall sut mae hafaliadau sylfaenol yn deillio ohonynt</w:t>
      </w:r>
      <w:r w:rsidR="00EE0A0B">
        <w:rPr>
          <w:sz w:val="24"/>
          <w:szCs w:val="24"/>
        </w:rPr>
        <w:t>.”</w:t>
      </w:r>
      <w:r w:rsidRPr="069DB242">
        <w:rPr>
          <w:sz w:val="24"/>
          <w:szCs w:val="24"/>
        </w:rPr>
        <w:t xml:space="preserve">   </w:t>
      </w:r>
    </w:p>
    <w:p w14:paraId="2D416AA5" w14:textId="1F15A4FE" w:rsidR="00794707" w:rsidRPr="00452607" w:rsidRDefault="00CB10DF" w:rsidP="00BE443F">
      <w:pPr>
        <w:rPr>
          <w:sz w:val="24"/>
          <w:szCs w:val="24"/>
        </w:rPr>
      </w:pPr>
      <w:r>
        <w:rPr>
          <w:rFonts w:ascii="Calibri" w:hAnsi="Calibri" w:cs="Calibri"/>
          <w:sz w:val="24"/>
          <w:szCs w:val="24"/>
        </w:rPr>
        <w:t xml:space="preserve">Yn y drydydd maes dysgu sef Celfyddydau Mynegiannol mae yna tri datganiad o’r hyn sy’n bwysig. Yr un cyntaf yw “mae archwilio’r celfyddydau mynegiannol yn hanfodol er mwyn dyfnhau sgiliau a gwybodaeth gelfyddydol, ac mae’n galluogi dysgwyr i ddod yn unigolion chwilfrydig a chreadigol.” Yr ail ddatganiad yw “mae ymateb a myfyrio, fel artist ac fel cynulleidfa, yn rhan hanfodol o ddysgu yn y celfyddydau mynegiannol.” Ar un olaf yw “mae creu yn cyfuno sgiliau, gwybodaeth, gan dynnu ar y synhwyrau, ysbrydoliaeth a dychymyg.” Mae’r datganiadau yma wedi dod o ddogfen Llywodraeth Cymru y Cwricwlwm Newydd, </w:t>
      </w:r>
      <w:r w:rsidR="00B73DA4">
        <w:rPr>
          <w:rFonts w:ascii="Calibri" w:hAnsi="Calibri" w:cs="Calibri"/>
          <w:sz w:val="24"/>
          <w:szCs w:val="24"/>
        </w:rPr>
        <w:t>(</w:t>
      </w:r>
      <w:r>
        <w:rPr>
          <w:rFonts w:ascii="Calibri" w:hAnsi="Calibri" w:cs="Calibri"/>
          <w:sz w:val="24"/>
          <w:szCs w:val="24"/>
        </w:rPr>
        <w:t>2019</w:t>
      </w:r>
      <w:r w:rsidR="00B73DA4">
        <w:rPr>
          <w:rFonts w:ascii="Calibri" w:hAnsi="Calibri" w:cs="Calibri"/>
          <w:sz w:val="24"/>
          <w:szCs w:val="24"/>
        </w:rPr>
        <w:t>)</w:t>
      </w:r>
      <w:r>
        <w:rPr>
          <w:rFonts w:ascii="Calibri" w:hAnsi="Calibri" w:cs="Calibri"/>
          <w:sz w:val="24"/>
          <w:szCs w:val="24"/>
        </w:rPr>
        <w:t xml:space="preserve">.  Yn y wers dwi wedi cynllunio'r hyn sy’n bwysig dwi wedi canolbwyntio arno yw'r hyn </w:t>
      </w:r>
      <w:r w:rsidRPr="003F2333">
        <w:rPr>
          <w:rFonts w:ascii="Calibri" w:hAnsi="Calibri" w:cs="Calibri"/>
          <w:sz w:val="24"/>
          <w:szCs w:val="24"/>
        </w:rPr>
        <w:t xml:space="preserve">sy’n bwysig 3 </w:t>
      </w:r>
      <w:r>
        <w:rPr>
          <w:rFonts w:ascii="Calibri" w:hAnsi="Calibri" w:cs="Calibri"/>
          <w:sz w:val="24"/>
          <w:szCs w:val="24"/>
        </w:rPr>
        <w:t>a’r disgrifiad dysgu yw: “rwy’n gallu defnyddio fy ngwybodaeth ddylunio a gwneud cysylltiadau gydag annibyniaeth gynyddol er mwyn addasu a datblygu fy nyluniadau creadigol.”</w:t>
      </w:r>
    </w:p>
    <w:p w14:paraId="0F705A8E" w14:textId="5B62B8D5" w:rsidR="00B41F89" w:rsidRDefault="0029139D" w:rsidP="00BE443F">
      <w:pPr>
        <w:rPr>
          <w:sz w:val="24"/>
          <w:szCs w:val="24"/>
        </w:rPr>
      </w:pPr>
      <w:r>
        <w:rPr>
          <w:rFonts w:ascii="Calibri" w:hAnsi="Calibri" w:cs="Calibri"/>
          <w:sz w:val="24"/>
          <w:szCs w:val="24"/>
        </w:rPr>
        <w:t>Penderfynais gynllunio fy ngwersi ar y meysydd dysgu a phrofiad yma</w:t>
      </w:r>
      <w:r>
        <w:rPr>
          <w:rFonts w:ascii="Calibri" w:hAnsi="Calibri" w:cs="Calibri"/>
        </w:rPr>
        <w:t xml:space="preserve"> </w:t>
      </w:r>
      <w:r>
        <w:rPr>
          <w:rFonts w:ascii="Calibri" w:hAnsi="Calibri" w:cs="Calibri"/>
          <w:sz w:val="24"/>
          <w:szCs w:val="24"/>
        </w:rPr>
        <w:t xml:space="preserve">i dangos sut mae un thema yn gallu cydgysylltu ag erraill a byddwn yn gallu gweithio dros lawer o wahanol feysydd i arwain at ddatblygiad a dealltwriaeth y dysgwr i sicrhau cynnydd. Y wers gyntaf wnes i gynllunio oedd i’r disgyblion ysgrifennu erthygl papur newydd ar gêm Cwpan y Byd, Cymru v Iran. Roedd llawer o wersi blaenorol i hwn lle wnaeth y dysgwr dysgu am strwythur </w:t>
      </w:r>
      <w:r>
        <w:rPr>
          <w:rFonts w:ascii="Calibri" w:hAnsi="Calibri" w:cs="Calibri"/>
          <w:sz w:val="24"/>
          <w:szCs w:val="24"/>
        </w:rPr>
        <w:lastRenderedPageBreak/>
        <w:t>erthygl papur newydd, beth oedd angen cynnwys a wnaethon hefyd gwylio'r gêm a gwneud nodiadau er mwyn bod gallu ysgrifennu erthygl ei hun.</w:t>
      </w:r>
    </w:p>
    <w:p w14:paraId="2E714164" w14:textId="11FDBC49" w:rsidR="00FB557F" w:rsidRDefault="0029139D" w:rsidP="00CB10DF">
      <w:pPr>
        <w:rPr>
          <w:sz w:val="24"/>
          <w:szCs w:val="24"/>
        </w:rPr>
      </w:pPr>
      <w:r>
        <w:rPr>
          <w:rFonts w:ascii="Calibri" w:hAnsi="Calibri" w:cs="Calibri"/>
          <w:sz w:val="24"/>
          <w:szCs w:val="24"/>
        </w:rPr>
        <w:t>Ar ddechrau’r wers fel dosbarth bydd y dysgwr yn penderfynu ar feini prawf llwyddiant fel dosbarth, bydd hwn yn rhoi math o restr iddynt wirio ei gwaith yn erbyn trwy gydol ei ysgrifennu. Gan fod rhai o’r dysgwr o’r grŵp yn fwy abl a thalentog byddwn yn ychwanegu pethau ychwanegol i’r meini prawf llwyddiant i’w herio, er enghraifft defnyddio cwestiynau rhethregol, defnyddio deialog 3 waith. Wnes i ddefnyddio meini prawf llwyddiant fel strategaeth asesu ar gyfer dysgu oherwydd dw i’n gweld nhw’n gweithio yn dda pryd mae dysgwr yn wneud tasg ysgrifenedig. Mae’n ffordd dda o gadw ffocws dysgwr ac i gael rhestr cynnwys er mwyn sicrhau beth oedd angen cyn gorffen. Bydd y dysgwr yn fwy annibynnol, yn lle gofyn beth sydd angen cynnwys maent yn gallu edrych ac ychwanegu ei hun.</w:t>
      </w:r>
    </w:p>
    <w:p w14:paraId="32E205EC" w14:textId="4EE7429E" w:rsidR="00C11511" w:rsidRDefault="0029139D" w:rsidP="0029139D">
      <w:pPr>
        <w:rPr>
          <w:sz w:val="24"/>
          <w:szCs w:val="24"/>
        </w:rPr>
      </w:pPr>
      <w:r>
        <w:rPr>
          <w:rFonts w:ascii="Calibri" w:hAnsi="Calibri" w:cs="Calibri"/>
          <w:sz w:val="24"/>
          <w:szCs w:val="24"/>
        </w:rPr>
        <w:t xml:space="preserve">Wrth ddefnyddio meini prawf llwyddiant ar ddechrau’r wers fel strategaeth asesu ar gyfer dysgu un peth sydd yn gweithio yn dda yw hunan asesu ac asesu cyfoedion ar ddiwedd y wers ysgrifenedig. Yn ôl Estyn “ Yn yr ysgolion mwyaf effeithiol, gwelsom athrawon ac arweinwyr yn meddwl yn ofalus am rôl asesu cyfoedion a hunanasesu, a sut y gellir ei ddefnyddio’n fwy buddiol i gefnogi dysgu”. Yn llyfryn ‘Sut i ddatblygu meddwl ac asesu ar gyfer dysgu yn yr ystafell ddosbarth’ gan Lywodraeth Cymru </w:t>
      </w:r>
      <w:r w:rsidR="00B73DA4">
        <w:rPr>
          <w:rFonts w:ascii="Calibri" w:hAnsi="Calibri" w:cs="Calibri"/>
          <w:sz w:val="24"/>
          <w:szCs w:val="24"/>
        </w:rPr>
        <w:t>(</w:t>
      </w:r>
      <w:r>
        <w:rPr>
          <w:rFonts w:ascii="Calibri" w:hAnsi="Calibri" w:cs="Calibri"/>
          <w:sz w:val="24"/>
          <w:szCs w:val="24"/>
        </w:rPr>
        <w:t>2010</w:t>
      </w:r>
      <w:r w:rsidR="00B73DA4">
        <w:rPr>
          <w:rFonts w:ascii="Calibri" w:hAnsi="Calibri" w:cs="Calibri"/>
          <w:sz w:val="24"/>
          <w:szCs w:val="24"/>
        </w:rPr>
        <w:t>)</w:t>
      </w:r>
      <w:r>
        <w:rPr>
          <w:rFonts w:ascii="Calibri" w:hAnsi="Calibri" w:cs="Calibri"/>
          <w:sz w:val="24"/>
          <w:szCs w:val="24"/>
        </w:rPr>
        <w:t xml:space="preserve"> dywed</w:t>
      </w:r>
      <w:r>
        <w:rPr>
          <w:rFonts w:ascii="Calibri" w:hAnsi="Calibri" w:cs="Calibri"/>
        </w:rPr>
        <w:t xml:space="preserve"> </w:t>
      </w:r>
      <w:r>
        <w:rPr>
          <w:rFonts w:ascii="Calibri" w:hAnsi="Calibri" w:cs="Calibri"/>
          <w:sz w:val="24"/>
          <w:szCs w:val="24"/>
        </w:rPr>
        <w:t xml:space="preserve"> “Er mwyn i asesu cyfoedion a hunanasesu fod yn ystyrlon, rhaid i ddysgwyr ddeall a chymryd rhan wrth lunio meini prawf llwyddiant,” tudalen 26. Mae hwn yn cyfleu bod defnyddio'r ddau gyda’i gilydd yn cynyddu datblygiad y dysgwyr.</w:t>
      </w:r>
      <w:r>
        <w:rPr>
          <w:rFonts w:ascii="Calibri" w:hAnsi="Calibri" w:cs="Calibri"/>
        </w:rPr>
        <w:t xml:space="preserve"> </w:t>
      </w:r>
      <w:r>
        <w:rPr>
          <w:rFonts w:ascii="Calibri" w:hAnsi="Calibri" w:cs="Calibri"/>
          <w:sz w:val="24"/>
          <w:szCs w:val="24"/>
        </w:rPr>
        <w:t xml:space="preserve">Gan ddefnyddio'r meini prawf llwyddiant fel rhestr wirio bydd y dysgwyr yn ail ddarllen ei gwaith ac yn hunan farcio gan roi tic yn y blwch os ydynt wedi llwyddo. Mae’r unigolyn wedyn yn newid llyfr gyda phartner ac yn defnyddio'r meini prawf llwyddiant i wirio gwaith ei gilydd. Mae hwn yn dechneg sydd yn gweithio yn effeithiol, gall disgyblion  gweld ble i wella neu orffen. “Mae asesu cyfoedion yn rhoi'r gwaith yn nwylo'r dysgwyr,” Llyfryn asesu ar gyfer dysgu, Llywodraeth Cymru </w:t>
      </w:r>
      <w:r w:rsidR="00B73DA4">
        <w:rPr>
          <w:rFonts w:ascii="Calibri" w:hAnsi="Calibri" w:cs="Calibri"/>
          <w:sz w:val="24"/>
          <w:szCs w:val="24"/>
        </w:rPr>
        <w:t>(</w:t>
      </w:r>
      <w:r>
        <w:rPr>
          <w:rFonts w:ascii="Calibri" w:hAnsi="Calibri" w:cs="Calibri"/>
          <w:sz w:val="24"/>
          <w:szCs w:val="24"/>
        </w:rPr>
        <w:t>2010</w:t>
      </w:r>
      <w:r w:rsidR="00B73DA4">
        <w:rPr>
          <w:rFonts w:ascii="Calibri" w:hAnsi="Calibri" w:cs="Calibri"/>
          <w:sz w:val="24"/>
          <w:szCs w:val="24"/>
        </w:rPr>
        <w:t>)</w:t>
      </w:r>
      <w:r>
        <w:rPr>
          <w:rFonts w:ascii="Calibri" w:hAnsi="Calibri" w:cs="Calibri"/>
          <w:sz w:val="24"/>
          <w:szCs w:val="24"/>
        </w:rPr>
        <w:t>, tudalen 26.</w:t>
      </w:r>
      <w:r>
        <w:rPr>
          <w:rFonts w:ascii="Calibri" w:hAnsi="Calibri" w:cs="Calibri"/>
        </w:rPr>
        <w:t xml:space="preserve"> </w:t>
      </w:r>
      <w:r>
        <w:rPr>
          <w:rFonts w:ascii="Calibri" w:hAnsi="Calibri" w:cs="Calibri"/>
          <w:sz w:val="24"/>
          <w:szCs w:val="24"/>
        </w:rPr>
        <w:t xml:space="preserve">Mae’n dangos bod dysgwr yn cymryd dysgu mewn i ddwylo ei hunan ac yn chwilio am ble gallwn wella a ble aethon yn anghywir, byddwn yn cymryd perchenogaeth. Dywed Llywodraeth Cymru un peth arall, “Os nad yw dysgwyr yn deall esboniad, maen nhw’n fwy tebygol o dorri ar draws un o'u cyfoedion mewn sefyllfaoedd lle na fydden nhw’n torri ar draws yr athro,” Llyfryn asesu ar gyfer dysgu Llywodraeth Cymru, </w:t>
      </w:r>
      <w:r w:rsidR="00B73DA4">
        <w:rPr>
          <w:rFonts w:ascii="Calibri" w:hAnsi="Calibri" w:cs="Calibri"/>
          <w:sz w:val="24"/>
          <w:szCs w:val="24"/>
        </w:rPr>
        <w:t>(</w:t>
      </w:r>
      <w:r>
        <w:rPr>
          <w:rFonts w:ascii="Calibri" w:hAnsi="Calibri" w:cs="Calibri"/>
          <w:sz w:val="24"/>
          <w:szCs w:val="24"/>
        </w:rPr>
        <w:t>2010</w:t>
      </w:r>
      <w:r w:rsidR="00B73DA4">
        <w:rPr>
          <w:rFonts w:ascii="Calibri" w:hAnsi="Calibri" w:cs="Calibri"/>
          <w:sz w:val="24"/>
          <w:szCs w:val="24"/>
        </w:rPr>
        <w:t>)</w:t>
      </w:r>
      <w:r>
        <w:rPr>
          <w:rFonts w:ascii="Calibri" w:hAnsi="Calibri" w:cs="Calibri"/>
          <w:sz w:val="24"/>
          <w:szCs w:val="24"/>
        </w:rPr>
        <w:t>, tudalen 26. Er bod asesu cyfoedion yn gweithio un broblem yw os mae dysgwr yn dewis llyfr partner, pwy mor tuedd fyddwn? Bwysig bod yr athrawes yn dewis partneriaid, naillau, gallu cymysg, i hwyluso’r dysgu ac addysgu, addysgu cyfoed, y ffordd orau o ddysgu? Neu grwpiau o’r un gallu er mwyn dealltwriaeth.</w:t>
      </w:r>
    </w:p>
    <w:p w14:paraId="287DA7D5" w14:textId="4F22527D" w:rsidR="000E2070" w:rsidRPr="00452607" w:rsidRDefault="00CB10DF" w:rsidP="00CB10DF">
      <w:pPr>
        <w:rPr>
          <w:sz w:val="24"/>
          <w:szCs w:val="24"/>
        </w:rPr>
      </w:pPr>
      <w:r>
        <w:rPr>
          <w:rFonts w:ascii="Calibri" w:hAnsi="Calibri" w:cs="Calibri"/>
          <w:sz w:val="24"/>
          <w:szCs w:val="24"/>
        </w:rPr>
        <w:t>Wnes i ddewis canolbwyntio ar Ieithoedd, Llythrennedd a Chyfathrebu fel bod y dysgwr yn gallu datblygu ei sgiliau ysgrifennu a meddwl wrth ysgrifennu gwahanol genre. Mae yna lawer o wahanol bethau mae rhaid i’r dysgwr meddwl am wrth ysgrifennu ei erthygl felly mae yn gallu dangos i mi fel athrawes a ydy’r dysgwr yn cofio gwaith blaenorol a sut maen nhw yn delio wrth orfod ysgrifennu popeth mewn trefn gronolegol ond hefyd mewn strwythur gwahanol.</w:t>
      </w:r>
    </w:p>
    <w:p w14:paraId="1CF26D72" w14:textId="4BF6A1DC" w:rsidR="00756BDD" w:rsidRDefault="0029139D" w:rsidP="00CB10DF">
      <w:pPr>
        <w:rPr>
          <w:sz w:val="24"/>
          <w:szCs w:val="24"/>
        </w:rPr>
      </w:pPr>
      <w:r>
        <w:rPr>
          <w:rFonts w:ascii="Calibri" w:hAnsi="Calibri" w:cs="Calibri"/>
          <w:sz w:val="24"/>
          <w:szCs w:val="24"/>
        </w:rPr>
        <w:t xml:space="preserve">Yr ail wers wnes i gynllunio oedd sut i weithio allan perimedr siâp. Gan fod y thema ar Gwpan y Byd wnes i sicrhau bod y siapiau i gyd yn edrych fel caeau pêl droed neu stadiwm </w:t>
      </w:r>
      <w:r>
        <w:rPr>
          <w:rFonts w:ascii="Calibri" w:hAnsi="Calibri" w:cs="Calibri"/>
          <w:sz w:val="24"/>
          <w:szCs w:val="24"/>
        </w:rPr>
        <w:lastRenderedPageBreak/>
        <w:t>allan yn Qatar. Roedd pob dysgwr yn gorfod gweithio allan y perimedr gan adio pob ochr. Gan roedd grŵp o ddysgwr mwy abl a thalentog i herio nhw yn fwy gwnes i roi dau siâp pedwar ochr gyda’i gilydd i wneud siâp gwahanol a wnes i adael rhifau ar goll, fel bod rhaid iddyn nhw edrych a gweld fel oedden nhw yn gallu dod o hyd i’r ateb yna. Ar ôl egluro sut oedd gweithio allan perimedr wnes i ddefnyddio bodiau fel strategaeth asesu ar gyfer dysgu.</w:t>
      </w:r>
    </w:p>
    <w:p w14:paraId="6CE526EE" w14:textId="53BFAFA8" w:rsidR="00756BDD" w:rsidRDefault="0029139D" w:rsidP="00CB10DF">
      <w:pPr>
        <w:rPr>
          <w:sz w:val="24"/>
          <w:szCs w:val="24"/>
        </w:rPr>
      </w:pPr>
      <w:r>
        <w:rPr>
          <w:rFonts w:ascii="Calibri" w:hAnsi="Calibri" w:cs="Calibri"/>
          <w:sz w:val="24"/>
          <w:szCs w:val="24"/>
        </w:rPr>
        <w:t xml:space="preserve">Wnes i ddefnyddio hwn oherwydd roedd  yn ffordd hawdd a rhwydd i weld a oedd disgyblion yn deall beth oedd angen wneud. Dywed Llyfryn asesu ar gyfer dysgu Llywodraeth Cymru, </w:t>
      </w:r>
      <w:r w:rsidR="00B73DA4">
        <w:rPr>
          <w:rFonts w:ascii="Calibri" w:hAnsi="Calibri" w:cs="Calibri"/>
          <w:sz w:val="24"/>
          <w:szCs w:val="24"/>
        </w:rPr>
        <w:t>(</w:t>
      </w:r>
      <w:r>
        <w:rPr>
          <w:rFonts w:ascii="Calibri" w:hAnsi="Calibri" w:cs="Calibri"/>
          <w:sz w:val="24"/>
          <w:szCs w:val="24"/>
        </w:rPr>
        <w:t>2010</w:t>
      </w:r>
      <w:r w:rsidR="00B73DA4">
        <w:rPr>
          <w:rFonts w:ascii="Calibri" w:hAnsi="Calibri" w:cs="Calibri"/>
          <w:sz w:val="24"/>
          <w:szCs w:val="24"/>
        </w:rPr>
        <w:t>)</w:t>
      </w:r>
      <w:r>
        <w:rPr>
          <w:rFonts w:ascii="Calibri" w:hAnsi="Calibri" w:cs="Calibri"/>
          <w:sz w:val="24"/>
          <w:szCs w:val="24"/>
        </w:rPr>
        <w:t xml:space="preserve"> bod yn ffordd dda o “hunanasesu ac adborth ffurfiannol,” tudalen 86.  Mae’n ffordd dda i weld a yw'r disgyblion wedi deall yr hyn mae’r athrawes yn dysgu yn gyflym gan fod yr athrawes wedyn yn gallu dewis dysgwyr sydd â bodiau i fyny i egluro sut i weithio allan y cwestiwn. Os mae mwyafrif o’r dosbarth ddim yn deall mae rhoi cyfle i’r athrawes newid yr hyn mae hi’n dysgu neu'r sut mae hi’n dysgu er bod dysgwr wedyn yn gwneud cynnydd erbyn diwedd y wers. “</w:t>
      </w:r>
      <w:r>
        <w:rPr>
          <w:rFonts w:ascii="Calibri" w:hAnsi="Calibri" w:cs="Calibri"/>
          <w:color w:val="000000"/>
          <w:sz w:val="24"/>
          <w:szCs w:val="24"/>
        </w:rPr>
        <w:t xml:space="preserve">The teacher can readjust the next lesson or section of the lesson as needed based on student response,” Plymouth University. </w:t>
      </w:r>
      <w:r>
        <w:rPr>
          <w:rFonts w:ascii="Calibri" w:hAnsi="Calibri" w:cs="Calibri"/>
          <w:sz w:val="24"/>
          <w:szCs w:val="24"/>
        </w:rPr>
        <w:t>Fodd bynnag gan fod dysgwr weithiau yn rhoi bodiau i fyny ond ddim gwastad yn deall mae gallu fod yn broblem felly mae’n well wneud yn siŵr bod llygaid pawb ar gau fel bod nhw yn copïo ei gilydd.</w:t>
      </w:r>
    </w:p>
    <w:p w14:paraId="53584510" w14:textId="63362C20" w:rsidR="00AA3A13" w:rsidRPr="00ED5D0F" w:rsidRDefault="00CB10DF" w:rsidP="00CB10DF">
      <w:pPr>
        <w:rPr>
          <w:sz w:val="24"/>
          <w:szCs w:val="24"/>
        </w:rPr>
      </w:pPr>
      <w:r>
        <w:rPr>
          <w:rFonts w:ascii="Calibri" w:hAnsi="Calibri" w:cs="Calibri"/>
          <w:sz w:val="24"/>
          <w:szCs w:val="24"/>
        </w:rPr>
        <w:t xml:space="preserve">Fel dosbarth i wneud yn siŵr bod pob dysgwyr yn deall, wnaethon fynd dros rhai enghreifftiau gan ddefnyddio’r strategaeth meddwl - paru - rhannu. Felly roedd bwrdd gwyn gyda phob disgybl i weithio’r ateb allan ac wedyn roeddwn </w:t>
      </w:r>
      <w:r w:rsidR="009121D7">
        <w:rPr>
          <w:rFonts w:ascii="Calibri" w:hAnsi="Calibri" w:cs="Calibri"/>
          <w:sz w:val="24"/>
          <w:szCs w:val="24"/>
        </w:rPr>
        <w:t>yn</w:t>
      </w:r>
      <w:r>
        <w:rPr>
          <w:rFonts w:ascii="Calibri" w:hAnsi="Calibri" w:cs="Calibri"/>
          <w:sz w:val="24"/>
          <w:szCs w:val="24"/>
        </w:rPr>
        <w:t xml:space="preserve"> trafod gyda phartner a rhannu efo gweddill y dosbarth</w:t>
      </w:r>
      <w:r w:rsidR="009121D7">
        <w:rPr>
          <w:rFonts w:ascii="Calibri" w:hAnsi="Calibri" w:cs="Calibri"/>
          <w:sz w:val="24"/>
          <w:szCs w:val="24"/>
        </w:rPr>
        <w:t>.</w:t>
      </w:r>
      <w:r>
        <w:rPr>
          <w:rFonts w:ascii="Calibri" w:hAnsi="Calibri" w:cs="Calibri"/>
          <w:sz w:val="24"/>
          <w:szCs w:val="24"/>
        </w:rPr>
        <w:t xml:space="preserve"> Wrth ddefnyddio byrddau gwyn roedd yn dod a strategaeth asesu ar gyfer dysgu arall mewn i feddwl- paru -rhannu ond roedd yn rhoi cyfle i asesu dwy peth gwahanol.  Roeddwn i’n gweld y strategaeth meddwl - paru - rhannu yn ddefnyddiol iawn i weld pa ddisgyblion oedd wedi deall ond hefyd gyda rhai oedd heb fel roedd ei phartner yn egluro'r ateb cywir iddyn nhw. Roedd hyn yn dangos cynnydd roedd y disgyblion yn wneud trwy weithio gyda’i gilydd ond hefyd roeddwn yn datblygu ei iaith lafar yn wers Mathemateg. Gan fod llwyth o arbrawf ar amser mae athrawon yn gadael i ddysgwyr cael ateb yn gorfod cael ei ymestyn perwyd ar y funud mae athrawon dim ond yn aros 0.9 eiliad i gael ateb. Mae hyn yn ffordd dda o wneud yn siŵr bod nhw yn cael yr amser ychwanegol yma. Peth arall sydd yn dda yw bod y plant dihyder neu ofn cael ateb yn anghywir yn fwy tebygol o ymateb ar ôl meddwl- paru-rhannu oherwydd os mae ei phartner gyda’r un ateb mae fwy o siawns gyda nhw bod yr ateb yn iawn. Cytunaf Lywodraeth Cymru efo hwn “Mae hefyd yn cefnogi dysgwyr amharod/dysgwyr sydd â hunanhyder isel a'u cael i gyfrannu,” Llyfryn asesu ar gyfer dysgu, tudalen 85.</w:t>
      </w:r>
    </w:p>
    <w:p w14:paraId="27C8DBE5" w14:textId="7242A0F1" w:rsidR="00F62F36" w:rsidRDefault="0029139D" w:rsidP="00BE443F">
      <w:r>
        <w:rPr>
          <w:rFonts w:ascii="Calibri" w:hAnsi="Calibri" w:cs="Calibri"/>
          <w:sz w:val="24"/>
          <w:szCs w:val="24"/>
        </w:rPr>
        <w:t xml:space="preserve">Gan ddefnyddio’r byrddau gwyn wrth wneud meddwl - paru - rhannu mae’n sicrhau bod pob unigolyn yn cyfrannu oherwydd mae rhaid iddyn nhw gael y swm a'r ateb ar ei bwrdd gwyn, erbyn mae’n amser dangos. Wrth ddefnyddio byrddau gwyn mae’r athrawes wedyn yn gallu gweld ble mae’r dysgwr yn mynd yn anghywir yn syth o ddechrau’r wers, ac yn gallu rhoi'r help mae angen arnynt hwy i wneud y cynnydd. Wrth i’r disgyblion dangos ei byrddau gwyn mae hefyd yn ddiddorol i atal y sgwrs o fel maen nhw wedi dod o hyd i’r ateb, hyd yn oed pan fydd yr ateb yr ateb yn anghywir, oherwydd wrth i’r dysgwr egluro mae athrawes wedyn yn gallu ei stopio pryd maen nhw ar y trac anghywir. Mae llyfryn asesu ar gyfer dysgu </w:t>
      </w:r>
      <w:r>
        <w:rPr>
          <w:rFonts w:ascii="Calibri" w:hAnsi="Calibri" w:cs="Calibri"/>
          <w:sz w:val="24"/>
          <w:szCs w:val="24"/>
        </w:rPr>
        <w:lastRenderedPageBreak/>
        <w:t xml:space="preserve">Llywodraeth Cymru, </w:t>
      </w:r>
      <w:r w:rsidR="00B73DA4">
        <w:rPr>
          <w:rFonts w:ascii="Calibri" w:hAnsi="Calibri" w:cs="Calibri"/>
          <w:sz w:val="24"/>
          <w:szCs w:val="24"/>
        </w:rPr>
        <w:t>(</w:t>
      </w:r>
      <w:r>
        <w:rPr>
          <w:rFonts w:ascii="Calibri" w:hAnsi="Calibri" w:cs="Calibri"/>
          <w:sz w:val="24"/>
          <w:szCs w:val="24"/>
        </w:rPr>
        <w:t>2010</w:t>
      </w:r>
      <w:r w:rsidR="00B73DA4">
        <w:rPr>
          <w:rFonts w:ascii="Calibri" w:hAnsi="Calibri" w:cs="Calibri"/>
          <w:sz w:val="24"/>
          <w:szCs w:val="24"/>
        </w:rPr>
        <w:t>)</w:t>
      </w:r>
      <w:r>
        <w:rPr>
          <w:rFonts w:ascii="Calibri" w:hAnsi="Calibri" w:cs="Calibri"/>
          <w:sz w:val="24"/>
          <w:szCs w:val="24"/>
        </w:rPr>
        <w:t xml:space="preserve"> yn dweud mai’n ffordd o  gael “adborth ffurfiannol ac mae'n rhoi cyfle i bob dysgwr gyfrannu,” tudalen 63.  </w:t>
      </w:r>
    </w:p>
    <w:p w14:paraId="7C69CF42" w14:textId="06225A7D" w:rsidR="00F3613A" w:rsidRDefault="00CB10DF" w:rsidP="00BE443F">
      <w:r>
        <w:rPr>
          <w:rFonts w:ascii="Calibri" w:hAnsi="Calibri" w:cs="Calibri"/>
          <w:sz w:val="24"/>
          <w:szCs w:val="24"/>
        </w:rPr>
        <w:t xml:space="preserve">Wnes i ddewis Mathemateg a Rhifedd fel un o gynlluniau mi oherwydd roeddwn yn meddwl bod y thema Cwpan y Byd yn gallu gweithio yn dda wrth dangos i’r dysgwr sut mae Mathemateg yn dod mewn i fywyd go iawn. Roedd gwneud ei thaflen waith ar fesur caeau pêl droed a stadiwm yn rhywbeth sydd yn digwydd yn fywyd pop dydd ac roedd yn ffordd dda o ddangos hyn i’r dysgwr.  </w:t>
      </w:r>
    </w:p>
    <w:p w14:paraId="4E66C34A" w14:textId="65CEE6C4" w:rsidR="00CB16C1" w:rsidRDefault="00CB10DF" w:rsidP="00CB10DF">
      <w:pPr>
        <w:rPr>
          <w:sz w:val="24"/>
          <w:szCs w:val="24"/>
        </w:rPr>
      </w:pPr>
      <w:r>
        <w:rPr>
          <w:rFonts w:ascii="Calibri" w:hAnsi="Calibri" w:cs="Calibri"/>
          <w:sz w:val="24"/>
          <w:szCs w:val="24"/>
        </w:rPr>
        <w:t xml:space="preserve">Y wers olaf wnes i gynllunio oedd i’r dysgwr creu pêl allan o </w:t>
      </w:r>
      <w:r w:rsidR="003F11BE">
        <w:rPr>
          <w:rFonts w:ascii="Calibri" w:hAnsi="Calibri" w:cs="Calibri"/>
          <w:sz w:val="24"/>
          <w:szCs w:val="24"/>
        </w:rPr>
        <w:t xml:space="preserve">papur </w:t>
      </w:r>
      <w:r>
        <w:rPr>
          <w:rFonts w:ascii="Calibri" w:hAnsi="Calibri" w:cs="Calibri"/>
          <w:sz w:val="24"/>
          <w:szCs w:val="24"/>
        </w:rPr>
        <w:t xml:space="preserve">mache, ac wedyn ei pheintio a chopïo patrwm pêl </w:t>
      </w:r>
      <w:r w:rsidR="00076052">
        <w:rPr>
          <w:rFonts w:ascii="Calibri" w:hAnsi="Calibri" w:cs="Calibri"/>
          <w:sz w:val="24"/>
          <w:szCs w:val="24"/>
        </w:rPr>
        <w:t>C</w:t>
      </w:r>
      <w:r>
        <w:rPr>
          <w:rFonts w:ascii="Calibri" w:hAnsi="Calibri" w:cs="Calibri"/>
          <w:sz w:val="24"/>
          <w:szCs w:val="24"/>
        </w:rPr>
        <w:t xml:space="preserve">wpan y byd 2022 arno. Roedd hwn yn un o gyfres o wersi oherwydd roedd yn cymryd amser i wneud. Gyda gwahaniaethu'r wers yma i’r disgyblion mwy abl a thalentog doedd o ddim yn digwydd oherwydd roedd y dasg yn addas i bawb. Wrth esbonio’r wers yma defnyddiais gwestiynu fel math o asesu ar gyfer dysgu gan ddilyn dull cwestiynu Benjamin Bloom sef y Dacsonomeg Bloom. Wrth ddilyn y dechneg yma roeddwn allu adeiladu ar ddealltwriaeth ddyfnach y plant a'i asesu nhw ar lafar. Yn ôl Llywodraeth Cymru “mae cwestiynau o ansawdd uchel yn arwain at siarad o ansawdd uchel,” tudalen 15. Mae hwn yn cyfleu cynnydd ar draws mwy nag un maes felly yn strategaeth dda i ddefnyddio.  Yr unig broblem gyda chwestiynu fel strategaeth yw bod rhai dysgwr yn y dosbarth yn ddi - hyder neu rhy swil i ateb ac yn ofn cael ateb yn anghywir. Fel hyn mae athrawon ddim wedyn gallu asesu ei dealltwriaeth neu oherwydd bod nhw ddim yn ymateb yn meddwl bod nhw ddim a dealltwriaeth o beth sydd yn mynd ymlaen. Mae Llywodraeth Cymru yn cytuno efo hwn “mae cyfres o ymatebion aflwyddiannus gan y dysgwr yn arwain at gyflwr o 'ddiymadferthedd wedi'i ddysgu' oherwydd mae'n teimlo ei fod yn sicr o fethu eto,” tudalen 18. Mae’r dasg yma yn rhoi cyfle i’r dysgwyr datblygu ei sgiliau creadigol, sgiliau gwrando a sgiliau newydd. Byddai hyn hefyd yn rhoi cyfleoedd newydd i fwyafrif o ddysgwyr sydd heb greu </w:t>
      </w:r>
      <w:r w:rsidR="003F11BE">
        <w:rPr>
          <w:rFonts w:ascii="Calibri" w:hAnsi="Calibri" w:cs="Calibri"/>
          <w:sz w:val="24"/>
          <w:szCs w:val="24"/>
        </w:rPr>
        <w:t>papur mache</w:t>
      </w:r>
      <w:r>
        <w:rPr>
          <w:rFonts w:ascii="Calibri" w:hAnsi="Calibri" w:cs="Calibri"/>
          <w:sz w:val="24"/>
          <w:szCs w:val="24"/>
        </w:rPr>
        <w:t xml:space="preserve"> o’r blaen. Wnes i ddewis hwn fel y wers olaf oherwydd roedden yn rhoi cyfle i’r dysgwyr bod yn greadigol wrth ddysgu am Gwpan y Byd a doedd rhai ddim yn gweld hwn fel gwaith ond roeddwn i fel athrawes dal gallu asesu ei dealltwriaeth greadigol. Ar ddiwedd y wers yma wnaeth disgyblion defnyddio hunan asesu i asesu ei gwaith.</w:t>
      </w:r>
    </w:p>
    <w:p w14:paraId="441F4478" w14:textId="0A911AD7" w:rsidR="000F46BC" w:rsidRDefault="00CB10DF" w:rsidP="00CB10DF">
      <w:pPr>
        <w:rPr>
          <w:sz w:val="24"/>
          <w:szCs w:val="24"/>
        </w:rPr>
      </w:pPr>
      <w:r>
        <w:rPr>
          <w:rFonts w:ascii="Calibri" w:hAnsi="Calibri" w:cs="Calibri"/>
          <w:sz w:val="24"/>
          <w:szCs w:val="24"/>
        </w:rPr>
        <w:t xml:space="preserve">Byddwn fel dosbarth wedi creu meini prawf llwyddiant ar ddechrau’r wers ac roedd rhaid i’r dysgwyr gwirio ar ôl iddyn gorffen, i weld a oedden wedi llwyddo gyda’r dasg greadigol. Ar ôl i’r disgyblion edrych ar waith ei gilydd, byddwn i fel athrawes yn marcio ac yn defnyddio un dull asesu ar gyfer dysgu arall sef dwy seren a dymuniad. Dwi’n teimlo bod defnyddio'r strwythur yma gan roi tipyn bach o adborth nol i’r dysgwyr yn beth dda fan hyn oherwydd mae bod yn greadigol ac yn creu rhywbeth yn beth sydd ddim yn digwydd mor aml ag Iaith a Mathemateg felly dydyn nhw ddim yn cael adborth ar yr ardal o ddatblygiad yma mor aml. Mae dwy seren a dymuniad yn adborth ffurfiannol ond dwi’n gweld yn un sydd yn gweithio yn dda. Gan fod yr athrawes yn rhoi dwy peth positif i’r dysgwr yn gyntaf mae gweld y dymuniad y peth sydd angen iddynt wella ddim mor wael. Mae dysgwr yn derbyn yn fwy oherwydd maen nhw wedi cael y pethau positif hefyd. “Mae angen i ddysgwyr adnabod yr agweddau ar eu gwaith sy'n llwyddo a beth sydd angen iddyn nhw wella,” Llywodraeth Cymru </w:t>
      </w:r>
      <w:r w:rsidR="00076052">
        <w:rPr>
          <w:rFonts w:ascii="Calibri" w:hAnsi="Calibri" w:cs="Calibri"/>
          <w:sz w:val="24"/>
          <w:szCs w:val="24"/>
        </w:rPr>
        <w:t>(</w:t>
      </w:r>
      <w:r>
        <w:rPr>
          <w:rFonts w:ascii="Calibri" w:hAnsi="Calibri" w:cs="Calibri"/>
          <w:sz w:val="24"/>
          <w:szCs w:val="24"/>
        </w:rPr>
        <w:t>2010</w:t>
      </w:r>
      <w:r w:rsidR="00076052">
        <w:rPr>
          <w:rFonts w:ascii="Calibri" w:hAnsi="Calibri" w:cs="Calibri"/>
          <w:sz w:val="24"/>
          <w:szCs w:val="24"/>
        </w:rPr>
        <w:t>)</w:t>
      </w:r>
      <w:r>
        <w:rPr>
          <w:rFonts w:ascii="Calibri" w:hAnsi="Calibri" w:cs="Calibri"/>
          <w:sz w:val="24"/>
          <w:szCs w:val="24"/>
        </w:rPr>
        <w:t>, tudalen 86.</w:t>
      </w:r>
    </w:p>
    <w:p w14:paraId="3B7CD3D1" w14:textId="040C27D5" w:rsidR="00CB735C" w:rsidRDefault="00CB10DF" w:rsidP="00CB10DF">
      <w:pPr>
        <w:rPr>
          <w:rFonts w:ascii="Calibri" w:hAnsi="Calibri" w:cs="Calibri"/>
          <w:sz w:val="24"/>
          <w:szCs w:val="24"/>
        </w:rPr>
      </w:pPr>
      <w:r>
        <w:rPr>
          <w:rFonts w:ascii="Calibri" w:hAnsi="Calibri" w:cs="Calibri"/>
          <w:sz w:val="24"/>
          <w:szCs w:val="24"/>
        </w:rPr>
        <w:lastRenderedPageBreak/>
        <w:t xml:space="preserve">I grynhoi, yn bersonol dw i’n meddwl gwnaeth y strategaethau asesu ar gyfer dysgu wnes i ddewis yn fy episodau dysgu bod yn rhai sydd yn gweithio yn dda ar lawr yr ysgol ac mae ymchwil gan Lywodraeth Cymru sydd yn dweud bod nhw yn gweithio hefyd. Wnes i ddewis cymysg o strategaethau oherwydd dw i’n credu bod yn bwysig bod y dysgwyr yn cael y cyfle i ddefnyddio rhai gwahanol yn y dosbarth oherwydd bydd pob dysgwyr yn hoffi rhai gwahanol. </w:t>
      </w:r>
      <w:r w:rsidR="008955C0">
        <w:rPr>
          <w:rFonts w:ascii="Calibri" w:hAnsi="Calibri" w:cs="Calibri"/>
          <w:sz w:val="24"/>
          <w:szCs w:val="24"/>
        </w:rPr>
        <w:t xml:space="preserve">Wrth ddefnyddio’r strategaethau hyn, mae yna lawer o fanteision enwedig hunan asesu, gall datblygu sgiliau adlewyrchu plant a helpu plant i adnabod eu cryfderau a'u gwendidau, yn magu hyder, hunan-barch a chymhelliant. </w:t>
      </w:r>
      <w:r>
        <w:rPr>
          <w:rFonts w:ascii="Calibri" w:hAnsi="Calibri" w:cs="Calibri"/>
          <w:sz w:val="24"/>
          <w:szCs w:val="24"/>
        </w:rPr>
        <w:t>Wrth ddefnyddio'r un, un trwy’r amser dydy o ddim yn dangos fel bod pob dysgwr yn gwneud cynnydd a datblygu oherwydd ei bod ddim yn gyfforddus yn gwneud yr un maen nhw dal yn ei wneu</w:t>
      </w:r>
      <w:r w:rsidR="00CB735C">
        <w:rPr>
          <w:rFonts w:ascii="Calibri" w:hAnsi="Calibri" w:cs="Calibri"/>
          <w:sz w:val="24"/>
          <w:szCs w:val="24"/>
        </w:rPr>
        <w:t xml:space="preserve">d. Roeddwn gallu gweld bod dysgyblion yn gwenud cynnydd ac yn datblygu wrth ei ddefnyddio. </w:t>
      </w:r>
    </w:p>
    <w:p w14:paraId="57FECFBD" w14:textId="31312809" w:rsidR="008955C0" w:rsidRDefault="008955C0" w:rsidP="00CB10DF">
      <w:pPr>
        <w:rPr>
          <w:rFonts w:ascii="Calibri" w:hAnsi="Calibri" w:cs="Calibri"/>
          <w:sz w:val="24"/>
          <w:szCs w:val="24"/>
        </w:rPr>
      </w:pPr>
      <w:r w:rsidRPr="008955C0">
        <w:rPr>
          <w:rFonts w:ascii="Calibri" w:hAnsi="Calibri" w:cs="Calibri"/>
          <w:sz w:val="24"/>
          <w:szCs w:val="24"/>
        </w:rPr>
        <w:t xml:space="preserve">Fodd bynnag roeddwn yn gweld ambell broblem gyda rhai. Y broblem fwyaf roeddwn i’n ei weld wrth fod yn y dosbarth oedd gyda meddwl – paru – rhannu, roedd rhaid i’r dysgwyr cael amserydd ar y bwrdd gwyn, neu bydden yn mynd a siarad am bethau arall oedd ddim yn berthnasol. Felly wrth ddefnyddio amserydd roedd y dysgwyr gallu gweld bod dim llawer o amser ganddyn nhw i siarad am bethau arall. Un arall roeddwn yn gweld problem gydag oedd bodiau, oherwydd roedd ffrindiau yn copïo ei gilydd. </w:t>
      </w:r>
      <w:r w:rsidR="00076052">
        <w:rPr>
          <w:rFonts w:ascii="Calibri" w:hAnsi="Calibri" w:cs="Calibri"/>
          <w:sz w:val="24"/>
          <w:szCs w:val="24"/>
        </w:rPr>
        <w:t xml:space="preserve">Efallai i </w:t>
      </w:r>
      <w:r w:rsidRPr="008955C0">
        <w:rPr>
          <w:rFonts w:ascii="Calibri" w:hAnsi="Calibri" w:cs="Calibri"/>
          <w:sz w:val="24"/>
          <w:szCs w:val="24"/>
        </w:rPr>
        <w:t>stopio hwn</w:t>
      </w:r>
      <w:r w:rsidR="00076052">
        <w:rPr>
          <w:rFonts w:ascii="Calibri" w:hAnsi="Calibri" w:cs="Calibri"/>
          <w:sz w:val="24"/>
          <w:szCs w:val="24"/>
        </w:rPr>
        <w:t xml:space="preserve"> bydd cael y dysgwyr cau ei llygaid gweithio yn well.</w:t>
      </w:r>
      <w:r w:rsidRPr="008955C0">
        <w:rPr>
          <w:rFonts w:ascii="Calibri" w:hAnsi="Calibri" w:cs="Calibri"/>
          <w:sz w:val="24"/>
          <w:szCs w:val="24"/>
        </w:rPr>
        <w:t xml:space="preserve"> </w:t>
      </w:r>
    </w:p>
    <w:p w14:paraId="59EA0736" w14:textId="327A6D9B" w:rsidR="008955C0" w:rsidRDefault="008955C0" w:rsidP="0005205F">
      <w:pPr>
        <w:rPr>
          <w:rFonts w:ascii="Calibri" w:hAnsi="Calibri" w:cs="Calibri"/>
          <w:sz w:val="24"/>
          <w:szCs w:val="24"/>
        </w:rPr>
      </w:pPr>
      <w:r w:rsidRPr="008955C0">
        <w:rPr>
          <w:rFonts w:ascii="Calibri" w:hAnsi="Calibri" w:cs="Calibri"/>
          <w:sz w:val="24"/>
          <w:szCs w:val="24"/>
        </w:rPr>
        <w:t>Tro nesaf byddaf yn mynd mewn i ysgol, dwi’n gobeithio gweld mwy o asesu ar gyfer dysgu yn digwydd trwy gydol yr ysgol ond hefyd ar fy lleoliad nesaf dwi angen treialu rhai gwahanol. Yr un dwi eisiau treialu fwyaf yw ffiniau lolipop. Dwi wedi darllen llawer am ba mor llwyddiannus y mae'r rhain yn yr ystafell dosbarth, wrth roi enw pawb mewn bag ar y ffyn lolipop ac wedyn tynnu nhw allan i roi dysgwyr mewn i grwpiau neu bartneriaid ond hefyd pryd maen nhw yn ateb cwestiynau. Mae pob unigolyn yn canolbwyntio yn fwy oherwydd maen nhw’n gwybod gall ei enw nhw dod allan o’r bag, sydd yn golygu mae dealltwriaeth y dysgwyr yn datblygu.</w:t>
      </w:r>
      <w:r w:rsidR="00B73DA4">
        <w:rPr>
          <w:rFonts w:ascii="Calibri" w:hAnsi="Calibri" w:cs="Calibri"/>
          <w:sz w:val="24"/>
          <w:szCs w:val="24"/>
        </w:rPr>
        <w:t xml:space="preserve"> Yn llyfr ‘Never Mind the Inspectors gan Tait Coles (2014) mae’n dweud </w:t>
      </w:r>
      <w:r w:rsidR="00B73DA4">
        <w:rPr>
          <w:rFonts w:ascii="Lato" w:hAnsi="Lato"/>
          <w:color w:val="000000"/>
          <w:shd w:val="clear" w:color="auto" w:fill="FFFFFF"/>
        </w:rPr>
        <w:t>“Why spend more time deciding whom to ask questions rather than spending time and effort crafting great questions?”</w:t>
      </w:r>
      <w:r w:rsidRPr="008955C0">
        <w:rPr>
          <w:rFonts w:ascii="Calibri" w:hAnsi="Calibri" w:cs="Calibri"/>
          <w:sz w:val="24"/>
          <w:szCs w:val="24"/>
        </w:rPr>
        <w:t xml:space="preserve">  </w:t>
      </w:r>
    </w:p>
    <w:p w14:paraId="50711A09" w14:textId="77777777" w:rsidR="008955C0" w:rsidRDefault="008955C0" w:rsidP="0005205F">
      <w:pPr>
        <w:rPr>
          <w:rFonts w:ascii="Calibri" w:hAnsi="Calibri" w:cs="Calibri"/>
          <w:sz w:val="24"/>
          <w:szCs w:val="24"/>
        </w:rPr>
      </w:pPr>
      <w:r w:rsidRPr="008955C0">
        <w:rPr>
          <w:rFonts w:ascii="Calibri" w:hAnsi="Calibri" w:cs="Calibri"/>
          <w:sz w:val="24"/>
          <w:szCs w:val="24"/>
        </w:rPr>
        <w:t xml:space="preserve">Yr unig broblem dw i’n gweld gydag asesu ar gyfer dysgu yw bod o ddim yn cael ei mabwysiadu trwy gydol yr ysgol sydd yn broblem. Wrth fod yn wahanol ysgolion, gwelaf fod asesu ar gyfer dysgu yn digwydd llawer yn y meysydd dysgu a phrofiad Ieithoedd, Llythrennedd a Chyfathrebu a Mathemateg a Rhifedd ond ddim yn y gweddill.  Mae rhaid i’r dysgwyr dod yn gyfarwydd efo’r dulliau wahanol bryd maen nhw yn dechrau yn yr ysgol er mwyn iddo weithio yn effeithiol. Yn bersonol dw i’n teimlo mae hyn yn broblem oherwydd mae asesu ar gyfer dysgu yn dod lawr i ddysgwr fod yn fwy annibynnol ac rwy’n teimlo bod rhai athrawon dal hoffi ac eisiau bod yn gyfrifol o’r dysgu i gyd. Dydyn nhw ddim angen i’r plant cael y rheolaeth yma i gyd oherwydd maen nhw’n teimlo fel bod yn rhoi fwy o bwysau ar y plant fel unigolion. </w:t>
      </w:r>
    </w:p>
    <w:p w14:paraId="6A0E82AB" w14:textId="77777777" w:rsidR="00BF6D58" w:rsidRDefault="0029139D" w:rsidP="069DB242">
      <w:pPr>
        <w:rPr>
          <w:rFonts w:ascii="Calibri" w:hAnsi="Calibri" w:cs="Calibri"/>
          <w:sz w:val="24"/>
          <w:szCs w:val="24"/>
        </w:rPr>
      </w:pPr>
      <w:r>
        <w:rPr>
          <w:rFonts w:ascii="Calibri" w:hAnsi="Calibri" w:cs="Calibri"/>
          <w:sz w:val="24"/>
          <w:szCs w:val="24"/>
        </w:rPr>
        <w:t xml:space="preserve">I fod yn llwyddiannus, mae angen bod asesu ar gyfer dysgu yn ddull sy wedi mabwysiadu gan yr ysgol gyfan, bod y plant yn dysgu sut i hunan asesu yn gynnar yn y process dysgu ac i fod yn ddull naturiol iddynt. I grynhoi “Estyn identified the importance of pupils having a clear understanding of the intended learning and what success looks like in sessions and </w:t>
      </w:r>
      <w:r>
        <w:rPr>
          <w:rFonts w:ascii="Calibri" w:hAnsi="Calibri" w:cs="Calibri"/>
          <w:sz w:val="24"/>
          <w:szCs w:val="24"/>
        </w:rPr>
        <w:lastRenderedPageBreak/>
        <w:t>receive constructive feedback from a range of sources, including peer and self-assessment, that challenges pupils to become increasingly effective and independent in moving their own learning forwards</w:t>
      </w:r>
      <w:r w:rsidR="00CB735C">
        <w:rPr>
          <w:rFonts w:ascii="Calibri" w:hAnsi="Calibri" w:cs="Calibri"/>
          <w:sz w:val="24"/>
          <w:szCs w:val="24"/>
        </w:rPr>
        <w:t>”.</w:t>
      </w:r>
    </w:p>
    <w:p w14:paraId="41B2B28F" w14:textId="6A6F6615" w:rsidR="00BF6D58" w:rsidRPr="00BF6D58" w:rsidRDefault="00076052" w:rsidP="069DB242">
      <w:pPr>
        <w:rPr>
          <w:sz w:val="24"/>
          <w:szCs w:val="24"/>
        </w:rPr>
      </w:pPr>
      <w:r w:rsidRPr="00BF6D58">
        <w:rPr>
          <w:noProof/>
        </w:rPr>
        <w:drawing>
          <wp:anchor distT="0" distB="0" distL="114300" distR="114300" simplePos="0" relativeHeight="251660288" behindDoc="1" locked="0" layoutInCell="1" allowOverlap="1" wp14:anchorId="1B422EAE" wp14:editId="2954CD98">
            <wp:simplePos x="0" y="0"/>
            <wp:positionH relativeFrom="margin">
              <wp:posOffset>-254000</wp:posOffset>
            </wp:positionH>
            <wp:positionV relativeFrom="paragraph">
              <wp:posOffset>4623435</wp:posOffset>
            </wp:positionV>
            <wp:extent cx="6387465" cy="3533140"/>
            <wp:effectExtent l="0" t="0" r="0" b="0"/>
            <wp:wrapTight wrapText="bothSides">
              <wp:wrapPolygon edited="0">
                <wp:start x="0" y="0"/>
                <wp:lineTo x="0" y="21429"/>
                <wp:lineTo x="21516" y="21429"/>
                <wp:lineTo x="21516" y="0"/>
                <wp:lineTo x="0" y="0"/>
              </wp:wrapPolygon>
            </wp:wrapTight>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rotWithShape="1">
                    <a:blip r:embed="rId5">
                      <a:extLst>
                        <a:ext uri="{28A0092B-C50C-407E-A947-70E740481C1C}">
                          <a14:useLocalDpi xmlns:a14="http://schemas.microsoft.com/office/drawing/2010/main" val="0"/>
                        </a:ext>
                      </a:extLst>
                    </a:blip>
                    <a:srcRect l="22602" t="27772" r="23333" b="19047"/>
                    <a:stretch/>
                  </pic:blipFill>
                  <pic:spPr bwMode="auto">
                    <a:xfrm>
                      <a:off x="0" y="0"/>
                      <a:ext cx="6387465" cy="3533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6D58">
        <w:rPr>
          <w:noProof/>
        </w:rPr>
        <w:drawing>
          <wp:anchor distT="0" distB="0" distL="114300" distR="114300" simplePos="0" relativeHeight="251659264" behindDoc="1" locked="0" layoutInCell="1" allowOverlap="1" wp14:anchorId="4182A1B9" wp14:editId="0BF276EE">
            <wp:simplePos x="0" y="0"/>
            <wp:positionH relativeFrom="margin">
              <wp:align>left</wp:align>
            </wp:positionH>
            <wp:positionV relativeFrom="paragraph">
              <wp:posOffset>3740150</wp:posOffset>
            </wp:positionV>
            <wp:extent cx="6083300" cy="817880"/>
            <wp:effectExtent l="0" t="0" r="0" b="1270"/>
            <wp:wrapTight wrapText="bothSides">
              <wp:wrapPolygon edited="0">
                <wp:start x="0" y="0"/>
                <wp:lineTo x="0" y="21130"/>
                <wp:lineTo x="21510" y="21130"/>
                <wp:lineTo x="21510" y="0"/>
                <wp:lineTo x="0" y="0"/>
              </wp:wrapPolygon>
            </wp:wrapTight>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6">
                      <a:extLst>
                        <a:ext uri="{28A0092B-C50C-407E-A947-70E740481C1C}">
                          <a14:useLocalDpi xmlns:a14="http://schemas.microsoft.com/office/drawing/2010/main" val="0"/>
                        </a:ext>
                      </a:extLst>
                    </a:blip>
                    <a:srcRect l="22858" t="43135" r="25217" b="44422"/>
                    <a:stretch/>
                  </pic:blipFill>
                  <pic:spPr bwMode="auto">
                    <a:xfrm>
                      <a:off x="0" y="0"/>
                      <a:ext cx="6083300" cy="817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6D58">
        <w:rPr>
          <w:noProof/>
        </w:rPr>
        <w:drawing>
          <wp:anchor distT="0" distB="0" distL="114300" distR="114300" simplePos="0" relativeHeight="251658240" behindDoc="1" locked="0" layoutInCell="1" allowOverlap="1" wp14:anchorId="3D396418" wp14:editId="3B192603">
            <wp:simplePos x="0" y="0"/>
            <wp:positionH relativeFrom="margin">
              <wp:align>left</wp:align>
            </wp:positionH>
            <wp:positionV relativeFrom="paragraph">
              <wp:posOffset>228600</wp:posOffset>
            </wp:positionV>
            <wp:extent cx="6083300" cy="3494405"/>
            <wp:effectExtent l="0" t="0" r="0" b="0"/>
            <wp:wrapTight wrapText="bothSides">
              <wp:wrapPolygon edited="0">
                <wp:start x="0" y="0"/>
                <wp:lineTo x="0" y="21431"/>
                <wp:lineTo x="21510" y="21431"/>
                <wp:lineTo x="21510" y="0"/>
                <wp:lineTo x="0" y="0"/>
              </wp:wrapPolygon>
            </wp:wrapTight>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7">
                      <a:extLst>
                        <a:ext uri="{28A0092B-C50C-407E-A947-70E740481C1C}">
                          <a14:useLocalDpi xmlns:a14="http://schemas.microsoft.com/office/drawing/2010/main" val="0"/>
                        </a:ext>
                      </a:extLst>
                    </a:blip>
                    <a:srcRect l="22741" t="31652" r="25242" b="15226"/>
                    <a:stretch/>
                  </pic:blipFill>
                  <pic:spPr bwMode="auto">
                    <a:xfrm>
                      <a:off x="0" y="0"/>
                      <a:ext cx="6094626" cy="35009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6D58">
        <w:rPr>
          <w:sz w:val="24"/>
          <w:szCs w:val="24"/>
          <w:u w:val="single"/>
        </w:rPr>
        <w:t>Atodiadau</w:t>
      </w:r>
    </w:p>
    <w:p w14:paraId="022D406E" w14:textId="384EF52D" w:rsidR="00BF6D58" w:rsidRDefault="00076052" w:rsidP="069DB242">
      <w:pPr>
        <w:rPr>
          <w:noProof/>
        </w:rPr>
      </w:pPr>
      <w:r w:rsidRPr="00BF6D58">
        <w:rPr>
          <w:noProof/>
        </w:rPr>
        <w:lastRenderedPageBreak/>
        <w:drawing>
          <wp:anchor distT="0" distB="0" distL="114300" distR="114300" simplePos="0" relativeHeight="251663360" behindDoc="1" locked="0" layoutInCell="1" allowOverlap="1" wp14:anchorId="34B4B2DC" wp14:editId="48208B7A">
            <wp:simplePos x="0" y="0"/>
            <wp:positionH relativeFrom="margin">
              <wp:align>left</wp:align>
            </wp:positionH>
            <wp:positionV relativeFrom="paragraph">
              <wp:posOffset>4050665</wp:posOffset>
            </wp:positionV>
            <wp:extent cx="5734050" cy="3201670"/>
            <wp:effectExtent l="0" t="0" r="0" b="0"/>
            <wp:wrapTight wrapText="bothSides">
              <wp:wrapPolygon edited="0">
                <wp:start x="0" y="0"/>
                <wp:lineTo x="0" y="21463"/>
                <wp:lineTo x="21528" y="21463"/>
                <wp:lineTo x="21528" y="0"/>
                <wp:lineTo x="0" y="0"/>
              </wp:wrapPolygon>
            </wp:wrapTight>
            <wp:docPr id="6" name="Picture 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pic:nvPicPr>
                  <pic:blipFill rotWithShape="1">
                    <a:blip r:embed="rId8">
                      <a:extLst>
                        <a:ext uri="{28A0092B-C50C-407E-A947-70E740481C1C}">
                          <a14:useLocalDpi xmlns:a14="http://schemas.microsoft.com/office/drawing/2010/main" val="0"/>
                        </a:ext>
                      </a:extLst>
                    </a:blip>
                    <a:srcRect l="22713" t="27378" r="23332" b="19046"/>
                    <a:stretch/>
                  </pic:blipFill>
                  <pic:spPr bwMode="auto">
                    <a:xfrm>
                      <a:off x="0" y="0"/>
                      <a:ext cx="5734050" cy="3201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F6D58">
        <w:rPr>
          <w:noProof/>
        </w:rPr>
        <w:drawing>
          <wp:anchor distT="0" distB="0" distL="114300" distR="114300" simplePos="0" relativeHeight="251664384" behindDoc="1" locked="0" layoutInCell="1" allowOverlap="1" wp14:anchorId="4346C4ED" wp14:editId="65F146A8">
            <wp:simplePos x="0" y="0"/>
            <wp:positionH relativeFrom="margin">
              <wp:align>left</wp:align>
            </wp:positionH>
            <wp:positionV relativeFrom="paragraph">
              <wp:posOffset>7232650</wp:posOffset>
            </wp:positionV>
            <wp:extent cx="5721350" cy="1368425"/>
            <wp:effectExtent l="0" t="0" r="0" b="3175"/>
            <wp:wrapTight wrapText="bothSides">
              <wp:wrapPolygon edited="0">
                <wp:start x="0" y="0"/>
                <wp:lineTo x="0" y="21349"/>
                <wp:lineTo x="21504" y="21349"/>
                <wp:lineTo x="21504" y="0"/>
                <wp:lineTo x="0" y="0"/>
              </wp:wrapPolygon>
            </wp:wrapTight>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9">
                      <a:extLst>
                        <a:ext uri="{28A0092B-C50C-407E-A947-70E740481C1C}">
                          <a14:useLocalDpi xmlns:a14="http://schemas.microsoft.com/office/drawing/2010/main" val="0"/>
                        </a:ext>
                      </a:extLst>
                    </a:blip>
                    <a:srcRect l="22823" t="40181" r="23443" b="36971"/>
                    <a:stretch/>
                  </pic:blipFill>
                  <pic:spPr bwMode="auto">
                    <a:xfrm>
                      <a:off x="0" y="0"/>
                      <a:ext cx="5721350" cy="136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036772DD" wp14:editId="1700F979">
            <wp:simplePos x="0" y="0"/>
            <wp:positionH relativeFrom="margin">
              <wp:align>right</wp:align>
            </wp:positionH>
            <wp:positionV relativeFrom="paragraph">
              <wp:posOffset>306705</wp:posOffset>
            </wp:positionV>
            <wp:extent cx="5734050" cy="3362960"/>
            <wp:effectExtent l="0" t="0" r="0" b="8890"/>
            <wp:wrapTight wrapText="bothSides">
              <wp:wrapPolygon edited="0">
                <wp:start x="0" y="0"/>
                <wp:lineTo x="0" y="21535"/>
                <wp:lineTo x="21528" y="21535"/>
                <wp:lineTo x="21528"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0">
                      <a:extLst>
                        <a:ext uri="{28A0092B-C50C-407E-A947-70E740481C1C}">
                          <a14:useLocalDpi xmlns:a14="http://schemas.microsoft.com/office/drawing/2010/main" val="0"/>
                        </a:ext>
                      </a:extLst>
                    </a:blip>
                    <a:srcRect l="22823" t="26984" r="25991" b="19637"/>
                    <a:stretch/>
                  </pic:blipFill>
                  <pic:spPr bwMode="auto">
                    <a:xfrm>
                      <a:off x="0" y="0"/>
                      <a:ext cx="5734050" cy="3362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614CF6" w14:textId="49231EF6" w:rsidR="00BF6D58" w:rsidRDefault="00BF6D58" w:rsidP="069DB242">
      <w:r w:rsidRPr="00BF6D58">
        <w:rPr>
          <w:noProof/>
        </w:rPr>
        <w:drawing>
          <wp:anchor distT="0" distB="0" distL="114300" distR="114300" simplePos="0" relativeHeight="251662336" behindDoc="1" locked="0" layoutInCell="1" allowOverlap="1" wp14:anchorId="2F752FDB" wp14:editId="4D36C6C6">
            <wp:simplePos x="0" y="0"/>
            <wp:positionH relativeFrom="margin">
              <wp:align>right</wp:align>
            </wp:positionH>
            <wp:positionV relativeFrom="paragraph">
              <wp:posOffset>3352800</wp:posOffset>
            </wp:positionV>
            <wp:extent cx="5729605" cy="393700"/>
            <wp:effectExtent l="0" t="0" r="4445" b="6350"/>
            <wp:wrapTight wrapText="bothSides">
              <wp:wrapPolygon edited="0">
                <wp:start x="0" y="0"/>
                <wp:lineTo x="0" y="20903"/>
                <wp:lineTo x="21545" y="20903"/>
                <wp:lineTo x="21545"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1">
                      <a:extLst>
                        <a:ext uri="{28A0092B-C50C-407E-A947-70E740481C1C}">
                          <a14:useLocalDpi xmlns:a14="http://schemas.microsoft.com/office/drawing/2010/main" val="0"/>
                        </a:ext>
                      </a:extLst>
                    </a:blip>
                    <a:srcRect l="22720" t="74257" r="25992" b="19476"/>
                    <a:stretch/>
                  </pic:blipFill>
                  <pic:spPr bwMode="auto">
                    <a:xfrm>
                      <a:off x="0" y="0"/>
                      <a:ext cx="5729605" cy="39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DDF188" w14:textId="32BC9C7D" w:rsidR="00B657C6" w:rsidRDefault="00076052" w:rsidP="069DB242">
      <w:r w:rsidRPr="00B657C6">
        <w:rPr>
          <w:noProof/>
        </w:rPr>
        <w:lastRenderedPageBreak/>
        <w:drawing>
          <wp:anchor distT="0" distB="0" distL="114300" distR="114300" simplePos="0" relativeHeight="251668480" behindDoc="1" locked="0" layoutInCell="1" allowOverlap="1" wp14:anchorId="483C0143" wp14:editId="4950F069">
            <wp:simplePos x="0" y="0"/>
            <wp:positionH relativeFrom="margin">
              <wp:align>center</wp:align>
            </wp:positionH>
            <wp:positionV relativeFrom="paragraph">
              <wp:posOffset>6720840</wp:posOffset>
            </wp:positionV>
            <wp:extent cx="5463540" cy="1520825"/>
            <wp:effectExtent l="0" t="0" r="3810" b="3175"/>
            <wp:wrapTight wrapText="bothSides">
              <wp:wrapPolygon edited="0">
                <wp:start x="0" y="0"/>
                <wp:lineTo x="0" y="21375"/>
                <wp:lineTo x="21540" y="21375"/>
                <wp:lineTo x="21540" y="0"/>
                <wp:lineTo x="0" y="0"/>
              </wp:wrapPolygon>
            </wp:wrapTight>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22602" t="50817" r="23333" b="22395"/>
                    <a:stretch/>
                  </pic:blipFill>
                  <pic:spPr bwMode="auto">
                    <a:xfrm>
                      <a:off x="0" y="0"/>
                      <a:ext cx="5463540" cy="152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657C6">
        <w:rPr>
          <w:noProof/>
        </w:rPr>
        <w:drawing>
          <wp:anchor distT="0" distB="0" distL="114300" distR="114300" simplePos="0" relativeHeight="251667456" behindDoc="1" locked="0" layoutInCell="1" allowOverlap="1" wp14:anchorId="6196BEB4" wp14:editId="2E60AB0E">
            <wp:simplePos x="0" y="0"/>
            <wp:positionH relativeFrom="margin">
              <wp:align>center</wp:align>
            </wp:positionH>
            <wp:positionV relativeFrom="paragraph">
              <wp:posOffset>3829050</wp:posOffset>
            </wp:positionV>
            <wp:extent cx="5496560" cy="2915920"/>
            <wp:effectExtent l="0" t="0" r="8890" b="0"/>
            <wp:wrapTight wrapText="bothSides">
              <wp:wrapPolygon edited="0">
                <wp:start x="0" y="0"/>
                <wp:lineTo x="0" y="21449"/>
                <wp:lineTo x="21560" y="21449"/>
                <wp:lineTo x="21560" y="0"/>
                <wp:lineTo x="0" y="0"/>
              </wp:wrapPolygon>
            </wp:wrapTight>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pic:nvPicPr>
                  <pic:blipFill rotWithShape="1">
                    <a:blip r:embed="rId13">
                      <a:extLst>
                        <a:ext uri="{28A0092B-C50C-407E-A947-70E740481C1C}">
                          <a14:useLocalDpi xmlns:a14="http://schemas.microsoft.com/office/drawing/2010/main" val="0"/>
                        </a:ext>
                      </a:extLst>
                    </a:blip>
                    <a:srcRect l="22602" t="29939" r="23333" b="19046"/>
                    <a:stretch/>
                  </pic:blipFill>
                  <pic:spPr bwMode="auto">
                    <a:xfrm>
                      <a:off x="0" y="0"/>
                      <a:ext cx="5496560" cy="2915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657C6">
        <w:rPr>
          <w:noProof/>
        </w:rPr>
        <w:drawing>
          <wp:anchor distT="0" distB="0" distL="114300" distR="114300" simplePos="0" relativeHeight="251666432" behindDoc="1" locked="0" layoutInCell="1" allowOverlap="1" wp14:anchorId="2685A78D" wp14:editId="670D4873">
            <wp:simplePos x="0" y="0"/>
            <wp:positionH relativeFrom="margin">
              <wp:posOffset>148590</wp:posOffset>
            </wp:positionH>
            <wp:positionV relativeFrom="paragraph">
              <wp:posOffset>3335020</wp:posOffset>
            </wp:positionV>
            <wp:extent cx="5696585" cy="515620"/>
            <wp:effectExtent l="0" t="0" r="0" b="0"/>
            <wp:wrapTight wrapText="bothSides">
              <wp:wrapPolygon edited="0">
                <wp:start x="0" y="0"/>
                <wp:lineTo x="0" y="20749"/>
                <wp:lineTo x="21525" y="20749"/>
                <wp:lineTo x="21525" y="0"/>
                <wp:lineTo x="0" y="0"/>
              </wp:wrapPolygon>
            </wp:wrapTight>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rotWithShape="1">
                    <a:blip r:embed="rId14">
                      <a:extLst>
                        <a:ext uri="{28A0092B-C50C-407E-A947-70E740481C1C}">
                          <a14:useLocalDpi xmlns:a14="http://schemas.microsoft.com/office/drawing/2010/main" val="0"/>
                        </a:ext>
                      </a:extLst>
                    </a:blip>
                    <a:srcRect l="22891" t="63968" r="26102" b="27814"/>
                    <a:stretch/>
                  </pic:blipFill>
                  <pic:spPr bwMode="auto">
                    <a:xfrm>
                      <a:off x="0" y="0"/>
                      <a:ext cx="5696585" cy="515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43775818" wp14:editId="04B33BD2">
            <wp:simplePos x="0" y="0"/>
            <wp:positionH relativeFrom="margin">
              <wp:posOffset>114300</wp:posOffset>
            </wp:positionH>
            <wp:positionV relativeFrom="paragraph">
              <wp:posOffset>0</wp:posOffset>
            </wp:positionV>
            <wp:extent cx="5734050" cy="3354070"/>
            <wp:effectExtent l="0" t="0" r="0" b="0"/>
            <wp:wrapTight wrapText="bothSides">
              <wp:wrapPolygon edited="0">
                <wp:start x="0" y="0"/>
                <wp:lineTo x="0" y="21469"/>
                <wp:lineTo x="21528" y="21469"/>
                <wp:lineTo x="21528" y="0"/>
                <wp:lineTo x="0" y="0"/>
              </wp:wrapPolygon>
            </wp:wrapTight>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15">
                      <a:extLst>
                        <a:ext uri="{28A0092B-C50C-407E-A947-70E740481C1C}">
                          <a14:useLocalDpi xmlns:a14="http://schemas.microsoft.com/office/drawing/2010/main" val="0"/>
                        </a:ext>
                      </a:extLst>
                    </a:blip>
                    <a:srcRect l="22490" t="30924" r="25992" b="15501"/>
                    <a:stretch/>
                  </pic:blipFill>
                  <pic:spPr bwMode="auto">
                    <a:xfrm>
                      <a:off x="0" y="0"/>
                      <a:ext cx="5734050" cy="3354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10634B" w14:textId="6A27EF27" w:rsidR="000C0328" w:rsidRDefault="000C0328" w:rsidP="069DB242">
      <w:pPr>
        <w:rPr>
          <w:noProof/>
        </w:rPr>
      </w:pPr>
    </w:p>
    <w:p w14:paraId="1C58314D" w14:textId="61190CE4" w:rsidR="00195832" w:rsidRPr="000C0328" w:rsidRDefault="00195832" w:rsidP="069DB242">
      <w:pPr>
        <w:rPr>
          <w:noProof/>
        </w:rPr>
      </w:pPr>
      <w:r w:rsidRPr="007603EF">
        <w:rPr>
          <w:sz w:val="24"/>
          <w:szCs w:val="24"/>
          <w:u w:val="single"/>
        </w:rPr>
        <w:lastRenderedPageBreak/>
        <w:t>Cyfeirnodau</w:t>
      </w:r>
    </w:p>
    <w:p w14:paraId="4CE9375B" w14:textId="333B43AB" w:rsidR="007603EF" w:rsidRDefault="007603EF" w:rsidP="007603EF">
      <w:r>
        <w:t xml:space="preserve">Clarke. S, </w:t>
      </w:r>
      <w:r w:rsidRPr="007603EF">
        <w:rPr>
          <w:i/>
          <w:iCs/>
        </w:rPr>
        <w:t>Research.org,</w:t>
      </w:r>
      <w:r>
        <w:t xml:space="preserve"> Cyrchwyd: 02.01.23</w:t>
      </w:r>
    </w:p>
    <w:p w14:paraId="0CA9442C" w14:textId="786BB0E0" w:rsidR="007603EF" w:rsidRDefault="006474E1" w:rsidP="007603EF">
      <w:pPr>
        <w:rPr>
          <w:rStyle w:val="Hyperlink"/>
        </w:rPr>
      </w:pPr>
      <w:hyperlink r:id="rId16" w:history="1">
        <w:r w:rsidR="007603EF">
          <w:rPr>
            <w:rStyle w:val="Hyperlink"/>
          </w:rPr>
          <w:t>Formative Assessment: a summary - Shirley Clarke Me</w:t>
        </w:r>
        <w:r w:rsidR="00BF6D58" w:rsidRPr="00BF6D58">
          <w:rPr>
            <w:noProof/>
          </w:rPr>
          <w:t xml:space="preserve"> </w:t>
        </w:r>
        <w:r w:rsidR="007603EF">
          <w:rPr>
            <w:rStyle w:val="Hyperlink"/>
          </w:rPr>
          <w:t>dia Ltd. (shirleyclarke-education.org)</w:t>
        </w:r>
      </w:hyperlink>
      <w:r w:rsidR="007603EF">
        <w:rPr>
          <w:rStyle w:val="Hyperlink"/>
        </w:rPr>
        <w:t xml:space="preserve">      </w:t>
      </w:r>
    </w:p>
    <w:p w14:paraId="401988B4" w14:textId="66A57EFC" w:rsidR="007603EF" w:rsidRDefault="007603EF" w:rsidP="007603EF">
      <w:pPr>
        <w:rPr>
          <w:rStyle w:val="Hyperlink"/>
          <w:color w:val="auto"/>
          <w:u w:val="none"/>
        </w:rPr>
      </w:pPr>
      <w:r w:rsidRPr="007603EF">
        <w:rPr>
          <w:rStyle w:val="Hyperlink"/>
          <w:color w:val="auto"/>
          <w:u w:val="none"/>
        </w:rPr>
        <w:t>Donaldson. G</w:t>
      </w:r>
      <w:r>
        <w:rPr>
          <w:rStyle w:val="Hyperlink"/>
          <w:color w:val="auto"/>
          <w:u w:val="none"/>
        </w:rPr>
        <w:t xml:space="preserve">, Cyhoedded: Chwefror 2017. </w:t>
      </w:r>
      <w:r w:rsidRPr="007603EF">
        <w:rPr>
          <w:rStyle w:val="Hyperlink"/>
          <w:i/>
          <w:iCs/>
          <w:color w:val="auto"/>
          <w:u w:val="none"/>
        </w:rPr>
        <w:t>Llywodraeth Cymru,</w:t>
      </w:r>
      <w:r>
        <w:rPr>
          <w:rStyle w:val="Hyperlink"/>
          <w:color w:val="auto"/>
          <w:u w:val="none"/>
        </w:rPr>
        <w:t xml:space="preserve"> Cyrchwyd 16.12.22</w:t>
      </w:r>
      <w:r w:rsidRPr="007603EF">
        <w:rPr>
          <w:rStyle w:val="Hyperlink"/>
          <w:color w:val="auto"/>
          <w:u w:val="none"/>
        </w:rPr>
        <w:t xml:space="preserve">    </w:t>
      </w:r>
    </w:p>
    <w:p w14:paraId="7A0F99F9" w14:textId="000A477F" w:rsidR="007603EF" w:rsidRDefault="006474E1" w:rsidP="007603EF">
      <w:pPr>
        <w:rPr>
          <w:rStyle w:val="Hyperlink"/>
          <w:u w:val="none"/>
        </w:rPr>
      </w:pPr>
      <w:hyperlink r:id="rId17" w:history="1">
        <w:r w:rsidR="007603EF">
          <w:rPr>
            <w:rStyle w:val="Hyperlink"/>
          </w:rPr>
          <w:t>dyfodol-llwyddiannus.pdf (llyw.cymru)</w:t>
        </w:r>
      </w:hyperlink>
      <w:r w:rsidR="007603EF">
        <w:rPr>
          <w:rStyle w:val="Hyperlink"/>
        </w:rPr>
        <w:t xml:space="preserve"> </w:t>
      </w:r>
      <w:r w:rsidR="007603EF" w:rsidRPr="003F2333">
        <w:rPr>
          <w:rStyle w:val="Hyperlink"/>
          <w:u w:val="none"/>
        </w:rPr>
        <w:t xml:space="preserve"> </w:t>
      </w:r>
    </w:p>
    <w:p w14:paraId="15615A89" w14:textId="5E4E88E2" w:rsidR="007603EF" w:rsidRDefault="007603EF" w:rsidP="007603EF">
      <w:r>
        <w:t xml:space="preserve">Estyn, Cyhoedded: Hydref 2022. </w:t>
      </w:r>
      <w:r w:rsidRPr="007603EF">
        <w:rPr>
          <w:i/>
          <w:iCs/>
        </w:rPr>
        <w:t>Llywodraeth Cymru,</w:t>
      </w:r>
      <w:r>
        <w:t xml:space="preserve"> Cyrchwyd 06.01.23</w:t>
      </w:r>
    </w:p>
    <w:p w14:paraId="6A032B33" w14:textId="40EB13BF" w:rsidR="007603EF" w:rsidRPr="007603EF" w:rsidRDefault="006474E1" w:rsidP="007603EF">
      <w:hyperlink r:id="rId18" w:anchor="section-107821" w:history="1">
        <w:r w:rsidR="007603EF">
          <w:rPr>
            <w:rStyle w:val="Hyperlink"/>
          </w:rPr>
          <w:t>Effective approaches to assessment that improve teaching and learning [HTML] | GOV.WALES</w:t>
        </w:r>
      </w:hyperlink>
      <w:r w:rsidR="007603EF">
        <w:t xml:space="preserve"> </w:t>
      </w:r>
      <w:r w:rsidR="007603EF" w:rsidRPr="003F2333">
        <w:rPr>
          <w:rStyle w:val="Hyperlink"/>
          <w:u w:val="none"/>
        </w:rPr>
        <w:t xml:space="preserve">     </w:t>
      </w:r>
    </w:p>
    <w:p w14:paraId="62FD2323" w14:textId="0542D42B" w:rsidR="007603EF" w:rsidRDefault="007603EF" w:rsidP="007603EF">
      <w:r>
        <w:t>Grwp Diwygio Asesu, Cyhoedded: 2002. Cyrchwyd: 17.12.22</w:t>
      </w:r>
    </w:p>
    <w:p w14:paraId="332AEC7E" w14:textId="3BEB1DF9" w:rsidR="007603EF" w:rsidRDefault="006474E1" w:rsidP="007603EF">
      <w:pPr>
        <w:rPr>
          <w:rStyle w:val="Hyperlink"/>
        </w:rPr>
      </w:pPr>
      <w:hyperlink r:id="rId19" w:history="1">
        <w:r w:rsidR="007603EF">
          <w:rPr>
            <w:rStyle w:val="Hyperlink"/>
          </w:rPr>
          <w:t>AagD - 10 egwyddor (1).pdf</w:t>
        </w:r>
      </w:hyperlink>
    </w:p>
    <w:p w14:paraId="7938FD60" w14:textId="098ED774" w:rsidR="00B73DA4" w:rsidRDefault="00B73DA4" w:rsidP="007603EF">
      <w:r>
        <w:t xml:space="preserve">Dabell.J, Cyhoedded: 2018. </w:t>
      </w:r>
      <w:r w:rsidRPr="00B73DA4">
        <w:rPr>
          <w:i/>
          <w:iCs/>
        </w:rPr>
        <w:t>Teacher Toolkit,</w:t>
      </w:r>
      <w:r>
        <w:t xml:space="preserve"> Cyrchwyd: 06.01.23</w:t>
      </w:r>
    </w:p>
    <w:p w14:paraId="27099BA5" w14:textId="2F6CBA6F" w:rsidR="00B73DA4" w:rsidRDefault="006474E1" w:rsidP="007603EF">
      <w:hyperlink r:id="rId20" w:history="1">
        <w:r w:rsidR="00B73DA4">
          <w:rPr>
            <w:rStyle w:val="Hyperlink"/>
          </w:rPr>
          <w:t>Educational Fad: Lollipop Sticks (teachertoolkit.co.uk)</w:t>
        </w:r>
      </w:hyperlink>
    </w:p>
    <w:p w14:paraId="666544D4" w14:textId="1DCB9B18" w:rsidR="00B73DA4" w:rsidRDefault="00B73DA4" w:rsidP="007603EF">
      <w:r>
        <w:t>Llywodraeth Cymru, Cyhoedded: Ionawr 2020. Cyrchwyd: 17.12.22</w:t>
      </w:r>
    </w:p>
    <w:p w14:paraId="45E9B04D" w14:textId="413D43F7" w:rsidR="00B73DA4" w:rsidRDefault="006474E1" w:rsidP="007603EF">
      <w:pPr>
        <w:rPr>
          <w:rStyle w:val="Hyperlink"/>
        </w:rPr>
      </w:pPr>
      <w:hyperlink r:id="rId21" w:history="1">
        <w:r w:rsidR="00B73DA4">
          <w:rPr>
            <w:rStyle w:val="Hyperlink"/>
          </w:rPr>
          <w:t>Cwricwlwm i Gymru - Hwb (gov.wales)</w:t>
        </w:r>
      </w:hyperlink>
    </w:p>
    <w:p w14:paraId="08838793" w14:textId="77777777" w:rsidR="007603EF" w:rsidRPr="007603EF" w:rsidRDefault="007603EF" w:rsidP="007603EF">
      <w:r w:rsidRPr="007603EF">
        <w:rPr>
          <w:rFonts w:ascii="Calibri" w:hAnsi="Calibri" w:cs="Calibri"/>
          <w:bCs/>
          <w:color w:val="1F1F1F"/>
          <w:spacing w:val="-10"/>
          <w:kern w:val="36"/>
          <w:lang w:eastAsia="en-GB"/>
        </w:rPr>
        <w:t xml:space="preserve">Llywodraeth Cynulliad Cymru, Cyhoedded: 2010. </w:t>
      </w:r>
      <w:r w:rsidRPr="007603EF">
        <w:rPr>
          <w:rStyle w:val="Hyperlink"/>
          <w:i/>
          <w:iCs/>
          <w:color w:val="auto"/>
          <w:u w:val="none"/>
        </w:rPr>
        <w:t>Llywodraeth Cymru,</w:t>
      </w:r>
      <w:r w:rsidRPr="007603EF">
        <w:rPr>
          <w:rStyle w:val="Hyperlink"/>
          <w:color w:val="auto"/>
          <w:u w:val="none"/>
        </w:rPr>
        <w:t xml:space="preserve"> Cyrchwyd: 02.01.23 </w:t>
      </w:r>
    </w:p>
    <w:p w14:paraId="38F4B518" w14:textId="77777777" w:rsidR="007603EF" w:rsidRPr="007603EF" w:rsidRDefault="006474E1" w:rsidP="007603EF">
      <w:pPr>
        <w:rPr>
          <w:rStyle w:val="Hyperlink"/>
          <w:u w:val="none"/>
        </w:rPr>
      </w:pPr>
      <w:hyperlink r:id="rId22" w:history="1">
        <w:r w:rsidR="007603EF" w:rsidRPr="007603EF">
          <w:rPr>
            <w:rStyle w:val="Hyperlink"/>
          </w:rPr>
          <w:t>untitled (gov.wales)</w:t>
        </w:r>
      </w:hyperlink>
      <w:r w:rsidR="007603EF" w:rsidRPr="007603EF">
        <w:rPr>
          <w:rStyle w:val="Hyperlink"/>
        </w:rPr>
        <w:t xml:space="preserve">  </w:t>
      </w:r>
      <w:r w:rsidR="007603EF" w:rsidRPr="007603EF">
        <w:rPr>
          <w:rStyle w:val="Hyperlink"/>
          <w:u w:val="none"/>
        </w:rPr>
        <w:t xml:space="preserve">        </w:t>
      </w:r>
    </w:p>
    <w:p w14:paraId="34A94E8A" w14:textId="050F7544" w:rsidR="007603EF" w:rsidRDefault="007603EF" w:rsidP="007603EF">
      <w:r w:rsidRPr="007603EF">
        <w:rPr>
          <w:i/>
          <w:iCs/>
        </w:rPr>
        <w:t>Plymouth University</w:t>
      </w:r>
      <w:r>
        <w:t>, Cyrchwyd: 17.12.22</w:t>
      </w:r>
    </w:p>
    <w:p w14:paraId="2894E1FF" w14:textId="72AEBD83" w:rsidR="007603EF" w:rsidRDefault="006474E1" w:rsidP="007603EF">
      <w:hyperlink r:id="rId23" w:history="1">
        <w:r w:rsidR="007603EF">
          <w:rPr>
            <w:rStyle w:val="Hyperlink"/>
          </w:rPr>
          <w:t>Signals | Formative Assessment (plymouth.k12.in.us)</w:t>
        </w:r>
      </w:hyperlink>
    </w:p>
    <w:p w14:paraId="3BFF9B9A" w14:textId="389B517A" w:rsidR="007603EF" w:rsidRDefault="007603EF" w:rsidP="007603EF">
      <w:r>
        <w:t xml:space="preserve">Sadler. D, Cyhoedded: Ionawr 1998. </w:t>
      </w:r>
      <w:r w:rsidRPr="007603EF">
        <w:rPr>
          <w:i/>
          <w:iCs/>
        </w:rPr>
        <w:t>Reserach Gate</w:t>
      </w:r>
      <w:r>
        <w:t>, Cyrchwyd: 18.12.22</w:t>
      </w:r>
    </w:p>
    <w:p w14:paraId="42605E5F" w14:textId="50BC900A" w:rsidR="007603EF" w:rsidRDefault="006474E1" w:rsidP="007603EF">
      <w:pPr>
        <w:rPr>
          <w:rStyle w:val="Hyperlink"/>
        </w:rPr>
      </w:pPr>
      <w:hyperlink r:id="rId24" w:history="1">
        <w:r w:rsidR="007603EF">
          <w:rPr>
            <w:rStyle w:val="Hyperlink"/>
          </w:rPr>
          <w:t>SadlerDRLettingstudentsintothesecret1998pdf.pdf</w:t>
        </w:r>
      </w:hyperlink>
    </w:p>
    <w:p w14:paraId="1DB1388F" w14:textId="77777777" w:rsidR="007603EF" w:rsidRDefault="007603EF" w:rsidP="007603EF">
      <w:r>
        <w:t xml:space="preserve">Steele. A, </w:t>
      </w:r>
      <w:r w:rsidRPr="007603EF">
        <w:t>Cyhoedded: Gorffennaf 2019.</w:t>
      </w:r>
      <w:r>
        <w:rPr>
          <w:i/>
          <w:iCs/>
        </w:rPr>
        <w:t xml:space="preserve"> </w:t>
      </w:r>
      <w:r w:rsidRPr="007603EF">
        <w:rPr>
          <w:i/>
          <w:iCs/>
        </w:rPr>
        <w:t>Cambridge.org,</w:t>
      </w:r>
      <w:r>
        <w:t xml:space="preserve"> Cyrchwyd: 06.01.23</w:t>
      </w:r>
    </w:p>
    <w:p w14:paraId="32D386EA" w14:textId="77777777" w:rsidR="007603EF" w:rsidRPr="003F2333" w:rsidRDefault="006474E1" w:rsidP="007603EF">
      <w:pPr>
        <w:rPr>
          <w:rStyle w:val="Hyperlink"/>
          <w:u w:val="none"/>
        </w:rPr>
      </w:pPr>
      <w:hyperlink r:id="rId25" w:history="1">
        <w:r w:rsidR="007603EF">
          <w:rPr>
            <w:rStyle w:val="Hyperlink"/>
          </w:rPr>
          <w:t>What is assessment for learning and what are the benefits | Cambridge</w:t>
        </w:r>
      </w:hyperlink>
      <w:bookmarkStart w:id="0" w:name="cysill"/>
      <w:bookmarkEnd w:id="0"/>
      <w:r w:rsidR="007603EF">
        <w:rPr>
          <w:rStyle w:val="Hyperlink"/>
        </w:rPr>
        <w:t xml:space="preserve">  </w:t>
      </w:r>
      <w:r w:rsidR="007603EF" w:rsidRPr="003F2333">
        <w:rPr>
          <w:rStyle w:val="Hyperlink"/>
          <w:u w:val="none"/>
        </w:rPr>
        <w:t xml:space="preserve">     </w:t>
      </w:r>
    </w:p>
    <w:p w14:paraId="4E9323E3" w14:textId="578FE7FB" w:rsidR="007603EF" w:rsidRDefault="007603EF" w:rsidP="00BE443F">
      <w:r>
        <w:t>Williams. K, C</w:t>
      </w:r>
      <w:r w:rsidRPr="007603EF">
        <w:t>yhoedded</w:t>
      </w:r>
      <w:r>
        <w:t xml:space="preserve">: 2017. </w:t>
      </w:r>
      <w:r w:rsidRPr="007603EF">
        <w:rPr>
          <w:i/>
          <w:iCs/>
        </w:rPr>
        <w:t>Llywodraeth Cymru</w:t>
      </w:r>
      <w:r>
        <w:t>, Cyrchwyd: 17.12.22</w:t>
      </w:r>
    </w:p>
    <w:p w14:paraId="347D58E5" w14:textId="048CC6DA" w:rsidR="00195832" w:rsidRDefault="006474E1" w:rsidP="00BE443F">
      <w:pPr>
        <w:rPr>
          <w:rStyle w:val="Hyperlink"/>
        </w:rPr>
      </w:pPr>
      <w:hyperlink r:id="rId26" w:history="1">
        <w:r w:rsidR="00195832">
          <w:rPr>
            <w:rStyle w:val="Hyperlink"/>
          </w:rPr>
          <w:t>Datganiad Ysgrifenedig - Asesu ar gyfer Dysgu (17 Gorffennaf 2017) | LLYW.CYMRU</w:t>
        </w:r>
      </w:hyperlink>
    </w:p>
    <w:p w14:paraId="27B55058" w14:textId="77777777" w:rsidR="002710E6" w:rsidRDefault="002710E6" w:rsidP="00BE443F">
      <w:pPr>
        <w:rPr>
          <w:rStyle w:val="Hyperlink"/>
        </w:rPr>
      </w:pPr>
    </w:p>
    <w:p w14:paraId="688A6D2E" w14:textId="51DC4113" w:rsidR="0029139D" w:rsidRPr="0029139D" w:rsidRDefault="0029139D" w:rsidP="00BE443F">
      <w:pPr>
        <w:rPr>
          <w:color w:val="FF0000"/>
        </w:rPr>
      </w:pPr>
    </w:p>
    <w:sectPr w:rsidR="0029139D" w:rsidRPr="00291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71FDD"/>
    <w:multiLevelType w:val="hybridMultilevel"/>
    <w:tmpl w:val="0B506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5563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43F"/>
    <w:rsid w:val="00014BAF"/>
    <w:rsid w:val="0002158B"/>
    <w:rsid w:val="000275AE"/>
    <w:rsid w:val="00034467"/>
    <w:rsid w:val="000421CA"/>
    <w:rsid w:val="000437D0"/>
    <w:rsid w:val="000506BD"/>
    <w:rsid w:val="0005205F"/>
    <w:rsid w:val="00073825"/>
    <w:rsid w:val="00076052"/>
    <w:rsid w:val="00092D95"/>
    <w:rsid w:val="000A0D95"/>
    <w:rsid w:val="000A6213"/>
    <w:rsid w:val="000B0E2A"/>
    <w:rsid w:val="000B42B6"/>
    <w:rsid w:val="000B44FA"/>
    <w:rsid w:val="000B52F8"/>
    <w:rsid w:val="000B6EFC"/>
    <w:rsid w:val="000C0328"/>
    <w:rsid w:val="000C75D5"/>
    <w:rsid w:val="000D221C"/>
    <w:rsid w:val="000D410C"/>
    <w:rsid w:val="000D524D"/>
    <w:rsid w:val="000E1D84"/>
    <w:rsid w:val="000E2070"/>
    <w:rsid w:val="000E61C1"/>
    <w:rsid w:val="000E62CA"/>
    <w:rsid w:val="000F08A3"/>
    <w:rsid w:val="000F46BC"/>
    <w:rsid w:val="000F7635"/>
    <w:rsid w:val="001012C0"/>
    <w:rsid w:val="0010391D"/>
    <w:rsid w:val="00121783"/>
    <w:rsid w:val="00121B7B"/>
    <w:rsid w:val="00126AF8"/>
    <w:rsid w:val="00132BE6"/>
    <w:rsid w:val="0015551B"/>
    <w:rsid w:val="00156E69"/>
    <w:rsid w:val="00176D2A"/>
    <w:rsid w:val="0017789A"/>
    <w:rsid w:val="00186509"/>
    <w:rsid w:val="00186F5A"/>
    <w:rsid w:val="00192E13"/>
    <w:rsid w:val="00195832"/>
    <w:rsid w:val="0019778C"/>
    <w:rsid w:val="001A0361"/>
    <w:rsid w:val="001A117C"/>
    <w:rsid w:val="001A2F84"/>
    <w:rsid w:val="001B0107"/>
    <w:rsid w:val="001B4B96"/>
    <w:rsid w:val="001C7710"/>
    <w:rsid w:val="001C7FAC"/>
    <w:rsid w:val="001D1992"/>
    <w:rsid w:val="001D4D83"/>
    <w:rsid w:val="001E44C3"/>
    <w:rsid w:val="001F2C1E"/>
    <w:rsid w:val="00201FEC"/>
    <w:rsid w:val="00202B4C"/>
    <w:rsid w:val="002219ED"/>
    <w:rsid w:val="0022732F"/>
    <w:rsid w:val="0024148C"/>
    <w:rsid w:val="00242626"/>
    <w:rsid w:val="00247E34"/>
    <w:rsid w:val="002500DB"/>
    <w:rsid w:val="00260E75"/>
    <w:rsid w:val="002710E6"/>
    <w:rsid w:val="00282806"/>
    <w:rsid w:val="002862AA"/>
    <w:rsid w:val="0029139D"/>
    <w:rsid w:val="00292228"/>
    <w:rsid w:val="002924DE"/>
    <w:rsid w:val="00296879"/>
    <w:rsid w:val="002A1ABB"/>
    <w:rsid w:val="002A464C"/>
    <w:rsid w:val="002B02F1"/>
    <w:rsid w:val="002B1C90"/>
    <w:rsid w:val="002C1FC1"/>
    <w:rsid w:val="002F02E6"/>
    <w:rsid w:val="00306302"/>
    <w:rsid w:val="003101E3"/>
    <w:rsid w:val="00322097"/>
    <w:rsid w:val="00325B71"/>
    <w:rsid w:val="0033478D"/>
    <w:rsid w:val="003352CE"/>
    <w:rsid w:val="00342B83"/>
    <w:rsid w:val="00342D19"/>
    <w:rsid w:val="00343BA1"/>
    <w:rsid w:val="0036587D"/>
    <w:rsid w:val="00366375"/>
    <w:rsid w:val="0037744C"/>
    <w:rsid w:val="00380FD3"/>
    <w:rsid w:val="0038142F"/>
    <w:rsid w:val="003834A1"/>
    <w:rsid w:val="003922C4"/>
    <w:rsid w:val="00396E57"/>
    <w:rsid w:val="00397B84"/>
    <w:rsid w:val="003A0C60"/>
    <w:rsid w:val="003B4BB7"/>
    <w:rsid w:val="003C1145"/>
    <w:rsid w:val="003D57BA"/>
    <w:rsid w:val="003D674A"/>
    <w:rsid w:val="003E2247"/>
    <w:rsid w:val="003E4583"/>
    <w:rsid w:val="003F11BE"/>
    <w:rsid w:val="003F1CA0"/>
    <w:rsid w:val="003F2333"/>
    <w:rsid w:val="003F2D10"/>
    <w:rsid w:val="003F335C"/>
    <w:rsid w:val="003F4875"/>
    <w:rsid w:val="00402C2F"/>
    <w:rsid w:val="00404B8F"/>
    <w:rsid w:val="004057B3"/>
    <w:rsid w:val="00405EBD"/>
    <w:rsid w:val="00417FEC"/>
    <w:rsid w:val="00420458"/>
    <w:rsid w:val="00430460"/>
    <w:rsid w:val="0043287F"/>
    <w:rsid w:val="004343C5"/>
    <w:rsid w:val="0044448D"/>
    <w:rsid w:val="00447F6E"/>
    <w:rsid w:val="004518F9"/>
    <w:rsid w:val="00452607"/>
    <w:rsid w:val="004528E3"/>
    <w:rsid w:val="00460629"/>
    <w:rsid w:val="0046173B"/>
    <w:rsid w:val="0046324D"/>
    <w:rsid w:val="004662F5"/>
    <w:rsid w:val="0047161D"/>
    <w:rsid w:val="00472D3D"/>
    <w:rsid w:val="00475095"/>
    <w:rsid w:val="00496326"/>
    <w:rsid w:val="004967B5"/>
    <w:rsid w:val="004A1D1B"/>
    <w:rsid w:val="004A4C2D"/>
    <w:rsid w:val="004B3F1F"/>
    <w:rsid w:val="004C501D"/>
    <w:rsid w:val="004D080F"/>
    <w:rsid w:val="004D32AC"/>
    <w:rsid w:val="004E0414"/>
    <w:rsid w:val="004E16A3"/>
    <w:rsid w:val="004E77A0"/>
    <w:rsid w:val="004F2ED4"/>
    <w:rsid w:val="004F5DFB"/>
    <w:rsid w:val="00504424"/>
    <w:rsid w:val="005055EC"/>
    <w:rsid w:val="00512C44"/>
    <w:rsid w:val="0051687C"/>
    <w:rsid w:val="00523AA4"/>
    <w:rsid w:val="00535D85"/>
    <w:rsid w:val="00566033"/>
    <w:rsid w:val="00572EFA"/>
    <w:rsid w:val="0058045A"/>
    <w:rsid w:val="0059115C"/>
    <w:rsid w:val="00595CF1"/>
    <w:rsid w:val="005C15C6"/>
    <w:rsid w:val="005D25D9"/>
    <w:rsid w:val="005D4F84"/>
    <w:rsid w:val="005D6C03"/>
    <w:rsid w:val="005E0560"/>
    <w:rsid w:val="005E681E"/>
    <w:rsid w:val="005F0679"/>
    <w:rsid w:val="005F7CB1"/>
    <w:rsid w:val="00620DED"/>
    <w:rsid w:val="00623D76"/>
    <w:rsid w:val="006255D9"/>
    <w:rsid w:val="00635272"/>
    <w:rsid w:val="0064130C"/>
    <w:rsid w:val="006474E1"/>
    <w:rsid w:val="006509CA"/>
    <w:rsid w:val="00654410"/>
    <w:rsid w:val="00661A28"/>
    <w:rsid w:val="00670107"/>
    <w:rsid w:val="006854B4"/>
    <w:rsid w:val="00694B62"/>
    <w:rsid w:val="006A2398"/>
    <w:rsid w:val="006A5187"/>
    <w:rsid w:val="006B1DFE"/>
    <w:rsid w:val="006B21BF"/>
    <w:rsid w:val="006B3A02"/>
    <w:rsid w:val="006B4410"/>
    <w:rsid w:val="006C6F7B"/>
    <w:rsid w:val="006D26C5"/>
    <w:rsid w:val="006D3B5D"/>
    <w:rsid w:val="006D6B24"/>
    <w:rsid w:val="006D6DBD"/>
    <w:rsid w:val="006E1C2D"/>
    <w:rsid w:val="006E39F0"/>
    <w:rsid w:val="006E3B6E"/>
    <w:rsid w:val="006F0647"/>
    <w:rsid w:val="006F29E9"/>
    <w:rsid w:val="00706ACE"/>
    <w:rsid w:val="00715C8C"/>
    <w:rsid w:val="00722943"/>
    <w:rsid w:val="007256C6"/>
    <w:rsid w:val="0073407E"/>
    <w:rsid w:val="00736B73"/>
    <w:rsid w:val="00740B00"/>
    <w:rsid w:val="00750F9B"/>
    <w:rsid w:val="0075139B"/>
    <w:rsid w:val="007552AD"/>
    <w:rsid w:val="00756BDD"/>
    <w:rsid w:val="007603EF"/>
    <w:rsid w:val="0076118C"/>
    <w:rsid w:val="00765187"/>
    <w:rsid w:val="0077031D"/>
    <w:rsid w:val="007723B9"/>
    <w:rsid w:val="007766F9"/>
    <w:rsid w:val="00777CC0"/>
    <w:rsid w:val="00794707"/>
    <w:rsid w:val="007A7364"/>
    <w:rsid w:val="007D1782"/>
    <w:rsid w:val="007E57A8"/>
    <w:rsid w:val="007E7EA1"/>
    <w:rsid w:val="00805649"/>
    <w:rsid w:val="00814E69"/>
    <w:rsid w:val="00817F7E"/>
    <w:rsid w:val="00825676"/>
    <w:rsid w:val="00832CC4"/>
    <w:rsid w:val="00854938"/>
    <w:rsid w:val="00863189"/>
    <w:rsid w:val="00873CFB"/>
    <w:rsid w:val="0088749B"/>
    <w:rsid w:val="00894E65"/>
    <w:rsid w:val="008955C0"/>
    <w:rsid w:val="008B4736"/>
    <w:rsid w:val="008C294B"/>
    <w:rsid w:val="008D08A7"/>
    <w:rsid w:val="008D6DD8"/>
    <w:rsid w:val="008D78DA"/>
    <w:rsid w:val="008D790B"/>
    <w:rsid w:val="008E3881"/>
    <w:rsid w:val="008F7988"/>
    <w:rsid w:val="00900A15"/>
    <w:rsid w:val="00900A1E"/>
    <w:rsid w:val="009121D7"/>
    <w:rsid w:val="00914311"/>
    <w:rsid w:val="00916C02"/>
    <w:rsid w:val="00925920"/>
    <w:rsid w:val="0092744E"/>
    <w:rsid w:val="0092795D"/>
    <w:rsid w:val="009316AC"/>
    <w:rsid w:val="00932359"/>
    <w:rsid w:val="00937511"/>
    <w:rsid w:val="00937C1A"/>
    <w:rsid w:val="00945DDA"/>
    <w:rsid w:val="009470D1"/>
    <w:rsid w:val="009659A8"/>
    <w:rsid w:val="00967C6B"/>
    <w:rsid w:val="009820ED"/>
    <w:rsid w:val="009871B0"/>
    <w:rsid w:val="009913D9"/>
    <w:rsid w:val="0099467B"/>
    <w:rsid w:val="009969E1"/>
    <w:rsid w:val="0099703E"/>
    <w:rsid w:val="009A06DE"/>
    <w:rsid w:val="009B1851"/>
    <w:rsid w:val="009B4C73"/>
    <w:rsid w:val="009B5B1B"/>
    <w:rsid w:val="009B77B5"/>
    <w:rsid w:val="009C184F"/>
    <w:rsid w:val="009C1AE2"/>
    <w:rsid w:val="009C25BB"/>
    <w:rsid w:val="009C2A65"/>
    <w:rsid w:val="009D3FB6"/>
    <w:rsid w:val="009D5A9A"/>
    <w:rsid w:val="009E32B3"/>
    <w:rsid w:val="009F04BF"/>
    <w:rsid w:val="009F23ED"/>
    <w:rsid w:val="00A10445"/>
    <w:rsid w:val="00A170AE"/>
    <w:rsid w:val="00A17C2F"/>
    <w:rsid w:val="00A32D65"/>
    <w:rsid w:val="00A3605C"/>
    <w:rsid w:val="00A367C0"/>
    <w:rsid w:val="00A417FF"/>
    <w:rsid w:val="00A51C90"/>
    <w:rsid w:val="00A568F4"/>
    <w:rsid w:val="00A73264"/>
    <w:rsid w:val="00A83B38"/>
    <w:rsid w:val="00A874A4"/>
    <w:rsid w:val="00A91BD6"/>
    <w:rsid w:val="00A94F1E"/>
    <w:rsid w:val="00AA39FE"/>
    <w:rsid w:val="00AA3A13"/>
    <w:rsid w:val="00AB13CE"/>
    <w:rsid w:val="00AC11F4"/>
    <w:rsid w:val="00AD24BC"/>
    <w:rsid w:val="00AF1D42"/>
    <w:rsid w:val="00B03864"/>
    <w:rsid w:val="00B10A52"/>
    <w:rsid w:val="00B20C57"/>
    <w:rsid w:val="00B22974"/>
    <w:rsid w:val="00B24718"/>
    <w:rsid w:val="00B253A0"/>
    <w:rsid w:val="00B32E18"/>
    <w:rsid w:val="00B33BA1"/>
    <w:rsid w:val="00B41F89"/>
    <w:rsid w:val="00B4431F"/>
    <w:rsid w:val="00B443AC"/>
    <w:rsid w:val="00B51FF5"/>
    <w:rsid w:val="00B60B80"/>
    <w:rsid w:val="00B657C6"/>
    <w:rsid w:val="00B65C0A"/>
    <w:rsid w:val="00B70B36"/>
    <w:rsid w:val="00B73DA4"/>
    <w:rsid w:val="00B8454D"/>
    <w:rsid w:val="00B85F79"/>
    <w:rsid w:val="00BB03CB"/>
    <w:rsid w:val="00BB52F6"/>
    <w:rsid w:val="00BC18A1"/>
    <w:rsid w:val="00BC3F39"/>
    <w:rsid w:val="00BC7768"/>
    <w:rsid w:val="00BE31F2"/>
    <w:rsid w:val="00BE3E8A"/>
    <w:rsid w:val="00BE443F"/>
    <w:rsid w:val="00BE4B64"/>
    <w:rsid w:val="00BE4BF5"/>
    <w:rsid w:val="00BF364E"/>
    <w:rsid w:val="00BF4A80"/>
    <w:rsid w:val="00BF6D58"/>
    <w:rsid w:val="00C11511"/>
    <w:rsid w:val="00C13BA0"/>
    <w:rsid w:val="00C16218"/>
    <w:rsid w:val="00C21581"/>
    <w:rsid w:val="00C2227A"/>
    <w:rsid w:val="00C25DB5"/>
    <w:rsid w:val="00C27472"/>
    <w:rsid w:val="00C43063"/>
    <w:rsid w:val="00C6137D"/>
    <w:rsid w:val="00CA5AA1"/>
    <w:rsid w:val="00CA761D"/>
    <w:rsid w:val="00CB10DF"/>
    <w:rsid w:val="00CB16C1"/>
    <w:rsid w:val="00CB2176"/>
    <w:rsid w:val="00CB4B2E"/>
    <w:rsid w:val="00CB537E"/>
    <w:rsid w:val="00CB735C"/>
    <w:rsid w:val="00CC073D"/>
    <w:rsid w:val="00CC0C47"/>
    <w:rsid w:val="00CC47CF"/>
    <w:rsid w:val="00CC5B03"/>
    <w:rsid w:val="00CD343C"/>
    <w:rsid w:val="00CD500C"/>
    <w:rsid w:val="00CE262D"/>
    <w:rsid w:val="00D06422"/>
    <w:rsid w:val="00D07115"/>
    <w:rsid w:val="00D13FC8"/>
    <w:rsid w:val="00D14B89"/>
    <w:rsid w:val="00D21444"/>
    <w:rsid w:val="00D244FF"/>
    <w:rsid w:val="00D36F8F"/>
    <w:rsid w:val="00D430C0"/>
    <w:rsid w:val="00D43440"/>
    <w:rsid w:val="00D53A4B"/>
    <w:rsid w:val="00D66B6E"/>
    <w:rsid w:val="00D808C4"/>
    <w:rsid w:val="00D812D6"/>
    <w:rsid w:val="00D84A72"/>
    <w:rsid w:val="00D93980"/>
    <w:rsid w:val="00D95626"/>
    <w:rsid w:val="00DB2793"/>
    <w:rsid w:val="00DD3068"/>
    <w:rsid w:val="00DD62E3"/>
    <w:rsid w:val="00DD7F74"/>
    <w:rsid w:val="00DE104C"/>
    <w:rsid w:val="00DE71F6"/>
    <w:rsid w:val="00DF0594"/>
    <w:rsid w:val="00DF51E3"/>
    <w:rsid w:val="00DF53B1"/>
    <w:rsid w:val="00DF6341"/>
    <w:rsid w:val="00DF64DD"/>
    <w:rsid w:val="00E02566"/>
    <w:rsid w:val="00E17405"/>
    <w:rsid w:val="00E209FD"/>
    <w:rsid w:val="00E2163A"/>
    <w:rsid w:val="00E22676"/>
    <w:rsid w:val="00E25DF6"/>
    <w:rsid w:val="00E360AE"/>
    <w:rsid w:val="00E40BE7"/>
    <w:rsid w:val="00E46974"/>
    <w:rsid w:val="00E47812"/>
    <w:rsid w:val="00E5634E"/>
    <w:rsid w:val="00E67C9E"/>
    <w:rsid w:val="00E7429C"/>
    <w:rsid w:val="00E76768"/>
    <w:rsid w:val="00E82938"/>
    <w:rsid w:val="00E84FD8"/>
    <w:rsid w:val="00E93813"/>
    <w:rsid w:val="00EA2E03"/>
    <w:rsid w:val="00EB47F8"/>
    <w:rsid w:val="00EB55E1"/>
    <w:rsid w:val="00EB6723"/>
    <w:rsid w:val="00EC2A33"/>
    <w:rsid w:val="00EC64DB"/>
    <w:rsid w:val="00ED5D0F"/>
    <w:rsid w:val="00EE0A0B"/>
    <w:rsid w:val="00EE6810"/>
    <w:rsid w:val="00F00B64"/>
    <w:rsid w:val="00F05124"/>
    <w:rsid w:val="00F05FCB"/>
    <w:rsid w:val="00F116C3"/>
    <w:rsid w:val="00F13E96"/>
    <w:rsid w:val="00F277E7"/>
    <w:rsid w:val="00F3613A"/>
    <w:rsid w:val="00F51ED8"/>
    <w:rsid w:val="00F6003B"/>
    <w:rsid w:val="00F60812"/>
    <w:rsid w:val="00F62F36"/>
    <w:rsid w:val="00F65256"/>
    <w:rsid w:val="00F73BE3"/>
    <w:rsid w:val="00F76856"/>
    <w:rsid w:val="00F77962"/>
    <w:rsid w:val="00F812BA"/>
    <w:rsid w:val="00F8559A"/>
    <w:rsid w:val="00F9292E"/>
    <w:rsid w:val="00F93996"/>
    <w:rsid w:val="00F95A0D"/>
    <w:rsid w:val="00FA0ADA"/>
    <w:rsid w:val="00FA5021"/>
    <w:rsid w:val="00FB280E"/>
    <w:rsid w:val="00FB3D71"/>
    <w:rsid w:val="00FB557F"/>
    <w:rsid w:val="00FC051E"/>
    <w:rsid w:val="00FC7F0F"/>
    <w:rsid w:val="00FE1E6E"/>
    <w:rsid w:val="00FE2975"/>
    <w:rsid w:val="010EB4D2"/>
    <w:rsid w:val="0318CC80"/>
    <w:rsid w:val="03C83BAB"/>
    <w:rsid w:val="03CC69DB"/>
    <w:rsid w:val="04CA1163"/>
    <w:rsid w:val="04FA272C"/>
    <w:rsid w:val="067876B2"/>
    <w:rsid w:val="069DB242"/>
    <w:rsid w:val="0BB5BAEB"/>
    <w:rsid w:val="0CAB3E0D"/>
    <w:rsid w:val="0CE9D423"/>
    <w:rsid w:val="0FB634B7"/>
    <w:rsid w:val="0FD243AC"/>
    <w:rsid w:val="1061D6B8"/>
    <w:rsid w:val="11E6479E"/>
    <w:rsid w:val="124BD684"/>
    <w:rsid w:val="131DDF86"/>
    <w:rsid w:val="1339696A"/>
    <w:rsid w:val="13867A21"/>
    <w:rsid w:val="14359B15"/>
    <w:rsid w:val="14D539CB"/>
    <w:rsid w:val="15A62C3D"/>
    <w:rsid w:val="1A91A59D"/>
    <w:rsid w:val="1AFDFB77"/>
    <w:rsid w:val="1C67D74E"/>
    <w:rsid w:val="1DD04009"/>
    <w:rsid w:val="2000F01F"/>
    <w:rsid w:val="20D53B05"/>
    <w:rsid w:val="20E39379"/>
    <w:rsid w:val="216D993D"/>
    <w:rsid w:val="241AC778"/>
    <w:rsid w:val="258CD38A"/>
    <w:rsid w:val="271A3236"/>
    <w:rsid w:val="2A954860"/>
    <w:rsid w:val="2B6BA698"/>
    <w:rsid w:val="2B8933EF"/>
    <w:rsid w:val="2DAD8C81"/>
    <w:rsid w:val="2F419C34"/>
    <w:rsid w:val="305232ED"/>
    <w:rsid w:val="305D6BA0"/>
    <w:rsid w:val="34804FFC"/>
    <w:rsid w:val="34834A45"/>
    <w:rsid w:val="349E1D08"/>
    <w:rsid w:val="38145968"/>
    <w:rsid w:val="3A8D4CFF"/>
    <w:rsid w:val="3C875997"/>
    <w:rsid w:val="3F99FB89"/>
    <w:rsid w:val="4135CBEA"/>
    <w:rsid w:val="414EF447"/>
    <w:rsid w:val="43ABD22D"/>
    <w:rsid w:val="446D6CAC"/>
    <w:rsid w:val="44C854DF"/>
    <w:rsid w:val="4940DDCF"/>
    <w:rsid w:val="4A1AB2D1"/>
    <w:rsid w:val="4A672787"/>
    <w:rsid w:val="4C06EE81"/>
    <w:rsid w:val="52528BAD"/>
    <w:rsid w:val="5334745D"/>
    <w:rsid w:val="580F03F5"/>
    <w:rsid w:val="592F92EE"/>
    <w:rsid w:val="59E4F656"/>
    <w:rsid w:val="5A25B67F"/>
    <w:rsid w:val="5BCD6C90"/>
    <w:rsid w:val="5EBF52E5"/>
    <w:rsid w:val="5FA5F87E"/>
    <w:rsid w:val="60A0DDB3"/>
    <w:rsid w:val="62BFACA9"/>
    <w:rsid w:val="63D87E75"/>
    <w:rsid w:val="640C6D5E"/>
    <w:rsid w:val="654C506C"/>
    <w:rsid w:val="65A83DBF"/>
    <w:rsid w:val="66D65313"/>
    <w:rsid w:val="6766DF05"/>
    <w:rsid w:val="6846D559"/>
    <w:rsid w:val="69A69A10"/>
    <w:rsid w:val="6C5271B2"/>
    <w:rsid w:val="6D3DA929"/>
    <w:rsid w:val="6DF3F01F"/>
    <w:rsid w:val="7077CD05"/>
    <w:rsid w:val="709B5CE7"/>
    <w:rsid w:val="72294132"/>
    <w:rsid w:val="729F9DBF"/>
    <w:rsid w:val="73F68FC5"/>
    <w:rsid w:val="747E855B"/>
    <w:rsid w:val="76634F6D"/>
    <w:rsid w:val="78B63EB9"/>
    <w:rsid w:val="78BDF255"/>
    <w:rsid w:val="78F3D048"/>
    <w:rsid w:val="7A0586EE"/>
    <w:rsid w:val="7AD53658"/>
    <w:rsid w:val="7B70A135"/>
    <w:rsid w:val="7B777E2F"/>
    <w:rsid w:val="7C08F2E2"/>
    <w:rsid w:val="7D7C9CB4"/>
    <w:rsid w:val="7DAB0893"/>
    <w:rsid w:val="7F0D72F8"/>
    <w:rsid w:val="7F922636"/>
    <w:rsid w:val="7FF65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B8272"/>
  <w15:chartTrackingRefBased/>
  <w15:docId w15:val="{C9E64AD0-04B7-4AD5-B436-3D8DB312C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95832"/>
    <w:rPr>
      <w:color w:val="0000FF"/>
      <w:u w:val="single"/>
    </w:rPr>
  </w:style>
  <w:style w:type="character" w:customStyle="1" w:styleId="normaltextrun">
    <w:name w:val="normaltextrun"/>
    <w:basedOn w:val="DefaultParagraphFont"/>
    <w:rsid w:val="00805649"/>
  </w:style>
  <w:style w:type="character" w:customStyle="1" w:styleId="eop">
    <w:name w:val="eop"/>
    <w:basedOn w:val="DefaultParagraphFont"/>
    <w:rsid w:val="00805649"/>
  </w:style>
  <w:style w:type="paragraph" w:customStyle="1" w:styleId="paragraph">
    <w:name w:val="paragraph"/>
    <w:basedOn w:val="Normal"/>
    <w:rsid w:val="008056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B32E18"/>
    <w:rPr>
      <w:b/>
      <w:bCs/>
    </w:rPr>
  </w:style>
  <w:style w:type="character" w:styleId="FollowedHyperlink">
    <w:name w:val="FollowedHyperlink"/>
    <w:basedOn w:val="DefaultParagraphFont"/>
    <w:uiPriority w:val="99"/>
    <w:semiHidden/>
    <w:unhideWhenUsed/>
    <w:rsid w:val="00B32E18"/>
    <w:rPr>
      <w:color w:val="954F72" w:themeColor="followedHyperlink"/>
      <w:u w:val="single"/>
    </w:rPr>
  </w:style>
  <w:style w:type="character" w:styleId="Emphasis">
    <w:name w:val="Emphasis"/>
    <w:basedOn w:val="DefaultParagraphFont"/>
    <w:uiPriority w:val="20"/>
    <w:qFormat/>
    <w:rsid w:val="005F0679"/>
    <w:rPr>
      <w:i/>
      <w:iCs/>
    </w:rPr>
  </w:style>
  <w:style w:type="character" w:styleId="HTMLDefinition">
    <w:name w:val="HTML Definition"/>
    <w:basedOn w:val="DefaultParagraphFont"/>
    <w:uiPriority w:val="99"/>
    <w:semiHidden/>
    <w:unhideWhenUsed/>
    <w:rsid w:val="00B73D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461318">
      <w:bodyDiv w:val="1"/>
      <w:marLeft w:val="0"/>
      <w:marRight w:val="0"/>
      <w:marTop w:val="0"/>
      <w:marBottom w:val="0"/>
      <w:divBdr>
        <w:top w:val="none" w:sz="0" w:space="0" w:color="auto"/>
        <w:left w:val="none" w:sz="0" w:space="0" w:color="auto"/>
        <w:bottom w:val="none" w:sz="0" w:space="0" w:color="auto"/>
        <w:right w:val="none" w:sz="0" w:space="0" w:color="auto"/>
      </w:divBdr>
    </w:div>
    <w:div w:id="204239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gov.wales/effective-approaches-assessment-improve-teaching-and-learning-html" TargetMode="External"/><Relationship Id="rId26" Type="http://schemas.openxmlformats.org/officeDocument/2006/relationships/hyperlink" Target="https://www.llyw.cymru/datganiad-ysgrifenedig-asesu-ar-gyfer-dysgu" TargetMode="External"/><Relationship Id="rId3" Type="http://schemas.openxmlformats.org/officeDocument/2006/relationships/settings" Target="settings.xml"/><Relationship Id="rId21" Type="http://schemas.openxmlformats.org/officeDocument/2006/relationships/hyperlink" Target="https://hwb.gov.wales/cwricwlwm-i-gymru"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llyw.cymru/sites/default/files/publications/2018-03/dyfodol-llwyddiannus.pdf" TargetMode="External"/><Relationship Id="rId25" Type="http://schemas.openxmlformats.org/officeDocument/2006/relationships/hyperlink" Target="https://www.cambridge.org/gb/education/blog/2019/07/02/what-assessment-learning-and-what-are-benefits/" TargetMode="External"/><Relationship Id="rId2" Type="http://schemas.openxmlformats.org/officeDocument/2006/relationships/styles" Target="styles.xml"/><Relationship Id="rId16" Type="http://schemas.openxmlformats.org/officeDocument/2006/relationships/hyperlink" Target="https://www.shirleyclarke-education.org/what-is-formative-assessment/" TargetMode="External"/><Relationship Id="rId20" Type="http://schemas.openxmlformats.org/officeDocument/2006/relationships/hyperlink" Target="https://www.teachertoolkit.co.uk/2018/04/29/educational-fad-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file:///C:\Users\sophi\Downloads\SadlerDRLettingstudentsintothesecret1998pdf.pdf"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plymouth.k12.in.us/formative/signals"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file:///C:\Users\sophi\Downloads\AagD%20-%2010%20egwyddor%20(1).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hwb.gov.wales/api/storage/283b9318-dcf7-402d-b39a-67dee70efe18/sut-i-ddatblygu-meddwl-ac-asesu-ar-gyfer-dysgu-yn-yr-ystafell-ddosbarth.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4025</Words>
  <Characters>22943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Gregory</dc:creator>
  <cp:keywords/>
  <dc:description/>
  <cp:lastModifiedBy>Sophie Gregory</cp:lastModifiedBy>
  <cp:revision>2</cp:revision>
  <dcterms:created xsi:type="dcterms:W3CDTF">2023-01-09T22:11:00Z</dcterms:created>
  <dcterms:modified xsi:type="dcterms:W3CDTF">2023-01-09T22:11:00Z</dcterms:modified>
</cp:coreProperties>
</file>