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CDD492" w14:textId="77777777" w:rsidR="006B79E8" w:rsidRDefault="006B79E8" w:rsidP="006B79E8">
      <w:pPr>
        <w:pStyle w:val="NormalWeb"/>
        <w:ind w:left="-180" w:right="-334"/>
      </w:pPr>
      <w:r>
        <w:rPr>
          <w:noProof/>
        </w:rPr>
        <w:drawing>
          <wp:inline distT="0" distB="0" distL="0" distR="0" wp14:anchorId="086E27A4" wp14:editId="04F371C2">
            <wp:extent cx="1907540" cy="63563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bwMode="auto">
                    <a:xfrm>
                      <a:off x="0" y="0"/>
                      <a:ext cx="1907540" cy="635635"/>
                    </a:xfrm>
                    <a:prstGeom prst="rect">
                      <a:avLst/>
                    </a:prstGeom>
                    <a:noFill/>
                  </pic:spPr>
                </pic:pic>
              </a:graphicData>
            </a:graphic>
          </wp:inline>
        </w:drawing>
      </w:r>
    </w:p>
    <w:p w14:paraId="5760ACE5" w14:textId="77777777" w:rsidR="006B79E8" w:rsidRDefault="006B79E8" w:rsidP="006B79E8">
      <w:pPr>
        <w:pStyle w:val="NormalWeb"/>
        <w:ind w:left="-180" w:right="-334"/>
      </w:pPr>
    </w:p>
    <w:p w14:paraId="32D5AE73" w14:textId="77777777" w:rsidR="006B79E8" w:rsidRDefault="006B79E8" w:rsidP="006B79E8">
      <w:pPr>
        <w:pStyle w:val="NormalWeb"/>
        <w:ind w:left="-180" w:right="-334"/>
      </w:pPr>
    </w:p>
    <w:p w14:paraId="4A9242C6" w14:textId="77777777" w:rsidR="006B79E8" w:rsidRDefault="006B79E8" w:rsidP="006B79E8">
      <w:pPr>
        <w:pStyle w:val="NormalWeb"/>
        <w:ind w:left="-180" w:right="-334"/>
        <w:jc w:val="center"/>
      </w:pPr>
      <w:r>
        <w:rPr>
          <w:rFonts w:ascii="Arial" w:hAnsi="Arial"/>
          <w:b/>
          <w:sz w:val="28"/>
          <w:szCs w:val="28"/>
        </w:rPr>
        <w:t xml:space="preserve">Postgraduate/Distance Learning </w:t>
      </w:r>
    </w:p>
    <w:p w14:paraId="68188D54" w14:textId="77777777" w:rsidR="006B79E8" w:rsidRDefault="006B79E8" w:rsidP="006B79E8">
      <w:pPr>
        <w:pStyle w:val="NormalWeb"/>
        <w:ind w:left="-180" w:right="-334"/>
        <w:jc w:val="center"/>
        <w:rPr>
          <w:rFonts w:ascii="Arial" w:hAnsi="Arial"/>
          <w:b/>
          <w:sz w:val="28"/>
          <w:szCs w:val="28"/>
        </w:rPr>
      </w:pPr>
      <w:r>
        <w:rPr>
          <w:rFonts w:ascii="Arial" w:hAnsi="Arial"/>
          <w:b/>
          <w:sz w:val="28"/>
          <w:szCs w:val="28"/>
        </w:rPr>
        <w:t>Assignment coversheet &amp; feedback form</w:t>
      </w:r>
    </w:p>
    <w:p w14:paraId="10F2C2D5" w14:textId="77777777" w:rsidR="006B79E8" w:rsidRDefault="006B79E8" w:rsidP="006B79E8">
      <w:pPr>
        <w:rPr>
          <w:rFonts w:ascii="Arial" w:hAnsi="Arial"/>
          <w:sz w:val="28"/>
          <w:szCs w:val="28"/>
        </w:rPr>
      </w:pPr>
    </w:p>
    <w:p w14:paraId="4C292DC2" w14:textId="77777777" w:rsidR="006B79E8" w:rsidRDefault="006B79E8" w:rsidP="006B79E8">
      <w:pPr>
        <w:pStyle w:val="Heading3"/>
        <w:jc w:val="center"/>
      </w:pPr>
      <w:r>
        <w:t xml:space="preserve">THIS SHEET MUST BE THE FIRST PAGE OF THE ASSIGNMENT YOU ARE </w:t>
      </w:r>
      <w:proofErr w:type="gramStart"/>
      <w:r>
        <w:t>SUBMITTING  (</w:t>
      </w:r>
      <w:proofErr w:type="gramEnd"/>
      <w:r>
        <w:t>DO NOT SEND AS A SEPARATE FILE)</w:t>
      </w:r>
    </w:p>
    <w:p w14:paraId="62CD5726" w14:textId="77777777" w:rsidR="006B79E8" w:rsidRDefault="006B79E8" w:rsidP="006B79E8">
      <w:pPr>
        <w:pStyle w:val="Heading3"/>
        <w:jc w:val="center"/>
        <w:rPr>
          <w:rFonts w:ascii="Trebuchet MS" w:hAnsi="Trebuchet MS"/>
        </w:rPr>
      </w:pPr>
    </w:p>
    <w:tbl>
      <w:tblPr>
        <w:tblW w:w="0" w:type="auto"/>
        <w:tblLook w:val="04A0" w:firstRow="1" w:lastRow="0" w:firstColumn="1" w:lastColumn="0" w:noHBand="0" w:noVBand="1"/>
      </w:tblPr>
      <w:tblGrid>
        <w:gridCol w:w="4788"/>
        <w:gridCol w:w="423"/>
        <w:gridCol w:w="1557"/>
        <w:gridCol w:w="286"/>
        <w:gridCol w:w="1802"/>
      </w:tblGrid>
      <w:tr w:rsidR="006B79E8" w14:paraId="47123873" w14:textId="77777777" w:rsidTr="003E502B">
        <w:trPr>
          <w:trHeight w:val="614"/>
        </w:trPr>
        <w:tc>
          <w:tcPr>
            <w:tcW w:w="8856" w:type="dxa"/>
            <w:gridSpan w:val="5"/>
          </w:tcPr>
          <w:p w14:paraId="7A952751" w14:textId="77777777" w:rsidR="006B79E8" w:rsidRDefault="006B79E8" w:rsidP="003E502B">
            <w:pPr>
              <w:pStyle w:val="NormalWeb"/>
              <w:ind w:right="34"/>
            </w:pPr>
            <w:r>
              <w:rPr>
                <w:rFonts w:ascii="Arial" w:hAnsi="Arial"/>
                <w:b/>
                <w:sz w:val="22"/>
                <w:szCs w:val="22"/>
              </w:rPr>
              <w:t>For completion by the student</w:t>
            </w:r>
            <w:r>
              <w:rPr>
                <w:rFonts w:ascii="Arial" w:hAnsi="Arial"/>
                <w:sz w:val="22"/>
                <w:szCs w:val="22"/>
              </w:rPr>
              <w:t>:</w:t>
            </w:r>
          </w:p>
        </w:tc>
      </w:tr>
      <w:tr w:rsidR="006B79E8" w14:paraId="19DC9232" w14:textId="77777777" w:rsidTr="003E502B">
        <w:trPr>
          <w:trHeight w:val="718"/>
        </w:trPr>
        <w:tc>
          <w:tcPr>
            <w:tcW w:w="8856" w:type="dxa"/>
            <w:gridSpan w:val="5"/>
          </w:tcPr>
          <w:p w14:paraId="210C6E85" w14:textId="77777777" w:rsidR="006B79E8" w:rsidRDefault="006B79E8" w:rsidP="003E502B">
            <w:pPr>
              <w:pStyle w:val="NormalWeb"/>
              <w:ind w:right="34"/>
              <w:rPr>
                <w:rFonts w:ascii="Arial" w:hAnsi="Arial"/>
                <w:sz w:val="22"/>
                <w:szCs w:val="22"/>
              </w:rPr>
            </w:pPr>
            <w:r>
              <w:rPr>
                <w:rFonts w:ascii="Arial" w:hAnsi="Arial"/>
                <w:sz w:val="22"/>
                <w:szCs w:val="22"/>
              </w:rPr>
              <w:t>Student Name: Vadim Zaver</w:t>
            </w:r>
          </w:p>
          <w:p w14:paraId="74F89684" w14:textId="77777777" w:rsidR="006B79E8" w:rsidRDefault="006B79E8" w:rsidP="003E502B">
            <w:pPr>
              <w:pStyle w:val="NormalWeb"/>
              <w:ind w:right="34"/>
              <w:rPr>
                <w:rFonts w:ascii="Arial" w:hAnsi="Arial"/>
                <w:sz w:val="22"/>
                <w:szCs w:val="22"/>
              </w:rPr>
            </w:pPr>
          </w:p>
          <w:p w14:paraId="7FB33A9D" w14:textId="77777777" w:rsidR="006B79E8" w:rsidRDefault="006B79E8" w:rsidP="003E502B">
            <w:pPr>
              <w:pStyle w:val="NormalWeb"/>
              <w:ind w:right="34"/>
            </w:pPr>
            <w:r>
              <w:rPr>
                <w:rFonts w:ascii="Arial" w:hAnsi="Arial"/>
                <w:sz w:val="22"/>
                <w:szCs w:val="22"/>
              </w:rPr>
              <w:t xml:space="preserve">Student </w:t>
            </w:r>
            <w:r>
              <w:rPr>
                <w:rFonts w:ascii="Arial" w:hAnsi="Arial"/>
                <w:b/>
                <w:sz w:val="22"/>
                <w:szCs w:val="22"/>
                <w:u w:val="single"/>
              </w:rPr>
              <w:t>University</w:t>
            </w:r>
            <w:r>
              <w:rPr>
                <w:rFonts w:ascii="Arial" w:hAnsi="Arial"/>
                <w:sz w:val="22"/>
                <w:szCs w:val="22"/>
                <w:u w:val="single"/>
              </w:rPr>
              <w:t xml:space="preserve"> </w:t>
            </w:r>
            <w:r>
              <w:rPr>
                <w:rFonts w:ascii="Arial" w:hAnsi="Arial"/>
                <w:sz w:val="22"/>
                <w:szCs w:val="22"/>
              </w:rPr>
              <w:t xml:space="preserve">Email: </w:t>
            </w:r>
            <w:r w:rsidRPr="005B5E9C">
              <w:rPr>
                <w:rFonts w:ascii="Arial" w:hAnsi="Arial"/>
                <w:sz w:val="22"/>
                <w:szCs w:val="22"/>
              </w:rPr>
              <w:t>2111154@student.uwtsd.ac.uk</w:t>
            </w:r>
          </w:p>
        </w:tc>
      </w:tr>
      <w:tr w:rsidR="006B79E8" w14:paraId="4FD83092" w14:textId="77777777" w:rsidTr="003E502B">
        <w:trPr>
          <w:trHeight w:val="849"/>
        </w:trPr>
        <w:tc>
          <w:tcPr>
            <w:tcW w:w="4788" w:type="dxa"/>
          </w:tcPr>
          <w:p w14:paraId="3DE15710" w14:textId="116F926B" w:rsidR="006B79E8" w:rsidRDefault="006B79E8" w:rsidP="003E502B">
            <w:pPr>
              <w:pStyle w:val="NormalWeb"/>
              <w:ind w:right="34"/>
              <w:rPr>
                <w:rFonts w:ascii="Arial" w:hAnsi="Arial"/>
                <w:sz w:val="22"/>
                <w:szCs w:val="22"/>
              </w:rPr>
            </w:pPr>
            <w:r>
              <w:rPr>
                <w:rFonts w:ascii="Arial" w:hAnsi="Arial"/>
                <w:sz w:val="22"/>
                <w:szCs w:val="22"/>
              </w:rPr>
              <w:t xml:space="preserve">Module code: </w:t>
            </w:r>
            <w:r w:rsidRPr="005B5E9C">
              <w:rPr>
                <w:rFonts w:ascii="Arial" w:hAnsi="Arial"/>
                <w:sz w:val="22"/>
                <w:szCs w:val="22"/>
              </w:rPr>
              <w:t>HPCA70</w:t>
            </w:r>
            <w:r w:rsidR="009F3A45">
              <w:rPr>
                <w:rFonts w:ascii="Arial" w:hAnsi="Arial"/>
                <w:sz w:val="22"/>
                <w:szCs w:val="22"/>
              </w:rPr>
              <w:t>27</w:t>
            </w:r>
          </w:p>
          <w:p w14:paraId="08D5E4EC" w14:textId="77777777" w:rsidR="006B79E8" w:rsidRDefault="006B79E8" w:rsidP="003E502B">
            <w:pPr>
              <w:pStyle w:val="NormalWeb"/>
              <w:ind w:right="34"/>
              <w:rPr>
                <w:rFonts w:ascii="Arial" w:hAnsi="Arial"/>
                <w:sz w:val="22"/>
                <w:szCs w:val="22"/>
              </w:rPr>
            </w:pPr>
          </w:p>
          <w:p w14:paraId="10BBD8A0" w14:textId="075DF0F3" w:rsidR="006B79E8" w:rsidRDefault="006B79E8" w:rsidP="003E502B">
            <w:pPr>
              <w:pStyle w:val="NormalWeb"/>
              <w:ind w:right="34"/>
              <w:rPr>
                <w:rFonts w:ascii="Arial" w:hAnsi="Arial"/>
                <w:sz w:val="22"/>
                <w:szCs w:val="22"/>
              </w:rPr>
            </w:pPr>
            <w:r>
              <w:rPr>
                <w:rFonts w:ascii="Arial" w:hAnsi="Arial"/>
                <w:sz w:val="22"/>
                <w:szCs w:val="22"/>
              </w:rPr>
              <w:t xml:space="preserve">Module title: </w:t>
            </w:r>
            <w:r w:rsidR="009F3A45" w:rsidRPr="009F3A45">
              <w:rPr>
                <w:rFonts w:ascii="Arial" w:hAnsi="Arial"/>
                <w:sz w:val="22"/>
                <w:szCs w:val="22"/>
              </w:rPr>
              <w:t>Cosmology, Magic and Divination</w:t>
            </w:r>
          </w:p>
          <w:p w14:paraId="11723005" w14:textId="58BDD481" w:rsidR="006B79E8" w:rsidRDefault="006B79E8" w:rsidP="003E502B">
            <w:pPr>
              <w:pStyle w:val="NormalWeb"/>
              <w:ind w:right="34"/>
              <w:rPr>
                <w:rFonts w:ascii="Arial" w:hAnsi="Arial"/>
                <w:sz w:val="22"/>
                <w:szCs w:val="22"/>
              </w:rPr>
            </w:pPr>
            <w:r>
              <w:rPr>
                <w:rFonts w:ascii="Arial" w:hAnsi="Arial"/>
                <w:sz w:val="22"/>
                <w:szCs w:val="22"/>
              </w:rPr>
              <w:t>Word count: 314</w:t>
            </w:r>
            <w:r w:rsidR="00ED3B44">
              <w:rPr>
                <w:rFonts w:ascii="Arial" w:hAnsi="Arial"/>
                <w:sz w:val="22"/>
                <w:szCs w:val="22"/>
              </w:rPr>
              <w:t>0</w:t>
            </w:r>
          </w:p>
          <w:p w14:paraId="64A8E4A4" w14:textId="77777777" w:rsidR="006B79E8" w:rsidRDefault="006B79E8" w:rsidP="003E502B">
            <w:pPr>
              <w:pStyle w:val="NormalWeb"/>
              <w:ind w:right="34"/>
            </w:pPr>
          </w:p>
        </w:tc>
        <w:tc>
          <w:tcPr>
            <w:tcW w:w="2266" w:type="dxa"/>
            <w:gridSpan w:val="3"/>
          </w:tcPr>
          <w:p w14:paraId="3E584397" w14:textId="77777777" w:rsidR="006B79E8" w:rsidRDefault="006B79E8" w:rsidP="003E502B">
            <w:pPr>
              <w:pStyle w:val="NormalWeb"/>
              <w:ind w:right="34"/>
            </w:pPr>
            <w:r>
              <w:rPr>
                <w:rFonts w:ascii="Arial" w:hAnsi="Arial"/>
                <w:sz w:val="22"/>
                <w:szCs w:val="22"/>
              </w:rPr>
              <w:t>Student ID number:</w:t>
            </w:r>
            <w:r w:rsidRPr="005B5E9C">
              <w:rPr>
                <w:rFonts w:ascii="Arial" w:hAnsi="Arial"/>
                <w:sz w:val="22"/>
                <w:szCs w:val="22"/>
              </w:rPr>
              <w:t xml:space="preserve"> 2111154</w:t>
            </w:r>
          </w:p>
        </w:tc>
        <w:tc>
          <w:tcPr>
            <w:tcW w:w="1802" w:type="dxa"/>
          </w:tcPr>
          <w:p w14:paraId="5B25D3CB" w14:textId="77777777" w:rsidR="006B79E8" w:rsidRDefault="006B79E8" w:rsidP="003E502B">
            <w:pPr>
              <w:pStyle w:val="NormalWeb"/>
              <w:ind w:right="34"/>
            </w:pPr>
            <w:r>
              <w:rPr>
                <w:rFonts w:ascii="Arial" w:hAnsi="Arial"/>
                <w:sz w:val="22"/>
                <w:szCs w:val="22"/>
              </w:rPr>
              <w:t>Educational support needs:</w:t>
            </w:r>
          </w:p>
          <w:p w14:paraId="553AE7B7" w14:textId="77777777" w:rsidR="006B79E8" w:rsidRDefault="006B79E8" w:rsidP="003E502B">
            <w:pPr>
              <w:pStyle w:val="NormalWeb"/>
              <w:ind w:right="34"/>
            </w:pPr>
            <w:r>
              <w:rPr>
                <w:rFonts w:ascii="Arial" w:hAnsi="Arial"/>
                <w:sz w:val="22"/>
                <w:szCs w:val="22"/>
              </w:rPr>
              <w:t>Yes</w:t>
            </w:r>
          </w:p>
        </w:tc>
      </w:tr>
      <w:tr w:rsidR="006B79E8" w14:paraId="107738DC" w14:textId="77777777" w:rsidTr="003E502B">
        <w:trPr>
          <w:trHeight w:val="1139"/>
        </w:trPr>
        <w:tc>
          <w:tcPr>
            <w:tcW w:w="8856" w:type="dxa"/>
            <w:gridSpan w:val="5"/>
          </w:tcPr>
          <w:p w14:paraId="33CC29C1" w14:textId="158375EF" w:rsidR="006B79E8" w:rsidRDefault="006B79E8" w:rsidP="006B79E8">
            <w:pPr>
              <w:pStyle w:val="NormalWeb"/>
              <w:ind w:left="29" w:right="34"/>
            </w:pPr>
            <w:r>
              <w:rPr>
                <w:rFonts w:ascii="Arial" w:hAnsi="Arial"/>
                <w:sz w:val="22"/>
                <w:szCs w:val="22"/>
              </w:rPr>
              <w:t xml:space="preserve">Assignment title: </w:t>
            </w:r>
            <w:r w:rsidRPr="009F3A45">
              <w:rPr>
                <w:rFonts w:ascii="Arial" w:hAnsi="Arial"/>
                <w:b/>
                <w:bCs/>
                <w:sz w:val="22"/>
                <w:szCs w:val="22"/>
              </w:rPr>
              <w:t xml:space="preserve">A critical review of Plutarch’s arguments for divination in De </w:t>
            </w:r>
            <w:proofErr w:type="spellStart"/>
            <w:r w:rsidRPr="009F3A45">
              <w:rPr>
                <w:rFonts w:ascii="Arial" w:hAnsi="Arial"/>
                <w:b/>
                <w:bCs/>
                <w:sz w:val="22"/>
                <w:szCs w:val="22"/>
              </w:rPr>
              <w:t>defectu</w:t>
            </w:r>
            <w:proofErr w:type="spellEnd"/>
            <w:r w:rsidRPr="009F3A45">
              <w:rPr>
                <w:rFonts w:ascii="Arial" w:hAnsi="Arial"/>
                <w:b/>
                <w:bCs/>
                <w:sz w:val="22"/>
                <w:szCs w:val="22"/>
              </w:rPr>
              <w:t xml:space="preserve"> </w:t>
            </w:r>
            <w:proofErr w:type="spellStart"/>
            <w:r w:rsidRPr="009F3A45">
              <w:rPr>
                <w:rFonts w:ascii="Arial" w:hAnsi="Arial"/>
                <w:b/>
                <w:bCs/>
                <w:sz w:val="22"/>
                <w:szCs w:val="22"/>
              </w:rPr>
              <w:t>oraculorum</w:t>
            </w:r>
            <w:proofErr w:type="spellEnd"/>
            <w:r w:rsidRPr="009F3A45">
              <w:rPr>
                <w:rFonts w:ascii="Arial" w:hAnsi="Arial"/>
                <w:b/>
                <w:bCs/>
                <w:sz w:val="22"/>
                <w:szCs w:val="22"/>
              </w:rPr>
              <w:t xml:space="preserve"> (On the Obsolescence of Oracles).</w:t>
            </w:r>
          </w:p>
          <w:p w14:paraId="3A6AAD5A" w14:textId="77777777" w:rsidR="006B79E8" w:rsidRDefault="006B79E8" w:rsidP="003E502B">
            <w:pPr>
              <w:pStyle w:val="NormalWeb"/>
              <w:ind w:right="34"/>
              <w:rPr>
                <w:rFonts w:ascii="Arial" w:hAnsi="Arial"/>
                <w:sz w:val="22"/>
                <w:szCs w:val="22"/>
              </w:rPr>
            </w:pPr>
          </w:p>
          <w:p w14:paraId="2989202D" w14:textId="77777777" w:rsidR="006B79E8" w:rsidRDefault="006B79E8" w:rsidP="003E502B">
            <w:pPr>
              <w:pStyle w:val="NormalWeb"/>
              <w:ind w:right="34"/>
              <w:rPr>
                <w:rFonts w:ascii="Arial" w:hAnsi="Arial"/>
                <w:sz w:val="22"/>
                <w:szCs w:val="22"/>
              </w:rPr>
            </w:pPr>
          </w:p>
          <w:p w14:paraId="0CA426F5" w14:textId="29CC4B2D" w:rsidR="006B79E8" w:rsidRDefault="006B79E8" w:rsidP="003E502B">
            <w:pPr>
              <w:pStyle w:val="NormalWeb"/>
              <w:ind w:right="34"/>
            </w:pPr>
            <w:r>
              <w:rPr>
                <w:rFonts w:ascii="Arial" w:hAnsi="Arial"/>
                <w:sz w:val="22"/>
                <w:szCs w:val="22"/>
              </w:rPr>
              <w:t xml:space="preserve">Assignment due date: </w:t>
            </w:r>
            <w:r w:rsidR="003C0DC3">
              <w:rPr>
                <w:rFonts w:ascii="Arial" w:hAnsi="Arial"/>
                <w:sz w:val="22"/>
                <w:szCs w:val="22"/>
              </w:rPr>
              <w:t>28</w:t>
            </w:r>
            <w:r>
              <w:rPr>
                <w:rFonts w:ascii="Arial" w:hAnsi="Arial"/>
                <w:sz w:val="22"/>
                <w:szCs w:val="22"/>
              </w:rPr>
              <w:t>/0</w:t>
            </w:r>
            <w:r w:rsidR="00ED3B44">
              <w:rPr>
                <w:rFonts w:ascii="Arial" w:hAnsi="Arial"/>
                <w:sz w:val="22"/>
                <w:szCs w:val="22"/>
              </w:rPr>
              <w:t>7</w:t>
            </w:r>
            <w:r>
              <w:rPr>
                <w:rFonts w:ascii="Arial" w:hAnsi="Arial"/>
                <w:sz w:val="22"/>
                <w:szCs w:val="22"/>
              </w:rPr>
              <w:t>/2023</w:t>
            </w:r>
          </w:p>
        </w:tc>
      </w:tr>
      <w:tr w:rsidR="006B79E8" w14:paraId="7A47C5E6" w14:textId="77777777" w:rsidTr="003E502B">
        <w:trPr>
          <w:trHeight w:val="978"/>
        </w:trPr>
        <w:tc>
          <w:tcPr>
            <w:tcW w:w="8856" w:type="dxa"/>
            <w:gridSpan w:val="5"/>
            <w:tcBorders>
              <w:bottom w:val="single" w:sz="4" w:space="0" w:color="000000"/>
            </w:tcBorders>
          </w:tcPr>
          <w:p w14:paraId="48CCF7B5" w14:textId="77777777" w:rsidR="006B79E8" w:rsidRDefault="006B79E8" w:rsidP="003E502B">
            <w:r>
              <w:rPr>
                <w:rFonts w:ascii="Arial" w:hAnsi="Arial"/>
                <w:sz w:val="22"/>
                <w:szCs w:val="22"/>
              </w:rPr>
              <w:t>This assignment is for the       1</w:t>
            </w:r>
            <w:r>
              <w:rPr>
                <w:rFonts w:ascii="Arial" w:hAnsi="Arial"/>
                <w:sz w:val="22"/>
                <w:szCs w:val="22"/>
                <w:vertAlign w:val="superscript"/>
              </w:rPr>
              <w:t xml:space="preserve">st </w:t>
            </w:r>
            <w:r>
              <w:rPr>
                <w:rFonts w:ascii="Arial" w:hAnsi="Arial"/>
                <w:sz w:val="22"/>
                <w:szCs w:val="22"/>
              </w:rPr>
              <w:t xml:space="preserve">    </w:t>
            </w:r>
            <w:r w:rsidRPr="00013526">
              <w:rPr>
                <w:rFonts w:ascii="Arial" w:hAnsi="Arial"/>
                <w:sz w:val="22"/>
                <w:szCs w:val="22"/>
              </w:rPr>
              <w:t>2</w:t>
            </w:r>
            <w:r w:rsidRPr="00013526">
              <w:rPr>
                <w:rFonts w:ascii="Arial" w:hAnsi="Arial"/>
                <w:sz w:val="22"/>
                <w:szCs w:val="22"/>
                <w:vertAlign w:val="superscript"/>
              </w:rPr>
              <w:t>nd</w:t>
            </w:r>
            <w:r>
              <w:rPr>
                <w:rFonts w:ascii="Arial" w:hAnsi="Arial"/>
                <w:sz w:val="22"/>
                <w:szCs w:val="22"/>
              </w:rPr>
              <w:t xml:space="preserve">       </w:t>
            </w:r>
            <w:r w:rsidRPr="006B79E8">
              <w:rPr>
                <w:rFonts w:ascii="Arial" w:hAnsi="Arial"/>
                <w:sz w:val="22"/>
                <w:szCs w:val="22"/>
              </w:rPr>
              <w:t>3</w:t>
            </w:r>
            <w:r w:rsidRPr="006B79E8">
              <w:rPr>
                <w:rFonts w:ascii="Arial" w:hAnsi="Arial"/>
                <w:sz w:val="22"/>
                <w:szCs w:val="22"/>
                <w:vertAlign w:val="superscript"/>
              </w:rPr>
              <w:t>rd</w:t>
            </w:r>
            <w:r>
              <w:rPr>
                <w:rFonts w:ascii="Arial" w:hAnsi="Arial"/>
                <w:sz w:val="22"/>
                <w:szCs w:val="22"/>
              </w:rPr>
              <w:t xml:space="preserve">        </w:t>
            </w:r>
            <w:r w:rsidRPr="006B79E8">
              <w:rPr>
                <w:rFonts w:ascii="Arial" w:hAnsi="Arial"/>
                <w:sz w:val="22"/>
                <w:szCs w:val="22"/>
                <w:highlight w:val="green"/>
              </w:rPr>
              <w:t>4</w:t>
            </w:r>
            <w:r w:rsidRPr="006B79E8">
              <w:rPr>
                <w:rFonts w:ascii="Arial" w:hAnsi="Arial"/>
                <w:sz w:val="22"/>
                <w:szCs w:val="22"/>
                <w:highlight w:val="green"/>
                <w:vertAlign w:val="superscript"/>
              </w:rPr>
              <w:t>th</w:t>
            </w:r>
            <w:r>
              <w:rPr>
                <w:rFonts w:ascii="Arial" w:hAnsi="Arial"/>
                <w:sz w:val="22"/>
                <w:szCs w:val="22"/>
              </w:rPr>
              <w:t xml:space="preserve">       5</w:t>
            </w:r>
            <w:r>
              <w:rPr>
                <w:rFonts w:ascii="Arial" w:hAnsi="Arial"/>
                <w:sz w:val="22"/>
                <w:szCs w:val="22"/>
                <w:vertAlign w:val="superscript"/>
              </w:rPr>
              <w:t>th</w:t>
            </w:r>
            <w:r>
              <w:rPr>
                <w:rFonts w:ascii="Arial" w:hAnsi="Arial"/>
                <w:sz w:val="22"/>
                <w:szCs w:val="22"/>
              </w:rPr>
              <w:t xml:space="preserve">       6</w:t>
            </w:r>
            <w:r>
              <w:rPr>
                <w:rFonts w:ascii="Arial" w:hAnsi="Arial"/>
                <w:sz w:val="22"/>
                <w:szCs w:val="22"/>
                <w:vertAlign w:val="superscript"/>
              </w:rPr>
              <w:t>th</w:t>
            </w:r>
            <w:r>
              <w:rPr>
                <w:rFonts w:ascii="Arial" w:hAnsi="Arial"/>
                <w:sz w:val="22"/>
                <w:szCs w:val="22"/>
              </w:rPr>
              <w:t xml:space="preserve"> </w:t>
            </w:r>
            <w:r>
              <w:rPr>
                <w:rFonts w:ascii="Arial" w:hAnsi="Arial"/>
                <w:b/>
                <w:sz w:val="22"/>
                <w:szCs w:val="22"/>
              </w:rPr>
              <w:t xml:space="preserve">   </w:t>
            </w:r>
            <w:r>
              <w:rPr>
                <w:rFonts w:ascii="Arial" w:hAnsi="Arial"/>
                <w:sz w:val="22"/>
                <w:szCs w:val="22"/>
              </w:rPr>
              <w:t>module of the degree</w:t>
            </w:r>
          </w:p>
        </w:tc>
      </w:tr>
      <w:tr w:rsidR="006B79E8" w14:paraId="69407550" w14:textId="77777777" w:rsidTr="003E502B">
        <w:trPr>
          <w:trHeight w:val="978"/>
        </w:trPr>
        <w:tc>
          <w:tcPr>
            <w:tcW w:w="8856" w:type="dxa"/>
            <w:gridSpan w:val="5"/>
            <w:shd w:val="clear" w:color="auto" w:fill="D9D9D9"/>
          </w:tcPr>
          <w:p w14:paraId="2E7FFF05" w14:textId="77777777" w:rsidR="006B79E8" w:rsidRDefault="006B79E8" w:rsidP="003E502B">
            <w:pPr>
              <w:pStyle w:val="NormalWeb"/>
              <w:ind w:right="34"/>
            </w:pPr>
            <w:r>
              <w:rPr>
                <w:rFonts w:ascii="Arial" w:hAnsi="Arial"/>
                <w:sz w:val="22"/>
                <w:szCs w:val="22"/>
              </w:rPr>
              <w:t>I confirm that this is my original work and that I have adhered to the University policy on plagiarism.</w:t>
            </w:r>
          </w:p>
          <w:p w14:paraId="7F671D08" w14:textId="77777777" w:rsidR="006B79E8" w:rsidRDefault="006B79E8" w:rsidP="003E502B">
            <w:pPr>
              <w:pStyle w:val="NormalWeb"/>
              <w:ind w:right="34"/>
              <w:rPr>
                <w:rFonts w:ascii="Arial" w:hAnsi="Arial"/>
                <w:sz w:val="22"/>
                <w:szCs w:val="22"/>
              </w:rPr>
            </w:pPr>
            <w:r>
              <w:rPr>
                <w:rFonts w:ascii="Arial" w:hAnsi="Arial"/>
                <w:sz w:val="22"/>
                <w:szCs w:val="22"/>
              </w:rPr>
              <w:t>Signed ……/</w:t>
            </w:r>
            <w:proofErr w:type="spellStart"/>
            <w:r>
              <w:rPr>
                <w:rFonts w:ascii="Arial" w:hAnsi="Arial"/>
                <w:sz w:val="22"/>
                <w:szCs w:val="22"/>
              </w:rPr>
              <w:t>vadimzaver</w:t>
            </w:r>
            <w:proofErr w:type="spellEnd"/>
            <w:r>
              <w:rPr>
                <w:rFonts w:ascii="Arial" w:hAnsi="Arial"/>
                <w:sz w:val="22"/>
                <w:szCs w:val="22"/>
              </w:rPr>
              <w:t>/………………………………………………………</w:t>
            </w:r>
          </w:p>
          <w:p w14:paraId="31D1C148" w14:textId="7D0733D6" w:rsidR="006B79E8" w:rsidRDefault="006B79E8" w:rsidP="003E502B">
            <w:pPr>
              <w:pStyle w:val="NormalWeb"/>
              <w:ind w:right="34"/>
              <w:rPr>
                <w:rFonts w:ascii="Calibri" w:hAnsi="Calibri"/>
                <w:b/>
                <w:sz w:val="44"/>
                <w:szCs w:val="44"/>
              </w:rPr>
            </w:pPr>
            <w:r>
              <w:rPr>
                <w:rFonts w:ascii="Calibri" w:hAnsi="Calibri"/>
                <w:b/>
                <w:sz w:val="24"/>
                <w:szCs w:val="24"/>
              </w:rPr>
              <w:t xml:space="preserve">Email </w:t>
            </w:r>
            <w:proofErr w:type="spellStart"/>
            <w:proofErr w:type="gramStart"/>
            <w:r>
              <w:rPr>
                <w:rFonts w:ascii="Calibri" w:hAnsi="Calibri"/>
                <w:b/>
                <w:sz w:val="24"/>
                <w:szCs w:val="24"/>
              </w:rPr>
              <w:t>submission:if</w:t>
            </w:r>
            <w:proofErr w:type="spellEnd"/>
            <w:proofErr w:type="gramEnd"/>
            <w:r>
              <w:rPr>
                <w:rFonts w:ascii="Calibri" w:hAnsi="Calibri"/>
                <w:b/>
                <w:sz w:val="24"/>
                <w:szCs w:val="24"/>
              </w:rPr>
              <w:t xml:space="preserve"> you are submitting this form via email, please tick this box </w:t>
            </w:r>
            <w:r w:rsidR="00631C19">
              <w:rPr>
                <w:rFonts w:ascii="Calibri" w:hAnsi="Calibri"/>
                <w:b/>
                <w:sz w:val="44"/>
                <w:szCs w:val="44"/>
              </w:rPr>
              <w:t>x</w:t>
            </w:r>
          </w:p>
          <w:p w14:paraId="56F0A6EB" w14:textId="77777777" w:rsidR="006B79E8" w:rsidRDefault="006B79E8" w:rsidP="003E502B">
            <w:pPr>
              <w:pStyle w:val="NormalWeb"/>
              <w:ind w:right="34"/>
            </w:pPr>
            <w:r>
              <w:rPr>
                <w:rFonts w:ascii="Calibri" w:hAnsi="Calibri"/>
                <w:b/>
                <w:sz w:val="24"/>
                <w:szCs w:val="24"/>
              </w:rPr>
              <w:t>(as a substitute for your signature) to confirm that you agree to the above declaration.</w:t>
            </w:r>
          </w:p>
        </w:tc>
      </w:tr>
      <w:tr w:rsidR="006B79E8" w14:paraId="730F83D5" w14:textId="77777777" w:rsidTr="003E502B">
        <w:trPr>
          <w:trHeight w:val="3972"/>
        </w:trPr>
        <w:tc>
          <w:tcPr>
            <w:tcW w:w="8856" w:type="dxa"/>
            <w:gridSpan w:val="5"/>
          </w:tcPr>
          <w:p w14:paraId="68E16623" w14:textId="77777777" w:rsidR="006B79E8" w:rsidRDefault="006B79E8" w:rsidP="003E502B">
            <w:pPr>
              <w:rPr>
                <w:rFonts w:ascii="Arial" w:hAnsi="Arial"/>
                <w:b/>
              </w:rPr>
            </w:pPr>
          </w:p>
          <w:p w14:paraId="2A183205" w14:textId="77777777" w:rsidR="006B79E8" w:rsidRDefault="006B79E8" w:rsidP="003E502B">
            <w:pPr>
              <w:rPr>
                <w:rFonts w:ascii="Arial" w:hAnsi="Arial"/>
              </w:rPr>
            </w:pPr>
            <w:r>
              <w:rPr>
                <w:rFonts w:ascii="Arial" w:hAnsi="Arial"/>
                <w:b/>
              </w:rPr>
              <w:t>Assignment Mark</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70"/>
              <w:gridCol w:w="1660"/>
            </w:tblGrid>
            <w:tr w:rsidR="006B79E8" w14:paraId="147561D4" w14:textId="77777777" w:rsidTr="003E502B">
              <w:tc>
                <w:tcPr>
                  <w:tcW w:w="6970" w:type="dxa"/>
                </w:tcPr>
                <w:p w14:paraId="7D43B378" w14:textId="77777777" w:rsidR="006B79E8" w:rsidRDefault="006B79E8" w:rsidP="003E502B">
                  <w:pPr>
                    <w:rPr>
                      <w:rFonts w:ascii="Arial" w:hAnsi="Arial"/>
                      <w:sz w:val="20"/>
                      <w:szCs w:val="20"/>
                    </w:rPr>
                  </w:pPr>
                </w:p>
                <w:p w14:paraId="2948F1A4" w14:textId="77777777" w:rsidR="006B79E8" w:rsidRDefault="006B79E8" w:rsidP="003E502B">
                  <w:r>
                    <w:rPr>
                      <w:rFonts w:ascii="Arial" w:hAnsi="Arial"/>
                      <w:sz w:val="20"/>
                      <w:szCs w:val="20"/>
                    </w:rPr>
                    <w:t>1</w:t>
                  </w:r>
                  <w:r>
                    <w:rPr>
                      <w:rFonts w:ascii="Arial" w:hAnsi="Arial"/>
                      <w:sz w:val="20"/>
                      <w:szCs w:val="20"/>
                      <w:vertAlign w:val="superscript"/>
                    </w:rPr>
                    <w:t>st</w:t>
                  </w:r>
                  <w:r>
                    <w:rPr>
                      <w:rFonts w:ascii="Arial" w:hAnsi="Arial"/>
                      <w:sz w:val="20"/>
                      <w:szCs w:val="20"/>
                    </w:rPr>
                    <w:t xml:space="preserve"> Marker’s Provisional mark</w:t>
                  </w:r>
                </w:p>
              </w:tc>
              <w:tc>
                <w:tcPr>
                  <w:tcW w:w="1660" w:type="dxa"/>
                </w:tcPr>
                <w:p w14:paraId="6E6ADB8B" w14:textId="77777777" w:rsidR="006B79E8" w:rsidRDefault="006B79E8" w:rsidP="003E502B">
                  <w:pPr>
                    <w:rPr>
                      <w:rFonts w:ascii="Arial" w:hAnsi="Arial"/>
                      <w:sz w:val="20"/>
                      <w:szCs w:val="20"/>
                    </w:rPr>
                  </w:pPr>
                </w:p>
              </w:tc>
            </w:tr>
            <w:tr w:rsidR="006B79E8" w14:paraId="081110C3" w14:textId="77777777" w:rsidTr="003E502B">
              <w:tc>
                <w:tcPr>
                  <w:tcW w:w="6970" w:type="dxa"/>
                </w:tcPr>
                <w:p w14:paraId="7636BF14" w14:textId="77777777" w:rsidR="006B79E8" w:rsidRDefault="006B79E8" w:rsidP="003E502B">
                  <w:pPr>
                    <w:rPr>
                      <w:rFonts w:ascii="Arial" w:hAnsi="Arial"/>
                      <w:sz w:val="20"/>
                      <w:szCs w:val="20"/>
                    </w:rPr>
                  </w:pPr>
                </w:p>
                <w:p w14:paraId="2D4D63E5" w14:textId="77777777" w:rsidR="006B79E8" w:rsidRDefault="006B79E8" w:rsidP="003E502B">
                  <w:r>
                    <w:rPr>
                      <w:rFonts w:ascii="Arial" w:hAnsi="Arial"/>
                      <w:sz w:val="20"/>
                      <w:szCs w:val="20"/>
                    </w:rPr>
                    <w:t>2</w:t>
                  </w:r>
                  <w:r>
                    <w:rPr>
                      <w:rFonts w:ascii="Arial" w:hAnsi="Arial"/>
                      <w:sz w:val="20"/>
                      <w:szCs w:val="20"/>
                      <w:vertAlign w:val="superscript"/>
                    </w:rPr>
                    <w:t>nd</w:t>
                  </w:r>
                  <w:r>
                    <w:rPr>
                      <w:rFonts w:ascii="Arial" w:hAnsi="Arial"/>
                      <w:sz w:val="20"/>
                      <w:szCs w:val="20"/>
                    </w:rPr>
                    <w:t xml:space="preserve"> Marker’s/Moderator’s provisional mark</w:t>
                  </w:r>
                </w:p>
              </w:tc>
              <w:tc>
                <w:tcPr>
                  <w:tcW w:w="1660" w:type="dxa"/>
                </w:tcPr>
                <w:p w14:paraId="0CFE04F6" w14:textId="77777777" w:rsidR="006B79E8" w:rsidRDefault="006B79E8" w:rsidP="003E502B">
                  <w:pPr>
                    <w:rPr>
                      <w:rFonts w:ascii="Arial" w:hAnsi="Arial"/>
                      <w:sz w:val="20"/>
                      <w:szCs w:val="20"/>
                    </w:rPr>
                  </w:pPr>
                </w:p>
              </w:tc>
            </w:tr>
            <w:tr w:rsidR="006B79E8" w14:paraId="7411EEB6" w14:textId="77777777" w:rsidTr="003E502B">
              <w:tc>
                <w:tcPr>
                  <w:tcW w:w="6970" w:type="dxa"/>
                </w:tcPr>
                <w:p w14:paraId="11BCAF95" w14:textId="77777777" w:rsidR="006B79E8" w:rsidRDefault="006B79E8" w:rsidP="003E502B">
                  <w:pPr>
                    <w:rPr>
                      <w:rFonts w:ascii="Arial" w:hAnsi="Arial"/>
                      <w:sz w:val="20"/>
                      <w:szCs w:val="20"/>
                    </w:rPr>
                  </w:pPr>
                </w:p>
                <w:p w14:paraId="0EA89716" w14:textId="77777777" w:rsidR="006B79E8" w:rsidRDefault="006B79E8" w:rsidP="003E502B">
                  <w:pPr>
                    <w:rPr>
                      <w:rFonts w:ascii="Arial" w:hAnsi="Arial"/>
                      <w:sz w:val="20"/>
                      <w:szCs w:val="20"/>
                    </w:rPr>
                  </w:pPr>
                  <w:r>
                    <w:rPr>
                      <w:rFonts w:ascii="Arial" w:hAnsi="Arial"/>
                      <w:sz w:val="20"/>
                      <w:szCs w:val="20"/>
                    </w:rPr>
                    <w:t>External Examiner’s mark (if relevant)</w:t>
                  </w:r>
                </w:p>
              </w:tc>
              <w:tc>
                <w:tcPr>
                  <w:tcW w:w="1660" w:type="dxa"/>
                </w:tcPr>
                <w:p w14:paraId="74B8E40E" w14:textId="77777777" w:rsidR="006B79E8" w:rsidRDefault="006B79E8" w:rsidP="003E502B">
                  <w:pPr>
                    <w:rPr>
                      <w:rFonts w:ascii="Arial" w:hAnsi="Arial"/>
                      <w:sz w:val="20"/>
                      <w:szCs w:val="20"/>
                    </w:rPr>
                  </w:pPr>
                </w:p>
              </w:tc>
            </w:tr>
            <w:tr w:rsidR="006B79E8" w14:paraId="6CEE5A90" w14:textId="77777777" w:rsidTr="003E502B">
              <w:tc>
                <w:tcPr>
                  <w:tcW w:w="6970" w:type="dxa"/>
                </w:tcPr>
                <w:p w14:paraId="6EFF9F3F" w14:textId="77777777" w:rsidR="006B79E8" w:rsidRDefault="006B79E8" w:rsidP="003E502B">
                  <w:pPr>
                    <w:rPr>
                      <w:rFonts w:ascii="Arial" w:hAnsi="Arial"/>
                      <w:sz w:val="20"/>
                      <w:szCs w:val="20"/>
                    </w:rPr>
                  </w:pPr>
                </w:p>
                <w:p w14:paraId="5F8D19B6" w14:textId="77777777" w:rsidR="006B79E8" w:rsidRDefault="006B79E8" w:rsidP="003E502B">
                  <w:r>
                    <w:rPr>
                      <w:rFonts w:ascii="Arial" w:hAnsi="Arial"/>
                      <w:b/>
                      <w:sz w:val="20"/>
                      <w:szCs w:val="20"/>
                    </w:rPr>
                    <w:t>Final Mark</w:t>
                  </w:r>
                </w:p>
                <w:p w14:paraId="432055A0" w14:textId="77777777" w:rsidR="006B79E8" w:rsidRDefault="006B79E8" w:rsidP="003E502B">
                  <w:pPr>
                    <w:rPr>
                      <w:rFonts w:ascii="Arial" w:hAnsi="Arial"/>
                      <w:sz w:val="20"/>
                      <w:szCs w:val="20"/>
                    </w:rPr>
                  </w:pPr>
                </w:p>
              </w:tc>
              <w:tc>
                <w:tcPr>
                  <w:tcW w:w="1660" w:type="dxa"/>
                </w:tcPr>
                <w:p w14:paraId="4A81B44A" w14:textId="77777777" w:rsidR="006B79E8" w:rsidRDefault="006B79E8" w:rsidP="003E502B">
                  <w:pPr>
                    <w:rPr>
                      <w:rFonts w:ascii="Arial" w:hAnsi="Arial"/>
                      <w:sz w:val="20"/>
                      <w:szCs w:val="20"/>
                    </w:rPr>
                  </w:pPr>
                </w:p>
              </w:tc>
            </w:tr>
          </w:tbl>
          <w:p w14:paraId="0F1544CB" w14:textId="77777777" w:rsidR="006B79E8" w:rsidRDefault="006B79E8" w:rsidP="003E502B">
            <w:pPr>
              <w:pStyle w:val="NormalWeb"/>
              <w:ind w:left="142" w:right="34"/>
              <w:rPr>
                <w:rFonts w:ascii="Arial" w:hAnsi="Arial"/>
                <w:b/>
                <w:sz w:val="22"/>
                <w:szCs w:val="22"/>
              </w:rPr>
            </w:pPr>
          </w:p>
          <w:p w14:paraId="3DFCEA9A" w14:textId="77777777" w:rsidR="006B79E8" w:rsidRDefault="006B79E8" w:rsidP="003E502B">
            <w:pPr>
              <w:pStyle w:val="NormalWeb"/>
              <w:ind w:left="142" w:right="34"/>
              <w:rPr>
                <w:rFonts w:ascii="Arial" w:hAnsi="Arial"/>
                <w:sz w:val="22"/>
                <w:szCs w:val="22"/>
              </w:rPr>
            </w:pPr>
            <w:r>
              <w:rPr>
                <w:rFonts w:ascii="Arial" w:hAnsi="Arial"/>
                <w:b/>
                <w:sz w:val="22"/>
                <w:szCs w:val="22"/>
              </w:rPr>
              <w:t>NB.</w:t>
            </w:r>
            <w:r>
              <w:rPr>
                <w:rFonts w:ascii="Arial" w:hAnsi="Arial"/>
                <w:sz w:val="22"/>
                <w:szCs w:val="22"/>
              </w:rPr>
              <w:t xml:space="preserve">  All marks are provisional until confirmed by the Final Examination Board.</w:t>
            </w:r>
          </w:p>
          <w:p w14:paraId="2AC0DB08" w14:textId="77777777" w:rsidR="006B79E8" w:rsidRDefault="006B79E8" w:rsidP="003E502B">
            <w:pPr>
              <w:pStyle w:val="NormalWeb"/>
              <w:rPr>
                <w:rFonts w:ascii="Arial" w:hAnsi="Arial"/>
                <w:b/>
                <w:sz w:val="22"/>
                <w:szCs w:val="22"/>
              </w:rPr>
            </w:pPr>
          </w:p>
          <w:p w14:paraId="439F8784" w14:textId="77777777" w:rsidR="006B79E8" w:rsidRDefault="006B79E8" w:rsidP="003E502B">
            <w:pPr>
              <w:pStyle w:val="NormalWeb"/>
              <w:rPr>
                <w:rFonts w:ascii="Arial" w:hAnsi="Arial"/>
                <w:b/>
                <w:sz w:val="22"/>
                <w:szCs w:val="22"/>
              </w:rPr>
            </w:pPr>
          </w:p>
          <w:p w14:paraId="5A1EA2FA" w14:textId="77777777" w:rsidR="006B79E8" w:rsidRDefault="006B79E8" w:rsidP="003E502B">
            <w:pPr>
              <w:pStyle w:val="NormalWeb"/>
              <w:rPr>
                <w:rFonts w:ascii="Arial" w:hAnsi="Arial"/>
                <w:b/>
                <w:sz w:val="22"/>
                <w:szCs w:val="22"/>
              </w:rPr>
            </w:pPr>
            <w:r>
              <w:rPr>
                <w:rFonts w:ascii="Arial"/>
                <w:b/>
                <w:sz w:val="22"/>
              </w:rPr>
              <w:t xml:space="preserve">            ALL COMMENTS </w:t>
            </w:r>
            <w:proofErr w:type="gramStart"/>
            <w:r>
              <w:rPr>
                <w:rFonts w:ascii="Arial"/>
                <w:b/>
                <w:sz w:val="22"/>
              </w:rPr>
              <w:t>ARE  ON</w:t>
            </w:r>
            <w:proofErr w:type="gramEnd"/>
            <w:r>
              <w:rPr>
                <w:rFonts w:ascii="Arial"/>
                <w:b/>
                <w:sz w:val="22"/>
              </w:rPr>
              <w:t xml:space="preserve"> THE PDF OF YOUR PAPER IN TURNITIN </w:t>
            </w:r>
          </w:p>
          <w:p w14:paraId="645F2A5C" w14:textId="77777777" w:rsidR="006B79E8" w:rsidRDefault="006B79E8" w:rsidP="003E502B">
            <w:pPr>
              <w:pStyle w:val="NormalWeb"/>
              <w:rPr>
                <w:rFonts w:ascii="Arial" w:hAnsi="Arial"/>
                <w:b/>
                <w:sz w:val="22"/>
                <w:szCs w:val="22"/>
              </w:rPr>
            </w:pPr>
          </w:p>
          <w:p w14:paraId="31E8E796" w14:textId="77777777" w:rsidR="006B79E8" w:rsidRDefault="006B79E8" w:rsidP="003E502B">
            <w:pPr>
              <w:pStyle w:val="NormalWeb"/>
              <w:rPr>
                <w:rFonts w:ascii="Arial" w:hAnsi="Arial"/>
                <w:b/>
                <w:sz w:val="22"/>
                <w:szCs w:val="22"/>
              </w:rPr>
            </w:pPr>
          </w:p>
          <w:p w14:paraId="4F092901" w14:textId="77777777" w:rsidR="006B79E8" w:rsidRDefault="006B79E8" w:rsidP="003E502B">
            <w:pPr>
              <w:pStyle w:val="NormalWeb"/>
            </w:pPr>
            <w:r>
              <w:rPr>
                <w:rFonts w:ascii="Arial" w:hAnsi="Arial"/>
                <w:b/>
                <w:sz w:val="22"/>
                <w:szCs w:val="22"/>
              </w:rPr>
              <w:t xml:space="preserve">For completion by Marker </w:t>
            </w:r>
            <w:proofErr w:type="gramStart"/>
            <w:r>
              <w:rPr>
                <w:rFonts w:ascii="Arial" w:hAnsi="Arial"/>
                <w:b/>
                <w:sz w:val="22"/>
                <w:szCs w:val="22"/>
              </w:rPr>
              <w:t>1 :</w:t>
            </w:r>
            <w:proofErr w:type="gramEnd"/>
          </w:p>
          <w:p w14:paraId="2D76D817" w14:textId="77777777" w:rsidR="006B79E8" w:rsidRDefault="006B79E8" w:rsidP="003E502B">
            <w:pPr>
              <w:pStyle w:val="NormalWeb"/>
              <w:rPr>
                <w:rFonts w:ascii="Arial" w:hAnsi="Arial"/>
                <w:sz w:val="22"/>
                <w:szCs w:val="22"/>
              </w:rPr>
            </w:pPr>
            <w:r>
              <w:rPr>
                <w:rFonts w:ascii="Arial" w:hAnsi="Arial"/>
                <w:sz w:val="22"/>
                <w:szCs w:val="22"/>
              </w:rPr>
              <w:t>Comments:</w:t>
            </w:r>
          </w:p>
          <w:p w14:paraId="434CC432" w14:textId="77777777" w:rsidR="006B79E8" w:rsidRDefault="006B79E8" w:rsidP="003E502B">
            <w:pPr>
              <w:pStyle w:val="NormalWeb"/>
            </w:pPr>
          </w:p>
        </w:tc>
      </w:tr>
      <w:tr w:rsidR="006B79E8" w14:paraId="44337964" w14:textId="77777777" w:rsidTr="003E502B">
        <w:trPr>
          <w:trHeight w:val="492"/>
        </w:trPr>
        <w:tc>
          <w:tcPr>
            <w:tcW w:w="6768" w:type="dxa"/>
            <w:gridSpan w:val="3"/>
          </w:tcPr>
          <w:p w14:paraId="35418222" w14:textId="77777777" w:rsidR="006B79E8" w:rsidRDefault="006B79E8" w:rsidP="003E502B">
            <w:pPr>
              <w:pStyle w:val="NormalWeb"/>
              <w:ind w:left="142" w:right="34"/>
            </w:pPr>
            <w:r>
              <w:rPr>
                <w:rFonts w:ascii="Arial" w:hAnsi="Arial"/>
                <w:sz w:val="22"/>
                <w:szCs w:val="22"/>
              </w:rPr>
              <w:t>Marker’s signature:</w:t>
            </w:r>
          </w:p>
        </w:tc>
        <w:tc>
          <w:tcPr>
            <w:tcW w:w="2088" w:type="dxa"/>
            <w:gridSpan w:val="2"/>
          </w:tcPr>
          <w:p w14:paraId="2D2A20A7" w14:textId="77777777" w:rsidR="006B79E8" w:rsidRDefault="006B79E8" w:rsidP="003E502B">
            <w:pPr>
              <w:pStyle w:val="NormalWeb"/>
              <w:ind w:right="34"/>
            </w:pPr>
            <w:r>
              <w:rPr>
                <w:rFonts w:ascii="Arial" w:hAnsi="Arial"/>
                <w:sz w:val="22"/>
                <w:szCs w:val="22"/>
              </w:rPr>
              <w:t>Date:</w:t>
            </w:r>
          </w:p>
        </w:tc>
      </w:tr>
      <w:tr w:rsidR="006B79E8" w14:paraId="0F00AA61" w14:textId="77777777" w:rsidTr="003E502B">
        <w:tc>
          <w:tcPr>
            <w:tcW w:w="8856" w:type="dxa"/>
            <w:gridSpan w:val="5"/>
          </w:tcPr>
          <w:p w14:paraId="05C4B930" w14:textId="77777777" w:rsidR="006B79E8" w:rsidRDefault="006B79E8" w:rsidP="003E502B">
            <w:pPr>
              <w:pStyle w:val="NormalWeb"/>
              <w:ind w:right="-334"/>
              <w:rPr>
                <w:rFonts w:ascii="Arial" w:hAnsi="Arial"/>
                <w:i/>
                <w:sz w:val="22"/>
                <w:szCs w:val="22"/>
              </w:rPr>
            </w:pPr>
          </w:p>
          <w:p w14:paraId="67012154" w14:textId="77777777" w:rsidR="006B79E8" w:rsidRDefault="006B79E8" w:rsidP="003E502B">
            <w:pPr>
              <w:pStyle w:val="NormalWeb"/>
              <w:ind w:right="-334"/>
            </w:pPr>
            <w:r>
              <w:rPr>
                <w:rFonts w:ascii="Arial" w:hAnsi="Arial"/>
                <w:b/>
                <w:sz w:val="22"/>
                <w:szCs w:val="22"/>
              </w:rPr>
              <w:t>For completion by Marker 2/Moderator:</w:t>
            </w:r>
          </w:p>
          <w:p w14:paraId="31688AE1" w14:textId="77777777" w:rsidR="006B79E8" w:rsidRDefault="006B79E8" w:rsidP="003E502B">
            <w:pPr>
              <w:pStyle w:val="NormalWeb"/>
              <w:ind w:right="-334"/>
              <w:rPr>
                <w:rFonts w:ascii="Arial" w:hAnsi="Arial"/>
                <w:b/>
                <w:sz w:val="22"/>
                <w:szCs w:val="22"/>
              </w:rPr>
            </w:pPr>
          </w:p>
          <w:p w14:paraId="12A49AC7" w14:textId="77777777" w:rsidR="006B79E8" w:rsidRDefault="006B79E8" w:rsidP="003E502B">
            <w:pPr>
              <w:pStyle w:val="NormalWeb"/>
              <w:ind w:right="-334"/>
            </w:pPr>
            <w:r>
              <w:rPr>
                <w:rFonts w:ascii="Arial" w:hAnsi="Arial"/>
                <w:sz w:val="22"/>
                <w:szCs w:val="22"/>
              </w:rPr>
              <w:t>Comments:</w:t>
            </w:r>
          </w:p>
          <w:p w14:paraId="4FD2913E" w14:textId="77777777" w:rsidR="006B79E8" w:rsidRDefault="006B79E8" w:rsidP="003E502B">
            <w:pPr>
              <w:pStyle w:val="NormalWeb"/>
              <w:ind w:right="-334"/>
              <w:rPr>
                <w:rFonts w:ascii="Arial" w:hAnsi="Arial"/>
                <w:sz w:val="22"/>
                <w:szCs w:val="22"/>
              </w:rPr>
            </w:pPr>
          </w:p>
          <w:p w14:paraId="5C1AE644" w14:textId="77777777" w:rsidR="006B79E8" w:rsidRDefault="006B79E8" w:rsidP="003E502B">
            <w:pPr>
              <w:pStyle w:val="NormalWeb"/>
              <w:ind w:right="-334"/>
              <w:rPr>
                <w:rFonts w:ascii="Arial" w:hAnsi="Arial"/>
                <w:sz w:val="22"/>
                <w:szCs w:val="22"/>
              </w:rPr>
            </w:pPr>
          </w:p>
        </w:tc>
      </w:tr>
      <w:tr w:rsidR="006B79E8" w14:paraId="67E05E92" w14:textId="77777777" w:rsidTr="003E502B">
        <w:trPr>
          <w:trHeight w:val="720"/>
        </w:trPr>
        <w:tc>
          <w:tcPr>
            <w:tcW w:w="5211" w:type="dxa"/>
            <w:gridSpan w:val="2"/>
          </w:tcPr>
          <w:p w14:paraId="2794FF64" w14:textId="77777777" w:rsidR="006B79E8" w:rsidRDefault="006B79E8" w:rsidP="003E502B">
            <w:pPr>
              <w:pStyle w:val="NormalWeb"/>
              <w:ind w:right="-334"/>
            </w:pPr>
            <w:r>
              <w:rPr>
                <w:rFonts w:ascii="Arial" w:hAnsi="Arial"/>
                <w:sz w:val="22"/>
                <w:szCs w:val="22"/>
              </w:rPr>
              <w:t>Marker’s Signature:</w:t>
            </w:r>
          </w:p>
        </w:tc>
        <w:tc>
          <w:tcPr>
            <w:tcW w:w="3645" w:type="dxa"/>
            <w:gridSpan w:val="3"/>
          </w:tcPr>
          <w:p w14:paraId="1A1662FE" w14:textId="77777777" w:rsidR="006B79E8" w:rsidRDefault="006B79E8" w:rsidP="003E502B">
            <w:pPr>
              <w:pStyle w:val="NormalWeb"/>
              <w:ind w:right="-334"/>
            </w:pPr>
            <w:r>
              <w:rPr>
                <w:rFonts w:ascii="Arial" w:hAnsi="Arial"/>
                <w:sz w:val="22"/>
                <w:szCs w:val="22"/>
              </w:rPr>
              <w:t>Date:</w:t>
            </w:r>
          </w:p>
        </w:tc>
      </w:tr>
      <w:tr w:rsidR="006B79E8" w14:paraId="10548295" w14:textId="77777777" w:rsidTr="003E502B">
        <w:trPr>
          <w:trHeight w:val="720"/>
        </w:trPr>
        <w:tc>
          <w:tcPr>
            <w:tcW w:w="8856" w:type="dxa"/>
            <w:gridSpan w:val="5"/>
          </w:tcPr>
          <w:p w14:paraId="2598FF00" w14:textId="77777777" w:rsidR="006B79E8" w:rsidRDefault="006B79E8" w:rsidP="003E502B">
            <w:r>
              <w:rPr>
                <w:rFonts w:ascii="Arial" w:hAnsi="Arial"/>
                <w:b/>
                <w:sz w:val="22"/>
                <w:szCs w:val="22"/>
              </w:rPr>
              <w:t>External Examiner’s comments (if relevant)</w:t>
            </w:r>
          </w:p>
          <w:p w14:paraId="797B756B" w14:textId="77777777" w:rsidR="006B79E8" w:rsidRDefault="006B79E8" w:rsidP="003E502B">
            <w:pPr>
              <w:pStyle w:val="NormalWeb"/>
              <w:ind w:right="-334"/>
              <w:rPr>
                <w:rFonts w:ascii="Arial" w:hAnsi="Arial"/>
                <w:sz w:val="22"/>
                <w:szCs w:val="22"/>
              </w:rPr>
            </w:pPr>
          </w:p>
        </w:tc>
      </w:tr>
      <w:tr w:rsidR="006B79E8" w14:paraId="09D2DB97" w14:textId="77777777" w:rsidTr="003E502B">
        <w:trPr>
          <w:trHeight w:val="720"/>
        </w:trPr>
        <w:tc>
          <w:tcPr>
            <w:tcW w:w="5211" w:type="dxa"/>
            <w:gridSpan w:val="2"/>
          </w:tcPr>
          <w:p w14:paraId="15225996" w14:textId="77777777" w:rsidR="006B79E8" w:rsidRDefault="006B79E8" w:rsidP="003E502B">
            <w:r>
              <w:rPr>
                <w:rFonts w:ascii="Arial" w:hAnsi="Arial"/>
                <w:sz w:val="22"/>
                <w:szCs w:val="22"/>
              </w:rPr>
              <w:t>External Examiner’s Signature:</w:t>
            </w:r>
          </w:p>
        </w:tc>
        <w:tc>
          <w:tcPr>
            <w:tcW w:w="3645" w:type="dxa"/>
            <w:gridSpan w:val="3"/>
          </w:tcPr>
          <w:p w14:paraId="61D37F98" w14:textId="77777777" w:rsidR="006B79E8" w:rsidRDefault="006B79E8" w:rsidP="003E502B">
            <w:r>
              <w:rPr>
                <w:rFonts w:ascii="Arial" w:hAnsi="Arial"/>
                <w:sz w:val="22"/>
                <w:szCs w:val="22"/>
              </w:rPr>
              <w:t>Date:</w:t>
            </w:r>
          </w:p>
        </w:tc>
      </w:tr>
    </w:tbl>
    <w:p w14:paraId="793EDC82" w14:textId="77777777" w:rsidR="006B79E8" w:rsidRDefault="006B79E8" w:rsidP="006B79E8"/>
    <w:p w14:paraId="7B9E7151" w14:textId="77777777" w:rsidR="006B79E8" w:rsidRDefault="006B79E8" w:rsidP="006B79E8">
      <w:pPr>
        <w:rPr>
          <w:rFonts w:ascii="Times New Roman" w:eastAsia="Times New Roman" w:hAnsi="Times New Roman" w:cs="Times New Roman (Body CS)"/>
          <w:color w:val="000000" w:themeColor="text1"/>
        </w:rPr>
      </w:pPr>
      <w:r>
        <w:br w:type="page"/>
      </w:r>
    </w:p>
    <w:p w14:paraId="2390E0B0" w14:textId="14D8BC56" w:rsidR="00F82698" w:rsidRDefault="00F82698" w:rsidP="00F82698">
      <w:pPr>
        <w:pStyle w:val="Subhead"/>
      </w:pPr>
      <w:r>
        <w:lastRenderedPageBreak/>
        <w:t>Introduction</w:t>
      </w:r>
      <w:r w:rsidR="005546F8">
        <w:t xml:space="preserve"> </w:t>
      </w:r>
    </w:p>
    <w:p w14:paraId="31576588" w14:textId="3A469A83" w:rsidR="00E77FF5" w:rsidRDefault="00F4017E" w:rsidP="000D6C67">
      <w:pPr>
        <w:pStyle w:val="Normal0"/>
      </w:pPr>
      <w:r w:rsidRPr="00F4017E">
        <w:t xml:space="preserve">Plutarch </w:t>
      </w:r>
      <w:r>
        <w:t>(</w:t>
      </w:r>
      <w:r w:rsidRPr="00F4017E">
        <w:t xml:space="preserve">46 </w:t>
      </w:r>
      <w:r>
        <w:t xml:space="preserve">- </w:t>
      </w:r>
      <w:r w:rsidRPr="00F4017E">
        <w:t xml:space="preserve">119) was a </w:t>
      </w:r>
      <w:r w:rsidR="003E38BD">
        <w:t>renowned</w:t>
      </w:r>
      <w:r w:rsidRPr="00F4017E">
        <w:t xml:space="preserve"> </w:t>
      </w:r>
      <w:r w:rsidR="00CE408A">
        <w:t xml:space="preserve">Greek </w:t>
      </w:r>
      <w:r w:rsidRPr="00F4017E">
        <w:t xml:space="preserve">philosopher, historian, </w:t>
      </w:r>
      <w:r w:rsidR="00CE408A">
        <w:t xml:space="preserve">biographer, essayist, </w:t>
      </w:r>
      <w:r w:rsidRPr="00F4017E">
        <w:t xml:space="preserve">priest </w:t>
      </w:r>
      <w:r w:rsidR="00E81425">
        <w:t>and author of over 200 books</w:t>
      </w:r>
      <w:r w:rsidRPr="00F4017E">
        <w:t xml:space="preserve">. </w:t>
      </w:r>
      <w:r w:rsidR="00CE408A" w:rsidRPr="00CE408A">
        <w:t xml:space="preserve">He is best known for his </w:t>
      </w:r>
      <w:r w:rsidR="00CE408A" w:rsidRPr="00CE408A">
        <w:rPr>
          <w:rStyle w:val="Publication"/>
        </w:rPr>
        <w:t>Parallel Lives</w:t>
      </w:r>
      <w:r w:rsidR="00CE408A" w:rsidRPr="00CE408A">
        <w:t>,</w:t>
      </w:r>
      <w:r w:rsidR="00CE408A" w:rsidRPr="00631C19">
        <w:rPr>
          <w:rStyle w:val="FootnoteReference"/>
        </w:rPr>
        <w:footnoteReference w:id="1"/>
      </w:r>
      <w:r w:rsidR="00CE408A" w:rsidRPr="00CE408A">
        <w:t xml:space="preserve"> a series of biographies of famous Greeks and Romans, and his </w:t>
      </w:r>
      <w:proofErr w:type="spellStart"/>
      <w:r w:rsidR="00CE408A" w:rsidRPr="00CE408A">
        <w:rPr>
          <w:rStyle w:val="Publication"/>
        </w:rPr>
        <w:t>Moralia</w:t>
      </w:r>
      <w:proofErr w:type="spellEnd"/>
      <w:r w:rsidR="00CE408A" w:rsidRPr="00CE408A">
        <w:t>,</w:t>
      </w:r>
      <w:r w:rsidR="00CE408A" w:rsidRPr="00631C19">
        <w:rPr>
          <w:rStyle w:val="FootnoteReference"/>
        </w:rPr>
        <w:footnoteReference w:id="2"/>
      </w:r>
      <w:r w:rsidR="00CE408A" w:rsidRPr="00CE408A">
        <w:t xml:space="preserve"> a collection of essays and speeches. Plutarch wrote extensively on philosophy, religion, and politics, and his works have been highly influential in the Western world for centuries. He is also credited with introducing the concept of parallelism, which compares the lives of two famous figures in order to draw out their similarities and differences.</w:t>
      </w:r>
      <w:r w:rsidR="007F6297">
        <w:t xml:space="preserve"> Plutarch</w:t>
      </w:r>
      <w:r w:rsidR="00E81425">
        <w:t xml:space="preserve"> was an adviser to </w:t>
      </w:r>
      <w:r w:rsidR="003E38BD">
        <w:t>several</w:t>
      </w:r>
      <w:r w:rsidR="00E81425">
        <w:t xml:space="preserve"> Roman emperors. </w:t>
      </w:r>
      <w:r w:rsidR="00AF2079">
        <w:t xml:space="preserve">He wrote </w:t>
      </w:r>
      <w:r w:rsidR="00AF2079" w:rsidRPr="00AF2079">
        <w:rPr>
          <w:rStyle w:val="Publication"/>
        </w:rPr>
        <w:t>On the Obsolescence of Oracles</w:t>
      </w:r>
      <w:r w:rsidR="00AF2079">
        <w:t>,</w:t>
      </w:r>
      <w:r w:rsidR="00AF2079" w:rsidRPr="00631C19">
        <w:rPr>
          <w:rStyle w:val="FootnoteReference"/>
        </w:rPr>
        <w:footnoteReference w:id="3"/>
      </w:r>
      <w:r w:rsidR="00AF2079">
        <w:t xml:space="preserve"> </w:t>
      </w:r>
      <w:r w:rsidR="00AF2079" w:rsidRPr="00F4017E">
        <w:t xml:space="preserve"> </w:t>
      </w:r>
      <w:r w:rsidR="00AF2079">
        <w:t>around 86</w:t>
      </w:r>
      <w:r w:rsidR="003E38BD">
        <w:t xml:space="preserve"> </w:t>
      </w:r>
      <w:r w:rsidR="00BF37DF">
        <w:t xml:space="preserve">AD. </w:t>
      </w:r>
    </w:p>
    <w:p w14:paraId="3374CA2B" w14:textId="1E707639" w:rsidR="00E77FF5" w:rsidRDefault="00E81425" w:rsidP="00A33383">
      <w:pPr>
        <w:pStyle w:val="Body"/>
      </w:pPr>
      <w:r>
        <w:t xml:space="preserve">Byzantian </w:t>
      </w:r>
      <w:r w:rsidR="00BF37DF" w:rsidRPr="00BF37DF">
        <w:t xml:space="preserve">Maximus </w:t>
      </w:r>
      <w:proofErr w:type="spellStart"/>
      <w:r w:rsidR="00BF37DF" w:rsidRPr="00BF37DF">
        <w:t>Planudes</w:t>
      </w:r>
      <w:proofErr w:type="spellEnd"/>
      <w:r w:rsidR="00BF37DF" w:rsidRPr="00BF37DF">
        <w:t xml:space="preserve"> </w:t>
      </w:r>
      <w:r w:rsidR="00BF37DF">
        <w:t>(</w:t>
      </w:r>
      <w:r w:rsidR="00BF37DF" w:rsidRPr="00BF37DF">
        <w:t>1260 – 1305</w:t>
      </w:r>
      <w:r w:rsidR="00BF37DF">
        <w:t xml:space="preserve">) </w:t>
      </w:r>
      <w:r w:rsidR="003E38BD">
        <w:t xml:space="preserve">was an ambassador to Italy, who </w:t>
      </w:r>
      <w:r w:rsidR="00BF37DF">
        <w:t>collected 78 works of</w:t>
      </w:r>
      <w:r w:rsidR="003E38BD">
        <w:t xml:space="preserve"> Plutarch.</w:t>
      </w:r>
      <w:r w:rsidR="00BF37DF">
        <w:t xml:space="preserve"> </w:t>
      </w:r>
      <w:r w:rsidR="003E38BD">
        <w:t>N</w:t>
      </w:r>
      <w:r w:rsidR="00BF37DF">
        <w:t xml:space="preserve">o more </w:t>
      </w:r>
      <w:r w:rsidR="003E38BD">
        <w:t xml:space="preserve">works of </w:t>
      </w:r>
      <w:r>
        <w:t xml:space="preserve">Plutarch </w:t>
      </w:r>
      <w:r w:rsidR="003E38BD">
        <w:t>have been</w:t>
      </w:r>
      <w:r w:rsidR="00BF37DF">
        <w:t xml:space="preserve"> found since</w:t>
      </w:r>
      <w:r w:rsidR="00120FCA">
        <w:t xml:space="preserve">. </w:t>
      </w:r>
      <w:r>
        <w:t xml:space="preserve">At the time </w:t>
      </w:r>
      <w:r w:rsidR="00120FCA">
        <w:t xml:space="preserve">books were copied </w:t>
      </w:r>
      <w:r w:rsidR="0081004A">
        <w:t xml:space="preserve">by hand </w:t>
      </w:r>
      <w:r w:rsidR="00120FCA">
        <w:t>in monasteries</w:t>
      </w:r>
      <w:r w:rsidR="0081004A">
        <w:t>,</w:t>
      </w:r>
      <w:r w:rsidR="00120FCA">
        <w:t xml:space="preserve"> and</w:t>
      </w:r>
      <w:r w:rsidR="00AF2079">
        <w:t xml:space="preserve"> the </w:t>
      </w:r>
      <w:r w:rsidR="00DD2657">
        <w:t>copied text</w:t>
      </w:r>
      <w:r w:rsidR="00AF2079">
        <w:t xml:space="preserve"> </w:t>
      </w:r>
      <w:r w:rsidR="0081004A">
        <w:t>could be</w:t>
      </w:r>
      <w:r w:rsidR="00AF2079">
        <w:t xml:space="preserve"> different</w:t>
      </w:r>
      <w:r w:rsidR="00DD2657">
        <w:t xml:space="preserve"> from the </w:t>
      </w:r>
      <w:r w:rsidR="00DD2657" w:rsidRPr="0081004A">
        <w:t>original</w:t>
      </w:r>
      <w:r w:rsidR="0081004A" w:rsidRPr="0081004A">
        <w:t xml:space="preserve"> </w:t>
      </w:r>
      <w:r w:rsidR="0081004A">
        <w:t xml:space="preserve">due to it </w:t>
      </w:r>
      <w:r w:rsidR="0081004A" w:rsidRPr="0081004A">
        <w:t>passing through multiple hands of copiers and editors over a thousand years</w:t>
      </w:r>
      <w:r w:rsidR="00F6746A" w:rsidRPr="0081004A">
        <w:t xml:space="preserve">. </w:t>
      </w:r>
      <w:r w:rsidR="00F6746A">
        <w:t>T</w:t>
      </w:r>
      <w:r w:rsidR="00AF2079">
        <w:t xml:space="preserve">he text touches </w:t>
      </w:r>
      <w:r w:rsidR="0081004A">
        <w:t xml:space="preserve">on </w:t>
      </w:r>
      <w:r w:rsidR="00AF2079">
        <w:t xml:space="preserve">sensitive </w:t>
      </w:r>
      <w:r w:rsidR="0081004A">
        <w:t xml:space="preserve">topics </w:t>
      </w:r>
      <w:r w:rsidR="00AF2079">
        <w:t xml:space="preserve">for Christianity, such as multiple </w:t>
      </w:r>
      <w:r w:rsidR="00D97C81">
        <w:t>worlds</w:t>
      </w:r>
      <w:r w:rsidR="00AF2079">
        <w:t xml:space="preserve">, </w:t>
      </w:r>
      <w:r w:rsidR="0081004A">
        <w:t>g</w:t>
      </w:r>
      <w:r w:rsidR="00AF2079">
        <w:t xml:space="preserve">ods and </w:t>
      </w:r>
      <w:r w:rsidR="0081004A">
        <w:t>d</w:t>
      </w:r>
      <w:r w:rsidR="00AF2079">
        <w:t>emigods</w:t>
      </w:r>
      <w:r w:rsidR="0081004A">
        <w:t xml:space="preserve"> and the</w:t>
      </w:r>
      <w:r w:rsidR="00AF2079">
        <w:t xml:space="preserve"> origins of </w:t>
      </w:r>
      <w:r w:rsidR="00D97C81">
        <w:t>the power of prophecy</w:t>
      </w:r>
      <w:r w:rsidR="00F6746A">
        <w:t xml:space="preserve">. </w:t>
      </w:r>
    </w:p>
    <w:p w14:paraId="2F0FFA59" w14:textId="12900465" w:rsidR="00F82698" w:rsidRDefault="00E77FF5" w:rsidP="00A33383">
      <w:pPr>
        <w:pStyle w:val="Body"/>
      </w:pPr>
      <w:r w:rsidRPr="00AF2079">
        <w:rPr>
          <w:rStyle w:val="Publication"/>
        </w:rPr>
        <w:t>On the Obsolescence of Oracles</w:t>
      </w:r>
      <w:r>
        <w:t xml:space="preserve"> </w:t>
      </w:r>
      <w:r w:rsidR="00D97C81">
        <w:t>references almost a thousand years of the ancient Greek knowledge, starting with Homer and Hesiod and moving through Aristotle, Socrates and Plato to Plutarch’s contemporaries.</w:t>
      </w:r>
      <w:r w:rsidR="00F6746A">
        <w:t xml:space="preserve"> This review introduces a</w:t>
      </w:r>
      <w:r w:rsidR="000D6C67">
        <w:t xml:space="preserve"> </w:t>
      </w:r>
      <w:r w:rsidR="00F6746A">
        <w:t>new viewpoint on the work of Plutarch</w:t>
      </w:r>
      <w:r w:rsidR="007F6297">
        <w:t>.</w:t>
      </w:r>
    </w:p>
    <w:p w14:paraId="3C0A6587" w14:textId="59BDD933" w:rsidR="00F82698" w:rsidRDefault="00F82698" w:rsidP="00F82698">
      <w:pPr>
        <w:pStyle w:val="Subhead"/>
      </w:pPr>
      <w:r>
        <w:t>Summary</w:t>
      </w:r>
      <w:r w:rsidR="005546F8">
        <w:t xml:space="preserve"> </w:t>
      </w:r>
    </w:p>
    <w:p w14:paraId="33FEFD7A" w14:textId="292EAE15" w:rsidR="002D64C6" w:rsidRDefault="002D64C6" w:rsidP="00763DEA">
      <w:pPr>
        <w:pStyle w:val="BodyNoIndent"/>
      </w:pPr>
      <w:r>
        <w:t xml:space="preserve">In Plutarch’s </w:t>
      </w:r>
      <w:r w:rsidRPr="00E06875">
        <w:rPr>
          <w:rStyle w:val="Publication"/>
        </w:rPr>
        <w:t>On the Obsolescence of Oracles</w:t>
      </w:r>
      <w:r>
        <w:t>, he argues that divination is still a valid practice despite the fact that oracles have become obsolete. He makes several points in support of his argument, including the fact that divination is a natural phenomenon, that it has been practiced since ancient times</w:t>
      </w:r>
      <w:r w:rsidR="00763DEA">
        <w:t xml:space="preserve"> in many cultures around the world</w:t>
      </w:r>
      <w:r>
        <w:t>,</w:t>
      </w:r>
      <w:r w:rsidR="00965471" w:rsidRPr="00631C19">
        <w:rPr>
          <w:rStyle w:val="FootnoteReference"/>
        </w:rPr>
        <w:footnoteReference w:id="4"/>
      </w:r>
      <w:r>
        <w:t xml:space="preserve"> and that it is still practiced today.</w:t>
      </w:r>
      <w:r w:rsidR="00763DEA">
        <w:t xml:space="preserve"> </w:t>
      </w:r>
      <w:r>
        <w:t xml:space="preserve">He argues that divination is a form of knowledge that is passed down from generation to generation, and that it is a part of human nature. Plutarch then argues that divination can provide insight into the future. </w:t>
      </w:r>
    </w:p>
    <w:p w14:paraId="58BEE40A" w14:textId="5D92FF71" w:rsidR="00D66D00" w:rsidRDefault="003224AE" w:rsidP="00A33383">
      <w:pPr>
        <w:pStyle w:val="Body"/>
      </w:pPr>
      <w:r>
        <w:t>Plutarch foresees emergence of science</w:t>
      </w:r>
      <w:r w:rsidR="009D5271">
        <w:t xml:space="preserve"> — ‘the younger generation […] are called physicists or natural philosophers […] ascribe everything to bodies and their behaviour’.</w:t>
      </w:r>
      <w:r w:rsidR="009D5271" w:rsidRPr="00631C19">
        <w:rPr>
          <w:rStyle w:val="FootnoteReference"/>
        </w:rPr>
        <w:footnoteReference w:id="5"/>
      </w:r>
      <w:r w:rsidR="009D5271">
        <w:t xml:space="preserve"> </w:t>
      </w:r>
      <w:r w:rsidR="00A95158">
        <w:t>Plutarch</w:t>
      </w:r>
      <w:r>
        <w:t xml:space="preserve"> states that </w:t>
      </w:r>
      <w:r w:rsidR="007F6297">
        <w:t xml:space="preserve">a </w:t>
      </w:r>
      <w:r>
        <w:t>‘new generation’ (</w:t>
      </w:r>
      <w:r w:rsidR="009D5271">
        <w:t>physicists</w:t>
      </w:r>
      <w:r>
        <w:t>) reject divination. He argues that science and divination are two sides of the same coin.</w:t>
      </w:r>
      <w:r w:rsidR="00D66D00">
        <w:t xml:space="preserve"> His cosmological model with multiple worlds </w:t>
      </w:r>
      <w:r w:rsidR="00E225B0">
        <w:t>designed by the Creator</w:t>
      </w:r>
      <w:r w:rsidR="00D66D00">
        <w:t xml:space="preserve"> is now supported by calculations of </w:t>
      </w:r>
      <w:r w:rsidR="00311079">
        <w:t xml:space="preserve">a </w:t>
      </w:r>
      <w:r w:rsidR="00D66D00">
        <w:t>leading scientist</w:t>
      </w:r>
      <w:r w:rsidR="00E225B0">
        <w:t xml:space="preserve"> after being rejected for almost 2000 years</w:t>
      </w:r>
      <w:r w:rsidR="00D66D00">
        <w:t xml:space="preserve">. </w:t>
      </w:r>
    </w:p>
    <w:p w14:paraId="1B213DCA" w14:textId="253A2C20" w:rsidR="002D64C6" w:rsidRDefault="002D64C6" w:rsidP="00A33383">
      <w:pPr>
        <w:pStyle w:val="Body"/>
      </w:pPr>
      <w:r>
        <w:t>Overall, Plutarch</w:t>
      </w:r>
      <w:r w:rsidR="00D66D00">
        <w:t>’</w:t>
      </w:r>
      <w:r>
        <w:t xml:space="preserve">s arguments for divination in </w:t>
      </w:r>
      <w:r w:rsidRPr="00D66D00">
        <w:rPr>
          <w:rStyle w:val="Publication"/>
        </w:rPr>
        <w:t>On the Obsolescence of Oracles</w:t>
      </w:r>
      <w:r>
        <w:t xml:space="preserve"> are </w:t>
      </w:r>
      <w:r w:rsidR="00AB3C69">
        <w:t xml:space="preserve">far more </w:t>
      </w:r>
      <w:r>
        <w:t>convincing</w:t>
      </w:r>
      <w:r w:rsidR="00AB3C69">
        <w:t xml:space="preserve"> than </w:t>
      </w:r>
      <w:r w:rsidR="00CA7479">
        <w:t>thirty</w:t>
      </w:r>
      <w:r w:rsidR="00AB3C69">
        <w:t xml:space="preserve"> years ago</w:t>
      </w:r>
      <w:r>
        <w:t xml:space="preserve">. </w:t>
      </w:r>
      <w:r w:rsidR="00CA7479">
        <w:t>Plutarch’s arguments for divination now are supported by calculations which imply the Universe’s intelligent design.</w:t>
      </w:r>
      <w:r w:rsidR="00CA7479" w:rsidRPr="00631C19">
        <w:rPr>
          <w:rStyle w:val="FootnoteReference"/>
        </w:rPr>
        <w:footnoteReference w:id="6"/>
      </w:r>
      <w:r w:rsidR="00CA7479">
        <w:t xml:space="preserve"> Recently </w:t>
      </w:r>
      <w:r w:rsidR="003A343C">
        <w:t>there were leaked reports that NASA could have been involved in divination activities.</w:t>
      </w:r>
      <w:r w:rsidR="0048077E" w:rsidRPr="00631C19">
        <w:rPr>
          <w:rStyle w:val="FootnoteReference"/>
        </w:rPr>
        <w:footnoteReference w:id="7"/>
      </w:r>
      <w:r w:rsidR="003A343C">
        <w:t xml:space="preserve"> </w:t>
      </w:r>
    </w:p>
    <w:p w14:paraId="6E9BFE56" w14:textId="0B9FD0D0" w:rsidR="002D64C6" w:rsidRDefault="002D64C6" w:rsidP="00CF680E">
      <w:pPr>
        <w:pStyle w:val="Subhead"/>
      </w:pPr>
      <w:r>
        <w:t>Critique</w:t>
      </w:r>
    </w:p>
    <w:p w14:paraId="4E798F12" w14:textId="12005580" w:rsidR="00B145F2" w:rsidRDefault="00F83A1B" w:rsidP="00D22267">
      <w:pPr>
        <w:pStyle w:val="BodyNoIndent"/>
      </w:pPr>
      <w:r>
        <w:t xml:space="preserve">For </w:t>
      </w:r>
      <w:r w:rsidR="00D22267">
        <w:t xml:space="preserve">a </w:t>
      </w:r>
      <w:r>
        <w:t xml:space="preserve">long </w:t>
      </w:r>
      <w:r w:rsidR="00965471">
        <w:t>time,</w:t>
      </w:r>
      <w:r>
        <w:t xml:space="preserve"> t</w:t>
      </w:r>
      <w:r w:rsidR="00B145F2" w:rsidRPr="00DE2E71">
        <w:t>he</w:t>
      </w:r>
      <w:r w:rsidR="00B145F2">
        <w:t xml:space="preserve"> main weakness of Plutarch’s arguments for divination ha</w:t>
      </w:r>
      <w:r w:rsidR="00E77FF5">
        <w:t>d</w:t>
      </w:r>
      <w:r w:rsidR="00B145F2">
        <w:t xml:space="preserve"> been that the</w:t>
      </w:r>
      <w:r w:rsidR="00D22267">
        <w:t>y</w:t>
      </w:r>
      <w:r w:rsidR="00B145F2">
        <w:t xml:space="preserve"> </w:t>
      </w:r>
      <w:r w:rsidR="00D22267">
        <w:t>were</w:t>
      </w:r>
      <w:r w:rsidR="00B145F2">
        <w:t xml:space="preserve"> not scientifically proved. </w:t>
      </w:r>
      <w:r w:rsidR="0048077E">
        <w:t>There was no scientific proof of God existence</w:t>
      </w:r>
      <w:r w:rsidR="00241C13">
        <w:t xml:space="preserve"> and d</w:t>
      </w:r>
      <w:r w:rsidR="0048077E">
        <w:t xml:space="preserve">ivination was viewed as a pseudoscience. </w:t>
      </w:r>
      <w:r w:rsidR="00B145F2">
        <w:t xml:space="preserve">Then in 1997, one of the most influential physicists, Lee Smolin in </w:t>
      </w:r>
      <w:r w:rsidR="00B145F2" w:rsidRPr="007E0A8B">
        <w:rPr>
          <w:rStyle w:val="Publication"/>
        </w:rPr>
        <w:t xml:space="preserve">The Life of the </w:t>
      </w:r>
      <w:r w:rsidR="00B145F2" w:rsidRPr="007E0A8B">
        <w:rPr>
          <w:rStyle w:val="Publication"/>
        </w:rPr>
        <w:lastRenderedPageBreak/>
        <w:t>Cosmos</w:t>
      </w:r>
      <w:r w:rsidR="00B145F2">
        <w:rPr>
          <w:rStyle w:val="Publication"/>
        </w:rPr>
        <w:t>,</w:t>
      </w:r>
      <w:r w:rsidR="00B145F2" w:rsidRPr="00631C19">
        <w:rPr>
          <w:rStyle w:val="FootnoteReference"/>
        </w:rPr>
        <w:footnoteReference w:id="8"/>
      </w:r>
      <w:r w:rsidR="00B145F2" w:rsidRPr="007E0A8B">
        <w:t xml:space="preserve"> </w:t>
      </w:r>
      <w:r w:rsidR="00B145F2">
        <w:t xml:space="preserve">asked a question: </w:t>
      </w:r>
      <w:r w:rsidR="00D40FBE">
        <w:t>whether</w:t>
      </w:r>
      <w:r w:rsidR="00B145F2">
        <w:t xml:space="preserve"> another Big Bang would produce the same or a different Universe. He came to conclusion that:</w:t>
      </w:r>
    </w:p>
    <w:p w14:paraId="2A577CBE" w14:textId="3B7F03B6" w:rsidR="00B145F2" w:rsidRDefault="00B145F2" w:rsidP="00A33383">
      <w:pPr>
        <w:pStyle w:val="LongQuote"/>
      </w:pPr>
      <w:r>
        <w:t>We may imagine that God has a control panel on which there is a dial for each parameter. One dial sets the mass of the proton, another the electron's charge and so on. God closes his eyes and turns the dials randomly. The result is a world governed by the laws we know, but with random values of these parameters. What is the probability that the world so created would contain stars? The answer is that the probability is incredibly small.</w:t>
      </w:r>
      <w:r w:rsidRPr="00631C19">
        <w:rPr>
          <w:rStyle w:val="FootnoteReference"/>
        </w:rPr>
        <w:footnoteReference w:id="9"/>
      </w:r>
    </w:p>
    <w:p w14:paraId="12BE2859" w14:textId="7FF561F7" w:rsidR="0048077E" w:rsidRPr="0048077E" w:rsidRDefault="00447241" w:rsidP="0048077E">
      <w:pPr>
        <w:pStyle w:val="BodyNoIndent"/>
      </w:pPr>
      <w:r>
        <w:t xml:space="preserve">The numbers </w:t>
      </w:r>
      <w:r w:rsidR="00241C13">
        <w:t>seem</w:t>
      </w:r>
      <w:r>
        <w:t xml:space="preserve"> prove, that the Universe has an intelligent design and imply existence of the Creator. </w:t>
      </w:r>
      <w:r w:rsidR="004E57CD">
        <w:t>This is an important argument for divination.</w:t>
      </w:r>
    </w:p>
    <w:p w14:paraId="07431ABA" w14:textId="0E2CF5A6" w:rsidR="00B145F2" w:rsidRDefault="00B145F2" w:rsidP="00A33383">
      <w:pPr>
        <w:pStyle w:val="LongQuote"/>
      </w:pPr>
      <w:r w:rsidRPr="007E0A8B">
        <w:t>It strains credulity to imagine that mathematical consistency could be the sole reason for the</w:t>
      </w:r>
      <w:r>
        <w:t xml:space="preserve"> </w:t>
      </w:r>
      <w:r w:rsidRPr="007E0A8B">
        <w:t>parameters to have the extraordinarily unlikely values that result in a world with stars and life. If in the end mathematics alone wins us our one chance in 10</w:t>
      </w:r>
      <w:r w:rsidRPr="002C50AB">
        <w:rPr>
          <w:rStyle w:val="Superscript"/>
        </w:rPr>
        <w:t>229</w:t>
      </w:r>
      <w:r>
        <w:t>.</w:t>
      </w:r>
      <w:r w:rsidRPr="00631C19">
        <w:rPr>
          <w:rStyle w:val="FootnoteReference"/>
        </w:rPr>
        <w:footnoteReference w:id="10"/>
      </w:r>
      <w:r>
        <w:t xml:space="preserve"> </w:t>
      </w:r>
    </w:p>
    <w:p w14:paraId="2E483796" w14:textId="13955667" w:rsidR="00241C13" w:rsidRDefault="00241C13" w:rsidP="00A33383">
      <w:pPr>
        <w:pStyle w:val="BodyNoIndent"/>
        <w:rPr>
          <w:rStyle w:val="ReConsider"/>
          <w:color w:val="auto"/>
        </w:rPr>
      </w:pPr>
      <w:r>
        <w:rPr>
          <w:rStyle w:val="ReConsider"/>
          <w:color w:val="auto"/>
        </w:rPr>
        <w:t>Smolin calculations imply another important thing. The Universe has around 10</w:t>
      </w:r>
      <w:r w:rsidRPr="00241C13">
        <w:rPr>
          <w:rStyle w:val="Superscript"/>
        </w:rPr>
        <w:t>78</w:t>
      </w:r>
      <w:r>
        <w:rPr>
          <w:rStyle w:val="ReConsider"/>
          <w:color w:val="auto"/>
        </w:rPr>
        <w:t xml:space="preserve"> atoms. By comparing the number with </w:t>
      </w:r>
      <w:r w:rsidR="004E57CD">
        <w:rPr>
          <w:rStyle w:val="ReConsider"/>
          <w:color w:val="auto"/>
        </w:rPr>
        <w:t xml:space="preserve">calculated by Smolin </w:t>
      </w:r>
      <w:r>
        <w:rPr>
          <w:rStyle w:val="ReConsider"/>
          <w:color w:val="auto"/>
        </w:rPr>
        <w:t xml:space="preserve">odds of the Universe being </w:t>
      </w:r>
      <w:r w:rsidR="004E57CD">
        <w:rPr>
          <w:rStyle w:val="ReConsider"/>
          <w:color w:val="auto"/>
        </w:rPr>
        <w:t xml:space="preserve">not in a chaos state, one might conclude that every atom in the Universe has its </w:t>
      </w:r>
      <w:r w:rsidR="00301C7F">
        <w:rPr>
          <w:rStyle w:val="ReConsider"/>
          <w:color w:val="auto"/>
        </w:rPr>
        <w:t xml:space="preserve">very </w:t>
      </w:r>
      <w:r w:rsidR="004E57CD">
        <w:rPr>
          <w:rStyle w:val="ReConsider"/>
          <w:color w:val="auto"/>
        </w:rPr>
        <w:t xml:space="preserve">special place. This would be another important argument for divination, as </w:t>
      </w:r>
      <w:r w:rsidR="00301C7F">
        <w:rPr>
          <w:rStyle w:val="ReConsider"/>
          <w:color w:val="auto"/>
        </w:rPr>
        <w:t xml:space="preserve">comparison of </w:t>
      </w:r>
      <w:r w:rsidR="004E57CD">
        <w:rPr>
          <w:rStyle w:val="ReConsider"/>
          <w:color w:val="auto"/>
        </w:rPr>
        <w:t xml:space="preserve">the numbers implies that the Universe might be </w:t>
      </w:r>
      <w:r w:rsidR="00EC728A">
        <w:rPr>
          <w:rStyle w:val="ReConsider"/>
          <w:color w:val="auto"/>
        </w:rPr>
        <w:t xml:space="preserve">a </w:t>
      </w:r>
      <w:r w:rsidR="004E57CD">
        <w:rPr>
          <w:rStyle w:val="ReConsider"/>
          <w:color w:val="auto"/>
        </w:rPr>
        <w:t xml:space="preserve">highly ordered </w:t>
      </w:r>
      <w:r w:rsidR="00301C7F">
        <w:rPr>
          <w:rStyle w:val="ReConsider"/>
          <w:color w:val="auto"/>
        </w:rPr>
        <w:t xml:space="preserve">structure </w:t>
      </w:r>
      <w:r w:rsidR="004E57CD">
        <w:rPr>
          <w:rStyle w:val="ReConsider"/>
          <w:color w:val="auto"/>
        </w:rPr>
        <w:t>and the concept of fate might be real after all.</w:t>
      </w:r>
    </w:p>
    <w:p w14:paraId="55241DAE" w14:textId="3225A2D2" w:rsidR="00B145F2" w:rsidRDefault="00A33383" w:rsidP="004E57CD">
      <w:pPr>
        <w:pStyle w:val="Body"/>
      </w:pPr>
      <w:r w:rsidRPr="00A33383">
        <w:rPr>
          <w:rStyle w:val="ReConsider"/>
          <w:color w:val="auto"/>
        </w:rPr>
        <w:t>In a number of interviews, Smolin avoided the question of the existence of God, saying that scientists should deal with what is observable (perhaps hinting at the "dark matter" affair, which has been ongoing for almost 150 years).</w:t>
      </w:r>
      <w:r>
        <w:t xml:space="preserve"> </w:t>
      </w:r>
      <w:r w:rsidR="00B145F2">
        <w:t>But in the book, he says that we ‘</w:t>
      </w:r>
      <w:r w:rsidR="00B145F2" w:rsidRPr="007E0A8B">
        <w:t xml:space="preserve">have little choice but to become </w:t>
      </w:r>
      <w:proofErr w:type="gramStart"/>
      <w:r w:rsidR="00B145F2" w:rsidRPr="007E0A8B">
        <w:t>mystics</w:t>
      </w:r>
      <w:r w:rsidR="00B145F2">
        <w:t>’</w:t>
      </w:r>
      <w:proofErr w:type="gramEnd"/>
      <w:r w:rsidR="00B145F2" w:rsidRPr="007E0A8B">
        <w:t>.</w:t>
      </w:r>
      <w:r w:rsidR="00B145F2" w:rsidRPr="00631C19">
        <w:rPr>
          <w:rStyle w:val="FootnoteReference"/>
        </w:rPr>
        <w:footnoteReference w:id="11"/>
      </w:r>
      <w:r w:rsidR="00301C7F">
        <w:t xml:space="preserve"> The discussion of Smolin work and of G-word,</w:t>
      </w:r>
      <w:r w:rsidR="00301C7F" w:rsidRPr="00631C19">
        <w:rPr>
          <w:rStyle w:val="FootnoteReference"/>
        </w:rPr>
        <w:footnoteReference w:id="12"/>
      </w:r>
      <w:r w:rsidR="00301C7F">
        <w:t xml:space="preserve">  </w:t>
      </w:r>
      <w:r w:rsidR="004E79A3">
        <w:t>has been going on for 27 years now and even intensified in the past few years.</w:t>
      </w:r>
    </w:p>
    <w:p w14:paraId="114F552C" w14:textId="4825F66C" w:rsidR="005054D8" w:rsidRDefault="00D40FBE" w:rsidP="00A33383">
      <w:pPr>
        <w:pStyle w:val="Body"/>
      </w:pPr>
      <w:r>
        <w:t>Smolin’s calculations, prov</w:t>
      </w:r>
      <w:r w:rsidR="004E79A3">
        <w:t>ed</w:t>
      </w:r>
      <w:r>
        <w:t xml:space="preserve"> for some </w:t>
      </w:r>
      <w:r w:rsidR="00A21851">
        <w:t xml:space="preserve">the </w:t>
      </w:r>
      <w:r w:rsidR="00A33383">
        <w:t xml:space="preserve">existence of the </w:t>
      </w:r>
      <w:r w:rsidR="00E77FF5">
        <w:t>Creator</w:t>
      </w:r>
      <w:r>
        <w:t xml:space="preserve">. </w:t>
      </w:r>
      <w:r w:rsidR="004E79A3">
        <w:t>Smolin</w:t>
      </w:r>
      <w:r w:rsidR="00EF63D3" w:rsidRPr="00EF63D3">
        <w:t xml:space="preserve"> avoid</w:t>
      </w:r>
      <w:r w:rsidR="004E79A3">
        <w:t>ance of</w:t>
      </w:r>
      <w:r w:rsidR="00EF63D3" w:rsidRPr="00EF63D3">
        <w:t xml:space="preserve"> </w:t>
      </w:r>
      <w:r w:rsidR="004E79A3">
        <w:t>discussing</w:t>
      </w:r>
      <w:r w:rsidR="00EF63D3" w:rsidRPr="00EF63D3">
        <w:t xml:space="preserve"> the existence of God reminds one of Copernicus' reluctance to publish</w:t>
      </w:r>
      <w:r>
        <w:t xml:space="preserve"> </w:t>
      </w:r>
      <w:r w:rsidRPr="00DE4934">
        <w:rPr>
          <w:rStyle w:val="Publication"/>
        </w:rPr>
        <w:t xml:space="preserve">De </w:t>
      </w:r>
      <w:proofErr w:type="spellStart"/>
      <w:r w:rsidRPr="00DE4934">
        <w:rPr>
          <w:rStyle w:val="Publication"/>
        </w:rPr>
        <w:t>revolutionibus</w:t>
      </w:r>
      <w:proofErr w:type="spellEnd"/>
      <w:r w:rsidRPr="00DE4934">
        <w:rPr>
          <w:rStyle w:val="Publication"/>
        </w:rPr>
        <w:t xml:space="preserve"> </w:t>
      </w:r>
      <w:proofErr w:type="spellStart"/>
      <w:r w:rsidRPr="00DE4934">
        <w:rPr>
          <w:rStyle w:val="Publication"/>
        </w:rPr>
        <w:t>orbium</w:t>
      </w:r>
      <w:proofErr w:type="spellEnd"/>
      <w:r w:rsidRPr="00DE4934">
        <w:rPr>
          <w:rStyle w:val="Publication"/>
        </w:rPr>
        <w:t xml:space="preserve"> </w:t>
      </w:r>
      <w:proofErr w:type="spellStart"/>
      <w:r w:rsidRPr="00DE4934">
        <w:rPr>
          <w:rStyle w:val="Publication"/>
        </w:rPr>
        <w:t>coelestium</w:t>
      </w:r>
      <w:proofErr w:type="spellEnd"/>
      <w:r w:rsidR="004E79A3">
        <w:t>.</w:t>
      </w:r>
      <w:r w:rsidRPr="00631C19">
        <w:rPr>
          <w:rStyle w:val="FootnoteReference"/>
        </w:rPr>
        <w:footnoteReference w:id="13"/>
      </w:r>
      <w:r>
        <w:t xml:space="preserve"> </w:t>
      </w:r>
      <w:r w:rsidR="004E79A3">
        <w:t>T</w:t>
      </w:r>
      <w:r w:rsidR="00EF63D3" w:rsidRPr="00EF63D3">
        <w:t xml:space="preserve">he Church and society were not ready for </w:t>
      </w:r>
      <w:r w:rsidR="004E79A3">
        <w:t>Copernicus’s ideas</w:t>
      </w:r>
      <w:r w:rsidR="00EF63D3" w:rsidRPr="00EF63D3">
        <w:t xml:space="preserve"> at the time</w:t>
      </w:r>
      <w:r>
        <w:t>.</w:t>
      </w:r>
      <w:r w:rsidR="004E79A3">
        <w:t xml:space="preserve"> </w:t>
      </w:r>
      <w:r>
        <w:t xml:space="preserve">Indeed, Copernicus was right to keep quiet, </w:t>
      </w:r>
      <w:r w:rsidR="00EF63D3">
        <w:t>as</w:t>
      </w:r>
      <w:r>
        <w:t xml:space="preserve"> Galileo was </w:t>
      </w:r>
      <w:r w:rsidR="0094193E">
        <w:t>convicted</w:t>
      </w:r>
      <w:r>
        <w:t xml:space="preserve"> </w:t>
      </w:r>
      <w:r w:rsidR="00F83A1B">
        <w:t>in 1633</w:t>
      </w:r>
      <w:r w:rsidR="0094193E">
        <w:t xml:space="preserve"> for ‘following position of Copernicus’</w:t>
      </w:r>
      <w:r w:rsidR="00F83A1B">
        <w:t xml:space="preserve">, </w:t>
      </w:r>
      <w:r w:rsidR="00EF63D3">
        <w:t>ninety</w:t>
      </w:r>
      <w:r>
        <w:t xml:space="preserve"> years after Copernicus published the book</w:t>
      </w:r>
      <w:r w:rsidR="00F83A1B">
        <w:t xml:space="preserve"> in 1543</w:t>
      </w:r>
      <w:r>
        <w:t>.</w:t>
      </w:r>
      <w:r w:rsidR="003033BE" w:rsidRPr="00631C19">
        <w:rPr>
          <w:rStyle w:val="FootnoteReference"/>
        </w:rPr>
        <w:footnoteReference w:id="14"/>
      </w:r>
      <w:r>
        <w:t xml:space="preserve"> </w:t>
      </w:r>
      <w:r w:rsidR="00EF63D3">
        <w:t>A</w:t>
      </w:r>
      <w:r w:rsidR="00E77FF5">
        <w:t>fter the publication</w:t>
      </w:r>
      <w:r w:rsidR="00EF63D3">
        <w:t>,</w:t>
      </w:r>
      <w:r w:rsidR="00E77FF5">
        <w:t xml:space="preserve"> </w:t>
      </w:r>
      <w:r w:rsidR="00F83A1B">
        <w:t xml:space="preserve">the book was banned by the Church for </w:t>
      </w:r>
      <w:r w:rsidR="0094193E">
        <w:t>almost</w:t>
      </w:r>
      <w:r w:rsidR="00F83A1B">
        <w:t xml:space="preserve"> </w:t>
      </w:r>
      <w:r w:rsidR="0094193E">
        <w:t>30</w:t>
      </w:r>
      <w:r w:rsidR="00F83A1B">
        <w:t xml:space="preserve">0 years, with </w:t>
      </w:r>
      <w:r w:rsidR="00E77FF5">
        <w:t xml:space="preserve">the </w:t>
      </w:r>
      <w:r w:rsidR="00F83A1B">
        <w:t xml:space="preserve">ban </w:t>
      </w:r>
      <w:r w:rsidR="00EF63D3">
        <w:t xml:space="preserve">being </w:t>
      </w:r>
      <w:r w:rsidR="00F83A1B">
        <w:t xml:space="preserve">lifted in 1835. </w:t>
      </w:r>
    </w:p>
    <w:p w14:paraId="67A5A58D" w14:textId="58376EB3" w:rsidR="00B145F2" w:rsidRDefault="00D40FBE" w:rsidP="00A33383">
      <w:pPr>
        <w:pStyle w:val="Body"/>
      </w:pPr>
      <w:r>
        <w:t xml:space="preserve">Smolin </w:t>
      </w:r>
      <w:r w:rsidR="00E77FF5">
        <w:t>seem</w:t>
      </w:r>
      <w:r w:rsidR="00EF63D3">
        <w:t xml:space="preserve">ed to be right </w:t>
      </w:r>
      <w:r>
        <w:t>to keep quiet, as recently leaked information on NA</w:t>
      </w:r>
      <w:r w:rsidR="00AA2CFB">
        <w:t>S</w:t>
      </w:r>
      <w:r>
        <w:t>A contracting theologians,</w:t>
      </w:r>
      <w:r w:rsidR="00A5282A" w:rsidRPr="00631C19">
        <w:rPr>
          <w:rStyle w:val="FootnoteReference"/>
        </w:rPr>
        <w:footnoteReference w:id="15"/>
      </w:r>
      <w:r>
        <w:t xml:space="preserve"> caused a public storm</w:t>
      </w:r>
      <w:r w:rsidR="001577F3">
        <w:t xml:space="preserve">. </w:t>
      </w:r>
      <w:r w:rsidR="00120F40">
        <w:t xml:space="preserve">Many think that it </w:t>
      </w:r>
      <w:r w:rsidR="00120F40" w:rsidRPr="00120F40">
        <w:t>is inappropriate for a government agency to be involved in religious matters</w:t>
      </w:r>
      <w:r w:rsidR="002940AC">
        <w:t>, as religion for the many associated with backwardness</w:t>
      </w:r>
      <w:r w:rsidR="00120F40">
        <w:t xml:space="preserve">. </w:t>
      </w:r>
      <w:r>
        <w:t>The use</w:t>
      </w:r>
      <w:r w:rsidR="00EF63D3">
        <w:t xml:space="preserve"> of the</w:t>
      </w:r>
      <w:r>
        <w:t xml:space="preserve"> word ‘alien’ </w:t>
      </w:r>
      <w:r w:rsidR="00EF63D3">
        <w:t xml:space="preserve">speaks volumes </w:t>
      </w:r>
      <w:r>
        <w:t xml:space="preserve">the current state of the society. To sum up, it is now </w:t>
      </w:r>
      <w:r w:rsidR="00687E8F">
        <w:t xml:space="preserve">as </w:t>
      </w:r>
      <w:r>
        <w:t xml:space="preserve">scientific </w:t>
      </w:r>
      <w:r w:rsidR="00687E8F">
        <w:t xml:space="preserve">for an oracle </w:t>
      </w:r>
      <w:r>
        <w:t xml:space="preserve">to communicate </w:t>
      </w:r>
      <w:r w:rsidR="00E77FF5">
        <w:t>with</w:t>
      </w:r>
      <w:r>
        <w:t xml:space="preserve"> the </w:t>
      </w:r>
      <w:r w:rsidR="00E77FF5">
        <w:t>Creator</w:t>
      </w:r>
      <w:r>
        <w:t xml:space="preserve"> as it is for a</w:t>
      </w:r>
      <w:r w:rsidR="00EF63D3">
        <w:t>n</w:t>
      </w:r>
      <w:r>
        <w:t xml:space="preserve"> </w:t>
      </w:r>
      <w:r w:rsidR="0094193E">
        <w:t>astrophysicist</w:t>
      </w:r>
      <w:r>
        <w:t xml:space="preserve"> to discuss ‘dark matter’</w:t>
      </w:r>
      <w:r w:rsidR="00E77FF5">
        <w:t xml:space="preserve">, </w:t>
      </w:r>
      <w:r w:rsidR="00EF63D3">
        <w:t xml:space="preserve">which has never been </w:t>
      </w:r>
      <w:r w:rsidR="00E77FF5">
        <w:t>seen</w:t>
      </w:r>
      <w:r>
        <w:t>.</w:t>
      </w:r>
    </w:p>
    <w:p w14:paraId="6260B326" w14:textId="22BC6EF2" w:rsidR="00120FCA" w:rsidRDefault="00120FCA" w:rsidP="00A33383">
      <w:pPr>
        <w:pStyle w:val="Body"/>
      </w:pPr>
      <w:r>
        <w:t xml:space="preserve">There </w:t>
      </w:r>
      <w:r w:rsidR="00223A09">
        <w:t>are</w:t>
      </w:r>
      <w:r>
        <w:t xml:space="preserve"> two ways to look at Plutarch’s essay — like </w:t>
      </w:r>
      <w:r w:rsidR="002940AC">
        <w:t xml:space="preserve">the essay translator </w:t>
      </w:r>
      <w:proofErr w:type="spellStart"/>
      <w:r w:rsidR="002940AC">
        <w:t>Babbit</w:t>
      </w:r>
      <w:proofErr w:type="spellEnd"/>
      <w:r w:rsidR="00CF680E">
        <w:t xml:space="preserve"> did</w:t>
      </w:r>
      <w:r>
        <w:t>:</w:t>
      </w:r>
    </w:p>
    <w:p w14:paraId="32C5A587" w14:textId="46723AB5" w:rsidR="00120FCA" w:rsidRDefault="00D22267" w:rsidP="00A33383">
      <w:pPr>
        <w:pStyle w:val="LongQuote"/>
      </w:pPr>
      <w:r>
        <w:rPr>
          <w:rStyle w:val="ReConsider"/>
        </w:rPr>
        <w:lastRenderedPageBreak/>
        <w:t>‘</w:t>
      </w:r>
      <w:r w:rsidR="00120FCA">
        <w:t>The statement of this simple fact hardly requires twenty-nine folio pages, but in this essay, as in the two preceding, there is much of the conversation of cultured persons ·which is not directly connected with the subject.</w:t>
      </w:r>
      <w:r w:rsidR="00120FCA" w:rsidRPr="00631C19">
        <w:rPr>
          <w:rStyle w:val="FootnoteReference"/>
        </w:rPr>
        <w:footnoteReference w:id="16"/>
      </w:r>
    </w:p>
    <w:p w14:paraId="53D3A19F" w14:textId="58B67E71" w:rsidR="00E33444" w:rsidRDefault="00223A09" w:rsidP="00A33383">
      <w:pPr>
        <w:pStyle w:val="BodyNoIndent"/>
      </w:pPr>
      <w:r>
        <w:t xml:space="preserve">Another way, which </w:t>
      </w:r>
      <w:r w:rsidR="00CF680E">
        <w:t>was</w:t>
      </w:r>
      <w:r>
        <w:t xml:space="preserve"> used in writing this review is to look at Plutarch’s work as a twenty-nine</w:t>
      </w:r>
      <w:r w:rsidR="009F21C4">
        <w:t>-</w:t>
      </w:r>
      <w:r>
        <w:t xml:space="preserve">page </w:t>
      </w:r>
      <w:r w:rsidR="00E77FF5">
        <w:t>essay</w:t>
      </w:r>
      <w:r w:rsidR="00BC718B">
        <w:t xml:space="preserve"> of </w:t>
      </w:r>
      <w:r w:rsidR="00E77FF5">
        <w:t>a Delphic priest</w:t>
      </w:r>
      <w:r>
        <w:t>, which doesn’t contain information ‘not directly connected with the subject’</w:t>
      </w:r>
      <w:r w:rsidR="00E77FF5">
        <w:t>.</w:t>
      </w:r>
      <w:r w:rsidRPr="00631C19">
        <w:rPr>
          <w:rStyle w:val="FootnoteReference"/>
        </w:rPr>
        <w:footnoteReference w:id="17"/>
      </w:r>
      <w:r w:rsidR="002C4BCF">
        <w:t xml:space="preserve"> </w:t>
      </w:r>
      <w:r>
        <w:t xml:space="preserve">At the time of writing the </w:t>
      </w:r>
      <w:r w:rsidR="00E77FF5">
        <w:t>essay</w:t>
      </w:r>
      <w:r>
        <w:t>, Plutarch was a priest at Delphi and he likely had access to the temple’s archives</w:t>
      </w:r>
      <w:r w:rsidR="00BC718B">
        <w:t>,</w:t>
      </w:r>
      <w:r w:rsidR="00FE6267">
        <w:t xml:space="preserve"> to the wealth of ancient Greek literature which since vanished</w:t>
      </w:r>
      <w:r w:rsidR="00BC718B">
        <w:t>, and possibly to unknown to us sources</w:t>
      </w:r>
      <w:r>
        <w:t xml:space="preserve">. </w:t>
      </w:r>
      <w:r w:rsidR="00E77FF5">
        <w:t xml:space="preserve">This wealth of knowledge is not available to modern scholars, making Plutarch </w:t>
      </w:r>
      <w:r w:rsidR="00BB6E3F">
        <w:t>an</w:t>
      </w:r>
      <w:r w:rsidR="00E77FF5">
        <w:t xml:space="preserve"> authority on the subject. </w:t>
      </w:r>
      <w:r>
        <w:t xml:space="preserve">Delphi priests </w:t>
      </w:r>
      <w:r w:rsidR="00BC718B">
        <w:t xml:space="preserve">were </w:t>
      </w:r>
      <w:r>
        <w:t xml:space="preserve">known to speak not in plain language, but </w:t>
      </w:r>
      <w:r w:rsidR="000C662F">
        <w:t>‘giving advice in indirect form, by imagery, riddle, and ambiguity’.</w:t>
      </w:r>
      <w:r w:rsidR="000C662F" w:rsidRPr="00631C19">
        <w:rPr>
          <w:rStyle w:val="FootnoteReference"/>
        </w:rPr>
        <w:footnoteReference w:id="18"/>
      </w:r>
      <w:r w:rsidR="009F21C4">
        <w:t xml:space="preserve"> </w:t>
      </w:r>
      <w:r w:rsidR="002C4BCF">
        <w:t xml:space="preserve">According to </w:t>
      </w:r>
      <w:r w:rsidR="00E33444">
        <w:t>Heraclitus</w:t>
      </w:r>
      <w:r w:rsidR="002C4BCF">
        <w:t xml:space="preserve"> — ‘</w:t>
      </w:r>
      <w:r w:rsidR="00E33444" w:rsidRPr="00E33444">
        <w:t>The Lord whose is the oracle in Delphi neither speaks out nor conceals, but gives a sign</w:t>
      </w:r>
      <w:r w:rsidR="002C4BCF">
        <w:t>.</w:t>
      </w:r>
      <w:r w:rsidR="002C4BCF" w:rsidRPr="00631C19">
        <w:rPr>
          <w:rStyle w:val="FootnoteReference"/>
        </w:rPr>
        <w:footnoteReference w:id="19"/>
      </w:r>
      <w:r w:rsidR="00E33444">
        <w:t xml:space="preserve"> </w:t>
      </w:r>
    </w:p>
    <w:p w14:paraId="1878989E" w14:textId="1BCB7C2E" w:rsidR="00E33444" w:rsidRDefault="00E33444" w:rsidP="00A33383">
      <w:pPr>
        <w:pStyle w:val="LongQuote"/>
      </w:pPr>
      <w:r w:rsidRPr="00E33444">
        <w:t xml:space="preserve">‘As Apollo neither speaks out all nor conceals all, but shows forth a part of the truth, </w:t>
      </w:r>
      <w:r>
        <w:t>[…]</w:t>
      </w:r>
      <w:r w:rsidRPr="00E33444">
        <w:t xml:space="preserve"> but requires an intellectual effort from men</w:t>
      </w:r>
      <w:r>
        <w:t xml:space="preserve"> […]</w:t>
      </w:r>
      <w:r w:rsidRPr="00E33444">
        <w:t xml:space="preserve"> to interpret correctly the signs emitted</w:t>
      </w:r>
      <w:r>
        <w:t>.</w:t>
      </w:r>
      <w:r w:rsidRPr="00631C19">
        <w:rPr>
          <w:rStyle w:val="FootnoteReference"/>
        </w:rPr>
        <w:footnoteReference w:id="20"/>
      </w:r>
      <w:r w:rsidR="002C4BCF">
        <w:t xml:space="preserve"> </w:t>
      </w:r>
    </w:p>
    <w:p w14:paraId="2B68FA21" w14:textId="00FD8EEF" w:rsidR="002C4BCF" w:rsidRDefault="002C4BCF" w:rsidP="00A33383">
      <w:pPr>
        <w:pStyle w:val="BodyNoIndent"/>
      </w:pPr>
      <w:r>
        <w:t xml:space="preserve">The signs were cryptic and </w:t>
      </w:r>
      <w:r w:rsidR="00E33444">
        <w:t xml:space="preserve">sometimes </w:t>
      </w:r>
      <w:r>
        <w:t>were not understood at the time of the prophecy, but made sense in future or</w:t>
      </w:r>
      <w:r w:rsidR="009F21C4">
        <w:t xml:space="preserve"> in</w:t>
      </w:r>
      <w:r>
        <w:t xml:space="preserve"> another location.</w:t>
      </w:r>
    </w:p>
    <w:p w14:paraId="75509D73" w14:textId="77777777" w:rsidR="002C4BCF" w:rsidRPr="00DD6138" w:rsidRDefault="002C4BCF" w:rsidP="00A33383">
      <w:pPr>
        <w:pStyle w:val="LongQuote"/>
      </w:pPr>
      <w:r>
        <w:t xml:space="preserve">Others have suggested that some of the early, seemingly baffling oracles given to colonizers may have offered ‘signs’ that we no longer understand, but that helped the </w:t>
      </w:r>
      <w:proofErr w:type="spellStart"/>
      <w:r>
        <w:t>oikist</w:t>
      </w:r>
      <w:proofErr w:type="spellEnd"/>
      <w:r>
        <w:t>, or leader of a colonizing expedition, to identify the site for which he was searching.</w:t>
      </w:r>
      <w:r w:rsidRPr="00631C19">
        <w:rPr>
          <w:rStyle w:val="FootnoteReference"/>
        </w:rPr>
        <w:footnoteReference w:id="21"/>
      </w:r>
    </w:p>
    <w:p w14:paraId="5D47F001" w14:textId="7D39279C" w:rsidR="00CE243C" w:rsidRDefault="000403B2" w:rsidP="00A33383">
      <w:pPr>
        <w:pStyle w:val="BodyNoIndent"/>
      </w:pPr>
      <w:r>
        <w:t>L</w:t>
      </w:r>
      <w:r w:rsidR="002C4BCF">
        <w:t>astly</w:t>
      </w:r>
      <w:r>
        <w:t>,</w:t>
      </w:r>
      <w:r w:rsidR="002C4BCF">
        <w:t xml:space="preserve"> oracles were multidimensional</w:t>
      </w:r>
      <w:r>
        <w:t xml:space="preserve">, </w:t>
      </w:r>
      <w:r w:rsidR="00E77FF5">
        <w:t>approach the subject from different angles</w:t>
      </w:r>
      <w:r>
        <w:t xml:space="preserve">, </w:t>
      </w:r>
      <w:r w:rsidR="00E77FF5">
        <w:t>worldviews</w:t>
      </w:r>
      <w:r>
        <w:t xml:space="preserve"> and </w:t>
      </w:r>
      <w:r w:rsidR="00E77FF5">
        <w:t>viewpoints</w:t>
      </w:r>
      <w:r w:rsidR="00CE243C">
        <w:t>:</w:t>
      </w:r>
      <w:r w:rsidR="002C4BCF">
        <w:t xml:space="preserve"> </w:t>
      </w:r>
    </w:p>
    <w:p w14:paraId="48563718" w14:textId="23C43255" w:rsidR="00CE243C" w:rsidRDefault="00CE243C" w:rsidP="00CE243C">
      <w:pPr>
        <w:pStyle w:val="LongQuote"/>
      </w:pPr>
      <w:r w:rsidRPr="00CE243C">
        <w:t>giving</w:t>
      </w:r>
      <w:r>
        <w:t xml:space="preserve"> advice in indirect form, by imagery, riddle, and ambiguity, so that it was obvious to a man of sense that an oracle required an interpretation. Even when the surface meaning is clear, it may be necessary to look for a second meaning underneath — as Oedipus discovered to his hurt, when he forgot to ask which man was his father; and </w:t>
      </w:r>
      <w:r w:rsidR="00AB6D92">
        <w:t>likewise,</w:t>
      </w:r>
      <w:r>
        <w:t xml:space="preserve"> Croesus, when he forgot to ask whose </w:t>
      </w:r>
      <w:r w:rsidR="00AB6D92">
        <w:t>kingdom,</w:t>
      </w:r>
      <w:r>
        <w:t xml:space="preserve"> he would destroy.</w:t>
      </w:r>
      <w:r w:rsidRPr="00631C19">
        <w:rPr>
          <w:rStyle w:val="FootnoteReference"/>
        </w:rPr>
        <w:footnoteReference w:id="22"/>
      </w:r>
    </w:p>
    <w:p w14:paraId="7D51AF6E" w14:textId="2BCF3CA4" w:rsidR="00E06875" w:rsidRDefault="00223A09" w:rsidP="00A33383">
      <w:pPr>
        <w:pStyle w:val="BodyNoIndent"/>
      </w:pPr>
      <w:r>
        <w:t xml:space="preserve">A Delphi priest, writing on such an important for himself topic as </w:t>
      </w:r>
      <w:r w:rsidR="000403B2">
        <w:t>o</w:t>
      </w:r>
      <w:r>
        <w:t xml:space="preserve">bsolescence of </w:t>
      </w:r>
      <w:r w:rsidR="000403B2">
        <w:t>o</w:t>
      </w:r>
      <w:r>
        <w:t xml:space="preserve">racles </w:t>
      </w:r>
      <w:r w:rsidR="00E77FF5">
        <w:t>likely</w:t>
      </w:r>
      <w:r>
        <w:t xml:space="preserve"> employed a cryptic language and the techniques he used for oracles</w:t>
      </w:r>
      <w:r w:rsidR="000403B2">
        <w:t xml:space="preserve">, </w:t>
      </w:r>
      <w:r>
        <w:t>such as cryptic messages, riddles, symbols, signs</w:t>
      </w:r>
      <w:r w:rsidR="000403B2">
        <w:t xml:space="preserve"> as well as a </w:t>
      </w:r>
      <w:r>
        <w:t xml:space="preserve">multidimensional structure. </w:t>
      </w:r>
      <w:r w:rsidR="002C4BCF">
        <w:t xml:space="preserve">This technique guarantees </w:t>
      </w:r>
      <w:r w:rsidR="000403B2">
        <w:t xml:space="preserve">the </w:t>
      </w:r>
      <w:r w:rsidR="002C4BCF">
        <w:t xml:space="preserve">survival of the text in </w:t>
      </w:r>
      <w:r w:rsidR="00A21851">
        <w:t xml:space="preserve">an </w:t>
      </w:r>
      <w:r w:rsidR="002C4BCF">
        <w:t xml:space="preserve">alienated </w:t>
      </w:r>
      <w:r w:rsidR="003A141F">
        <w:t>environment</w:t>
      </w:r>
      <w:r w:rsidR="00E77FF5">
        <w:t xml:space="preserve"> and </w:t>
      </w:r>
      <w:r w:rsidR="000403B2">
        <w:t xml:space="preserve">ensures </w:t>
      </w:r>
      <w:r w:rsidR="00E77FF5">
        <w:t>that it wouldn’t be understood by uninitiated</w:t>
      </w:r>
      <w:r w:rsidR="002C4BCF">
        <w:t>.</w:t>
      </w:r>
    </w:p>
    <w:p w14:paraId="38E2C22E" w14:textId="619E0D3B" w:rsidR="00E77FF5" w:rsidRDefault="00A21851" w:rsidP="00A33383">
      <w:pPr>
        <w:pStyle w:val="Body"/>
      </w:pPr>
      <w:r>
        <w:t xml:space="preserve">Initially, </w:t>
      </w:r>
      <w:r w:rsidR="00234855">
        <w:t xml:space="preserve">Plutarch connects obsolescence of oracles with depopulation. </w:t>
      </w:r>
      <w:r w:rsidR="00E77FF5">
        <w:t>The text was written at the time of devastation and depopulation of the ancient Greece:</w:t>
      </w:r>
    </w:p>
    <w:p w14:paraId="6E404330" w14:textId="77777777" w:rsidR="00E77FF5" w:rsidRDefault="00E77FF5" w:rsidP="00A33383">
      <w:pPr>
        <w:pStyle w:val="LongQuote"/>
      </w:pPr>
      <w:r w:rsidRPr="00D21A98">
        <w:t>well-nigh incessant wars, of the soil, malaria, bad government, wrought a depopulation that even in the time of Plutarch left the Greek cities but shadows of their former selves</w:t>
      </w:r>
      <w:r>
        <w:t>.</w:t>
      </w:r>
      <w:r w:rsidRPr="00631C19">
        <w:rPr>
          <w:rStyle w:val="FootnoteReference"/>
        </w:rPr>
        <w:footnoteReference w:id="23"/>
      </w:r>
    </w:p>
    <w:p w14:paraId="3CAEF95A" w14:textId="3A7A692D" w:rsidR="00E06875" w:rsidRDefault="003A141F" w:rsidP="00A33383">
      <w:pPr>
        <w:pStyle w:val="BodyNoIndent"/>
      </w:pPr>
      <w:r>
        <w:t>At the time</w:t>
      </w:r>
      <w:r w:rsidR="000403B2">
        <w:t>,</w:t>
      </w:r>
      <w:r>
        <w:t xml:space="preserve"> ‘the whole of Greece would hardly muster three thousand men-at-arms’</w:t>
      </w:r>
      <w:r w:rsidR="000403B2">
        <w:t>,</w:t>
      </w:r>
      <w:r w:rsidRPr="00631C19">
        <w:rPr>
          <w:rStyle w:val="FootnoteReference"/>
        </w:rPr>
        <w:footnoteReference w:id="24"/>
      </w:r>
      <w:r>
        <w:t xml:space="preserve"> </w:t>
      </w:r>
      <w:r w:rsidR="000403B2">
        <w:t>a</w:t>
      </w:r>
      <w:r>
        <w:t xml:space="preserve"> number </w:t>
      </w:r>
      <w:r w:rsidR="000403B2">
        <w:t xml:space="preserve">that </w:t>
      </w:r>
      <w:r>
        <w:t xml:space="preserve">used to be mustered by just one </w:t>
      </w:r>
      <w:r w:rsidR="000E02F7">
        <w:t xml:space="preserve">large </w:t>
      </w:r>
      <w:r>
        <w:t>city</w:t>
      </w:r>
      <w:r w:rsidR="000403B2">
        <w:t xml:space="preserve"> alone,</w:t>
      </w:r>
      <w:r>
        <w:t xml:space="preserve"> </w:t>
      </w:r>
      <w:r w:rsidR="000403B2">
        <w:t>as</w:t>
      </w:r>
      <w:r>
        <w:t xml:space="preserve"> there were </w:t>
      </w:r>
      <w:r w:rsidR="00CD692E">
        <w:t>‘</w:t>
      </w:r>
      <w:r w:rsidR="000E02F7">
        <w:t xml:space="preserve">some </w:t>
      </w:r>
      <w:r>
        <w:t>1</w:t>
      </w:r>
      <w:r w:rsidR="000E02F7">
        <w:t>5</w:t>
      </w:r>
      <w:r>
        <w:t xml:space="preserve">00 </w:t>
      </w:r>
      <w:r w:rsidR="000E02F7">
        <w:t>poleis’,</w:t>
      </w:r>
      <w:r w:rsidR="000E02F7" w:rsidRPr="00631C19">
        <w:rPr>
          <w:rStyle w:val="FootnoteReference"/>
        </w:rPr>
        <w:footnoteReference w:id="25"/>
      </w:r>
      <w:r>
        <w:t xml:space="preserve"> in ancient </w:t>
      </w:r>
      <w:r>
        <w:lastRenderedPageBreak/>
        <w:t xml:space="preserve">Greece. </w:t>
      </w:r>
      <w:r w:rsidR="0062198C">
        <w:t>However</w:t>
      </w:r>
      <w:r w:rsidR="00CE243C">
        <w:t>,</w:t>
      </w:r>
      <w:r w:rsidR="0062198C">
        <w:t xml:space="preserve"> the claim of d</w:t>
      </w:r>
      <w:r w:rsidR="00A21851">
        <w:t xml:space="preserve">epopulation is dismissed by </w:t>
      </w:r>
      <w:r w:rsidR="0062198C">
        <w:t>the</w:t>
      </w:r>
      <w:r w:rsidR="00A21851">
        <w:t xml:space="preserve"> notion that at earlier times the population was even less, </w:t>
      </w:r>
      <w:r w:rsidR="0062198C">
        <w:t>and yet</w:t>
      </w:r>
      <w:r w:rsidR="00A21851">
        <w:t xml:space="preserve"> oracles were</w:t>
      </w:r>
      <w:r w:rsidR="0062198C">
        <w:t xml:space="preserve"> still not</w:t>
      </w:r>
      <w:r w:rsidR="00A21851">
        <w:t xml:space="preserve"> obsolete.</w:t>
      </w:r>
    </w:p>
    <w:p w14:paraId="09E5CCE2" w14:textId="2164AB83" w:rsidR="00C44D68" w:rsidRDefault="00A21851" w:rsidP="00A33383">
      <w:pPr>
        <w:pStyle w:val="Body"/>
      </w:pPr>
      <w:r>
        <w:t>The</w:t>
      </w:r>
      <w:r w:rsidR="000428CD">
        <w:t xml:space="preserve"> depopulation claim is surrounded by two riddles – ever burning lamp</w:t>
      </w:r>
      <w:r w:rsidR="008D4046">
        <w:t>, which consumes less and less oil each year</w:t>
      </w:r>
      <w:r w:rsidR="00FE6267">
        <w:t>,</w:t>
      </w:r>
      <w:r w:rsidR="00171E61" w:rsidRPr="00631C19">
        <w:rPr>
          <w:rStyle w:val="FootnoteReference"/>
        </w:rPr>
        <w:footnoteReference w:id="26"/>
      </w:r>
      <w:r w:rsidR="00FE6267">
        <w:t xml:space="preserve"> but emits the same amount of light</w:t>
      </w:r>
      <w:r w:rsidR="008D4046">
        <w:t xml:space="preserve">; </w:t>
      </w:r>
      <w:r w:rsidR="000428CD">
        <w:t xml:space="preserve">and </w:t>
      </w:r>
      <w:r w:rsidR="00FE6267">
        <w:t xml:space="preserve">Delphi’s </w:t>
      </w:r>
      <w:r w:rsidR="00F17260">
        <w:t>fierce serpent</w:t>
      </w:r>
      <w:r w:rsidR="00E77FF5">
        <w:t>.</w:t>
      </w:r>
      <w:r w:rsidR="00171E61" w:rsidRPr="00631C19">
        <w:rPr>
          <w:rStyle w:val="FootnoteReference"/>
        </w:rPr>
        <w:footnoteReference w:id="27"/>
      </w:r>
    </w:p>
    <w:p w14:paraId="4BD118A4" w14:textId="4765921A" w:rsidR="00306DAC" w:rsidRDefault="00FE6267" w:rsidP="00A33383">
      <w:pPr>
        <w:pStyle w:val="Body"/>
      </w:pPr>
      <w:r>
        <w:t xml:space="preserve">The lamp riddle is </w:t>
      </w:r>
      <w:r w:rsidR="00E77FF5">
        <w:t>perhaps a hint</w:t>
      </w:r>
      <w:r>
        <w:t xml:space="preserve"> </w:t>
      </w:r>
      <w:r w:rsidR="00E77FF5">
        <w:t>on</w:t>
      </w:r>
      <w:r>
        <w:t xml:space="preserve"> disbalance between consumption and production. If applied to depopulation claim, </w:t>
      </w:r>
      <w:r w:rsidR="00306DAC">
        <w:t>it</w:t>
      </w:r>
      <w:r>
        <w:t xml:space="preserve"> might sound like</w:t>
      </w:r>
      <w:r w:rsidR="00306DAC">
        <w:t>:</w:t>
      </w:r>
      <w:r>
        <w:t xml:space="preserve"> the gods still emit the same amount of advice to people, but demand for it has waned. </w:t>
      </w:r>
    </w:p>
    <w:p w14:paraId="28EBBBBB" w14:textId="21A4D6CC" w:rsidR="00FE6267" w:rsidRDefault="00FE6267" w:rsidP="00A33383">
      <w:pPr>
        <w:pStyle w:val="Body"/>
      </w:pPr>
      <w:r>
        <w:t xml:space="preserve">The serpent riddle </w:t>
      </w:r>
      <w:r w:rsidR="00E77FF5">
        <w:t>might be</w:t>
      </w:r>
      <w:r>
        <w:t xml:space="preserve"> an example of reversing of an assignment operator:</w:t>
      </w:r>
    </w:p>
    <w:p w14:paraId="4FF1BD76" w14:textId="77777777" w:rsidR="00C44D68" w:rsidRPr="00E06875" w:rsidRDefault="00C44D68" w:rsidP="00A33383">
      <w:pPr>
        <w:pStyle w:val="LongQuote"/>
      </w:pPr>
      <w:r>
        <w:t>they do not, however, put the correct interpretation upon its lying idle, but quite the reverse; for it was the desolation that attracted the creature rather than that the creature caused the desolation.</w:t>
      </w:r>
      <w:r w:rsidRPr="00631C19">
        <w:rPr>
          <w:rStyle w:val="FootnoteReference"/>
        </w:rPr>
        <w:footnoteReference w:id="28"/>
      </w:r>
    </w:p>
    <w:p w14:paraId="58A54BED" w14:textId="77777777" w:rsidR="00004F29" w:rsidRDefault="00F17260" w:rsidP="00A33383">
      <w:pPr>
        <w:pStyle w:val="BodyNoIndent"/>
      </w:pPr>
      <w:r>
        <w:t xml:space="preserve">If applied to depopulation claim, </w:t>
      </w:r>
      <w:r w:rsidR="00306DAC">
        <w:t>it</w:t>
      </w:r>
      <w:r>
        <w:t xml:space="preserve"> might sound like</w:t>
      </w:r>
      <w:r w:rsidR="00306DAC">
        <w:t>:</w:t>
      </w:r>
      <w:r>
        <w:t xml:space="preserve"> the population now is less, because there has been little demand for oracle.</w:t>
      </w:r>
      <w:r w:rsidR="00E77FF5">
        <w:t xml:space="preserve"> </w:t>
      </w:r>
    </w:p>
    <w:p w14:paraId="71E5E504" w14:textId="77777777" w:rsidR="00CE243C" w:rsidRDefault="00E77FF5" w:rsidP="00CE243C">
      <w:pPr>
        <w:pStyle w:val="Body"/>
      </w:pPr>
      <w:r>
        <w:t xml:space="preserve">Working through all the riddles in the Plutarch’s essay is beyond the scope of this review, but it seems that many scholars mistook </w:t>
      </w:r>
      <w:r w:rsidR="00004F29">
        <w:t>‘imagery, riddle, and ambiguity’,</w:t>
      </w:r>
      <w:r w:rsidR="00004F29" w:rsidRPr="00631C19">
        <w:rPr>
          <w:rStyle w:val="FootnoteReference"/>
        </w:rPr>
        <w:footnoteReference w:id="29"/>
      </w:r>
      <w:r>
        <w:t xml:space="preserve"> for plaintext and were disappointed with Plutarch’s work, </w:t>
      </w:r>
      <w:r w:rsidR="00B1060D">
        <w:t>which may have been his</w:t>
      </w:r>
      <w:r>
        <w:t xml:space="preserve"> intention —</w:t>
      </w:r>
      <w:r w:rsidR="00B1060D">
        <w:t xml:space="preserve"> to</w:t>
      </w:r>
      <w:r>
        <w:t xml:space="preserve"> hide the message.</w:t>
      </w:r>
      <w:r w:rsidR="00CE243C">
        <w:t xml:space="preserve"> </w:t>
      </w:r>
    </w:p>
    <w:p w14:paraId="31472D5D" w14:textId="796B5E82" w:rsidR="005054D8" w:rsidRDefault="00E77FF5" w:rsidP="00CE243C">
      <w:pPr>
        <w:pStyle w:val="Body"/>
      </w:pPr>
      <w:r>
        <w:t xml:space="preserve">Evaluation of Plutarch’s work is often negative, as </w:t>
      </w:r>
      <w:r w:rsidR="00360A22">
        <w:t xml:space="preserve">contemporary </w:t>
      </w:r>
      <w:r>
        <w:t>scholars assume that their cosmological framework</w:t>
      </w:r>
      <w:r w:rsidR="00AB722F">
        <w:t xml:space="preserve"> and worldview</w:t>
      </w:r>
      <w:r>
        <w:t xml:space="preserve"> </w:t>
      </w:r>
      <w:r w:rsidR="00AB722F">
        <w:t>are</w:t>
      </w:r>
      <w:r>
        <w:t xml:space="preserve"> greatly superior to Plutarch’s. But is it so? </w:t>
      </w:r>
      <w:r w:rsidR="00F83A1B">
        <w:t xml:space="preserve">Plutarch’s cosmological framework </w:t>
      </w:r>
      <w:r w:rsidR="00AB722F">
        <w:t>is based on idea of</w:t>
      </w:r>
      <w:r w:rsidR="00F83A1B">
        <w:t xml:space="preserve"> multiple worlds, each with </w:t>
      </w:r>
      <w:r w:rsidR="00AB722F">
        <w:t xml:space="preserve">its </w:t>
      </w:r>
      <w:r w:rsidR="00F83A1B">
        <w:t>own centre, and a single Creator</w:t>
      </w:r>
      <w:r w:rsidR="00CF66B7">
        <w:t xml:space="preserve"> — ‘</w:t>
      </w:r>
      <w:r w:rsidR="00471EFC">
        <w:t>he created as many worlds, as existing primal bodies’</w:t>
      </w:r>
      <w:r w:rsidR="00F83A1B">
        <w:t>.</w:t>
      </w:r>
      <w:r w:rsidR="00471EFC" w:rsidRPr="00631C19">
        <w:rPr>
          <w:rStyle w:val="FootnoteReference"/>
        </w:rPr>
        <w:footnoteReference w:id="30"/>
      </w:r>
      <w:r w:rsidR="00F83A1B">
        <w:t xml:space="preserve"> </w:t>
      </w:r>
      <w:r w:rsidR="00AB722F" w:rsidRPr="00CE243C">
        <w:t>This is in contrast to the geocentric and heliocentric models, which are based on the idea of a single world with a single centre.</w:t>
      </w:r>
      <w:r w:rsidR="00AB722F" w:rsidRPr="005054D8">
        <w:rPr>
          <w:rStyle w:val="ReConsider"/>
        </w:rPr>
        <w:t xml:space="preserve"> </w:t>
      </w:r>
      <w:r w:rsidR="00F83A1B">
        <w:t>Around 150</w:t>
      </w:r>
      <w:r w:rsidR="00CE243C">
        <w:t xml:space="preserve"> </w:t>
      </w:r>
      <w:r w:rsidR="00F83A1B">
        <w:t xml:space="preserve">AD Ptolemy published </w:t>
      </w:r>
      <w:r w:rsidR="00F83A1B" w:rsidRPr="00F83A1B">
        <w:rPr>
          <w:rStyle w:val="Publication"/>
        </w:rPr>
        <w:t>Ptolemy’s</w:t>
      </w:r>
      <w:r w:rsidR="00F83A1B">
        <w:t xml:space="preserve"> </w:t>
      </w:r>
      <w:r w:rsidR="00F83A1B" w:rsidRPr="00F83A1B">
        <w:rPr>
          <w:rStyle w:val="Publication"/>
        </w:rPr>
        <w:t>Almagest</w:t>
      </w:r>
      <w:r w:rsidR="00F83A1B">
        <w:t>,</w:t>
      </w:r>
      <w:r w:rsidR="00F83A1B" w:rsidRPr="00631C19">
        <w:rPr>
          <w:rStyle w:val="FootnoteReference"/>
        </w:rPr>
        <w:footnoteReference w:id="31"/>
      </w:r>
      <w:r w:rsidR="00F83A1B">
        <w:t xml:space="preserve"> which was a massive regress to cosmology. Thanks to the work, </w:t>
      </w:r>
      <w:r w:rsidR="00663424">
        <w:t>the</w:t>
      </w:r>
      <w:r w:rsidR="00F83A1B">
        <w:t xml:space="preserve"> geocentric model was </w:t>
      </w:r>
      <w:r w:rsidR="00EC4B71">
        <w:t xml:space="preserve">widely </w:t>
      </w:r>
      <w:r w:rsidR="00F83A1B">
        <w:t xml:space="preserve">adopted and the model dominated until </w:t>
      </w:r>
      <w:r w:rsidR="00EC4B71">
        <w:t>the ban on Copernicus’s Heliocentric model was lifted in 1835. That is almost 1700 years</w:t>
      </w:r>
      <w:r>
        <w:t xml:space="preserve"> of regress supported by the Church and by science</w:t>
      </w:r>
      <w:r w:rsidR="00EC4B71">
        <w:t>. Copernicus</w:t>
      </w:r>
      <w:r w:rsidR="004A4508">
        <w:t>’s</w:t>
      </w:r>
      <w:r w:rsidR="00EC4B71">
        <w:t xml:space="preserve"> model held that the Sun was the centre of Universe, </w:t>
      </w:r>
      <w:r w:rsidR="004A4508">
        <w:t>and</w:t>
      </w:r>
      <w:r>
        <w:t xml:space="preserve"> </w:t>
      </w:r>
      <w:r w:rsidR="00FA5026">
        <w:t xml:space="preserve">was </w:t>
      </w:r>
      <w:r>
        <w:t>supported by the Church and science</w:t>
      </w:r>
      <w:r w:rsidR="00EC4B71">
        <w:t>.</w:t>
      </w:r>
    </w:p>
    <w:p w14:paraId="7B8A808B" w14:textId="27159152" w:rsidR="005027CB" w:rsidRDefault="00EC4B71" w:rsidP="00A33383">
      <w:pPr>
        <w:pStyle w:val="Body"/>
      </w:pPr>
      <w:r>
        <w:t xml:space="preserve">All modern cosmological frameworks have math problems, to solve which ‘dark matter’ had to be invented. This kind of accounting wouldn’t </w:t>
      </w:r>
      <w:r w:rsidR="00E77FF5">
        <w:t>be acceptable</w:t>
      </w:r>
      <w:r>
        <w:t xml:space="preserve"> in any other science or industry, but has </w:t>
      </w:r>
      <w:r w:rsidR="00115B94">
        <w:t xml:space="preserve">seemingly </w:t>
      </w:r>
      <w:r>
        <w:t xml:space="preserve">been OK for astrophysics for over </w:t>
      </w:r>
      <w:r w:rsidR="00115B94">
        <w:t>hundred</w:t>
      </w:r>
      <w:r>
        <w:t xml:space="preserve"> years. </w:t>
      </w:r>
      <w:r w:rsidR="00115B94">
        <w:t>None of the</w:t>
      </w:r>
      <w:r>
        <w:t xml:space="preserve"> </w:t>
      </w:r>
      <w:r w:rsidR="00815381">
        <w:t xml:space="preserve">contemporary cosmological </w:t>
      </w:r>
      <w:r>
        <w:t xml:space="preserve">frameworks mention the Creator. Where </w:t>
      </w:r>
      <w:r w:rsidR="00115B94">
        <w:t xml:space="preserve">does </w:t>
      </w:r>
      <w:r w:rsidR="00093E8A">
        <w:t>Plutarch’s</w:t>
      </w:r>
      <w:r>
        <w:t xml:space="preserve"> cosmological framework stand? </w:t>
      </w:r>
      <w:r w:rsidR="00093E8A">
        <w:t>Obviously,</w:t>
      </w:r>
      <w:r>
        <w:t xml:space="preserve"> it is </w:t>
      </w:r>
      <w:r w:rsidR="00815381">
        <w:t>superior to</w:t>
      </w:r>
      <w:r>
        <w:t xml:space="preserve"> the geocentric model, which dominated </w:t>
      </w:r>
      <w:r w:rsidR="00E77FF5">
        <w:t xml:space="preserve">the Church and science </w:t>
      </w:r>
      <w:r>
        <w:t xml:space="preserve">for 1700 years. It is also </w:t>
      </w:r>
      <w:r w:rsidR="00815381">
        <w:t>superior to</w:t>
      </w:r>
      <w:r>
        <w:t xml:space="preserve"> Copernicus’s cosmological framework, which was replaced around</w:t>
      </w:r>
      <w:r w:rsidR="00E77FF5">
        <w:t xml:space="preserve"> </w:t>
      </w:r>
      <w:r>
        <w:t xml:space="preserve">1920. The replacements </w:t>
      </w:r>
      <w:r w:rsidR="00E77FF5">
        <w:t xml:space="preserve">of heliocentric </w:t>
      </w:r>
      <w:r w:rsidR="009C4D15">
        <w:t>model</w:t>
      </w:r>
      <w:r w:rsidR="00E77FF5">
        <w:t xml:space="preserve"> </w:t>
      </w:r>
      <w:r>
        <w:t>use questionable accounting techniques,</w:t>
      </w:r>
      <w:r w:rsidR="00815381" w:rsidRPr="00631C19">
        <w:rPr>
          <w:rStyle w:val="FootnoteReference"/>
        </w:rPr>
        <w:footnoteReference w:id="32"/>
      </w:r>
      <w:r>
        <w:t xml:space="preserve"> which if used by a bank, would </w:t>
      </w:r>
      <w:r w:rsidR="00E77FF5">
        <w:t xml:space="preserve">be called a fraud and </w:t>
      </w:r>
      <w:r>
        <w:t>result in criminal charges. Smolin</w:t>
      </w:r>
      <w:r w:rsidR="00E77FF5">
        <w:t>’s</w:t>
      </w:r>
      <w:r>
        <w:t xml:space="preserve"> book implies that the Universe was created against all odds </w:t>
      </w:r>
      <w:r w:rsidR="00552E80">
        <w:t>(1 to 10</w:t>
      </w:r>
      <w:r w:rsidR="00552E80" w:rsidRPr="00552E80">
        <w:rPr>
          <w:rStyle w:val="Superscript"/>
        </w:rPr>
        <w:t>229</w:t>
      </w:r>
      <w:r w:rsidR="00552E80">
        <w:t>),</w:t>
      </w:r>
      <w:r w:rsidR="00552E80" w:rsidRPr="00631C19">
        <w:rPr>
          <w:rStyle w:val="FootnoteReference"/>
        </w:rPr>
        <w:footnoteReference w:id="33"/>
      </w:r>
      <w:r w:rsidR="00552E80">
        <w:t xml:space="preserve"> </w:t>
      </w:r>
      <w:r>
        <w:t xml:space="preserve">and therefore there must be a Creator. </w:t>
      </w:r>
    </w:p>
    <w:p w14:paraId="5777C418" w14:textId="77ED93BF" w:rsidR="000F403A" w:rsidRPr="00AB6D92" w:rsidRDefault="00EC4B71" w:rsidP="00AB6D92">
      <w:pPr>
        <w:pStyle w:val="Body"/>
        <w:rPr>
          <w:color w:val="C00000"/>
        </w:rPr>
      </w:pPr>
      <w:r>
        <w:t>Taking all this into account, Plutarch cosmological framework is a winner</w:t>
      </w:r>
      <w:r w:rsidR="005027CB">
        <w:t xml:space="preserve"> after being abandoned for 19</w:t>
      </w:r>
      <w:r w:rsidR="009C4D15">
        <w:t>35</w:t>
      </w:r>
      <w:r w:rsidR="005027CB">
        <w:t xml:space="preserve"> years</w:t>
      </w:r>
      <w:r>
        <w:t>. And this is a reason to take his work extremely seriously.</w:t>
      </w:r>
      <w:r w:rsidR="00201697">
        <w:t xml:space="preserve"> </w:t>
      </w:r>
      <w:r w:rsidR="00663424">
        <w:t>Plutarch argues that divination is a natural phenomenon and been practice</w:t>
      </w:r>
      <w:r w:rsidR="00E77FF5">
        <w:t>d</w:t>
      </w:r>
      <w:r w:rsidR="00663424">
        <w:t xml:space="preserve"> since ancient times.</w:t>
      </w:r>
      <w:r w:rsidR="00265AD2">
        <w:t xml:space="preserve"> Plutarch connects prophecy ability to demigods — ‘That it is not the gods [..] who are in charge of the oracles, […] but that it is the </w:t>
      </w:r>
      <w:proofErr w:type="gramStart"/>
      <w:r w:rsidR="00265AD2">
        <w:t>demigods’</w:t>
      </w:r>
      <w:proofErr w:type="gramEnd"/>
      <w:r w:rsidR="00265AD2">
        <w:t>.</w:t>
      </w:r>
      <w:r w:rsidR="00265AD2" w:rsidRPr="00631C19">
        <w:rPr>
          <w:rStyle w:val="FootnoteReference"/>
        </w:rPr>
        <w:footnoteReference w:id="34"/>
      </w:r>
      <w:r w:rsidR="00265AD2">
        <w:t xml:space="preserve"> </w:t>
      </w:r>
      <w:r w:rsidR="002A1167">
        <w:t>According to Greenbaum:</w:t>
      </w:r>
    </w:p>
    <w:p w14:paraId="6484E6B6" w14:textId="03C7843C" w:rsidR="002A1167" w:rsidRPr="002A1167" w:rsidRDefault="002A1167" w:rsidP="00A33383">
      <w:pPr>
        <w:pStyle w:val="LongQuote"/>
      </w:pPr>
      <w:r>
        <w:lastRenderedPageBreak/>
        <w:t xml:space="preserve">Daimons are mediators between gods and humans and as such they, not gods, inhabit the oracles. </w:t>
      </w:r>
      <w:r w:rsidR="002E2047">
        <w:t>[…]</w:t>
      </w:r>
      <w:r>
        <w:t xml:space="preserve"> As intermediaries, daimons can mediate between the divine and immortal and the human and mortal, can interpret between gods and humans.</w:t>
      </w:r>
      <w:r w:rsidRPr="00631C19">
        <w:rPr>
          <w:rStyle w:val="FootnoteReference"/>
        </w:rPr>
        <w:footnoteReference w:id="35"/>
      </w:r>
    </w:p>
    <w:p w14:paraId="1DCC4158" w14:textId="12DFA558" w:rsidR="00E85AB3" w:rsidRDefault="00E85AB3" w:rsidP="00A33383">
      <w:pPr>
        <w:pStyle w:val="BodyNoIndent"/>
      </w:pPr>
      <w:r>
        <w:t>This view is echoed by Russell:</w:t>
      </w:r>
    </w:p>
    <w:p w14:paraId="361B64DC" w14:textId="141FAA12" w:rsidR="00E85AB3" w:rsidRDefault="00E85AB3" w:rsidP="00A33383">
      <w:pPr>
        <w:pStyle w:val="LongQuote"/>
      </w:pPr>
      <w:r w:rsidRPr="00FD43D6">
        <w:t xml:space="preserve">There </w:t>
      </w:r>
      <w:proofErr w:type="gramStart"/>
      <w:r w:rsidRPr="00FD43D6">
        <w:t>are</w:t>
      </w:r>
      <w:proofErr w:type="gramEnd"/>
      <w:r w:rsidRPr="00FD43D6">
        <w:t xml:space="preserve"> no specially barbarian or specially Greek gods, he says, but one providence operating through its subordinate powers which are differently honoured and wor</w:t>
      </w:r>
      <w:r>
        <w:t>s</w:t>
      </w:r>
      <w:r w:rsidRPr="00FD43D6">
        <w:t>hipped in different pl</w:t>
      </w:r>
      <w:r>
        <w:t>aces.</w:t>
      </w:r>
      <w:r w:rsidRPr="00631C19">
        <w:rPr>
          <w:rStyle w:val="FootnoteReference"/>
        </w:rPr>
        <w:footnoteReference w:id="36"/>
      </w:r>
    </w:p>
    <w:p w14:paraId="33195E92" w14:textId="0974804D" w:rsidR="005054D8" w:rsidRDefault="002A1167" w:rsidP="00A33383">
      <w:pPr>
        <w:pStyle w:val="BodyNoIndent"/>
      </w:pPr>
      <w:r>
        <w:t>Plutarch</w:t>
      </w:r>
      <w:r w:rsidR="00265AD2">
        <w:t xml:space="preserve"> gives two indications for how long oracles were delivered. Firstly, he gives a figure </w:t>
      </w:r>
      <w:r w:rsidR="00E77FF5">
        <w:t>for</w:t>
      </w:r>
      <w:r w:rsidR="00265AD2">
        <w:t xml:space="preserve"> a lifespan of a demigod — ‘the life of these divinities is nine thousand, seven hundred and twenty years.</w:t>
      </w:r>
      <w:r w:rsidR="00265AD2" w:rsidRPr="00631C19">
        <w:rPr>
          <w:rStyle w:val="FootnoteReference"/>
        </w:rPr>
        <w:footnoteReference w:id="37"/>
      </w:r>
      <w:r w:rsidR="00265AD2">
        <w:t xml:space="preserve"> Secondly, he states that the death of the Great Pan happened during the reign of Tiberius (</w:t>
      </w:r>
      <w:r w:rsidR="00265AD2" w:rsidRPr="002D532F">
        <w:t>42BC –</w:t>
      </w:r>
      <w:r w:rsidR="00265AD2">
        <w:t xml:space="preserve"> 37</w:t>
      </w:r>
      <w:r w:rsidR="00265AD2" w:rsidRPr="002D532F">
        <w:t>AD</w:t>
      </w:r>
      <w:r w:rsidR="00265AD2">
        <w:t xml:space="preserve">), implying demigods might had been guiding the humanity since at least 9,700BC, which is almost 12,000 years ago. To access </w:t>
      </w:r>
      <w:r>
        <w:t xml:space="preserve">the </w:t>
      </w:r>
      <w:r w:rsidR="00265AD2">
        <w:t>validity of Plutarch’s argument, we need two pieces of information: ‘First hominid life forms 4 million years ago (hunter gatherers), first human farmers: about 12,000 years ago’.</w:t>
      </w:r>
      <w:r w:rsidR="00265AD2" w:rsidRPr="00631C19">
        <w:rPr>
          <w:rStyle w:val="FootnoteReference"/>
        </w:rPr>
        <w:footnoteReference w:id="38"/>
      </w:r>
      <w:r w:rsidR="00265AD2">
        <w:t xml:space="preserve"> </w:t>
      </w:r>
    </w:p>
    <w:p w14:paraId="2C4A41EC" w14:textId="44B7DF7D" w:rsidR="00AB6D92" w:rsidRDefault="00265AD2" w:rsidP="00AB6D92">
      <w:pPr>
        <w:pStyle w:val="Body"/>
      </w:pPr>
      <w:r>
        <w:t>There is an incredibly long gap of millions of years between humans becoming hunters-gatherers and beginning of agriculture. If we imagine 4 million years as a year, then only on the last day of the year humans suddenly became farmers</w:t>
      </w:r>
      <w:r w:rsidR="00E06C53">
        <w:t xml:space="preserve"> and about </w:t>
      </w:r>
      <w:r w:rsidR="002A1167">
        <w:t>most of that</w:t>
      </w:r>
      <w:r w:rsidR="00E06C53">
        <w:t xml:space="preserve"> day is very little known so far</w:t>
      </w:r>
      <w:r>
        <w:t xml:space="preserve">. Was the divine power guiding them? </w:t>
      </w:r>
      <w:r w:rsidR="00716C84">
        <w:t xml:space="preserve">Was it connected to Prometheus myth? </w:t>
      </w:r>
      <w:r>
        <w:t xml:space="preserve">We don’t know, but </w:t>
      </w:r>
      <w:r w:rsidR="00112DFF">
        <w:t xml:space="preserve">one can speculate that </w:t>
      </w:r>
      <w:r>
        <w:t>Plutarch might h</w:t>
      </w:r>
      <w:r w:rsidR="004036B3">
        <w:t>ad</w:t>
      </w:r>
      <w:r>
        <w:t xml:space="preserve"> known it, as the figure he provides is spot on.</w:t>
      </w:r>
      <w:r w:rsidR="00F53AE5" w:rsidRPr="00631C19">
        <w:rPr>
          <w:rStyle w:val="FootnoteReference"/>
        </w:rPr>
        <w:footnoteReference w:id="39"/>
      </w:r>
      <w:r>
        <w:t xml:space="preserve"> Where </w:t>
      </w:r>
      <w:r w:rsidR="00AF06A1">
        <w:t xml:space="preserve">did </w:t>
      </w:r>
      <w:r>
        <w:t xml:space="preserve">the information came from? First farmers were unlikely to keep records. </w:t>
      </w:r>
      <w:r w:rsidR="002A1167">
        <w:t xml:space="preserve">A guess? </w:t>
      </w:r>
      <w:r w:rsidR="00E85AB3">
        <w:t>An u</w:t>
      </w:r>
      <w:r w:rsidR="002A1167">
        <w:t xml:space="preserve">nknown source? </w:t>
      </w:r>
      <w:r w:rsidR="00716C84">
        <w:t>The</w:t>
      </w:r>
      <w:r>
        <w:t xml:space="preserve"> figure might be an indirect evidence of communication between </w:t>
      </w:r>
      <w:r w:rsidR="005152ED">
        <w:t xml:space="preserve">the divine power through </w:t>
      </w:r>
      <w:r>
        <w:t xml:space="preserve">daimons </w:t>
      </w:r>
      <w:r w:rsidR="005152ED">
        <w:t>to the Delphic</w:t>
      </w:r>
      <w:r>
        <w:t xml:space="preserve"> </w:t>
      </w:r>
      <w:r w:rsidR="004F4780">
        <w:t>oracles</w:t>
      </w:r>
      <w:r>
        <w:t>.</w:t>
      </w:r>
      <w:r w:rsidR="00531964">
        <w:t xml:space="preserve"> </w:t>
      </w:r>
    </w:p>
    <w:p w14:paraId="63787757" w14:textId="5D05A2D0" w:rsidR="005054D8" w:rsidRDefault="00472EED" w:rsidP="00A33383">
      <w:pPr>
        <w:pStyle w:val="Body"/>
      </w:pPr>
      <w:r>
        <w:t>Plutarch</w:t>
      </w:r>
      <w:r w:rsidR="00911254">
        <w:t xml:space="preserve"> notes that divination can be used to predict the outcome of events</w:t>
      </w:r>
      <w:r w:rsidR="000E2818">
        <w:t xml:space="preserve">. </w:t>
      </w:r>
      <w:r w:rsidR="00911254">
        <w:t>He also argues that divination can be used to gain insight into the divine will, and that it can be used to gain insight into the workings of the universe.</w:t>
      </w:r>
      <w:r w:rsidR="00776C6D">
        <w:t xml:space="preserve"> </w:t>
      </w:r>
      <w:r w:rsidR="00911254">
        <w:t xml:space="preserve">This argument can be dealt again with help of Smolin. </w:t>
      </w:r>
    </w:p>
    <w:p w14:paraId="321AA512" w14:textId="4BF43591" w:rsidR="00911254" w:rsidRDefault="002A1167" w:rsidP="00A33383">
      <w:pPr>
        <w:pStyle w:val="Body"/>
      </w:pPr>
      <w:r>
        <w:t xml:space="preserve">There is </w:t>
      </w:r>
      <w:r w:rsidR="00C1377D">
        <w:t xml:space="preserve">a </w:t>
      </w:r>
      <w:r>
        <w:t xml:space="preserve">similarity with science, where a lot of scientists, but few move </w:t>
      </w:r>
      <w:proofErr w:type="gramStart"/>
      <w:r w:rsidR="00C1377D">
        <w:t>science</w:t>
      </w:r>
      <w:proofErr w:type="gramEnd"/>
      <w:r>
        <w:t xml:space="preserve"> forward</w:t>
      </w:r>
      <w:r w:rsidR="00911254">
        <w:t xml:space="preserve">. Smolin </w:t>
      </w:r>
      <w:r w:rsidR="00776C6D">
        <w:t xml:space="preserve">in </w:t>
      </w:r>
      <w:r w:rsidR="00776C6D" w:rsidRPr="00C1377D">
        <w:rPr>
          <w:rStyle w:val="Publication"/>
        </w:rPr>
        <w:t>T</w:t>
      </w:r>
      <w:r w:rsidR="00E85AB3">
        <w:rPr>
          <w:rStyle w:val="Publication"/>
        </w:rPr>
        <w:t>he T</w:t>
      </w:r>
      <w:r w:rsidR="00776C6D" w:rsidRPr="00C1377D">
        <w:rPr>
          <w:rStyle w:val="Publication"/>
        </w:rPr>
        <w:t>rouble with Physics</w:t>
      </w:r>
      <w:r w:rsidR="00E85AB3">
        <w:rPr>
          <w:rStyle w:val="Publication"/>
        </w:rPr>
        <w:t>,</w:t>
      </w:r>
      <w:r w:rsidR="00776C6D" w:rsidRPr="00631C19">
        <w:rPr>
          <w:rStyle w:val="FootnoteReference"/>
        </w:rPr>
        <w:footnoteReference w:id="40"/>
      </w:r>
      <w:r w:rsidR="00776C6D">
        <w:t xml:space="preserve">  </w:t>
      </w:r>
      <w:r w:rsidR="00911254">
        <w:t>argues that universities today wouldn’t employ neither Einstein, nor other famous physicists of the past, because these scientists do not fill the required for science profile anymore. He describes the incumbents in physics as ‘craftspeople’,</w:t>
      </w:r>
      <w:r w:rsidR="00911254" w:rsidRPr="00631C19">
        <w:rPr>
          <w:rStyle w:val="FootnoteReference"/>
        </w:rPr>
        <w:footnoteReference w:id="41"/>
      </w:r>
      <w:r w:rsidR="00911254">
        <w:t xml:space="preserve"> </w:t>
      </w:r>
      <w:r w:rsidR="00776C6D">
        <w:t>hinting on</w:t>
      </w:r>
      <w:r w:rsidR="00911254">
        <w:t xml:space="preserve"> the main difference between </w:t>
      </w:r>
      <w:r w:rsidR="000E2818">
        <w:t>seers</w:t>
      </w:r>
      <w:r w:rsidR="00911254">
        <w:t xml:space="preserve"> and craftsmen, which is </w:t>
      </w:r>
      <w:r w:rsidR="000E2818">
        <w:t xml:space="preserve">the </w:t>
      </w:r>
      <w:r w:rsidR="00911254">
        <w:t xml:space="preserve">inability </w:t>
      </w:r>
      <w:r w:rsidR="00776C6D">
        <w:t xml:space="preserve">of craftspeople </w:t>
      </w:r>
      <w:r w:rsidR="00911254">
        <w:t>to create something new. He describes true physicists as:</w:t>
      </w:r>
    </w:p>
    <w:p w14:paraId="281A3072" w14:textId="0FC15345" w:rsidR="00C1377D" w:rsidRDefault="00911254" w:rsidP="00A33383">
      <w:pPr>
        <w:pStyle w:val="LongQuote"/>
      </w:pPr>
      <w:r>
        <w:t>Seers are very different. They are dreamers. They go into science because they have questions about the nature of existence that their schoolbooks don’t answer. If they weren’t scientists, they might be artists or writers or they might end up in divinity school. It is only to be expected that members of these two groups misunderstand and mistrust each other.</w:t>
      </w:r>
      <w:r w:rsidRPr="00631C19">
        <w:rPr>
          <w:rStyle w:val="FootnoteReference"/>
        </w:rPr>
        <w:footnoteReference w:id="42"/>
      </w:r>
    </w:p>
    <w:p w14:paraId="142CB767" w14:textId="125BB10F" w:rsidR="00941B70" w:rsidRDefault="00E85AB3" w:rsidP="00A33383">
      <w:pPr>
        <w:pStyle w:val="BodyNoIndent"/>
      </w:pPr>
      <w:r>
        <w:t xml:space="preserve">Smolin talks about areas of science, which haven’t seen progress in many decades. These scientists could be in the same situation as hunter-gatherers, who stuck for millions of years, without inventing something new, without progress. </w:t>
      </w:r>
      <w:r w:rsidR="00911254">
        <w:t>Smolin sees visionaries in science as creative types</w:t>
      </w:r>
      <w:r w:rsidR="00E06C53">
        <w:t xml:space="preserve"> and hints </w:t>
      </w:r>
      <w:r w:rsidR="000E2818">
        <w:t>at a</w:t>
      </w:r>
      <w:r w:rsidR="00E06C53">
        <w:t xml:space="preserve"> connection between creativity and divination</w:t>
      </w:r>
      <w:r w:rsidR="00911254">
        <w:t xml:space="preserve">. </w:t>
      </w:r>
      <w:r w:rsidR="00941B70">
        <w:t xml:space="preserve">Here he </w:t>
      </w:r>
      <w:r w:rsidR="000E2818">
        <w:t xml:space="preserve">is </w:t>
      </w:r>
      <w:r w:rsidR="00941B70">
        <w:t xml:space="preserve">in tune with Plutarch, </w:t>
      </w:r>
      <w:r w:rsidR="000E2818">
        <w:t>who believed that</w:t>
      </w:r>
      <w:r w:rsidR="002F4189">
        <w:t xml:space="preserve"> </w:t>
      </w:r>
      <w:r w:rsidR="00776C6D">
        <w:t>science</w:t>
      </w:r>
      <w:r w:rsidR="002F4189">
        <w:t xml:space="preserve"> and divination are </w:t>
      </w:r>
      <w:r>
        <w:t>two sides of the same coin</w:t>
      </w:r>
      <w:r w:rsidR="002F4189">
        <w:t>:</w:t>
      </w:r>
      <w:r w:rsidR="00941B70">
        <w:t xml:space="preserve"> </w:t>
      </w:r>
    </w:p>
    <w:p w14:paraId="1CEA39E5" w14:textId="174A8A6C" w:rsidR="002F4189" w:rsidRDefault="00ED3B44" w:rsidP="00A33383">
      <w:pPr>
        <w:pStyle w:val="LongQuote"/>
      </w:pPr>
      <w:r>
        <w:lastRenderedPageBreak/>
        <w:t>[..]</w:t>
      </w:r>
      <w:r w:rsidR="002F4189">
        <w:t xml:space="preserve"> earliest theological writers and poets chose to heed only the superior one, uttering over all things that come to pass this common generality: “Zeus the beginning, Zeus in the midst, and from Zeus comes all being”; but as yet they made no approach towards the compelling and natural causes. </w:t>
      </w:r>
      <w:r>
        <w:t>[…]</w:t>
      </w:r>
      <w:r w:rsidR="002F4189">
        <w:t xml:space="preserve"> younger generation which followed them, and are called physicists or natural philosophers, </w:t>
      </w:r>
      <w:r>
        <w:t>[…]</w:t>
      </w:r>
      <w:r w:rsidR="002F4189">
        <w:t xml:space="preserve"> ascribe everything to bodies and their behaviour, to clashes, transmutations, and combinations. Hence the reasoning of both parties is deficient in what is essential to it, since the one ignores or omits the intermediary and the agent, the other the source and the means.</w:t>
      </w:r>
      <w:r w:rsidR="002F4189" w:rsidRPr="00631C19">
        <w:rPr>
          <w:rStyle w:val="FootnoteReference"/>
        </w:rPr>
        <w:footnoteReference w:id="43"/>
      </w:r>
    </w:p>
    <w:p w14:paraId="0F0B3455" w14:textId="09A364BA" w:rsidR="00941B70" w:rsidRPr="00941B70" w:rsidRDefault="00C50F48" w:rsidP="001646C7">
      <w:pPr>
        <w:pStyle w:val="BodyNoIndent"/>
      </w:pPr>
      <w:r>
        <w:t xml:space="preserve">In fact, Plutarch and Smolin </w:t>
      </w:r>
      <w:r w:rsidR="00A17604">
        <w:t xml:space="preserve">were </w:t>
      </w:r>
      <w:r>
        <w:t xml:space="preserve">so in tune, that Smolin’s </w:t>
      </w:r>
      <w:r w:rsidRPr="00C50F48">
        <w:rPr>
          <w:rStyle w:val="Publication"/>
        </w:rPr>
        <w:t>The Trouble with Physics</w:t>
      </w:r>
      <w:r>
        <w:t xml:space="preserve"> could be called On</w:t>
      </w:r>
      <w:r w:rsidR="00A17604">
        <w:t xml:space="preserve"> </w:t>
      </w:r>
      <w:r>
        <w:t>Obsolescence of Scientists</w:t>
      </w:r>
      <w:r w:rsidR="00E85AB3">
        <w:t xml:space="preserve">. </w:t>
      </w:r>
      <w:r w:rsidR="002F4189">
        <w:t xml:space="preserve">If the science </w:t>
      </w:r>
      <w:r w:rsidR="00E85AB3">
        <w:t xml:space="preserve">is </w:t>
      </w:r>
      <w:r w:rsidR="002F4189">
        <w:t xml:space="preserve">advanced by visionaries alone, who in turn have a connection with God, then Michelangelo got it right in </w:t>
      </w:r>
      <w:r w:rsidR="002F4189" w:rsidRPr="000503F0">
        <w:rPr>
          <w:rStyle w:val="Publication"/>
        </w:rPr>
        <w:t>The Creation of Adam</w:t>
      </w:r>
      <w:r w:rsidR="002F4189">
        <w:t>.</w:t>
      </w:r>
      <w:r w:rsidR="002F4189" w:rsidRPr="00631C19">
        <w:rPr>
          <w:rStyle w:val="FootnoteReference"/>
        </w:rPr>
        <w:footnoteReference w:id="44"/>
      </w:r>
      <w:r w:rsidR="002F4189">
        <w:t xml:space="preserve"> </w:t>
      </w:r>
      <w:r w:rsidR="00A17604">
        <w:t xml:space="preserve">But that raises a question of whether the Church and visionaries are connected to the same God, as </w:t>
      </w:r>
      <w:r w:rsidR="004036B3">
        <w:t>outcomes are different</w:t>
      </w:r>
      <w:r w:rsidR="00A17604">
        <w:t xml:space="preserve">. </w:t>
      </w:r>
      <w:r w:rsidR="002F4189">
        <w:t>And this confirms Plutarch argument, that divination can help to gain insight into the workings of the universe.</w:t>
      </w:r>
      <w:r w:rsidR="00A17604">
        <w:t xml:space="preserve"> </w:t>
      </w:r>
    </w:p>
    <w:p w14:paraId="23E9A0A7" w14:textId="64E2A36A" w:rsidR="0076783E" w:rsidRDefault="0076783E" w:rsidP="0076783E">
      <w:pPr>
        <w:pStyle w:val="Subhead"/>
      </w:pPr>
      <w:r>
        <w:t>Conclusion</w:t>
      </w:r>
    </w:p>
    <w:p w14:paraId="6497D1A7" w14:textId="6C1DAD4F" w:rsidR="00763DEA" w:rsidRPr="00763DEA" w:rsidRDefault="00A21851" w:rsidP="00763DEA">
      <w:pPr>
        <w:pStyle w:val="BodyNoIndent"/>
      </w:pPr>
      <w:r w:rsidRPr="00A21851">
        <w:t>P</w:t>
      </w:r>
      <w:r>
        <w:t xml:space="preserve">lutarch’s work </w:t>
      </w:r>
      <w:r w:rsidRPr="00A21851">
        <w:rPr>
          <w:rStyle w:val="Publication"/>
        </w:rPr>
        <w:t>On Obsolescence of Oracles</w:t>
      </w:r>
      <w:r>
        <w:t xml:space="preserve"> </w:t>
      </w:r>
      <w:r w:rsidR="00763DEA">
        <w:t xml:space="preserve">is still </w:t>
      </w:r>
      <w:r w:rsidR="003A7307">
        <w:t>modern</w:t>
      </w:r>
      <w:r w:rsidR="00763DEA">
        <w:t>, relevant even today</w:t>
      </w:r>
      <w:r w:rsidR="003A7307">
        <w:t xml:space="preserve"> and </w:t>
      </w:r>
      <w:r w:rsidR="00763DEA">
        <w:t>still not fully understood</w:t>
      </w:r>
      <w:r>
        <w:t xml:space="preserve">. </w:t>
      </w:r>
      <w:r w:rsidR="00763DEA" w:rsidRPr="001646C7">
        <w:t>It is not only a literary work, but an important statement on divination by a priest of the Temple of Apollo at Delphi. What makes this work so important two thousand years later are the attempts of people to reach the gods directly without getting divination oracles.</w:t>
      </w:r>
      <w:r w:rsidR="00763DEA" w:rsidRPr="00ED2459">
        <w:rPr>
          <w:rStyle w:val="ReConsider"/>
        </w:rPr>
        <w:t xml:space="preserve"> </w:t>
      </w:r>
      <w:r>
        <w:t xml:space="preserve">Plutarch makes perfectly clear </w:t>
      </w:r>
      <w:r w:rsidR="00FD21DC">
        <w:t>that daimons — ‘ministers of the Gods’,</w:t>
      </w:r>
      <w:r w:rsidR="00FD21DC" w:rsidRPr="00631C19">
        <w:rPr>
          <w:rStyle w:val="FootnoteReference"/>
        </w:rPr>
        <w:footnoteReference w:id="45"/>
      </w:r>
      <w:r w:rsidR="00FD21DC">
        <w:t xml:space="preserve"> are ‘overseers, watchmen and guardians’,</w:t>
      </w:r>
      <w:r w:rsidR="00FD21DC" w:rsidRPr="00631C19">
        <w:rPr>
          <w:rStyle w:val="FootnoteReference"/>
        </w:rPr>
        <w:footnoteReference w:id="46"/>
      </w:r>
      <w:r w:rsidR="00FD21DC">
        <w:t xml:space="preserve"> implying </w:t>
      </w:r>
      <w:r>
        <w:t>that the Creator is too busy and communications are supposed to be through daimons. Smolin calculated that the odds of the ordered Universe we live in are incredibly small — 1 in 10</w:t>
      </w:r>
      <w:r w:rsidRPr="00A21851">
        <w:rPr>
          <w:rStyle w:val="Superscript"/>
        </w:rPr>
        <w:t>229</w:t>
      </w:r>
      <w:r>
        <w:t xml:space="preserve">. </w:t>
      </w:r>
      <w:r w:rsidR="003A7307">
        <w:t>With such odds</w:t>
      </w:r>
      <w:r>
        <w:t xml:space="preserve"> the balance between order and chaos is delicate</w:t>
      </w:r>
      <w:r w:rsidR="003A7307">
        <w:t xml:space="preserve"> and there might be </w:t>
      </w:r>
      <w:r w:rsidR="00763DEA">
        <w:t xml:space="preserve">the Creator’s </w:t>
      </w:r>
      <w:r w:rsidR="003A7307">
        <w:t>work required to keep the universe stable</w:t>
      </w:r>
      <w:r>
        <w:t xml:space="preserve">. An explanation of why it is so quiet in the Universe, might be not that we are alone </w:t>
      </w:r>
      <w:r w:rsidR="00FD21DC">
        <w:t>in it</w:t>
      </w:r>
      <w:r>
        <w:t xml:space="preserve">, but that it is </w:t>
      </w:r>
      <w:r w:rsidR="004036B3">
        <w:t>accepted behaviour to keep</w:t>
      </w:r>
      <w:r>
        <w:t xml:space="preserve"> </w:t>
      </w:r>
      <w:r w:rsidR="00763DEA">
        <w:t>low profile</w:t>
      </w:r>
      <w:r>
        <w:t xml:space="preserve"> and not </w:t>
      </w:r>
      <w:r w:rsidR="00763DEA">
        <w:t xml:space="preserve">to </w:t>
      </w:r>
      <w:r>
        <w:t xml:space="preserve">interfere into </w:t>
      </w:r>
      <w:r w:rsidR="00FD21DC">
        <w:t>G</w:t>
      </w:r>
      <w:r>
        <w:t>ods</w:t>
      </w:r>
      <w:r w:rsidR="00763DEA">
        <w:t>’</w:t>
      </w:r>
      <w:r>
        <w:t xml:space="preserve"> matters. With the amount of </w:t>
      </w:r>
      <w:r w:rsidR="00763DEA">
        <w:t>destruction</w:t>
      </w:r>
      <w:r>
        <w:t xml:space="preserve"> in the Universe, </w:t>
      </w:r>
      <w:r w:rsidR="003A7307">
        <w:t xml:space="preserve">and </w:t>
      </w:r>
      <w:r w:rsidR="00763DEA">
        <w:t xml:space="preserve">myths of </w:t>
      </w:r>
      <w:r w:rsidR="003A7307">
        <w:t xml:space="preserve">God being harsh and cruel to people, </w:t>
      </w:r>
      <w:r>
        <w:t xml:space="preserve">one </w:t>
      </w:r>
      <w:r w:rsidR="003A7307">
        <w:t>must be sure of consequences</w:t>
      </w:r>
      <w:r>
        <w:t xml:space="preserve"> before </w:t>
      </w:r>
      <w:r w:rsidR="004036B3">
        <w:t xml:space="preserve">to cross the line and </w:t>
      </w:r>
      <w:r>
        <w:t xml:space="preserve">trying to contact the </w:t>
      </w:r>
      <w:r w:rsidR="00763DEA">
        <w:t>Creator</w:t>
      </w:r>
      <w:r>
        <w:t xml:space="preserve"> directly. </w:t>
      </w:r>
      <w:r w:rsidR="004036B3">
        <w:t xml:space="preserve">Perhaps this message was missed, since </w:t>
      </w:r>
      <w:r w:rsidR="003E502B">
        <w:t xml:space="preserve">Delphic </w:t>
      </w:r>
      <w:r w:rsidR="004036B3">
        <w:t>oracles were out of business for 1935 years. Today, it seems that</w:t>
      </w:r>
      <w:r w:rsidR="003A7307">
        <w:t xml:space="preserve"> the ones who are calling the shots are the craftspeople who ‘misunderstand and mistrust’,</w:t>
      </w:r>
      <w:r w:rsidR="003A7307" w:rsidRPr="00631C19">
        <w:rPr>
          <w:rStyle w:val="FootnoteReference"/>
        </w:rPr>
        <w:footnoteReference w:id="47"/>
      </w:r>
      <w:r w:rsidR="003A7307">
        <w:t xml:space="preserve"> oracles. </w:t>
      </w:r>
      <w:r>
        <w:t xml:space="preserve">Two Delphic oracles come to mind — ‘if he should send an army against the </w:t>
      </w:r>
      <w:r w:rsidR="00AB6D92">
        <w:t>Persians,</w:t>
      </w:r>
      <w:r>
        <w:t xml:space="preserve"> he would destroy a great empire,</w:t>
      </w:r>
      <w:r w:rsidRPr="00631C19">
        <w:rPr>
          <w:rStyle w:val="FootnoteReference"/>
        </w:rPr>
        <w:footnoteReference w:id="48"/>
      </w:r>
      <w:r>
        <w:t xml:space="preserve"> and ‘Lydian, beware of the day when a mule is lord of the Medians.</w:t>
      </w:r>
      <w:r w:rsidRPr="00631C19">
        <w:rPr>
          <w:rStyle w:val="FootnoteReference"/>
        </w:rPr>
        <w:footnoteReference w:id="49"/>
      </w:r>
      <w:r w:rsidR="00763DEA">
        <w:t xml:space="preserve"> Plutarch’s work is hugely important as it is, but perhaps it should be re-analysed for imagery, riddle, and ambiguity.</w:t>
      </w:r>
    </w:p>
    <w:p w14:paraId="54775888" w14:textId="1DF8F576" w:rsidR="00A21851" w:rsidRPr="00A21851" w:rsidRDefault="00A21851" w:rsidP="00A33383">
      <w:pPr>
        <w:pStyle w:val="LongQuote"/>
      </w:pPr>
    </w:p>
    <w:p w14:paraId="4B891F74" w14:textId="77777777" w:rsidR="00BA5194" w:rsidRDefault="00BA5194" w:rsidP="0076783E">
      <w:pPr>
        <w:rPr>
          <w:rStyle w:val="ToRemove0"/>
        </w:rPr>
      </w:pPr>
    </w:p>
    <w:p w14:paraId="3A50BAA2" w14:textId="19D38300" w:rsidR="00364AC6" w:rsidRDefault="00364AC6">
      <w:pPr>
        <w:rPr>
          <w:rFonts w:ascii="Times New Roman" w:hAnsi="Times New Roman"/>
          <w:sz w:val="22"/>
        </w:rPr>
      </w:pPr>
      <w:r>
        <w:rPr>
          <w:rFonts w:ascii="Times New Roman" w:hAnsi="Times New Roman"/>
          <w:sz w:val="22"/>
        </w:rPr>
        <w:br w:type="page"/>
      </w:r>
    </w:p>
    <w:p w14:paraId="45BF234B" w14:textId="77777777" w:rsidR="000A3C4B" w:rsidRDefault="000A3C4B" w:rsidP="000A3C4B">
      <w:pPr>
        <w:pStyle w:val="Subhead"/>
      </w:pPr>
      <w:r>
        <w:lastRenderedPageBreak/>
        <w:t>Bibliography</w:t>
      </w:r>
    </w:p>
    <w:p w14:paraId="03FE69D7" w14:textId="78C0795C" w:rsidR="000A3C4B" w:rsidRDefault="00621D3A">
      <w:pPr>
        <w:rPr>
          <w:rFonts w:ascii="Times New Roman" w:hAnsi="Times New Roman"/>
          <w:sz w:val="22"/>
        </w:rPr>
      </w:pPr>
      <w:r>
        <w:rPr>
          <w:rFonts w:ascii="Times New Roman" w:hAnsi="Times New Roman"/>
          <w:sz w:val="22"/>
        </w:rPr>
        <w:t>Primary sources</w:t>
      </w:r>
    </w:p>
    <w:p w14:paraId="68DB0E1E" w14:textId="77777777" w:rsidR="00F06CB5" w:rsidRPr="00F06CB5" w:rsidRDefault="00F06CB5" w:rsidP="00F06CB5">
      <w:pPr>
        <w:pStyle w:val="Bibliography"/>
        <w:rPr>
          <w:rFonts w:ascii="Times New Roman" w:hAnsi="Times New Roman" w:cs="Times New Roman"/>
          <w:sz w:val="22"/>
        </w:rPr>
      </w:pPr>
      <w:r w:rsidRPr="00F06CB5">
        <w:rPr>
          <w:rFonts w:ascii="Times New Roman" w:hAnsi="Times New Roman" w:cs="Times New Roman"/>
          <w:sz w:val="22"/>
        </w:rPr>
        <w:t xml:space="preserve">Copernicus, Nicolaus, </w:t>
      </w:r>
      <w:r w:rsidRPr="00F06CB5">
        <w:rPr>
          <w:rFonts w:ascii="Times New Roman" w:hAnsi="Times New Roman" w:cs="Times New Roman"/>
          <w:i/>
          <w:iCs/>
          <w:sz w:val="22"/>
        </w:rPr>
        <w:t xml:space="preserve">De </w:t>
      </w:r>
      <w:proofErr w:type="spellStart"/>
      <w:r w:rsidRPr="00F06CB5">
        <w:rPr>
          <w:rFonts w:ascii="Times New Roman" w:hAnsi="Times New Roman" w:cs="Times New Roman"/>
          <w:i/>
          <w:iCs/>
          <w:sz w:val="22"/>
        </w:rPr>
        <w:t>Revolutionibus</w:t>
      </w:r>
      <w:proofErr w:type="spellEnd"/>
      <w:r w:rsidRPr="00F06CB5">
        <w:rPr>
          <w:rFonts w:ascii="Times New Roman" w:hAnsi="Times New Roman" w:cs="Times New Roman"/>
          <w:i/>
          <w:iCs/>
          <w:sz w:val="22"/>
        </w:rPr>
        <w:t xml:space="preserve"> </w:t>
      </w:r>
      <w:proofErr w:type="spellStart"/>
      <w:r w:rsidRPr="00F06CB5">
        <w:rPr>
          <w:rFonts w:ascii="Times New Roman" w:hAnsi="Times New Roman" w:cs="Times New Roman"/>
          <w:i/>
          <w:iCs/>
          <w:sz w:val="22"/>
        </w:rPr>
        <w:t>Orbium</w:t>
      </w:r>
      <w:proofErr w:type="spellEnd"/>
      <w:r w:rsidRPr="00F06CB5">
        <w:rPr>
          <w:rFonts w:ascii="Times New Roman" w:hAnsi="Times New Roman" w:cs="Times New Roman"/>
          <w:i/>
          <w:iCs/>
          <w:sz w:val="22"/>
        </w:rPr>
        <w:t xml:space="preserve"> </w:t>
      </w:r>
      <w:proofErr w:type="spellStart"/>
      <w:r w:rsidRPr="00F06CB5">
        <w:rPr>
          <w:rFonts w:ascii="Times New Roman" w:hAnsi="Times New Roman" w:cs="Times New Roman"/>
          <w:i/>
          <w:iCs/>
          <w:sz w:val="22"/>
        </w:rPr>
        <w:t>Coelestium</w:t>
      </w:r>
      <w:proofErr w:type="spellEnd"/>
      <w:r w:rsidRPr="00F06CB5">
        <w:rPr>
          <w:rFonts w:ascii="Times New Roman" w:hAnsi="Times New Roman" w:cs="Times New Roman"/>
          <w:i/>
          <w:iCs/>
          <w:sz w:val="22"/>
        </w:rPr>
        <w:t xml:space="preserve">. Facsimile Reprint of the First Ed. of 1543 with an </w:t>
      </w:r>
      <w:proofErr w:type="spellStart"/>
      <w:r w:rsidRPr="00F06CB5">
        <w:rPr>
          <w:rFonts w:ascii="Times New Roman" w:hAnsi="Times New Roman" w:cs="Times New Roman"/>
          <w:i/>
          <w:iCs/>
          <w:sz w:val="22"/>
        </w:rPr>
        <w:t>Introd</w:t>
      </w:r>
      <w:proofErr w:type="spellEnd"/>
      <w:r w:rsidRPr="00F06CB5">
        <w:rPr>
          <w:rFonts w:ascii="Times New Roman" w:hAnsi="Times New Roman" w:cs="Times New Roman"/>
          <w:i/>
          <w:iCs/>
          <w:sz w:val="22"/>
        </w:rPr>
        <w:t>. by Johannes Müller, Leipzig</w:t>
      </w:r>
      <w:r w:rsidRPr="00F06CB5">
        <w:rPr>
          <w:rFonts w:ascii="Times New Roman" w:hAnsi="Times New Roman" w:cs="Times New Roman"/>
          <w:sz w:val="22"/>
        </w:rPr>
        <w:t>, 1965</w:t>
      </w:r>
    </w:p>
    <w:p w14:paraId="038EC612" w14:textId="77777777" w:rsidR="00F06CB5" w:rsidRPr="00F06CB5" w:rsidRDefault="00F06CB5" w:rsidP="00F06CB5">
      <w:pPr>
        <w:pStyle w:val="Bibliography"/>
        <w:rPr>
          <w:rFonts w:ascii="Times New Roman" w:hAnsi="Times New Roman" w:cs="Times New Roman"/>
          <w:sz w:val="22"/>
        </w:rPr>
      </w:pPr>
      <w:r w:rsidRPr="00F06CB5">
        <w:rPr>
          <w:rFonts w:ascii="Times New Roman" w:hAnsi="Times New Roman" w:cs="Times New Roman"/>
          <w:sz w:val="22"/>
        </w:rPr>
        <w:t xml:space="preserve">Heraclitus, </w:t>
      </w:r>
      <w:r w:rsidRPr="00F06CB5">
        <w:rPr>
          <w:rFonts w:ascii="Times New Roman" w:hAnsi="Times New Roman" w:cs="Times New Roman"/>
          <w:i/>
          <w:iCs/>
          <w:sz w:val="22"/>
        </w:rPr>
        <w:t>Heraclitus: Greek Text with a Short Commentary</w:t>
      </w:r>
      <w:r w:rsidRPr="00F06CB5">
        <w:rPr>
          <w:rFonts w:ascii="Times New Roman" w:hAnsi="Times New Roman" w:cs="Times New Roman"/>
          <w:sz w:val="22"/>
        </w:rPr>
        <w:t xml:space="preserve">, trans. by Miroslav </w:t>
      </w:r>
      <w:proofErr w:type="spellStart"/>
      <w:r w:rsidRPr="00F06CB5">
        <w:rPr>
          <w:rFonts w:ascii="Times New Roman" w:hAnsi="Times New Roman" w:cs="Times New Roman"/>
          <w:sz w:val="22"/>
        </w:rPr>
        <w:t>Marcovich</w:t>
      </w:r>
      <w:proofErr w:type="spellEnd"/>
      <w:r w:rsidRPr="00F06CB5">
        <w:rPr>
          <w:rFonts w:ascii="Times New Roman" w:hAnsi="Times New Roman" w:cs="Times New Roman"/>
          <w:sz w:val="22"/>
        </w:rPr>
        <w:t xml:space="preserve"> (Academia Verlag, 2001)</w:t>
      </w:r>
    </w:p>
    <w:p w14:paraId="17515152" w14:textId="77777777" w:rsidR="00F06CB5" w:rsidRPr="00F06CB5" w:rsidRDefault="00F06CB5" w:rsidP="00F06CB5">
      <w:pPr>
        <w:pStyle w:val="Bibliography"/>
        <w:rPr>
          <w:rFonts w:ascii="Times New Roman" w:hAnsi="Times New Roman" w:cs="Times New Roman"/>
          <w:sz w:val="22"/>
        </w:rPr>
      </w:pPr>
      <w:r w:rsidRPr="00F06CB5">
        <w:rPr>
          <w:rFonts w:ascii="Times New Roman" w:hAnsi="Times New Roman" w:cs="Times New Roman"/>
          <w:sz w:val="22"/>
        </w:rPr>
        <w:t xml:space="preserve">———, </w:t>
      </w:r>
      <w:r w:rsidRPr="00F06CB5">
        <w:rPr>
          <w:rFonts w:ascii="Times New Roman" w:hAnsi="Times New Roman" w:cs="Times New Roman"/>
          <w:i/>
          <w:iCs/>
          <w:sz w:val="22"/>
        </w:rPr>
        <w:t>The Art and Thought of Heraclitus: A New Arrangement and Translation of the Fragments with Literary and Philosophical Commentary</w:t>
      </w:r>
      <w:r w:rsidRPr="00F06CB5">
        <w:rPr>
          <w:rFonts w:ascii="Times New Roman" w:hAnsi="Times New Roman" w:cs="Times New Roman"/>
          <w:sz w:val="22"/>
        </w:rPr>
        <w:t xml:space="preserve"> (Cambridge University Press, 1981)</w:t>
      </w:r>
    </w:p>
    <w:p w14:paraId="25A973C8" w14:textId="77777777" w:rsidR="00F06CB5" w:rsidRPr="00F06CB5" w:rsidRDefault="00F06CB5" w:rsidP="00F06CB5">
      <w:pPr>
        <w:pStyle w:val="Bibliography"/>
        <w:rPr>
          <w:rFonts w:ascii="Times New Roman" w:hAnsi="Times New Roman" w:cs="Times New Roman"/>
          <w:sz w:val="22"/>
        </w:rPr>
      </w:pPr>
      <w:r w:rsidRPr="00F06CB5">
        <w:rPr>
          <w:rFonts w:ascii="Times New Roman" w:hAnsi="Times New Roman" w:cs="Times New Roman"/>
          <w:sz w:val="22"/>
        </w:rPr>
        <w:t xml:space="preserve">Herodotus, </w:t>
      </w:r>
      <w:r w:rsidRPr="00F06CB5">
        <w:rPr>
          <w:rFonts w:ascii="Times New Roman" w:hAnsi="Times New Roman" w:cs="Times New Roman"/>
          <w:i/>
          <w:iCs/>
          <w:sz w:val="22"/>
        </w:rPr>
        <w:t xml:space="preserve">Herodotus: </w:t>
      </w:r>
      <w:proofErr w:type="gramStart"/>
      <w:r w:rsidRPr="00F06CB5">
        <w:rPr>
          <w:rFonts w:ascii="Times New Roman" w:hAnsi="Times New Roman" w:cs="Times New Roman"/>
          <w:i/>
          <w:iCs/>
          <w:sz w:val="22"/>
        </w:rPr>
        <w:t>Works ,</w:t>
      </w:r>
      <w:proofErr w:type="gramEnd"/>
      <w:r w:rsidRPr="00F06CB5">
        <w:rPr>
          <w:rFonts w:ascii="Times New Roman" w:hAnsi="Times New Roman" w:cs="Times New Roman"/>
          <w:i/>
          <w:iCs/>
          <w:sz w:val="22"/>
        </w:rPr>
        <w:t xml:space="preserve"> with an English Translation by A.D. Godley</w:t>
      </w:r>
      <w:r w:rsidRPr="00F06CB5">
        <w:rPr>
          <w:rFonts w:ascii="Times New Roman" w:hAnsi="Times New Roman" w:cs="Times New Roman"/>
          <w:sz w:val="22"/>
        </w:rPr>
        <w:t xml:space="preserve"> (Heinemann, 1930)</w:t>
      </w:r>
    </w:p>
    <w:p w14:paraId="4CF7B861" w14:textId="77777777" w:rsidR="00F06CB5" w:rsidRPr="00F06CB5" w:rsidRDefault="00F06CB5" w:rsidP="00F06CB5">
      <w:pPr>
        <w:pStyle w:val="Bibliography"/>
        <w:rPr>
          <w:rFonts w:ascii="Times New Roman" w:hAnsi="Times New Roman" w:cs="Times New Roman"/>
          <w:sz w:val="22"/>
        </w:rPr>
      </w:pPr>
      <w:r w:rsidRPr="00F06CB5">
        <w:rPr>
          <w:rFonts w:ascii="Times New Roman" w:hAnsi="Times New Roman" w:cs="Times New Roman"/>
          <w:sz w:val="22"/>
        </w:rPr>
        <w:t xml:space="preserve">Michelangelo di Lodovico Buonarroti Simoni, </w:t>
      </w:r>
      <w:r w:rsidRPr="00F06CB5">
        <w:rPr>
          <w:rFonts w:ascii="Times New Roman" w:hAnsi="Times New Roman" w:cs="Times New Roman"/>
          <w:i/>
          <w:iCs/>
          <w:sz w:val="22"/>
        </w:rPr>
        <w:t>The Creation of Adam</w:t>
      </w:r>
      <w:r w:rsidRPr="00F06CB5">
        <w:rPr>
          <w:rFonts w:ascii="Times New Roman" w:hAnsi="Times New Roman" w:cs="Times New Roman"/>
          <w:sz w:val="22"/>
        </w:rPr>
        <w:t>, 1508, fresco painting, 2.8 m x 5.7 m, the Sistine Chapel ceiling, Vatican</w:t>
      </w:r>
    </w:p>
    <w:p w14:paraId="566938AE" w14:textId="77777777" w:rsidR="00F06CB5" w:rsidRPr="00F06CB5" w:rsidRDefault="00F06CB5" w:rsidP="00F06CB5">
      <w:pPr>
        <w:pStyle w:val="Bibliography"/>
        <w:rPr>
          <w:rFonts w:ascii="Times New Roman" w:hAnsi="Times New Roman" w:cs="Times New Roman"/>
          <w:sz w:val="22"/>
        </w:rPr>
      </w:pPr>
      <w:r w:rsidRPr="00F06CB5">
        <w:rPr>
          <w:rFonts w:ascii="Times New Roman" w:hAnsi="Times New Roman" w:cs="Times New Roman"/>
          <w:sz w:val="22"/>
        </w:rPr>
        <w:t xml:space="preserve">Plutarch, </w:t>
      </w:r>
      <w:proofErr w:type="spellStart"/>
      <w:r w:rsidRPr="00F06CB5">
        <w:rPr>
          <w:rFonts w:ascii="Times New Roman" w:hAnsi="Times New Roman" w:cs="Times New Roman"/>
          <w:i/>
          <w:iCs/>
          <w:sz w:val="22"/>
        </w:rPr>
        <w:t>Moralia</w:t>
      </w:r>
      <w:proofErr w:type="spellEnd"/>
      <w:r w:rsidRPr="00F06CB5">
        <w:rPr>
          <w:rFonts w:ascii="Times New Roman" w:hAnsi="Times New Roman" w:cs="Times New Roman"/>
          <w:sz w:val="22"/>
        </w:rPr>
        <w:t xml:space="preserve">, trans. by Frank Cole </w:t>
      </w:r>
      <w:proofErr w:type="spellStart"/>
      <w:r w:rsidRPr="00F06CB5">
        <w:rPr>
          <w:rFonts w:ascii="Times New Roman" w:hAnsi="Times New Roman" w:cs="Times New Roman"/>
          <w:sz w:val="22"/>
        </w:rPr>
        <w:t>Babbit</w:t>
      </w:r>
      <w:proofErr w:type="spellEnd"/>
      <w:r w:rsidRPr="00F06CB5">
        <w:rPr>
          <w:rFonts w:ascii="Times New Roman" w:hAnsi="Times New Roman" w:cs="Times New Roman"/>
          <w:sz w:val="22"/>
        </w:rPr>
        <w:t xml:space="preserve"> (Harvard University Press, 1956)</w:t>
      </w:r>
    </w:p>
    <w:p w14:paraId="1DB04414" w14:textId="22945CBE" w:rsidR="00F06CB5" w:rsidRDefault="00F06CB5" w:rsidP="00F06CB5">
      <w:pPr>
        <w:pStyle w:val="Bibliography"/>
        <w:rPr>
          <w:rFonts w:ascii="Times New Roman" w:hAnsi="Times New Roman" w:cs="Times New Roman"/>
          <w:sz w:val="22"/>
        </w:rPr>
      </w:pPr>
      <w:r w:rsidRPr="00F06CB5">
        <w:rPr>
          <w:rFonts w:ascii="Times New Roman" w:hAnsi="Times New Roman" w:cs="Times New Roman"/>
          <w:sz w:val="22"/>
        </w:rPr>
        <w:t xml:space="preserve">———, </w:t>
      </w:r>
      <w:r w:rsidRPr="00F06CB5">
        <w:rPr>
          <w:rFonts w:ascii="Times New Roman" w:hAnsi="Times New Roman" w:cs="Times New Roman"/>
          <w:i/>
          <w:iCs/>
          <w:sz w:val="22"/>
        </w:rPr>
        <w:t>Parallel Lives</w:t>
      </w:r>
      <w:r w:rsidRPr="00F06CB5">
        <w:rPr>
          <w:rFonts w:ascii="Times New Roman" w:hAnsi="Times New Roman" w:cs="Times New Roman"/>
          <w:sz w:val="22"/>
        </w:rPr>
        <w:t xml:space="preserve"> (e-</w:t>
      </w:r>
      <w:proofErr w:type="spellStart"/>
      <w:r w:rsidRPr="00F06CB5">
        <w:rPr>
          <w:rFonts w:ascii="Times New Roman" w:hAnsi="Times New Roman" w:cs="Times New Roman"/>
          <w:sz w:val="22"/>
        </w:rPr>
        <w:t>artnow</w:t>
      </w:r>
      <w:proofErr w:type="spellEnd"/>
      <w:r w:rsidRPr="00F06CB5">
        <w:rPr>
          <w:rFonts w:ascii="Times New Roman" w:hAnsi="Times New Roman" w:cs="Times New Roman"/>
          <w:sz w:val="22"/>
        </w:rPr>
        <w:t>, 2018)</w:t>
      </w:r>
    </w:p>
    <w:p w14:paraId="30B698BA" w14:textId="034C7383" w:rsidR="007003C9" w:rsidRPr="007003C9" w:rsidRDefault="007003C9" w:rsidP="007003C9">
      <w:pPr>
        <w:pStyle w:val="Bibliography"/>
      </w:pPr>
      <w:r w:rsidRPr="00F06CB5">
        <w:rPr>
          <w:rFonts w:ascii="Times New Roman" w:hAnsi="Times New Roman" w:cs="Times New Roman"/>
          <w:sz w:val="22"/>
        </w:rPr>
        <w:t xml:space="preserve">———, ‘The Obsolescence of Oracles’, in </w:t>
      </w:r>
      <w:r w:rsidRPr="00F06CB5">
        <w:rPr>
          <w:rFonts w:ascii="Times New Roman" w:hAnsi="Times New Roman" w:cs="Times New Roman"/>
          <w:i/>
          <w:iCs/>
          <w:sz w:val="22"/>
        </w:rPr>
        <w:t xml:space="preserve">Plutarch’s </w:t>
      </w:r>
      <w:proofErr w:type="spellStart"/>
      <w:r w:rsidRPr="00F06CB5">
        <w:rPr>
          <w:rFonts w:ascii="Times New Roman" w:hAnsi="Times New Roman" w:cs="Times New Roman"/>
          <w:i/>
          <w:iCs/>
          <w:sz w:val="22"/>
        </w:rPr>
        <w:t>Moralia</w:t>
      </w:r>
      <w:proofErr w:type="spellEnd"/>
      <w:r w:rsidRPr="00F06CB5">
        <w:rPr>
          <w:rFonts w:ascii="Times New Roman" w:hAnsi="Times New Roman" w:cs="Times New Roman"/>
          <w:i/>
          <w:iCs/>
          <w:sz w:val="22"/>
        </w:rPr>
        <w:t>: Isis and Osiris. The E at Delphi. The Oracles at Delphi No Longer given in Verse. The Obsolescence of Oracles</w:t>
      </w:r>
      <w:r w:rsidRPr="00F06CB5">
        <w:rPr>
          <w:rFonts w:ascii="Times New Roman" w:hAnsi="Times New Roman" w:cs="Times New Roman"/>
          <w:sz w:val="22"/>
        </w:rPr>
        <w:t xml:space="preserve">, trans. by Frank Cole </w:t>
      </w:r>
      <w:proofErr w:type="spellStart"/>
      <w:r w:rsidRPr="00F06CB5">
        <w:rPr>
          <w:rFonts w:ascii="Times New Roman" w:hAnsi="Times New Roman" w:cs="Times New Roman"/>
          <w:sz w:val="22"/>
        </w:rPr>
        <w:t>Babbit</w:t>
      </w:r>
      <w:proofErr w:type="spellEnd"/>
      <w:r w:rsidRPr="00F06CB5">
        <w:rPr>
          <w:rFonts w:ascii="Times New Roman" w:hAnsi="Times New Roman" w:cs="Times New Roman"/>
          <w:sz w:val="22"/>
        </w:rPr>
        <w:t xml:space="preserve"> (W. Heinemann, 1957), pp. 410–38</w:t>
      </w:r>
    </w:p>
    <w:p w14:paraId="0E307714" w14:textId="77777777" w:rsidR="00F06CB5" w:rsidRPr="00F06CB5" w:rsidRDefault="00F06CB5" w:rsidP="00F06CB5">
      <w:pPr>
        <w:pStyle w:val="Bibliography"/>
        <w:rPr>
          <w:rFonts w:ascii="Times New Roman" w:hAnsi="Times New Roman" w:cs="Times New Roman"/>
          <w:sz w:val="22"/>
        </w:rPr>
      </w:pPr>
      <w:r w:rsidRPr="00F06CB5">
        <w:rPr>
          <w:rFonts w:ascii="Times New Roman" w:hAnsi="Times New Roman" w:cs="Times New Roman"/>
          <w:sz w:val="22"/>
        </w:rPr>
        <w:t xml:space="preserve">———, ‘The Oracles at Delphi No Longer given in Verse’, in </w:t>
      </w:r>
      <w:r w:rsidRPr="00F06CB5">
        <w:rPr>
          <w:rFonts w:ascii="Times New Roman" w:hAnsi="Times New Roman" w:cs="Times New Roman"/>
          <w:i/>
          <w:iCs/>
          <w:sz w:val="22"/>
        </w:rPr>
        <w:t xml:space="preserve">Plutarch’s </w:t>
      </w:r>
      <w:proofErr w:type="spellStart"/>
      <w:r w:rsidRPr="00F06CB5">
        <w:rPr>
          <w:rFonts w:ascii="Times New Roman" w:hAnsi="Times New Roman" w:cs="Times New Roman"/>
          <w:i/>
          <w:iCs/>
          <w:sz w:val="22"/>
        </w:rPr>
        <w:t>Moralia</w:t>
      </w:r>
      <w:proofErr w:type="spellEnd"/>
      <w:r w:rsidRPr="00F06CB5">
        <w:rPr>
          <w:rFonts w:ascii="Times New Roman" w:hAnsi="Times New Roman" w:cs="Times New Roman"/>
          <w:i/>
          <w:iCs/>
          <w:sz w:val="22"/>
        </w:rPr>
        <w:t>: Isis and Osiris. The E at Delphi. The Oracles at Delphi No Longer given in Verse. The Obsolescence of Oracles</w:t>
      </w:r>
      <w:r w:rsidRPr="00F06CB5">
        <w:rPr>
          <w:rFonts w:ascii="Times New Roman" w:hAnsi="Times New Roman" w:cs="Times New Roman"/>
          <w:sz w:val="22"/>
        </w:rPr>
        <w:t xml:space="preserve">, trans. by Frank Cole </w:t>
      </w:r>
      <w:proofErr w:type="spellStart"/>
      <w:r w:rsidRPr="00F06CB5">
        <w:rPr>
          <w:rFonts w:ascii="Times New Roman" w:hAnsi="Times New Roman" w:cs="Times New Roman"/>
          <w:sz w:val="22"/>
        </w:rPr>
        <w:t>Babbit</w:t>
      </w:r>
      <w:proofErr w:type="spellEnd"/>
      <w:r w:rsidRPr="00F06CB5">
        <w:rPr>
          <w:rFonts w:ascii="Times New Roman" w:hAnsi="Times New Roman" w:cs="Times New Roman"/>
          <w:sz w:val="22"/>
        </w:rPr>
        <w:t xml:space="preserve"> (W. Heinemann, 1957), pp. 255–345</w:t>
      </w:r>
    </w:p>
    <w:p w14:paraId="7454FC80" w14:textId="77777777" w:rsidR="00F06CB5" w:rsidRPr="00F06CB5" w:rsidRDefault="00F06CB5" w:rsidP="00F06CB5">
      <w:pPr>
        <w:pStyle w:val="Bibliography"/>
        <w:rPr>
          <w:rFonts w:ascii="Times New Roman" w:hAnsi="Times New Roman" w:cs="Times New Roman"/>
          <w:sz w:val="22"/>
        </w:rPr>
      </w:pPr>
      <w:r w:rsidRPr="00F06CB5">
        <w:rPr>
          <w:rFonts w:ascii="Times New Roman" w:hAnsi="Times New Roman" w:cs="Times New Roman"/>
          <w:sz w:val="22"/>
        </w:rPr>
        <w:t xml:space="preserve">Ptolemy, </w:t>
      </w:r>
      <w:r w:rsidRPr="00F06CB5">
        <w:rPr>
          <w:rFonts w:ascii="Times New Roman" w:hAnsi="Times New Roman" w:cs="Times New Roman"/>
          <w:i/>
          <w:iCs/>
          <w:sz w:val="22"/>
        </w:rPr>
        <w:t>Ptolemy’s Almagest</w:t>
      </w:r>
      <w:r w:rsidRPr="00F06CB5">
        <w:rPr>
          <w:rFonts w:ascii="Times New Roman" w:hAnsi="Times New Roman" w:cs="Times New Roman"/>
          <w:sz w:val="22"/>
        </w:rPr>
        <w:t>, trans. by G. J. Toomer (Duckworth, 1984)</w:t>
      </w:r>
    </w:p>
    <w:p w14:paraId="6C7CB2D2" w14:textId="2D14F457" w:rsidR="00F4378E" w:rsidRDefault="00F4378E" w:rsidP="00F4378E">
      <w:pPr>
        <w:pStyle w:val="Subhead"/>
      </w:pPr>
      <w:r>
        <w:t>Secondary sources</w:t>
      </w:r>
    </w:p>
    <w:p w14:paraId="0CFAC820" w14:textId="776D0991" w:rsidR="00F06CB5" w:rsidRPr="00F06CB5" w:rsidRDefault="00F06CB5" w:rsidP="00F06CB5">
      <w:pPr>
        <w:pStyle w:val="Bibliography"/>
        <w:rPr>
          <w:rFonts w:ascii="Times New Roman" w:hAnsi="Times New Roman" w:cs="Times New Roman"/>
          <w:sz w:val="22"/>
        </w:rPr>
      </w:pPr>
      <w:proofErr w:type="spellStart"/>
      <w:r w:rsidRPr="00F06CB5">
        <w:rPr>
          <w:rFonts w:ascii="Times New Roman" w:hAnsi="Times New Roman" w:cs="Times New Roman"/>
          <w:sz w:val="22"/>
        </w:rPr>
        <w:t>Babbit</w:t>
      </w:r>
      <w:proofErr w:type="spellEnd"/>
      <w:r w:rsidRPr="00F06CB5">
        <w:rPr>
          <w:rFonts w:ascii="Times New Roman" w:hAnsi="Times New Roman" w:cs="Times New Roman"/>
          <w:sz w:val="22"/>
        </w:rPr>
        <w:t xml:space="preserve">, Frank Cole, ‘Introduction to The Obsolescence of Oracles’, in </w:t>
      </w:r>
      <w:r w:rsidRPr="00F06CB5">
        <w:rPr>
          <w:rFonts w:ascii="Times New Roman" w:hAnsi="Times New Roman" w:cs="Times New Roman"/>
          <w:i/>
          <w:iCs/>
          <w:sz w:val="22"/>
        </w:rPr>
        <w:t xml:space="preserve">Plutarch’s </w:t>
      </w:r>
      <w:proofErr w:type="spellStart"/>
      <w:r w:rsidRPr="00F06CB5">
        <w:rPr>
          <w:rFonts w:ascii="Times New Roman" w:hAnsi="Times New Roman" w:cs="Times New Roman"/>
          <w:i/>
          <w:iCs/>
          <w:sz w:val="22"/>
        </w:rPr>
        <w:t>Moralia</w:t>
      </w:r>
      <w:proofErr w:type="spellEnd"/>
      <w:r w:rsidRPr="00F06CB5">
        <w:rPr>
          <w:rFonts w:ascii="Times New Roman" w:hAnsi="Times New Roman" w:cs="Times New Roman"/>
          <w:i/>
          <w:iCs/>
          <w:sz w:val="22"/>
        </w:rPr>
        <w:t>: Isis and Osiris. The E at Delphi. The Oracles at Delphi No Longer given in Verse. The Obsolescence of Oracles</w:t>
      </w:r>
      <w:r w:rsidRPr="00F06CB5">
        <w:rPr>
          <w:rFonts w:ascii="Times New Roman" w:hAnsi="Times New Roman" w:cs="Times New Roman"/>
          <w:sz w:val="22"/>
        </w:rPr>
        <w:t xml:space="preserve"> (W. Heinemann, 1957), pp. 348–49</w:t>
      </w:r>
    </w:p>
    <w:p w14:paraId="0BDC1964" w14:textId="77777777" w:rsidR="00F06CB5" w:rsidRPr="00F06CB5" w:rsidRDefault="00F06CB5" w:rsidP="00F06CB5">
      <w:pPr>
        <w:pStyle w:val="Bibliography"/>
        <w:rPr>
          <w:rFonts w:ascii="Times New Roman" w:hAnsi="Times New Roman" w:cs="Times New Roman"/>
          <w:sz w:val="22"/>
        </w:rPr>
      </w:pPr>
      <w:r w:rsidRPr="00F06CB5">
        <w:rPr>
          <w:rFonts w:ascii="Times New Roman" w:hAnsi="Times New Roman" w:cs="Times New Roman"/>
          <w:sz w:val="22"/>
        </w:rPr>
        <w:t xml:space="preserve">Battle, William James, ‘Greece at the Peace Table’, </w:t>
      </w:r>
      <w:r w:rsidRPr="00F06CB5">
        <w:rPr>
          <w:rFonts w:ascii="Times New Roman" w:hAnsi="Times New Roman" w:cs="Times New Roman"/>
          <w:i/>
          <w:iCs/>
          <w:sz w:val="22"/>
        </w:rPr>
        <w:t>The Classical Journal</w:t>
      </w:r>
      <w:r w:rsidRPr="00F06CB5">
        <w:rPr>
          <w:rFonts w:ascii="Times New Roman" w:hAnsi="Times New Roman" w:cs="Times New Roman"/>
          <w:sz w:val="22"/>
        </w:rPr>
        <w:t>, 16.1 (1920), 2–14</w:t>
      </w:r>
    </w:p>
    <w:p w14:paraId="15C6D9C9" w14:textId="77777777" w:rsidR="00F06CB5" w:rsidRPr="00F06CB5" w:rsidRDefault="00F06CB5" w:rsidP="00F06CB5">
      <w:pPr>
        <w:pStyle w:val="Bibliography"/>
        <w:rPr>
          <w:rFonts w:ascii="Times New Roman" w:hAnsi="Times New Roman" w:cs="Times New Roman"/>
          <w:sz w:val="22"/>
        </w:rPr>
      </w:pPr>
      <w:r w:rsidRPr="00F06CB5">
        <w:rPr>
          <w:rFonts w:ascii="Times New Roman" w:hAnsi="Times New Roman" w:cs="Times New Roman"/>
          <w:sz w:val="22"/>
        </w:rPr>
        <w:t>Burgess Kaya, Science Reporter &amp; Religious Affairs (last), ‘Heavens above: Nasa Enlists Priest to Prepare for an Alien Discovery’, 16 March 2023, section news &lt;https://www.thetimes.co.uk/article/heavens-above-nasa-hires-priest-to-prepare-for-an-alien-discovery&gt; [accessed 16 March 2023]</w:t>
      </w:r>
    </w:p>
    <w:p w14:paraId="26E6FA01" w14:textId="77777777" w:rsidR="00F06CB5" w:rsidRPr="00F06CB5" w:rsidRDefault="00F06CB5" w:rsidP="00F06CB5">
      <w:pPr>
        <w:pStyle w:val="Bibliography"/>
        <w:rPr>
          <w:rFonts w:ascii="Times New Roman" w:hAnsi="Times New Roman" w:cs="Times New Roman"/>
          <w:sz w:val="22"/>
        </w:rPr>
      </w:pPr>
      <w:proofErr w:type="spellStart"/>
      <w:r w:rsidRPr="00F06CB5">
        <w:rPr>
          <w:rFonts w:ascii="Times New Roman" w:hAnsi="Times New Roman" w:cs="Times New Roman"/>
          <w:sz w:val="22"/>
        </w:rPr>
        <w:t>Eidinow</w:t>
      </w:r>
      <w:proofErr w:type="spellEnd"/>
      <w:r w:rsidRPr="00F06CB5">
        <w:rPr>
          <w:rFonts w:ascii="Times New Roman" w:hAnsi="Times New Roman" w:cs="Times New Roman"/>
          <w:sz w:val="22"/>
        </w:rPr>
        <w:t xml:space="preserve">, Esther, </w:t>
      </w:r>
      <w:r w:rsidRPr="00F06CB5">
        <w:rPr>
          <w:rFonts w:ascii="Times New Roman" w:hAnsi="Times New Roman" w:cs="Times New Roman"/>
          <w:i/>
          <w:iCs/>
          <w:sz w:val="22"/>
        </w:rPr>
        <w:t>Oracles, Curses, and Risk Among the Ancient Greeks</w:t>
      </w:r>
      <w:r w:rsidRPr="00F06CB5">
        <w:rPr>
          <w:rFonts w:ascii="Times New Roman" w:hAnsi="Times New Roman" w:cs="Times New Roman"/>
          <w:sz w:val="22"/>
        </w:rPr>
        <w:t xml:space="preserve"> (OUP Oxford, 2007)</w:t>
      </w:r>
    </w:p>
    <w:p w14:paraId="0611BC67" w14:textId="77777777" w:rsidR="00F06CB5" w:rsidRPr="00F06CB5" w:rsidRDefault="00F06CB5" w:rsidP="00F06CB5">
      <w:pPr>
        <w:pStyle w:val="Bibliography"/>
        <w:rPr>
          <w:rFonts w:ascii="Times New Roman" w:hAnsi="Times New Roman" w:cs="Times New Roman"/>
          <w:sz w:val="22"/>
        </w:rPr>
      </w:pPr>
      <w:r w:rsidRPr="00F06CB5">
        <w:rPr>
          <w:rFonts w:ascii="Times New Roman" w:hAnsi="Times New Roman" w:cs="Times New Roman"/>
          <w:sz w:val="22"/>
        </w:rPr>
        <w:t xml:space="preserve">Greenbaum, Dorian </w:t>
      </w:r>
      <w:proofErr w:type="spellStart"/>
      <w:r w:rsidRPr="00F06CB5">
        <w:rPr>
          <w:rFonts w:ascii="Times New Roman" w:hAnsi="Times New Roman" w:cs="Times New Roman"/>
          <w:sz w:val="22"/>
        </w:rPr>
        <w:t>Gieseler</w:t>
      </w:r>
      <w:proofErr w:type="spellEnd"/>
      <w:r w:rsidRPr="00F06CB5">
        <w:rPr>
          <w:rFonts w:ascii="Times New Roman" w:hAnsi="Times New Roman" w:cs="Times New Roman"/>
          <w:sz w:val="22"/>
        </w:rPr>
        <w:t xml:space="preserve">, </w:t>
      </w:r>
      <w:r w:rsidRPr="00F06CB5">
        <w:rPr>
          <w:rFonts w:ascii="Times New Roman" w:hAnsi="Times New Roman" w:cs="Times New Roman"/>
          <w:i/>
          <w:iCs/>
          <w:sz w:val="22"/>
        </w:rPr>
        <w:t>The Daimon in Hellenistic Astrology: Origins and Influence</w:t>
      </w:r>
      <w:r w:rsidRPr="00F06CB5">
        <w:rPr>
          <w:rFonts w:ascii="Times New Roman" w:hAnsi="Times New Roman" w:cs="Times New Roman"/>
          <w:sz w:val="22"/>
        </w:rPr>
        <w:t xml:space="preserve"> (BRILL, 2015)</w:t>
      </w:r>
    </w:p>
    <w:p w14:paraId="71756C32" w14:textId="77777777" w:rsidR="00F06CB5" w:rsidRPr="00F06CB5" w:rsidRDefault="00F06CB5" w:rsidP="00F06CB5">
      <w:pPr>
        <w:pStyle w:val="Bibliography"/>
        <w:rPr>
          <w:rFonts w:ascii="Times New Roman" w:hAnsi="Times New Roman" w:cs="Times New Roman"/>
          <w:sz w:val="22"/>
        </w:rPr>
      </w:pPr>
      <w:r w:rsidRPr="00F06CB5">
        <w:rPr>
          <w:rFonts w:ascii="Times New Roman" w:hAnsi="Times New Roman" w:cs="Times New Roman"/>
          <w:sz w:val="22"/>
        </w:rPr>
        <w:t xml:space="preserve">Hansen, </w:t>
      </w:r>
      <w:proofErr w:type="spellStart"/>
      <w:r w:rsidRPr="00F06CB5">
        <w:rPr>
          <w:rFonts w:ascii="Times New Roman" w:hAnsi="Times New Roman" w:cs="Times New Roman"/>
          <w:sz w:val="22"/>
        </w:rPr>
        <w:t>Mogens</w:t>
      </w:r>
      <w:proofErr w:type="spellEnd"/>
      <w:r w:rsidRPr="00F06CB5">
        <w:rPr>
          <w:rFonts w:ascii="Times New Roman" w:hAnsi="Times New Roman" w:cs="Times New Roman"/>
          <w:sz w:val="22"/>
        </w:rPr>
        <w:t xml:space="preserve"> Herman, </w:t>
      </w:r>
      <w:r w:rsidRPr="00F06CB5">
        <w:rPr>
          <w:rFonts w:ascii="Times New Roman" w:hAnsi="Times New Roman" w:cs="Times New Roman"/>
          <w:i/>
          <w:iCs/>
          <w:sz w:val="22"/>
        </w:rPr>
        <w:t>The Shotgun Method: The Demography of the Ancient Greek City-State Culture</w:t>
      </w:r>
      <w:r w:rsidRPr="00F06CB5">
        <w:rPr>
          <w:rFonts w:ascii="Times New Roman" w:hAnsi="Times New Roman" w:cs="Times New Roman"/>
          <w:sz w:val="22"/>
        </w:rPr>
        <w:t xml:space="preserve"> (University of Missouri Press, 2006)</w:t>
      </w:r>
    </w:p>
    <w:p w14:paraId="35E08527" w14:textId="77777777" w:rsidR="00F06CB5" w:rsidRPr="00F06CB5" w:rsidRDefault="00F06CB5" w:rsidP="00F06CB5">
      <w:pPr>
        <w:pStyle w:val="Bibliography"/>
        <w:rPr>
          <w:rFonts w:ascii="Times New Roman" w:hAnsi="Times New Roman" w:cs="Times New Roman"/>
          <w:sz w:val="22"/>
        </w:rPr>
      </w:pPr>
      <w:r w:rsidRPr="00F06CB5">
        <w:rPr>
          <w:rFonts w:ascii="Times New Roman" w:hAnsi="Times New Roman" w:cs="Times New Roman"/>
          <w:sz w:val="22"/>
        </w:rPr>
        <w:t>‘History of Farming’ &lt;http://www.ecifm.rdg.ac.uk/history.htm&gt; [accessed 17 March 2023]</w:t>
      </w:r>
    </w:p>
    <w:p w14:paraId="7ABB05C4" w14:textId="77777777" w:rsidR="00F06CB5" w:rsidRPr="00F06CB5" w:rsidRDefault="00F06CB5" w:rsidP="00F06CB5">
      <w:pPr>
        <w:pStyle w:val="Bibliography"/>
        <w:rPr>
          <w:rFonts w:ascii="Times New Roman" w:hAnsi="Times New Roman" w:cs="Times New Roman"/>
          <w:sz w:val="22"/>
        </w:rPr>
      </w:pPr>
      <w:r w:rsidRPr="00F06CB5">
        <w:rPr>
          <w:rFonts w:ascii="Times New Roman" w:hAnsi="Times New Roman" w:cs="Times New Roman"/>
          <w:sz w:val="22"/>
        </w:rPr>
        <w:t>Russell, D. A., ‘On Reading Plutarch’s “</w:t>
      </w:r>
      <w:proofErr w:type="spellStart"/>
      <w:r w:rsidRPr="00F06CB5">
        <w:rPr>
          <w:rFonts w:ascii="Times New Roman" w:hAnsi="Times New Roman" w:cs="Times New Roman"/>
          <w:sz w:val="22"/>
        </w:rPr>
        <w:t>Moralia</w:t>
      </w:r>
      <w:proofErr w:type="spellEnd"/>
      <w:r w:rsidRPr="00F06CB5">
        <w:rPr>
          <w:rFonts w:ascii="Times New Roman" w:hAnsi="Times New Roman" w:cs="Times New Roman"/>
          <w:sz w:val="22"/>
        </w:rPr>
        <w:t xml:space="preserve">”’, </w:t>
      </w:r>
      <w:r w:rsidRPr="00F06CB5">
        <w:rPr>
          <w:rFonts w:ascii="Times New Roman" w:hAnsi="Times New Roman" w:cs="Times New Roman"/>
          <w:i/>
          <w:iCs/>
          <w:sz w:val="22"/>
        </w:rPr>
        <w:t>Greece &amp; Rome</w:t>
      </w:r>
      <w:r w:rsidRPr="00F06CB5">
        <w:rPr>
          <w:rFonts w:ascii="Times New Roman" w:hAnsi="Times New Roman" w:cs="Times New Roman"/>
          <w:sz w:val="22"/>
        </w:rPr>
        <w:t>, 15.2 (1968), 130–46</w:t>
      </w:r>
    </w:p>
    <w:p w14:paraId="73D92CA8" w14:textId="77777777" w:rsidR="00F06CB5" w:rsidRPr="00F06CB5" w:rsidRDefault="00F06CB5" w:rsidP="00F06CB5">
      <w:pPr>
        <w:pStyle w:val="Bibliography"/>
        <w:rPr>
          <w:rFonts w:ascii="Times New Roman" w:hAnsi="Times New Roman" w:cs="Times New Roman"/>
          <w:sz w:val="22"/>
        </w:rPr>
      </w:pPr>
      <w:r w:rsidRPr="00F06CB5">
        <w:rPr>
          <w:rFonts w:ascii="Times New Roman" w:hAnsi="Times New Roman" w:cs="Times New Roman"/>
          <w:sz w:val="22"/>
        </w:rPr>
        <w:t xml:space="preserve">Smolin, Lee, </w:t>
      </w:r>
      <w:r w:rsidRPr="00F06CB5">
        <w:rPr>
          <w:rFonts w:ascii="Times New Roman" w:hAnsi="Times New Roman" w:cs="Times New Roman"/>
          <w:i/>
          <w:iCs/>
          <w:sz w:val="22"/>
        </w:rPr>
        <w:t>The Life of the Cosmos</w:t>
      </w:r>
      <w:r w:rsidRPr="00F06CB5">
        <w:rPr>
          <w:rFonts w:ascii="Times New Roman" w:hAnsi="Times New Roman" w:cs="Times New Roman"/>
          <w:sz w:val="22"/>
        </w:rPr>
        <w:t xml:space="preserve"> (Oxford University Press, 1997)</w:t>
      </w:r>
    </w:p>
    <w:p w14:paraId="6D931DFE" w14:textId="77777777" w:rsidR="00F06CB5" w:rsidRPr="00F06CB5" w:rsidRDefault="00F06CB5" w:rsidP="00F06CB5">
      <w:pPr>
        <w:pStyle w:val="Bibliography"/>
        <w:rPr>
          <w:rFonts w:ascii="Times New Roman" w:hAnsi="Times New Roman" w:cs="Times New Roman"/>
          <w:sz w:val="22"/>
        </w:rPr>
      </w:pPr>
      <w:r w:rsidRPr="00F06CB5">
        <w:rPr>
          <w:rFonts w:ascii="Times New Roman" w:hAnsi="Times New Roman" w:cs="Times New Roman"/>
          <w:sz w:val="22"/>
        </w:rPr>
        <w:lastRenderedPageBreak/>
        <w:t xml:space="preserve">———, </w:t>
      </w:r>
      <w:r w:rsidRPr="00F06CB5">
        <w:rPr>
          <w:rFonts w:ascii="Times New Roman" w:hAnsi="Times New Roman" w:cs="Times New Roman"/>
          <w:i/>
          <w:iCs/>
          <w:sz w:val="22"/>
        </w:rPr>
        <w:t>The Trouble with Physics: The Rise of String Theory, the Fall of a Science, and What Comes Next</w:t>
      </w:r>
      <w:r w:rsidRPr="00F06CB5">
        <w:rPr>
          <w:rFonts w:ascii="Times New Roman" w:hAnsi="Times New Roman" w:cs="Times New Roman"/>
          <w:sz w:val="22"/>
        </w:rPr>
        <w:t xml:space="preserve"> (HMH, 2007)</w:t>
      </w:r>
    </w:p>
    <w:p w14:paraId="73171032" w14:textId="532CC421" w:rsidR="000A3C4B" w:rsidRDefault="000A3C4B" w:rsidP="00F4378E">
      <w:pPr>
        <w:pStyle w:val="Subhead"/>
      </w:pPr>
      <w:r>
        <w:br w:type="page"/>
      </w:r>
    </w:p>
    <w:p w14:paraId="5C13CD9D" w14:textId="619B6F43" w:rsidR="00A95DCF" w:rsidRDefault="005D18C8" w:rsidP="00E90523">
      <w:pPr>
        <w:pStyle w:val="Subhead"/>
      </w:pPr>
      <w:r>
        <w:lastRenderedPageBreak/>
        <w:t xml:space="preserve">Appendix </w:t>
      </w:r>
      <w:r w:rsidR="00E90523">
        <w:t>1</w:t>
      </w:r>
    </w:p>
    <w:p w14:paraId="6747A0E0" w14:textId="41F398C7" w:rsidR="005D18C8" w:rsidRDefault="005D18C8" w:rsidP="00A33383">
      <w:pPr>
        <w:pStyle w:val="Body"/>
      </w:pPr>
    </w:p>
    <w:p w14:paraId="3938D73F" w14:textId="54A65444" w:rsidR="005D18C8" w:rsidRDefault="005D18C8" w:rsidP="00A33383">
      <w:pPr>
        <w:pStyle w:val="Body"/>
      </w:pPr>
    </w:p>
    <w:p w14:paraId="65F85312" w14:textId="77777777" w:rsidR="00E90523" w:rsidRDefault="005D18C8" w:rsidP="00A33383">
      <w:pPr>
        <w:pStyle w:val="Body"/>
      </w:pPr>
      <w:r>
        <w:rPr>
          <w:noProof/>
        </w:rPr>
        <w:drawing>
          <wp:inline distT="0" distB="0" distL="0" distR="0" wp14:anchorId="2AF72C93" wp14:editId="47A28782">
            <wp:extent cx="5731510" cy="3590925"/>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5731510" cy="3590925"/>
                    </a:xfrm>
                    <a:prstGeom prst="rect">
                      <a:avLst/>
                    </a:prstGeom>
                  </pic:spPr>
                </pic:pic>
              </a:graphicData>
            </a:graphic>
          </wp:inline>
        </w:drawing>
      </w:r>
    </w:p>
    <w:p w14:paraId="0BFBA061" w14:textId="610E7837" w:rsidR="005D18C8" w:rsidRPr="00EF1491" w:rsidRDefault="00E90523" w:rsidP="00E90523">
      <w:pPr>
        <w:pStyle w:val="Caption"/>
      </w:pPr>
      <w:r>
        <w:t xml:space="preserve">Figure </w:t>
      </w:r>
      <w:fldSimple w:instr=" SEQ Figure \* ARABIC ">
        <w:r w:rsidR="001646C7">
          <w:rPr>
            <w:noProof/>
          </w:rPr>
          <w:t>1</w:t>
        </w:r>
      </w:fldSimple>
      <w:r>
        <w:t xml:space="preserve"> </w:t>
      </w:r>
      <w:r w:rsidRPr="00505BCB">
        <w:t>Speculative illustration of ancient Delphi by French arch</w:t>
      </w:r>
      <w:r>
        <w:t xml:space="preserve">itect </w:t>
      </w:r>
      <w:r w:rsidRPr="00505BCB">
        <w:t xml:space="preserve">Albert </w:t>
      </w:r>
      <w:proofErr w:type="spellStart"/>
      <w:r w:rsidRPr="00505BCB">
        <w:t>Tournaire</w:t>
      </w:r>
      <w:proofErr w:type="spellEnd"/>
      <w:r>
        <w:t>.</w:t>
      </w:r>
      <w:r>
        <w:br/>
        <w:t>Illustration b</w:t>
      </w:r>
      <w:r w:rsidRPr="00505BCB">
        <w:t xml:space="preserve">y Albert </w:t>
      </w:r>
      <w:proofErr w:type="spellStart"/>
      <w:r w:rsidRPr="00505BCB">
        <w:t>Tournaire</w:t>
      </w:r>
      <w:proofErr w:type="spellEnd"/>
      <w:r w:rsidRPr="00505BCB">
        <w:t xml:space="preserve"> - École </w:t>
      </w:r>
      <w:proofErr w:type="spellStart"/>
      <w:r w:rsidRPr="00505BCB">
        <w:t>nationale</w:t>
      </w:r>
      <w:proofErr w:type="spellEnd"/>
      <w:r w:rsidRPr="00505BCB">
        <w:t xml:space="preserve"> supérieure des Beaux-Art</w:t>
      </w:r>
      <w:r>
        <w:t xml:space="preserve"> </w:t>
      </w:r>
      <w:r w:rsidRPr="00505BCB">
        <w:t>(http://www.ensba.fr/ow2/catzarts/images/E_084_07-25544.JPG), Public Domain, https://commons.wikimedia.org/w/index.php?curid=40736158</w:t>
      </w:r>
    </w:p>
    <w:sectPr w:rsidR="005D18C8" w:rsidRPr="00EF1491">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E8DF46" w14:textId="77777777" w:rsidR="009D1BF9" w:rsidRDefault="009D1BF9" w:rsidP="00AF2079">
      <w:r>
        <w:separator/>
      </w:r>
    </w:p>
  </w:endnote>
  <w:endnote w:type="continuationSeparator" w:id="0">
    <w:p w14:paraId="71CD1A04" w14:textId="77777777" w:rsidR="009D1BF9" w:rsidRDefault="009D1BF9" w:rsidP="00AF20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New Roman (Body CS)">
    <w:altName w:val="Times New Roman"/>
    <w:panose1 w:val="020B0604020202020204"/>
    <w:charset w:val="00"/>
    <w:family w:val="roman"/>
    <w:notTrueType/>
    <w:pitch w:val="default"/>
  </w:font>
  <w:font w:name="Georgia">
    <w:altName w:val="﷽﷽﷽﷽﷽﷽﷽﷽"/>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rebuchet MS">
    <w:altName w:val="﷽﷽﷽﷽﷽﷽﷽﷽t MS"/>
    <w:panose1 w:val="020B0603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A63C7B" w14:textId="58E890C8" w:rsidR="003E502B" w:rsidRDefault="003E502B" w:rsidP="003033BE">
    <w:pPr>
      <w:pStyle w:val="Footer"/>
      <w:ind w:right="360"/>
    </w:pPr>
    <w:r>
      <w:t xml:space="preserve">Vadim Zaver 2111154                                                                                             page </w:t>
    </w:r>
    <w:r>
      <w:fldChar w:fldCharType="begin"/>
    </w:r>
    <w:r>
      <w:instrText xml:space="preserve"> PAGE  \* MERGEFORMAT </w:instrText>
    </w:r>
    <w:r>
      <w:fldChar w:fldCharType="separate"/>
    </w:r>
    <w:r>
      <w:t>3</w:t>
    </w:r>
    <w:r>
      <w:fldChar w:fldCharType="end"/>
    </w:r>
    <w:r>
      <w:t xml:space="preserve"> of </w:t>
    </w:r>
    <w:r w:rsidR="009D1BF9">
      <w:fldChar w:fldCharType="begin"/>
    </w:r>
    <w:r w:rsidR="009D1BF9">
      <w:instrText xml:space="preserve"> NUMPAGES  \* MERGEFORMAT </w:instrText>
    </w:r>
    <w:r w:rsidR="009D1BF9">
      <w:fldChar w:fldCharType="separate"/>
    </w:r>
    <w:r>
      <w:t>18</w:t>
    </w:r>
    <w:r w:rsidR="009D1BF9">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735E48" w14:textId="77777777" w:rsidR="009D1BF9" w:rsidRDefault="009D1BF9" w:rsidP="00AF2079">
      <w:r>
        <w:separator/>
      </w:r>
    </w:p>
  </w:footnote>
  <w:footnote w:type="continuationSeparator" w:id="0">
    <w:p w14:paraId="4C856FD2" w14:textId="77777777" w:rsidR="009D1BF9" w:rsidRDefault="009D1BF9" w:rsidP="00AF2079">
      <w:r>
        <w:continuationSeparator/>
      </w:r>
    </w:p>
  </w:footnote>
  <w:footnote w:id="1">
    <w:p w14:paraId="6EAE0F6B" w14:textId="7B26E337" w:rsidR="003E502B" w:rsidRDefault="003E502B">
      <w:pPr>
        <w:pStyle w:val="FootnoteText"/>
      </w:pPr>
      <w:r w:rsidRPr="00631C19">
        <w:rPr>
          <w:rStyle w:val="FootnoteReference"/>
        </w:rPr>
        <w:footnoteRef/>
      </w:r>
      <w:r>
        <w:t xml:space="preserve"> </w:t>
      </w:r>
      <w:r w:rsidRPr="00CE408A">
        <w:rPr>
          <w:rFonts w:ascii="Calibri" w:cs="Calibri"/>
        </w:rPr>
        <w:t xml:space="preserve">Plutarch, </w:t>
      </w:r>
      <w:r w:rsidRPr="00CE408A">
        <w:rPr>
          <w:rFonts w:ascii="Calibri" w:cs="Calibri"/>
          <w:i/>
          <w:iCs/>
        </w:rPr>
        <w:t>Parallel Lives</w:t>
      </w:r>
      <w:r w:rsidRPr="00CE408A">
        <w:rPr>
          <w:rFonts w:ascii="Calibri" w:cs="Calibri"/>
        </w:rPr>
        <w:t xml:space="preserve"> (e-artnow, 2018).</w:t>
      </w:r>
    </w:p>
  </w:footnote>
  <w:footnote w:id="2">
    <w:p w14:paraId="7968A82A" w14:textId="5590E427" w:rsidR="003E502B" w:rsidRDefault="003E502B">
      <w:pPr>
        <w:pStyle w:val="FootnoteText"/>
      </w:pPr>
      <w:r w:rsidRPr="00631C19">
        <w:rPr>
          <w:rStyle w:val="FootnoteReference"/>
        </w:rPr>
        <w:footnoteRef/>
      </w:r>
      <w:r>
        <w:t xml:space="preserve"> </w:t>
      </w:r>
      <w:r w:rsidR="00F4378E" w:rsidRPr="00F4378E">
        <w:rPr>
          <w:rFonts w:ascii="Calibri" w:cs="Calibri"/>
        </w:rPr>
        <w:t xml:space="preserve">Plutarch, </w:t>
      </w:r>
      <w:r w:rsidR="00F4378E" w:rsidRPr="00F4378E">
        <w:rPr>
          <w:rFonts w:ascii="Calibri" w:cs="Calibri"/>
          <w:i/>
          <w:iCs/>
        </w:rPr>
        <w:t>Moralia</w:t>
      </w:r>
      <w:r w:rsidR="00F4378E" w:rsidRPr="00F4378E">
        <w:rPr>
          <w:rFonts w:ascii="Calibri" w:cs="Calibri"/>
        </w:rPr>
        <w:t>, trans. by Frank Cole Babbit (Harvard University Press, 1956).</w:t>
      </w:r>
    </w:p>
  </w:footnote>
  <w:footnote w:id="3">
    <w:p w14:paraId="2BD49270" w14:textId="02DA9122" w:rsidR="003E502B" w:rsidRDefault="003E502B">
      <w:pPr>
        <w:pStyle w:val="FootnoteText"/>
      </w:pPr>
      <w:r w:rsidRPr="00631C19">
        <w:rPr>
          <w:rStyle w:val="FootnoteReference"/>
        </w:rPr>
        <w:footnoteRef/>
      </w:r>
      <w:r>
        <w:t xml:space="preserve"> </w:t>
      </w:r>
      <w:r w:rsidR="001D3A8F">
        <w:t xml:space="preserve">Plutarch, </w:t>
      </w:r>
      <w:r w:rsidR="00AB6D92" w:rsidRPr="00AB6D92">
        <w:rPr>
          <w:rFonts w:ascii="Calibri" w:cs="Calibri"/>
        </w:rPr>
        <w:t xml:space="preserve">‘The Obsolescence of Oracles’, in </w:t>
      </w:r>
      <w:r w:rsidR="00AB6D92" w:rsidRPr="00AB6D92">
        <w:rPr>
          <w:rFonts w:ascii="Calibri" w:cs="Calibri"/>
          <w:i/>
          <w:iCs/>
        </w:rPr>
        <w:t>Plutarch’s Moralia: Isis and Osiris. The E at Delphi. The Oracles at Delphi No Longer given in Verse. The Obsolescence of Oracles</w:t>
      </w:r>
      <w:r w:rsidR="00AB6D92" w:rsidRPr="00AB6D92">
        <w:rPr>
          <w:rFonts w:ascii="Calibri" w:cs="Calibri"/>
        </w:rPr>
        <w:t xml:space="preserve">, </w:t>
      </w:r>
      <w:r w:rsidR="001D3A8F" w:rsidRPr="00F4378E">
        <w:rPr>
          <w:rFonts w:ascii="Calibri" w:cs="Calibri"/>
        </w:rPr>
        <w:t xml:space="preserve">trans. by Frank Cole Babbit </w:t>
      </w:r>
      <w:r w:rsidR="00AB6D92" w:rsidRPr="00AB6D92">
        <w:rPr>
          <w:rFonts w:ascii="Calibri" w:cs="Calibri"/>
        </w:rPr>
        <w:t>(W. Heinemann, 1957), pp. 410–38.</w:t>
      </w:r>
    </w:p>
  </w:footnote>
  <w:footnote w:id="4">
    <w:p w14:paraId="7ED9376A" w14:textId="6EB07D27" w:rsidR="003E502B" w:rsidRDefault="003E502B">
      <w:pPr>
        <w:pStyle w:val="FootnoteText"/>
      </w:pPr>
      <w:r w:rsidRPr="00631C19">
        <w:rPr>
          <w:rStyle w:val="FootnoteReference"/>
        </w:rPr>
        <w:footnoteRef/>
      </w:r>
      <w:r>
        <w:t xml:space="preserve"> There is an indirect argument supporting this — the length of the Great Pan life. Vadim Zaver</w:t>
      </w:r>
    </w:p>
  </w:footnote>
  <w:footnote w:id="5">
    <w:p w14:paraId="6D9C2220" w14:textId="12D1D6EB" w:rsidR="003E502B" w:rsidRDefault="003E502B">
      <w:pPr>
        <w:pStyle w:val="FootnoteText"/>
      </w:pPr>
      <w:r w:rsidRPr="00631C19">
        <w:rPr>
          <w:rStyle w:val="FootnoteReference"/>
        </w:rPr>
        <w:footnoteRef/>
      </w:r>
      <w:r>
        <w:t xml:space="preserve"> </w:t>
      </w:r>
      <w:r w:rsidR="00F4378E" w:rsidRPr="00F4378E">
        <w:rPr>
          <w:rFonts w:ascii="Calibri" w:cs="Calibri"/>
        </w:rPr>
        <w:t xml:space="preserve">Plutarch, ‘The Oracles at Delphi No Longer given in Verse’, in </w:t>
      </w:r>
      <w:r w:rsidR="00F4378E" w:rsidRPr="00F4378E">
        <w:rPr>
          <w:rFonts w:ascii="Calibri" w:cs="Calibri"/>
          <w:i/>
          <w:iCs/>
        </w:rPr>
        <w:t>Plutarch’s Moralia: Isis and Osiris. The E at Delphi. The Oracles at Delphi No Longer given in Verse. The Obsolescence of Oracles</w:t>
      </w:r>
      <w:r w:rsidR="00F4378E" w:rsidRPr="00F4378E">
        <w:rPr>
          <w:rFonts w:ascii="Calibri" w:cs="Calibri"/>
        </w:rPr>
        <w:t>, trans. by Frank Cole Babbit (W. Heinemann, 1957), pp. 255–345 (p. 436E).</w:t>
      </w:r>
    </w:p>
  </w:footnote>
  <w:footnote w:id="6">
    <w:p w14:paraId="24DDBAE6" w14:textId="5CB5D086" w:rsidR="003E502B" w:rsidRDefault="003E502B">
      <w:pPr>
        <w:pStyle w:val="FootnoteText"/>
      </w:pPr>
      <w:r w:rsidRPr="00631C19">
        <w:rPr>
          <w:rStyle w:val="FootnoteReference"/>
        </w:rPr>
        <w:footnoteRef/>
      </w:r>
      <w:r>
        <w:t xml:space="preserve"> </w:t>
      </w:r>
      <w:r w:rsidRPr="00CA7479">
        <w:rPr>
          <w:rFonts w:ascii="Calibri" w:cs="Calibri"/>
        </w:rPr>
        <w:t xml:space="preserve">Lee Smolin, </w:t>
      </w:r>
      <w:r w:rsidRPr="00CA7479">
        <w:rPr>
          <w:rFonts w:ascii="Calibri" w:cs="Calibri"/>
          <w:i/>
          <w:iCs/>
        </w:rPr>
        <w:t>The Life of the Cosmos</w:t>
      </w:r>
      <w:r w:rsidRPr="00CA7479">
        <w:rPr>
          <w:rFonts w:ascii="Calibri" w:cs="Calibri"/>
        </w:rPr>
        <w:t xml:space="preserve"> (Oxford University Press, 1997).</w:t>
      </w:r>
    </w:p>
  </w:footnote>
  <w:footnote w:id="7">
    <w:p w14:paraId="43BB9FAA" w14:textId="14BEB13F" w:rsidR="003E502B" w:rsidRDefault="003E502B">
      <w:pPr>
        <w:pStyle w:val="FootnoteText"/>
      </w:pPr>
      <w:r w:rsidRPr="00631C19">
        <w:rPr>
          <w:rStyle w:val="FootnoteReference"/>
        </w:rPr>
        <w:footnoteRef/>
      </w:r>
      <w:r>
        <w:t xml:space="preserve"> </w:t>
      </w:r>
      <w:r w:rsidR="00F4378E" w:rsidRPr="00F4378E">
        <w:rPr>
          <w:rFonts w:ascii="Calibri" w:cs="Calibri"/>
        </w:rPr>
        <w:t>Burgess Kaya, Science Reporter &amp; Religious Affairs (last), ‘Heavens above: Nasa Enlists Priest to Prepare for an Alien Discovery’, 16 March 2023, section news &lt;https://www.thetimes.co.uk/article/heavens-above-nasa-hires-priest-to-prepare-for-an-alien-discovery&gt; [accessed 16 March 2023].</w:t>
      </w:r>
    </w:p>
  </w:footnote>
  <w:footnote w:id="8">
    <w:p w14:paraId="4C7C132D" w14:textId="17CBA7A1" w:rsidR="003E502B" w:rsidRDefault="003E502B" w:rsidP="00B145F2">
      <w:pPr>
        <w:pStyle w:val="FootnoteText"/>
      </w:pPr>
      <w:r w:rsidRPr="00631C19">
        <w:rPr>
          <w:rStyle w:val="FootnoteReference"/>
        </w:rPr>
        <w:footnoteRef/>
      </w:r>
      <w:r>
        <w:t xml:space="preserve"> </w:t>
      </w:r>
      <w:r w:rsidRPr="00CA7479">
        <w:rPr>
          <w:rFonts w:ascii="Calibri" w:cs="Calibri"/>
        </w:rPr>
        <w:t xml:space="preserve">Smolin, </w:t>
      </w:r>
      <w:r w:rsidRPr="00CA7479">
        <w:rPr>
          <w:rFonts w:ascii="Calibri" w:cs="Calibri"/>
          <w:i/>
          <w:iCs/>
        </w:rPr>
        <w:t>The Life of the Cosmos</w:t>
      </w:r>
      <w:r w:rsidRPr="00CA7479">
        <w:rPr>
          <w:rFonts w:ascii="Calibri" w:cs="Calibri"/>
        </w:rPr>
        <w:t>.</w:t>
      </w:r>
    </w:p>
  </w:footnote>
  <w:footnote w:id="9">
    <w:p w14:paraId="4EF881F5" w14:textId="45016FE7" w:rsidR="003E502B" w:rsidRDefault="003E502B" w:rsidP="00B145F2">
      <w:pPr>
        <w:pStyle w:val="FootnoteText"/>
      </w:pPr>
      <w:r w:rsidRPr="00631C19">
        <w:rPr>
          <w:rStyle w:val="FootnoteReference"/>
        </w:rPr>
        <w:footnoteRef/>
      </w:r>
      <w:r>
        <w:t xml:space="preserve"> </w:t>
      </w:r>
      <w:r w:rsidRPr="002F4189">
        <w:rPr>
          <w:rFonts w:ascii="Calibri" w:cs="Calibri"/>
        </w:rPr>
        <w:t xml:space="preserve">Smolin, </w:t>
      </w:r>
      <w:r w:rsidRPr="002F4189">
        <w:rPr>
          <w:rFonts w:ascii="Calibri" w:cs="Calibri"/>
          <w:i/>
          <w:iCs/>
        </w:rPr>
        <w:t>The Life of the Cosmos</w:t>
      </w:r>
      <w:r w:rsidRPr="002F4189">
        <w:rPr>
          <w:rFonts w:ascii="Calibri" w:cs="Calibri"/>
        </w:rPr>
        <w:t>, p. 37.</w:t>
      </w:r>
    </w:p>
  </w:footnote>
  <w:footnote w:id="10">
    <w:p w14:paraId="34650559" w14:textId="2D44D1E6" w:rsidR="003E502B" w:rsidRDefault="003E502B" w:rsidP="00B145F2">
      <w:pPr>
        <w:pStyle w:val="FootnoteText"/>
      </w:pPr>
      <w:r w:rsidRPr="00631C19">
        <w:rPr>
          <w:rStyle w:val="FootnoteReference"/>
        </w:rPr>
        <w:footnoteRef/>
      </w:r>
      <w:r>
        <w:t xml:space="preserve"> </w:t>
      </w:r>
      <w:r w:rsidRPr="002F4189">
        <w:rPr>
          <w:rFonts w:ascii="Calibri" w:cs="Calibri"/>
        </w:rPr>
        <w:t xml:space="preserve">Smolin, </w:t>
      </w:r>
      <w:r w:rsidRPr="002F4189">
        <w:rPr>
          <w:rFonts w:ascii="Calibri" w:cs="Calibri"/>
          <w:i/>
          <w:iCs/>
        </w:rPr>
        <w:t>The Life of the Cosmos</w:t>
      </w:r>
      <w:r w:rsidRPr="002F4189">
        <w:rPr>
          <w:rFonts w:ascii="Calibri" w:cs="Calibri"/>
        </w:rPr>
        <w:t>, p. 45.</w:t>
      </w:r>
    </w:p>
  </w:footnote>
  <w:footnote w:id="11">
    <w:p w14:paraId="6A8786E9" w14:textId="53960936" w:rsidR="003E502B" w:rsidRDefault="003E502B" w:rsidP="00B145F2">
      <w:pPr>
        <w:pStyle w:val="FootnoteText"/>
      </w:pPr>
      <w:r w:rsidRPr="00631C19">
        <w:rPr>
          <w:rStyle w:val="FootnoteReference"/>
        </w:rPr>
        <w:footnoteRef/>
      </w:r>
      <w:r>
        <w:t xml:space="preserve"> </w:t>
      </w:r>
      <w:r w:rsidRPr="002F4189">
        <w:rPr>
          <w:rFonts w:ascii="Calibri" w:cs="Calibri"/>
        </w:rPr>
        <w:t xml:space="preserve">Smolin, </w:t>
      </w:r>
      <w:r w:rsidRPr="002F4189">
        <w:rPr>
          <w:rFonts w:ascii="Calibri" w:cs="Calibri"/>
          <w:i/>
          <w:iCs/>
        </w:rPr>
        <w:t>The Life of the Cosmos</w:t>
      </w:r>
      <w:r w:rsidRPr="002F4189">
        <w:rPr>
          <w:rFonts w:ascii="Calibri" w:cs="Calibri"/>
        </w:rPr>
        <w:t>, p. 45.</w:t>
      </w:r>
    </w:p>
  </w:footnote>
  <w:footnote w:id="12">
    <w:p w14:paraId="205670AD" w14:textId="3E380735" w:rsidR="003E502B" w:rsidRDefault="003E502B">
      <w:pPr>
        <w:pStyle w:val="FootnoteText"/>
      </w:pPr>
      <w:r w:rsidRPr="00631C19">
        <w:rPr>
          <w:rStyle w:val="FootnoteReference"/>
        </w:rPr>
        <w:footnoteRef/>
      </w:r>
      <w:r>
        <w:t xml:space="preserve"> Some find unscientific to discuss or even mention God and prefer to discuss G-word. Vadim Zaver</w:t>
      </w:r>
    </w:p>
  </w:footnote>
  <w:footnote w:id="13">
    <w:p w14:paraId="6ADD4A64" w14:textId="28CDB67D" w:rsidR="003E502B" w:rsidRDefault="003E502B" w:rsidP="00D40FBE">
      <w:pPr>
        <w:pStyle w:val="FootnoteText"/>
      </w:pPr>
      <w:r w:rsidRPr="00631C19">
        <w:rPr>
          <w:rStyle w:val="FootnoteReference"/>
        </w:rPr>
        <w:footnoteRef/>
      </w:r>
      <w:r>
        <w:t xml:space="preserve"> </w:t>
      </w:r>
      <w:r w:rsidRPr="00DE4934">
        <w:rPr>
          <w:rFonts w:ascii="Calibri" w:cs="Calibri"/>
        </w:rPr>
        <w:t xml:space="preserve">Nicolaus Copernicus, </w:t>
      </w:r>
      <w:r w:rsidRPr="00DE4934">
        <w:rPr>
          <w:rFonts w:ascii="Calibri" w:cs="Calibri"/>
          <w:i/>
          <w:iCs/>
        </w:rPr>
        <w:t>De Revolutionibus Orbium Coelestium. Facsimile Reprint of the First Ed. of 1543 with an Introd. by Johannes Müller, Leipzig</w:t>
      </w:r>
      <w:r w:rsidRPr="00DE4934">
        <w:rPr>
          <w:rFonts w:ascii="Calibri" w:cs="Calibri"/>
        </w:rPr>
        <w:t>, 1965.</w:t>
      </w:r>
    </w:p>
  </w:footnote>
  <w:footnote w:id="14">
    <w:p w14:paraId="3019AFE3" w14:textId="47872C11" w:rsidR="003E502B" w:rsidRDefault="003E502B">
      <w:pPr>
        <w:pStyle w:val="FootnoteText"/>
      </w:pPr>
      <w:r w:rsidRPr="00631C19">
        <w:rPr>
          <w:rStyle w:val="FootnoteReference"/>
        </w:rPr>
        <w:footnoteRef/>
      </w:r>
      <w:r>
        <w:t xml:space="preserve"> In fact, there is still ongoing discussion on whether Copernicus indeed published his work, or whether it was published </w:t>
      </w:r>
      <w:r w:rsidRPr="003033BE">
        <w:t>without his permission, without his knowledge, and without his authorization</w:t>
      </w:r>
      <w:r>
        <w:t>. The discussion is outside the scope of this review. Vadim Zaver</w:t>
      </w:r>
    </w:p>
  </w:footnote>
  <w:footnote w:id="15">
    <w:p w14:paraId="155948CC" w14:textId="3F144231" w:rsidR="003E502B" w:rsidRDefault="003E502B">
      <w:pPr>
        <w:pStyle w:val="FootnoteText"/>
      </w:pPr>
      <w:r w:rsidRPr="00631C19">
        <w:rPr>
          <w:rStyle w:val="FootnoteReference"/>
        </w:rPr>
        <w:footnoteRef/>
      </w:r>
      <w:r>
        <w:t xml:space="preserve"> </w:t>
      </w:r>
      <w:r w:rsidR="00F4378E">
        <w:rPr>
          <w:rFonts w:ascii="Calibri" w:cs="Calibri"/>
        </w:rPr>
        <w:t>Burgess Kaya, Science Reporter &amp; Religious Affairs (last).</w:t>
      </w:r>
    </w:p>
  </w:footnote>
  <w:footnote w:id="16">
    <w:p w14:paraId="3FA3BDDF" w14:textId="7C303259" w:rsidR="003E502B" w:rsidRDefault="003E502B" w:rsidP="00120FCA">
      <w:pPr>
        <w:pStyle w:val="FootnoteText"/>
      </w:pPr>
      <w:r w:rsidRPr="00631C19">
        <w:rPr>
          <w:rStyle w:val="FootnoteReference"/>
        </w:rPr>
        <w:footnoteRef/>
      </w:r>
      <w:r>
        <w:t xml:space="preserve"> </w:t>
      </w:r>
      <w:r w:rsidRPr="002940AC">
        <w:rPr>
          <w:rFonts w:ascii="Calibri" w:cs="Calibri"/>
        </w:rPr>
        <w:t xml:space="preserve">Frank Cole Babbit, ‘Introduction to The Obsolescence of Oracles’, in </w:t>
      </w:r>
      <w:r w:rsidRPr="002940AC">
        <w:rPr>
          <w:rFonts w:ascii="Calibri" w:cs="Calibri"/>
          <w:i/>
          <w:iCs/>
        </w:rPr>
        <w:t>Plutarch’s Moralia: Isis and Osiris. The E at Delphi. The Oracles at Delphi No Longer given in Verse. The Obsolescence of Oracles</w:t>
      </w:r>
      <w:r w:rsidRPr="002940AC">
        <w:rPr>
          <w:rFonts w:ascii="Calibri" w:cs="Calibri"/>
        </w:rPr>
        <w:t xml:space="preserve"> (W. Heinemann, 1957), pp. 348–49 (p. 348).</w:t>
      </w:r>
    </w:p>
  </w:footnote>
  <w:footnote w:id="17">
    <w:p w14:paraId="6BD7337A" w14:textId="0ACD997A" w:rsidR="003E502B" w:rsidRDefault="003E502B">
      <w:pPr>
        <w:pStyle w:val="FootnoteText"/>
      </w:pPr>
      <w:r w:rsidRPr="00631C19">
        <w:rPr>
          <w:rStyle w:val="FootnoteReference"/>
        </w:rPr>
        <w:footnoteRef/>
      </w:r>
      <w:r>
        <w:t xml:space="preserve"> </w:t>
      </w:r>
      <w:r w:rsidR="00AB6D92">
        <w:rPr>
          <w:rFonts w:ascii="Calibri" w:cs="Calibri"/>
        </w:rPr>
        <w:t>Babbit, p. 348.</w:t>
      </w:r>
    </w:p>
  </w:footnote>
  <w:footnote w:id="18">
    <w:p w14:paraId="7C69E0AD" w14:textId="2307E918" w:rsidR="003E502B" w:rsidRDefault="003E502B">
      <w:pPr>
        <w:pStyle w:val="FootnoteText"/>
      </w:pPr>
      <w:r w:rsidRPr="00631C19">
        <w:rPr>
          <w:rStyle w:val="FootnoteReference"/>
        </w:rPr>
        <w:footnoteRef/>
      </w:r>
      <w:r>
        <w:t xml:space="preserve"> </w:t>
      </w:r>
      <w:r w:rsidRPr="000C662F">
        <w:rPr>
          <w:rFonts w:ascii="Calibri" w:cs="Calibri"/>
        </w:rPr>
        <w:t xml:space="preserve">Heraclitus, </w:t>
      </w:r>
      <w:r w:rsidRPr="000C662F">
        <w:rPr>
          <w:rFonts w:ascii="Calibri" w:cs="Calibri"/>
          <w:i/>
          <w:iCs/>
        </w:rPr>
        <w:t>The Art and Thought of Heraclitus: A New Arrangement and Translation of the Fragments with Literary and Philosophical Commentary</w:t>
      </w:r>
      <w:r w:rsidRPr="000C662F">
        <w:rPr>
          <w:rFonts w:ascii="Calibri" w:cs="Calibri"/>
        </w:rPr>
        <w:t xml:space="preserve"> (Cambridge University Press, 1981), p. 121.</w:t>
      </w:r>
    </w:p>
  </w:footnote>
  <w:footnote w:id="19">
    <w:p w14:paraId="6ABDE896" w14:textId="77B4D032" w:rsidR="003E502B" w:rsidRDefault="003E502B" w:rsidP="002C4BCF">
      <w:pPr>
        <w:pStyle w:val="FootnoteText"/>
      </w:pPr>
      <w:r w:rsidRPr="00631C19">
        <w:rPr>
          <w:rStyle w:val="FootnoteReference"/>
        </w:rPr>
        <w:footnoteRef/>
      </w:r>
      <w:r>
        <w:t xml:space="preserve"> </w:t>
      </w:r>
      <w:r w:rsidRPr="00CE408A">
        <w:rPr>
          <w:rFonts w:ascii="Calibri" w:cs="Calibri"/>
        </w:rPr>
        <w:t xml:space="preserve">Heraclitus, </w:t>
      </w:r>
      <w:r w:rsidRPr="00CE408A">
        <w:rPr>
          <w:rFonts w:ascii="Calibri" w:cs="Calibri"/>
          <w:i/>
          <w:iCs/>
        </w:rPr>
        <w:t>The Art and Thought of Heraclitus</w:t>
      </w:r>
      <w:r w:rsidRPr="00CE408A">
        <w:rPr>
          <w:rFonts w:ascii="Calibri" w:cs="Calibri"/>
        </w:rPr>
        <w:t>, p. D93.</w:t>
      </w:r>
      <w:r>
        <w:t xml:space="preserve"> </w:t>
      </w:r>
    </w:p>
  </w:footnote>
  <w:footnote w:id="20">
    <w:p w14:paraId="0CCA96AD" w14:textId="0EE26C8F" w:rsidR="003E502B" w:rsidRDefault="003E502B">
      <w:pPr>
        <w:pStyle w:val="FootnoteText"/>
      </w:pPr>
      <w:r w:rsidRPr="00631C19">
        <w:rPr>
          <w:rStyle w:val="FootnoteReference"/>
        </w:rPr>
        <w:footnoteRef/>
      </w:r>
      <w:r>
        <w:t xml:space="preserve"> </w:t>
      </w:r>
      <w:r w:rsidRPr="00CE408A">
        <w:rPr>
          <w:rFonts w:ascii="Calibri" w:cs="Calibri"/>
        </w:rPr>
        <w:t xml:space="preserve">Heraclitus, </w:t>
      </w:r>
      <w:r w:rsidRPr="00CE408A">
        <w:rPr>
          <w:rFonts w:ascii="Calibri" w:cs="Calibri"/>
          <w:i/>
          <w:iCs/>
        </w:rPr>
        <w:t>Heraclitus: Greek Text with a Short Commentary</w:t>
      </w:r>
      <w:r w:rsidRPr="00CE408A">
        <w:rPr>
          <w:rFonts w:ascii="Calibri" w:cs="Calibri"/>
        </w:rPr>
        <w:t>, trans. by Miroslav Marcovich (Academia Verlag, 2001), p. 51.</w:t>
      </w:r>
    </w:p>
  </w:footnote>
  <w:footnote w:id="21">
    <w:p w14:paraId="114F3F9A" w14:textId="2026D260" w:rsidR="003E502B" w:rsidRDefault="003E502B" w:rsidP="002C4BCF">
      <w:pPr>
        <w:pStyle w:val="FootnoteText"/>
      </w:pPr>
      <w:r w:rsidRPr="00631C19">
        <w:rPr>
          <w:rStyle w:val="FootnoteReference"/>
        </w:rPr>
        <w:footnoteRef/>
      </w:r>
      <w:r>
        <w:t xml:space="preserve"> </w:t>
      </w:r>
      <w:r w:rsidRPr="00DD6138">
        <w:rPr>
          <w:rFonts w:ascii="Calibri" w:cs="Calibri"/>
        </w:rPr>
        <w:t xml:space="preserve">Esther Eidinow, </w:t>
      </w:r>
      <w:r w:rsidRPr="00DD6138">
        <w:rPr>
          <w:rFonts w:ascii="Calibri" w:cs="Calibri"/>
          <w:i/>
          <w:iCs/>
        </w:rPr>
        <w:t>Oracles, Curses, and Risk Among the Ancient Greeks</w:t>
      </w:r>
      <w:r w:rsidRPr="00DD6138">
        <w:rPr>
          <w:rFonts w:ascii="Calibri" w:cs="Calibri"/>
        </w:rPr>
        <w:t xml:space="preserve"> (OUP Oxford, 2007), p. 34.</w:t>
      </w:r>
    </w:p>
  </w:footnote>
  <w:footnote w:id="22">
    <w:p w14:paraId="5D39CE46" w14:textId="02CC1DD5" w:rsidR="003E502B" w:rsidRDefault="003E502B" w:rsidP="00CE243C">
      <w:pPr>
        <w:pStyle w:val="FootnoteText"/>
      </w:pPr>
      <w:r w:rsidRPr="00631C19">
        <w:rPr>
          <w:rStyle w:val="FootnoteReference"/>
        </w:rPr>
        <w:footnoteRef/>
      </w:r>
      <w:r>
        <w:t xml:space="preserve"> </w:t>
      </w:r>
      <w:r w:rsidRPr="00CE408A">
        <w:rPr>
          <w:rFonts w:ascii="Calibri" w:cs="Calibri"/>
        </w:rPr>
        <w:t xml:space="preserve">Heraclitus, </w:t>
      </w:r>
      <w:r w:rsidRPr="00CE408A">
        <w:rPr>
          <w:rFonts w:ascii="Calibri" w:cs="Calibri"/>
          <w:i/>
          <w:iCs/>
        </w:rPr>
        <w:t>The Art and Thought of Heraclitus</w:t>
      </w:r>
      <w:r w:rsidRPr="00CE408A">
        <w:rPr>
          <w:rFonts w:ascii="Calibri" w:cs="Calibri"/>
        </w:rPr>
        <w:t>, p. 123.</w:t>
      </w:r>
    </w:p>
  </w:footnote>
  <w:footnote w:id="23">
    <w:p w14:paraId="325E7888" w14:textId="17416B24" w:rsidR="003E502B" w:rsidRDefault="003E502B" w:rsidP="00E77FF5">
      <w:pPr>
        <w:pStyle w:val="FootnoteText"/>
      </w:pPr>
      <w:r w:rsidRPr="00631C19">
        <w:rPr>
          <w:rStyle w:val="FootnoteReference"/>
        </w:rPr>
        <w:footnoteRef/>
      </w:r>
      <w:r>
        <w:t xml:space="preserve"> </w:t>
      </w:r>
      <w:r w:rsidRPr="00D21A98">
        <w:rPr>
          <w:rFonts w:ascii="Calibri" w:cs="Calibri"/>
        </w:rPr>
        <w:t xml:space="preserve">William James Battle, ‘Greece at the Peace Table’, </w:t>
      </w:r>
      <w:r w:rsidRPr="00D21A98">
        <w:rPr>
          <w:rFonts w:ascii="Calibri" w:cs="Calibri"/>
          <w:i/>
          <w:iCs/>
        </w:rPr>
        <w:t>The Classical Journal</w:t>
      </w:r>
      <w:r w:rsidRPr="00D21A98">
        <w:rPr>
          <w:rFonts w:ascii="Calibri" w:cs="Calibri"/>
        </w:rPr>
        <w:t>, 16.1 (1920), 2–14 (p. 3).</w:t>
      </w:r>
    </w:p>
  </w:footnote>
  <w:footnote w:id="24">
    <w:p w14:paraId="14CC4560" w14:textId="57239592" w:rsidR="003E502B" w:rsidRDefault="003E502B" w:rsidP="003A141F">
      <w:pPr>
        <w:pStyle w:val="FootnoteText"/>
      </w:pPr>
      <w:r w:rsidRPr="00631C19">
        <w:rPr>
          <w:rStyle w:val="FootnoteReference"/>
        </w:rPr>
        <w:footnoteRef/>
      </w:r>
      <w:r>
        <w:t xml:space="preserve"> </w:t>
      </w:r>
      <w:r w:rsidR="001D3A8F">
        <w:t xml:space="preserve">Plutarch, </w:t>
      </w:r>
      <w:r w:rsidR="00AB6D92" w:rsidRPr="00AB6D92">
        <w:rPr>
          <w:rFonts w:ascii="Calibri" w:cs="Calibri"/>
        </w:rPr>
        <w:t>‘The Obsolescence of Oracles’, p. 413F.</w:t>
      </w:r>
    </w:p>
  </w:footnote>
  <w:footnote w:id="25">
    <w:p w14:paraId="7C50D797" w14:textId="1A6A198B" w:rsidR="003E502B" w:rsidRDefault="003E502B">
      <w:pPr>
        <w:pStyle w:val="FootnoteText"/>
      </w:pPr>
      <w:r w:rsidRPr="00631C19">
        <w:rPr>
          <w:rStyle w:val="FootnoteReference"/>
        </w:rPr>
        <w:footnoteRef/>
      </w:r>
      <w:r>
        <w:t xml:space="preserve"> </w:t>
      </w:r>
      <w:r w:rsidRPr="000E02F7">
        <w:rPr>
          <w:rFonts w:ascii="Calibri" w:cs="Calibri"/>
        </w:rPr>
        <w:t xml:space="preserve">Mogens Herman Hansen, </w:t>
      </w:r>
      <w:r w:rsidRPr="000E02F7">
        <w:rPr>
          <w:rFonts w:ascii="Calibri" w:cs="Calibri"/>
          <w:i/>
          <w:iCs/>
        </w:rPr>
        <w:t>The Shotgun Method: The Demography of the Ancient Greek City-State Culture</w:t>
      </w:r>
      <w:r w:rsidRPr="000E02F7">
        <w:rPr>
          <w:rFonts w:ascii="Calibri" w:cs="Calibri"/>
        </w:rPr>
        <w:t xml:space="preserve"> (University of Missouri Press, 2006), p. 20.</w:t>
      </w:r>
    </w:p>
  </w:footnote>
  <w:footnote w:id="26">
    <w:p w14:paraId="2E147C75" w14:textId="26B66DEE" w:rsidR="003E502B" w:rsidRDefault="003E502B">
      <w:pPr>
        <w:pStyle w:val="FootnoteText"/>
      </w:pPr>
      <w:r w:rsidRPr="00631C19">
        <w:rPr>
          <w:rStyle w:val="FootnoteReference"/>
        </w:rPr>
        <w:footnoteRef/>
      </w:r>
      <w:r>
        <w:t xml:space="preserve"> </w:t>
      </w:r>
      <w:r w:rsidR="001D3A8F">
        <w:t>Plutarch,</w:t>
      </w:r>
      <w:r w:rsidR="001D3A8F" w:rsidRPr="00AB6D92">
        <w:rPr>
          <w:rFonts w:ascii="Calibri" w:cs="Calibri"/>
        </w:rPr>
        <w:t xml:space="preserve"> </w:t>
      </w:r>
      <w:r w:rsidR="00AB6D92" w:rsidRPr="00AB6D92">
        <w:rPr>
          <w:rFonts w:ascii="Calibri" w:cs="Calibri"/>
        </w:rPr>
        <w:t>‘The Obsolescence of Oracles’, p. 410B.</w:t>
      </w:r>
    </w:p>
  </w:footnote>
  <w:footnote w:id="27">
    <w:p w14:paraId="38639D1F" w14:textId="12560F11" w:rsidR="003E502B" w:rsidRDefault="003E502B">
      <w:pPr>
        <w:pStyle w:val="FootnoteText"/>
      </w:pPr>
      <w:r w:rsidRPr="00631C19">
        <w:rPr>
          <w:rStyle w:val="FootnoteReference"/>
        </w:rPr>
        <w:footnoteRef/>
      </w:r>
      <w:r>
        <w:t xml:space="preserve"> </w:t>
      </w:r>
      <w:r w:rsidR="001D3A8F">
        <w:t>Plutarch,</w:t>
      </w:r>
      <w:r w:rsidR="001D3A8F" w:rsidRPr="00AB6D92">
        <w:rPr>
          <w:rFonts w:ascii="Calibri" w:cs="Calibri"/>
        </w:rPr>
        <w:t xml:space="preserve"> </w:t>
      </w:r>
      <w:r w:rsidR="00AB6D92" w:rsidRPr="00AB6D92">
        <w:rPr>
          <w:rFonts w:ascii="Calibri" w:cs="Calibri"/>
        </w:rPr>
        <w:t>‘The Obsolescence of Oracles’, p. 414B.</w:t>
      </w:r>
    </w:p>
  </w:footnote>
  <w:footnote w:id="28">
    <w:p w14:paraId="07FE3D06" w14:textId="06DBC8F3" w:rsidR="003E502B" w:rsidRDefault="003E502B" w:rsidP="00C44D68">
      <w:pPr>
        <w:pStyle w:val="FootnoteText"/>
      </w:pPr>
      <w:r w:rsidRPr="00631C19">
        <w:rPr>
          <w:rStyle w:val="FootnoteReference"/>
        </w:rPr>
        <w:footnoteRef/>
      </w:r>
      <w:r>
        <w:t xml:space="preserve"> </w:t>
      </w:r>
      <w:r w:rsidR="001D3A8F">
        <w:t>Plutarch, ‘</w:t>
      </w:r>
      <w:r w:rsidR="00AB6D92" w:rsidRPr="00AB6D92">
        <w:rPr>
          <w:rFonts w:ascii="Calibri" w:cs="Calibri"/>
        </w:rPr>
        <w:t>The Obsolescence of Oracles’, p. 414B.</w:t>
      </w:r>
    </w:p>
  </w:footnote>
  <w:footnote w:id="29">
    <w:p w14:paraId="4011B5AA" w14:textId="541CC9E1" w:rsidR="003E502B" w:rsidRDefault="003E502B" w:rsidP="00004F29">
      <w:pPr>
        <w:pStyle w:val="FootnoteText"/>
      </w:pPr>
      <w:r w:rsidRPr="00631C19">
        <w:rPr>
          <w:rStyle w:val="FootnoteReference"/>
        </w:rPr>
        <w:footnoteRef/>
      </w:r>
      <w:r>
        <w:t xml:space="preserve"> </w:t>
      </w:r>
      <w:r w:rsidRPr="00CE408A">
        <w:rPr>
          <w:rFonts w:ascii="Calibri" w:cs="Calibri"/>
        </w:rPr>
        <w:t xml:space="preserve">Heraclitus, </w:t>
      </w:r>
      <w:r w:rsidRPr="00CE408A">
        <w:rPr>
          <w:rFonts w:ascii="Calibri" w:cs="Calibri"/>
          <w:i/>
          <w:iCs/>
        </w:rPr>
        <w:t>The Art and Thought of Heraclitus</w:t>
      </w:r>
      <w:r w:rsidRPr="00CE408A">
        <w:rPr>
          <w:rFonts w:ascii="Calibri" w:cs="Calibri"/>
        </w:rPr>
        <w:t>, p. 123.</w:t>
      </w:r>
    </w:p>
  </w:footnote>
  <w:footnote w:id="30">
    <w:p w14:paraId="6ABAE0B8" w14:textId="2589D7A3" w:rsidR="003E502B" w:rsidRDefault="003E502B">
      <w:pPr>
        <w:pStyle w:val="FootnoteText"/>
      </w:pPr>
      <w:r w:rsidRPr="00631C19">
        <w:rPr>
          <w:rStyle w:val="FootnoteReference"/>
        </w:rPr>
        <w:footnoteRef/>
      </w:r>
      <w:r>
        <w:t xml:space="preserve"> </w:t>
      </w:r>
      <w:r w:rsidR="001D3A8F">
        <w:t>Plutarch,</w:t>
      </w:r>
      <w:r w:rsidR="001D3A8F" w:rsidRPr="00AB6D92">
        <w:rPr>
          <w:rFonts w:ascii="Calibri" w:cs="Calibri"/>
        </w:rPr>
        <w:t xml:space="preserve"> </w:t>
      </w:r>
      <w:r w:rsidR="00AB6D92" w:rsidRPr="00AB6D92">
        <w:rPr>
          <w:rFonts w:ascii="Calibri" w:cs="Calibri"/>
        </w:rPr>
        <w:t>‘The Obsolescence of Oracles’, p. 430E.</w:t>
      </w:r>
    </w:p>
  </w:footnote>
  <w:footnote w:id="31">
    <w:p w14:paraId="404A294C" w14:textId="35EB8395" w:rsidR="003E502B" w:rsidRDefault="003E502B">
      <w:pPr>
        <w:pStyle w:val="FootnoteText"/>
      </w:pPr>
      <w:r w:rsidRPr="00631C19">
        <w:rPr>
          <w:rStyle w:val="FootnoteReference"/>
        </w:rPr>
        <w:footnoteRef/>
      </w:r>
      <w:r>
        <w:t xml:space="preserve"> </w:t>
      </w:r>
      <w:r w:rsidR="00F4378E" w:rsidRPr="00F4378E">
        <w:rPr>
          <w:rFonts w:ascii="Calibri" w:cs="Calibri"/>
        </w:rPr>
        <w:t xml:space="preserve">Ptolemy, </w:t>
      </w:r>
      <w:r w:rsidR="00F4378E" w:rsidRPr="00F4378E">
        <w:rPr>
          <w:rFonts w:ascii="Calibri" w:cs="Calibri"/>
          <w:i/>
          <w:iCs/>
        </w:rPr>
        <w:t>Ptolemy’s Almagest</w:t>
      </w:r>
      <w:r w:rsidR="00F4378E" w:rsidRPr="00F4378E">
        <w:rPr>
          <w:rFonts w:ascii="Calibri" w:cs="Calibri"/>
        </w:rPr>
        <w:t>, trans. by G. J. Toomer (Duckworth, 1984).</w:t>
      </w:r>
    </w:p>
  </w:footnote>
  <w:footnote w:id="32">
    <w:p w14:paraId="00F15597" w14:textId="3B018B00" w:rsidR="003E502B" w:rsidRDefault="003E502B">
      <w:pPr>
        <w:pStyle w:val="FootnoteText"/>
      </w:pPr>
      <w:r w:rsidRPr="00631C19">
        <w:rPr>
          <w:rStyle w:val="FootnoteReference"/>
        </w:rPr>
        <w:footnoteRef/>
      </w:r>
      <w:r>
        <w:t xml:space="preserve"> The calculations in modern astrophysics do not describe what is visible in the Universe. This happened to physics around 1900, and physicists went back to the drawing board and fixed the calculations. Astrophysicists kept the calculations and ‘dark matter’ had to be added to the picture of the Universe. Vadim Zaver </w:t>
      </w:r>
    </w:p>
  </w:footnote>
  <w:footnote w:id="33">
    <w:p w14:paraId="34B27CF7" w14:textId="7DD6C9B3" w:rsidR="003E502B" w:rsidRDefault="003E502B">
      <w:pPr>
        <w:pStyle w:val="FootnoteText"/>
      </w:pPr>
      <w:r w:rsidRPr="00631C19">
        <w:rPr>
          <w:rStyle w:val="FootnoteReference"/>
        </w:rPr>
        <w:footnoteRef/>
      </w:r>
      <w:r>
        <w:t xml:space="preserve"> </w:t>
      </w:r>
      <w:r w:rsidRPr="00552E80">
        <w:rPr>
          <w:rFonts w:ascii="Calibri" w:cs="Calibri"/>
        </w:rPr>
        <w:t xml:space="preserve">Smolin, </w:t>
      </w:r>
      <w:r w:rsidRPr="00552E80">
        <w:rPr>
          <w:rFonts w:ascii="Calibri" w:cs="Calibri"/>
          <w:i/>
          <w:iCs/>
        </w:rPr>
        <w:t>The Life of the Cosmos</w:t>
      </w:r>
      <w:r w:rsidRPr="00552E80">
        <w:rPr>
          <w:rFonts w:ascii="Calibri" w:cs="Calibri"/>
        </w:rPr>
        <w:t>, p. 45.</w:t>
      </w:r>
    </w:p>
  </w:footnote>
  <w:footnote w:id="34">
    <w:p w14:paraId="18922276" w14:textId="24B6F4AB" w:rsidR="003E502B" w:rsidRDefault="003E502B" w:rsidP="00265AD2">
      <w:pPr>
        <w:pStyle w:val="FootnoteText"/>
      </w:pPr>
      <w:r w:rsidRPr="00631C19">
        <w:rPr>
          <w:rStyle w:val="FootnoteReference"/>
        </w:rPr>
        <w:footnoteRef/>
      </w:r>
      <w:r>
        <w:t xml:space="preserve"> </w:t>
      </w:r>
      <w:r w:rsidR="001D3A8F">
        <w:t>Plutarch,</w:t>
      </w:r>
      <w:r w:rsidR="001D3A8F" w:rsidRPr="00AB6D92">
        <w:rPr>
          <w:rFonts w:ascii="Calibri" w:cs="Calibri"/>
        </w:rPr>
        <w:t xml:space="preserve"> </w:t>
      </w:r>
      <w:r w:rsidR="00AB6D92" w:rsidRPr="00AB6D92">
        <w:rPr>
          <w:rFonts w:ascii="Calibri" w:cs="Calibri"/>
        </w:rPr>
        <w:t>‘The Obsolescence of Oracles’, p. 418E.</w:t>
      </w:r>
    </w:p>
  </w:footnote>
  <w:footnote w:id="35">
    <w:p w14:paraId="117FA1F0" w14:textId="33DB4863" w:rsidR="003E502B" w:rsidRDefault="003E502B" w:rsidP="002A1167">
      <w:pPr>
        <w:pStyle w:val="FootnoteText"/>
      </w:pPr>
      <w:r w:rsidRPr="00631C19">
        <w:rPr>
          <w:rStyle w:val="FootnoteReference"/>
        </w:rPr>
        <w:footnoteRef/>
      </w:r>
      <w:r>
        <w:t xml:space="preserve"> </w:t>
      </w:r>
      <w:r w:rsidRPr="00DD2657">
        <w:rPr>
          <w:rFonts w:ascii="Calibri" w:cs="Calibri"/>
        </w:rPr>
        <w:t xml:space="preserve">Dorian Gieseler Greenbaum, </w:t>
      </w:r>
      <w:r w:rsidRPr="00DD2657">
        <w:rPr>
          <w:rFonts w:ascii="Calibri" w:cs="Calibri"/>
          <w:i/>
          <w:iCs/>
        </w:rPr>
        <w:t>The Daimon in Hellenistic Astrology: Origins and Influence</w:t>
      </w:r>
      <w:r w:rsidRPr="00DD2657">
        <w:rPr>
          <w:rFonts w:ascii="Calibri" w:cs="Calibri"/>
        </w:rPr>
        <w:t xml:space="preserve"> (BRILL, 2015), p. 20.</w:t>
      </w:r>
    </w:p>
  </w:footnote>
  <w:footnote w:id="36">
    <w:p w14:paraId="53F90AC9" w14:textId="1704AAB3" w:rsidR="003E502B" w:rsidRDefault="003E502B" w:rsidP="00E85AB3">
      <w:pPr>
        <w:pStyle w:val="FootnoteText"/>
      </w:pPr>
      <w:r w:rsidRPr="00631C19">
        <w:rPr>
          <w:rStyle w:val="FootnoteReference"/>
        </w:rPr>
        <w:footnoteRef/>
      </w:r>
      <w:r>
        <w:t xml:space="preserve"> </w:t>
      </w:r>
      <w:r w:rsidRPr="00FD43D6">
        <w:rPr>
          <w:rFonts w:ascii="Calibri" w:cs="Calibri"/>
        </w:rPr>
        <w:t xml:space="preserve">D. A. Russell, ‘On Reading Plutarch’s “Moralia”’, </w:t>
      </w:r>
      <w:r w:rsidRPr="00FD43D6">
        <w:rPr>
          <w:rFonts w:ascii="Calibri" w:cs="Calibri"/>
          <w:i/>
          <w:iCs/>
        </w:rPr>
        <w:t>Greece &amp; Rome</w:t>
      </w:r>
      <w:r w:rsidRPr="00FD43D6">
        <w:rPr>
          <w:rFonts w:ascii="Calibri" w:cs="Calibri"/>
        </w:rPr>
        <w:t>, 15.2 (1968), 130–46 (p. 134).</w:t>
      </w:r>
    </w:p>
  </w:footnote>
  <w:footnote w:id="37">
    <w:p w14:paraId="3940BBBF" w14:textId="1B538CF0" w:rsidR="003E502B" w:rsidRDefault="003E502B" w:rsidP="00265AD2">
      <w:pPr>
        <w:pStyle w:val="FootnoteText"/>
      </w:pPr>
      <w:r w:rsidRPr="00631C19">
        <w:rPr>
          <w:rStyle w:val="FootnoteReference"/>
        </w:rPr>
        <w:footnoteRef/>
      </w:r>
      <w:r>
        <w:t xml:space="preserve"> </w:t>
      </w:r>
      <w:r w:rsidR="001D3A8F">
        <w:t>Plutarch,</w:t>
      </w:r>
      <w:r w:rsidR="001D3A8F" w:rsidRPr="00AB6D92">
        <w:rPr>
          <w:rFonts w:ascii="Calibri" w:cs="Calibri"/>
        </w:rPr>
        <w:t xml:space="preserve"> </w:t>
      </w:r>
      <w:r w:rsidR="00AB6D92" w:rsidRPr="00AB6D92">
        <w:rPr>
          <w:rFonts w:ascii="Calibri" w:cs="Calibri"/>
        </w:rPr>
        <w:t>‘The Obsolescence of Oracles’, p. 415D.</w:t>
      </w:r>
    </w:p>
  </w:footnote>
  <w:footnote w:id="38">
    <w:p w14:paraId="485C7C65" w14:textId="1634BD21" w:rsidR="003E502B" w:rsidRDefault="003E502B">
      <w:pPr>
        <w:pStyle w:val="FootnoteText"/>
      </w:pPr>
      <w:r w:rsidRPr="00631C19">
        <w:rPr>
          <w:rStyle w:val="FootnoteReference"/>
        </w:rPr>
        <w:footnoteRef/>
      </w:r>
      <w:r>
        <w:t xml:space="preserve"> </w:t>
      </w:r>
      <w:r w:rsidRPr="00265AD2">
        <w:rPr>
          <w:rFonts w:ascii="Calibri" w:cs="Calibri"/>
        </w:rPr>
        <w:t>‘History of Farming’ &lt;http://www.ecifm.rdg.ac.uk/history.htm&gt; [accessed 17 March 2023].</w:t>
      </w:r>
    </w:p>
  </w:footnote>
  <w:footnote w:id="39">
    <w:p w14:paraId="2BCCCFC2" w14:textId="23F0F85A" w:rsidR="003E502B" w:rsidRDefault="003E502B">
      <w:pPr>
        <w:pStyle w:val="FootnoteText"/>
      </w:pPr>
      <w:r w:rsidRPr="00631C19">
        <w:rPr>
          <w:rStyle w:val="FootnoteReference"/>
        </w:rPr>
        <w:footnoteRef/>
      </w:r>
      <w:r>
        <w:t xml:space="preserve"> As Delphic oracles were delivering information in riddles, the figure for the Great Pan lifespan was likely given by Plutarch for a reason. As it is a number, it could be a pointer to some event in the past. As no one examined it so far, it deserves some investigation, but the investigation is outside of this essay scope. Vadim Zaver</w:t>
      </w:r>
    </w:p>
  </w:footnote>
  <w:footnote w:id="40">
    <w:p w14:paraId="4E18C814" w14:textId="2EC6E847" w:rsidR="003E502B" w:rsidRDefault="003E502B">
      <w:pPr>
        <w:pStyle w:val="FootnoteText"/>
      </w:pPr>
      <w:r w:rsidRPr="00631C19">
        <w:rPr>
          <w:rStyle w:val="FootnoteReference"/>
        </w:rPr>
        <w:footnoteRef/>
      </w:r>
      <w:r>
        <w:t xml:space="preserve"> </w:t>
      </w:r>
      <w:r w:rsidRPr="00776C6D">
        <w:rPr>
          <w:rFonts w:ascii="Calibri" w:cs="Calibri"/>
        </w:rPr>
        <w:t xml:space="preserve">Lee Smolin, </w:t>
      </w:r>
      <w:r w:rsidRPr="00776C6D">
        <w:rPr>
          <w:rFonts w:ascii="Calibri" w:cs="Calibri"/>
          <w:i/>
          <w:iCs/>
        </w:rPr>
        <w:t>The Trouble with Physics: The Rise of String Theory, the Fall of a Science, and What Comes Next</w:t>
      </w:r>
      <w:r w:rsidRPr="00776C6D">
        <w:rPr>
          <w:rFonts w:ascii="Calibri" w:cs="Calibri"/>
        </w:rPr>
        <w:t xml:space="preserve"> (HMH, 2007).</w:t>
      </w:r>
    </w:p>
  </w:footnote>
  <w:footnote w:id="41">
    <w:p w14:paraId="39DEA4B0" w14:textId="116352FE" w:rsidR="003E502B" w:rsidRDefault="003E502B" w:rsidP="00911254">
      <w:pPr>
        <w:pStyle w:val="FootnoteText"/>
      </w:pPr>
      <w:r w:rsidRPr="00631C19">
        <w:rPr>
          <w:rStyle w:val="FootnoteReference"/>
        </w:rPr>
        <w:footnoteRef/>
      </w:r>
      <w:r>
        <w:t xml:space="preserve"> </w:t>
      </w:r>
      <w:r w:rsidRPr="00776C6D">
        <w:rPr>
          <w:rFonts w:ascii="Calibri" w:cs="Calibri"/>
        </w:rPr>
        <w:t xml:space="preserve">Smolin, </w:t>
      </w:r>
      <w:r w:rsidRPr="00776C6D">
        <w:rPr>
          <w:rFonts w:ascii="Calibri" w:cs="Calibri"/>
          <w:i/>
          <w:iCs/>
        </w:rPr>
        <w:t>The Trouble with Physics</w:t>
      </w:r>
      <w:r w:rsidRPr="00776C6D">
        <w:rPr>
          <w:rFonts w:ascii="Calibri" w:cs="Calibri"/>
        </w:rPr>
        <w:t>, p. 310.</w:t>
      </w:r>
    </w:p>
  </w:footnote>
  <w:footnote w:id="42">
    <w:p w14:paraId="2D60D5F2" w14:textId="6D82F486" w:rsidR="003E502B" w:rsidRDefault="003E502B" w:rsidP="00911254">
      <w:pPr>
        <w:pStyle w:val="FootnoteText"/>
      </w:pPr>
      <w:r w:rsidRPr="00631C19">
        <w:rPr>
          <w:rStyle w:val="FootnoteReference"/>
        </w:rPr>
        <w:footnoteRef/>
      </w:r>
      <w:r>
        <w:t xml:space="preserve"> </w:t>
      </w:r>
      <w:r w:rsidRPr="00206B27">
        <w:rPr>
          <w:rFonts w:ascii="Calibri" w:cs="Calibri"/>
        </w:rPr>
        <w:t xml:space="preserve">Smolin, </w:t>
      </w:r>
      <w:r w:rsidRPr="00206B27">
        <w:rPr>
          <w:rFonts w:ascii="Calibri" w:cs="Calibri"/>
          <w:i/>
          <w:iCs/>
        </w:rPr>
        <w:t>The Trouble with Physics</w:t>
      </w:r>
      <w:r w:rsidRPr="00206B27">
        <w:rPr>
          <w:rFonts w:ascii="Calibri" w:cs="Calibri"/>
        </w:rPr>
        <w:t>, p. 310.</w:t>
      </w:r>
    </w:p>
  </w:footnote>
  <w:footnote w:id="43">
    <w:p w14:paraId="60BBD3AA" w14:textId="4B94DE79" w:rsidR="003E502B" w:rsidRDefault="003E502B" w:rsidP="002F4189">
      <w:pPr>
        <w:pStyle w:val="FootnoteText"/>
      </w:pPr>
      <w:r w:rsidRPr="00631C19">
        <w:rPr>
          <w:rStyle w:val="FootnoteReference"/>
        </w:rPr>
        <w:footnoteRef/>
      </w:r>
      <w:r>
        <w:t xml:space="preserve"> </w:t>
      </w:r>
      <w:r w:rsidR="001D3A8F">
        <w:t>Plutarch,</w:t>
      </w:r>
      <w:r w:rsidR="001D3A8F" w:rsidRPr="00AB6D92">
        <w:rPr>
          <w:rFonts w:ascii="Calibri" w:cs="Calibri"/>
        </w:rPr>
        <w:t xml:space="preserve"> </w:t>
      </w:r>
      <w:r w:rsidR="00AB6D92" w:rsidRPr="00AB6D92">
        <w:rPr>
          <w:rFonts w:ascii="Calibri" w:cs="Calibri"/>
        </w:rPr>
        <w:t>‘The Obsolescence of Oracles’, p. 436D.</w:t>
      </w:r>
    </w:p>
  </w:footnote>
  <w:footnote w:id="44">
    <w:p w14:paraId="299E323D" w14:textId="706CEB2C" w:rsidR="003E502B" w:rsidRDefault="003E502B" w:rsidP="002F4189">
      <w:pPr>
        <w:pStyle w:val="FootnoteText"/>
      </w:pPr>
      <w:r w:rsidRPr="00631C19">
        <w:rPr>
          <w:rStyle w:val="FootnoteReference"/>
        </w:rPr>
        <w:footnoteRef/>
      </w:r>
      <w:r>
        <w:t xml:space="preserve"> </w:t>
      </w:r>
      <w:r w:rsidRPr="000503F0">
        <w:rPr>
          <w:rFonts w:ascii="Calibri" w:cs="Calibri"/>
        </w:rPr>
        <w:t xml:space="preserve">Michelangelo di Lodovico Buonarroti Simoni, </w:t>
      </w:r>
      <w:r w:rsidRPr="000503F0">
        <w:rPr>
          <w:rFonts w:ascii="Calibri" w:cs="Calibri"/>
          <w:i/>
          <w:iCs/>
        </w:rPr>
        <w:t>The Creation of Adam</w:t>
      </w:r>
      <w:r w:rsidRPr="000503F0">
        <w:rPr>
          <w:rFonts w:ascii="Calibri" w:cs="Calibri"/>
        </w:rPr>
        <w:t>, 1508, the Sistine Chapel ceiling, Vatican.</w:t>
      </w:r>
    </w:p>
  </w:footnote>
  <w:footnote w:id="45">
    <w:p w14:paraId="7A66D48E" w14:textId="717F54E1" w:rsidR="003E502B" w:rsidRDefault="003E502B">
      <w:pPr>
        <w:pStyle w:val="FootnoteText"/>
      </w:pPr>
      <w:r w:rsidRPr="00631C19">
        <w:rPr>
          <w:rStyle w:val="FootnoteReference"/>
        </w:rPr>
        <w:footnoteRef/>
      </w:r>
      <w:r>
        <w:t xml:space="preserve"> </w:t>
      </w:r>
      <w:r w:rsidR="001D3A8F">
        <w:t>Plutarch,</w:t>
      </w:r>
      <w:r w:rsidR="001D3A8F" w:rsidRPr="00AB6D92">
        <w:rPr>
          <w:rFonts w:ascii="Calibri" w:cs="Calibri"/>
        </w:rPr>
        <w:t xml:space="preserve"> </w:t>
      </w:r>
      <w:r w:rsidR="00AB6D92" w:rsidRPr="00AB6D92">
        <w:rPr>
          <w:rFonts w:ascii="Calibri" w:cs="Calibri"/>
        </w:rPr>
        <w:t>‘The Obsolescence of Oracles’, p. 418E.</w:t>
      </w:r>
    </w:p>
  </w:footnote>
  <w:footnote w:id="46">
    <w:p w14:paraId="05832BD4" w14:textId="34EB9751" w:rsidR="003E502B" w:rsidRDefault="003E502B">
      <w:pPr>
        <w:pStyle w:val="FootnoteText"/>
      </w:pPr>
      <w:r w:rsidRPr="00631C19">
        <w:rPr>
          <w:rStyle w:val="FootnoteReference"/>
        </w:rPr>
        <w:footnoteRef/>
      </w:r>
      <w:r>
        <w:t xml:space="preserve"> </w:t>
      </w:r>
      <w:r w:rsidR="001D3A8F">
        <w:t>Plutarch,</w:t>
      </w:r>
      <w:r w:rsidR="001D3A8F" w:rsidRPr="00AB6D92">
        <w:rPr>
          <w:rFonts w:ascii="Calibri" w:cs="Calibri"/>
        </w:rPr>
        <w:t xml:space="preserve"> </w:t>
      </w:r>
      <w:r w:rsidR="00AB6D92" w:rsidRPr="00AB6D92">
        <w:rPr>
          <w:rFonts w:ascii="Calibri" w:cs="Calibri"/>
        </w:rPr>
        <w:t>‘The Obsolescence of Oracles’, p. 436F.</w:t>
      </w:r>
    </w:p>
  </w:footnote>
  <w:footnote w:id="47">
    <w:p w14:paraId="59FFBC8C" w14:textId="54C933BB" w:rsidR="003E502B" w:rsidRDefault="003E502B" w:rsidP="003A7307">
      <w:pPr>
        <w:pStyle w:val="FootnoteText"/>
      </w:pPr>
      <w:r w:rsidRPr="00631C19">
        <w:rPr>
          <w:rStyle w:val="FootnoteReference"/>
        </w:rPr>
        <w:footnoteRef/>
      </w:r>
      <w:r>
        <w:t xml:space="preserve"> </w:t>
      </w:r>
      <w:r w:rsidRPr="00206B27">
        <w:rPr>
          <w:rFonts w:ascii="Calibri" w:cs="Calibri"/>
        </w:rPr>
        <w:t xml:space="preserve">Smolin, </w:t>
      </w:r>
      <w:r w:rsidRPr="00206B27">
        <w:rPr>
          <w:rFonts w:ascii="Calibri" w:cs="Calibri"/>
          <w:i/>
          <w:iCs/>
        </w:rPr>
        <w:t>The Trouble with Physics</w:t>
      </w:r>
      <w:r w:rsidRPr="00206B27">
        <w:rPr>
          <w:rFonts w:ascii="Calibri" w:cs="Calibri"/>
        </w:rPr>
        <w:t>, p. 310.</w:t>
      </w:r>
    </w:p>
  </w:footnote>
  <w:footnote w:id="48">
    <w:p w14:paraId="1C3BE533" w14:textId="0AC0AC16" w:rsidR="003E502B" w:rsidRDefault="003E502B" w:rsidP="00A21851">
      <w:pPr>
        <w:pStyle w:val="FootnoteText"/>
      </w:pPr>
      <w:r w:rsidRPr="00631C19">
        <w:rPr>
          <w:rStyle w:val="FootnoteReference"/>
        </w:rPr>
        <w:footnoteRef/>
      </w:r>
      <w:r>
        <w:t xml:space="preserve"> </w:t>
      </w:r>
      <w:r w:rsidRPr="00621D3A">
        <w:rPr>
          <w:rFonts w:ascii="Calibri" w:cs="Calibri"/>
        </w:rPr>
        <w:t xml:space="preserve">Herodotus, </w:t>
      </w:r>
      <w:r w:rsidRPr="00621D3A">
        <w:rPr>
          <w:rFonts w:ascii="Calibri" w:cs="Calibri"/>
          <w:i/>
          <w:iCs/>
        </w:rPr>
        <w:t>Herodotus: Works , with an English Translation by A.D. Godley</w:t>
      </w:r>
      <w:r w:rsidRPr="00621D3A">
        <w:rPr>
          <w:rFonts w:ascii="Calibri" w:cs="Calibri"/>
        </w:rPr>
        <w:t xml:space="preserve"> (Heinemann, 1930), sec. 1.53.</w:t>
      </w:r>
    </w:p>
  </w:footnote>
  <w:footnote w:id="49">
    <w:p w14:paraId="72ED6956" w14:textId="044F2DAA" w:rsidR="003E502B" w:rsidRDefault="003E502B" w:rsidP="00A21851">
      <w:pPr>
        <w:pStyle w:val="FootnoteText"/>
      </w:pPr>
      <w:r w:rsidRPr="00631C19">
        <w:rPr>
          <w:rStyle w:val="FootnoteReference"/>
        </w:rPr>
        <w:footnoteRef/>
      </w:r>
      <w:r>
        <w:t xml:space="preserve"> </w:t>
      </w:r>
      <w:r>
        <w:rPr>
          <w:noProof/>
        </w:rPr>
        <w:t>Herodotus, sec. 1.54.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E1FABB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544AF7A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E90D90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F260E6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268903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576492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AEC5ED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AC2818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DE40DC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AE62D1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F22148"/>
    <w:multiLevelType w:val="hybridMultilevel"/>
    <w:tmpl w:val="1D406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C2567C"/>
    <w:multiLevelType w:val="hybridMultilevel"/>
    <w:tmpl w:val="E94C90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8"/>
  </w:num>
  <w:num w:numId="6">
    <w:abstractNumId w:val="4"/>
  </w:num>
  <w:num w:numId="7">
    <w:abstractNumId w:val="5"/>
  </w:num>
  <w:num w:numId="8">
    <w:abstractNumId w:val="6"/>
  </w:num>
  <w:num w:numId="9">
    <w:abstractNumId w:val="7"/>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val="bestFit" w:percent="175"/>
  <w:proofState w:spelling="clean" w:grammar="clean"/>
  <w:attachedTemplate r:id="rId1"/>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0007"/>
    <w:rsid w:val="00004F29"/>
    <w:rsid w:val="000403B2"/>
    <w:rsid w:val="000428CD"/>
    <w:rsid w:val="00043D47"/>
    <w:rsid w:val="00066E4C"/>
    <w:rsid w:val="00093E8A"/>
    <w:rsid w:val="000A3C4B"/>
    <w:rsid w:val="000C662F"/>
    <w:rsid w:val="000D6C67"/>
    <w:rsid w:val="000E02F7"/>
    <w:rsid w:val="000E2818"/>
    <w:rsid w:val="000E6D6C"/>
    <w:rsid w:val="000F00FF"/>
    <w:rsid w:val="000F0622"/>
    <w:rsid w:val="000F403A"/>
    <w:rsid w:val="00101013"/>
    <w:rsid w:val="00110007"/>
    <w:rsid w:val="00112DFF"/>
    <w:rsid w:val="00115B94"/>
    <w:rsid w:val="00117E3C"/>
    <w:rsid w:val="00120F40"/>
    <w:rsid w:val="00120FCA"/>
    <w:rsid w:val="00122C52"/>
    <w:rsid w:val="00137D0C"/>
    <w:rsid w:val="001577F3"/>
    <w:rsid w:val="001646C7"/>
    <w:rsid w:val="00171E61"/>
    <w:rsid w:val="001D3A8F"/>
    <w:rsid w:val="001E5776"/>
    <w:rsid w:val="001F078C"/>
    <w:rsid w:val="00201697"/>
    <w:rsid w:val="00223A09"/>
    <w:rsid w:val="00233255"/>
    <w:rsid w:val="00234855"/>
    <w:rsid w:val="00241C13"/>
    <w:rsid w:val="00242A13"/>
    <w:rsid w:val="00265AD2"/>
    <w:rsid w:val="00267830"/>
    <w:rsid w:val="002726B2"/>
    <w:rsid w:val="002940AC"/>
    <w:rsid w:val="002A1167"/>
    <w:rsid w:val="002C4BCF"/>
    <w:rsid w:val="002D532F"/>
    <w:rsid w:val="002D64C6"/>
    <w:rsid w:val="002E2047"/>
    <w:rsid w:val="002E526D"/>
    <w:rsid w:val="002F4189"/>
    <w:rsid w:val="00301C7F"/>
    <w:rsid w:val="003033BE"/>
    <w:rsid w:val="00306DAC"/>
    <w:rsid w:val="00311079"/>
    <w:rsid w:val="003224AE"/>
    <w:rsid w:val="00341AE6"/>
    <w:rsid w:val="00343824"/>
    <w:rsid w:val="00345815"/>
    <w:rsid w:val="00357D10"/>
    <w:rsid w:val="00360068"/>
    <w:rsid w:val="00360A22"/>
    <w:rsid w:val="00364AC6"/>
    <w:rsid w:val="0037274A"/>
    <w:rsid w:val="00375595"/>
    <w:rsid w:val="003877C1"/>
    <w:rsid w:val="003A141F"/>
    <w:rsid w:val="003A154A"/>
    <w:rsid w:val="003A343C"/>
    <w:rsid w:val="003A7307"/>
    <w:rsid w:val="003B68D7"/>
    <w:rsid w:val="003C0DC3"/>
    <w:rsid w:val="003C7D67"/>
    <w:rsid w:val="003E38BD"/>
    <w:rsid w:val="003E502B"/>
    <w:rsid w:val="004036B3"/>
    <w:rsid w:val="00430C4A"/>
    <w:rsid w:val="004328A5"/>
    <w:rsid w:val="00447241"/>
    <w:rsid w:val="00471EFC"/>
    <w:rsid w:val="00472EED"/>
    <w:rsid w:val="0048077E"/>
    <w:rsid w:val="0049213B"/>
    <w:rsid w:val="004A3E19"/>
    <w:rsid w:val="004A4508"/>
    <w:rsid w:val="004C178F"/>
    <w:rsid w:val="004E57CD"/>
    <w:rsid w:val="004E79A3"/>
    <w:rsid w:val="004F4780"/>
    <w:rsid w:val="005027CB"/>
    <w:rsid w:val="005054D8"/>
    <w:rsid w:val="00510938"/>
    <w:rsid w:val="005152ED"/>
    <w:rsid w:val="005227D0"/>
    <w:rsid w:val="00531964"/>
    <w:rsid w:val="005338E4"/>
    <w:rsid w:val="00544B5F"/>
    <w:rsid w:val="00552E80"/>
    <w:rsid w:val="005546F8"/>
    <w:rsid w:val="0059513D"/>
    <w:rsid w:val="005A6C06"/>
    <w:rsid w:val="005A7C81"/>
    <w:rsid w:val="005B5D2F"/>
    <w:rsid w:val="005C5186"/>
    <w:rsid w:val="005D18C8"/>
    <w:rsid w:val="005D7968"/>
    <w:rsid w:val="005E02BC"/>
    <w:rsid w:val="005F2507"/>
    <w:rsid w:val="00601149"/>
    <w:rsid w:val="00605DBD"/>
    <w:rsid w:val="0062198C"/>
    <w:rsid w:val="00621D3A"/>
    <w:rsid w:val="00622FDD"/>
    <w:rsid w:val="00631C19"/>
    <w:rsid w:val="00653DAC"/>
    <w:rsid w:val="00663424"/>
    <w:rsid w:val="00670615"/>
    <w:rsid w:val="00687E8F"/>
    <w:rsid w:val="00691CF3"/>
    <w:rsid w:val="006B79E8"/>
    <w:rsid w:val="006C4074"/>
    <w:rsid w:val="006E5FD0"/>
    <w:rsid w:val="007001C5"/>
    <w:rsid w:val="007003C9"/>
    <w:rsid w:val="00716C84"/>
    <w:rsid w:val="007269A9"/>
    <w:rsid w:val="007529CB"/>
    <w:rsid w:val="007607E6"/>
    <w:rsid w:val="00763DEA"/>
    <w:rsid w:val="0076783E"/>
    <w:rsid w:val="00776C6D"/>
    <w:rsid w:val="007B6F69"/>
    <w:rsid w:val="007F6297"/>
    <w:rsid w:val="00803C61"/>
    <w:rsid w:val="0081004A"/>
    <w:rsid w:val="00815381"/>
    <w:rsid w:val="008559B8"/>
    <w:rsid w:val="00866F7C"/>
    <w:rsid w:val="00874063"/>
    <w:rsid w:val="00881F20"/>
    <w:rsid w:val="008B0B1E"/>
    <w:rsid w:val="008D4046"/>
    <w:rsid w:val="008E6F9A"/>
    <w:rsid w:val="00906FA6"/>
    <w:rsid w:val="00911254"/>
    <w:rsid w:val="009209E4"/>
    <w:rsid w:val="0094193E"/>
    <w:rsid w:val="00941B70"/>
    <w:rsid w:val="00947E29"/>
    <w:rsid w:val="00965471"/>
    <w:rsid w:val="00970A48"/>
    <w:rsid w:val="009801B0"/>
    <w:rsid w:val="009860C2"/>
    <w:rsid w:val="009A3FBE"/>
    <w:rsid w:val="009A6DDD"/>
    <w:rsid w:val="009B082E"/>
    <w:rsid w:val="009B4CA2"/>
    <w:rsid w:val="009B742C"/>
    <w:rsid w:val="009C4D15"/>
    <w:rsid w:val="009D1BF9"/>
    <w:rsid w:val="009D5271"/>
    <w:rsid w:val="009E2C51"/>
    <w:rsid w:val="009F21C4"/>
    <w:rsid w:val="009F3A45"/>
    <w:rsid w:val="00A00A9D"/>
    <w:rsid w:val="00A00F2C"/>
    <w:rsid w:val="00A17604"/>
    <w:rsid w:val="00A21851"/>
    <w:rsid w:val="00A33383"/>
    <w:rsid w:val="00A4080E"/>
    <w:rsid w:val="00A41A6E"/>
    <w:rsid w:val="00A5282A"/>
    <w:rsid w:val="00A77528"/>
    <w:rsid w:val="00A90010"/>
    <w:rsid w:val="00A95158"/>
    <w:rsid w:val="00A95DCF"/>
    <w:rsid w:val="00AA2CFB"/>
    <w:rsid w:val="00AB3C69"/>
    <w:rsid w:val="00AB6D92"/>
    <w:rsid w:val="00AB722F"/>
    <w:rsid w:val="00AC2206"/>
    <w:rsid w:val="00AE181F"/>
    <w:rsid w:val="00AE6CBF"/>
    <w:rsid w:val="00AF06A1"/>
    <w:rsid w:val="00AF2079"/>
    <w:rsid w:val="00B1060D"/>
    <w:rsid w:val="00B10D8F"/>
    <w:rsid w:val="00B145F2"/>
    <w:rsid w:val="00B33BA2"/>
    <w:rsid w:val="00B84583"/>
    <w:rsid w:val="00B86D32"/>
    <w:rsid w:val="00BA5194"/>
    <w:rsid w:val="00BB6E3F"/>
    <w:rsid w:val="00BC718B"/>
    <w:rsid w:val="00BF37DF"/>
    <w:rsid w:val="00C1377D"/>
    <w:rsid w:val="00C13E95"/>
    <w:rsid w:val="00C174C5"/>
    <w:rsid w:val="00C174EE"/>
    <w:rsid w:val="00C44D68"/>
    <w:rsid w:val="00C50F48"/>
    <w:rsid w:val="00CA7479"/>
    <w:rsid w:val="00CC4509"/>
    <w:rsid w:val="00CD692E"/>
    <w:rsid w:val="00CE243C"/>
    <w:rsid w:val="00CE408A"/>
    <w:rsid w:val="00CF66B7"/>
    <w:rsid w:val="00CF680E"/>
    <w:rsid w:val="00D21A98"/>
    <w:rsid w:val="00D22267"/>
    <w:rsid w:val="00D40FBE"/>
    <w:rsid w:val="00D66D00"/>
    <w:rsid w:val="00D97C81"/>
    <w:rsid w:val="00DD2657"/>
    <w:rsid w:val="00DD6138"/>
    <w:rsid w:val="00DE2E71"/>
    <w:rsid w:val="00E06875"/>
    <w:rsid w:val="00E06C53"/>
    <w:rsid w:val="00E225B0"/>
    <w:rsid w:val="00E33444"/>
    <w:rsid w:val="00E4348F"/>
    <w:rsid w:val="00E77FF5"/>
    <w:rsid w:val="00E81425"/>
    <w:rsid w:val="00E85AB3"/>
    <w:rsid w:val="00E90523"/>
    <w:rsid w:val="00EA30C0"/>
    <w:rsid w:val="00EB3E6E"/>
    <w:rsid w:val="00EC4B71"/>
    <w:rsid w:val="00EC728A"/>
    <w:rsid w:val="00ED2459"/>
    <w:rsid w:val="00ED3B44"/>
    <w:rsid w:val="00ED3D84"/>
    <w:rsid w:val="00ED4BE9"/>
    <w:rsid w:val="00ED501A"/>
    <w:rsid w:val="00EE3000"/>
    <w:rsid w:val="00EF1491"/>
    <w:rsid w:val="00EF4B20"/>
    <w:rsid w:val="00EF63D3"/>
    <w:rsid w:val="00F03796"/>
    <w:rsid w:val="00F06CB5"/>
    <w:rsid w:val="00F07621"/>
    <w:rsid w:val="00F11DDB"/>
    <w:rsid w:val="00F17260"/>
    <w:rsid w:val="00F4017E"/>
    <w:rsid w:val="00F4378E"/>
    <w:rsid w:val="00F44EF6"/>
    <w:rsid w:val="00F508E0"/>
    <w:rsid w:val="00F53AE5"/>
    <w:rsid w:val="00F61D73"/>
    <w:rsid w:val="00F6746A"/>
    <w:rsid w:val="00F70076"/>
    <w:rsid w:val="00F73550"/>
    <w:rsid w:val="00F82698"/>
    <w:rsid w:val="00F83A1B"/>
    <w:rsid w:val="00FA5026"/>
    <w:rsid w:val="00FA7D3A"/>
    <w:rsid w:val="00FD21DC"/>
    <w:rsid w:val="00FD43D6"/>
    <w:rsid w:val="00FE6267"/>
    <w:rsid w:val="00FF265D"/>
    <w:rsid w:val="00FF3B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095A3535"/>
  <w15:chartTrackingRefBased/>
  <w15:docId w15:val="{C9333407-2D10-2D45-86AB-09CFE6723D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355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7355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B79E8"/>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355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73550"/>
    <w:rPr>
      <w:rFonts w:asciiTheme="majorHAnsi" w:eastAsiaTheme="majorEastAsia" w:hAnsiTheme="majorHAnsi" w:cstheme="majorBidi"/>
      <w:color w:val="2F5496" w:themeColor="accent1" w:themeShade="BF"/>
      <w:sz w:val="26"/>
      <w:szCs w:val="26"/>
    </w:rPr>
  </w:style>
  <w:style w:type="paragraph" w:customStyle="1" w:styleId="Normal0">
    <w:name w:val="_Normal"/>
    <w:basedOn w:val="Normal"/>
    <w:autoRedefine/>
    <w:qFormat/>
    <w:rsid w:val="00A33383"/>
    <w:rPr>
      <w:rFonts w:ascii="Times New Roman" w:hAnsi="Times New Roman"/>
      <w:sz w:val="22"/>
    </w:rPr>
  </w:style>
  <w:style w:type="paragraph" w:customStyle="1" w:styleId="Body">
    <w:name w:val="_Body"/>
    <w:basedOn w:val="Normal0"/>
    <w:autoRedefine/>
    <w:qFormat/>
    <w:rsid w:val="00CE243C"/>
    <w:pPr>
      <w:ind w:firstLine="720"/>
    </w:pPr>
  </w:style>
  <w:style w:type="paragraph" w:customStyle="1" w:styleId="BodyNoIndent">
    <w:name w:val="_Body_No_Indent"/>
    <w:basedOn w:val="Body"/>
    <w:next w:val="Body"/>
    <w:autoRedefine/>
    <w:qFormat/>
    <w:rsid w:val="00AF2079"/>
    <w:pPr>
      <w:ind w:firstLine="0"/>
    </w:pPr>
  </w:style>
  <w:style w:type="paragraph" w:customStyle="1" w:styleId="Subhead">
    <w:name w:val="_Subhead"/>
    <w:basedOn w:val="Normal0"/>
    <w:next w:val="BodyNoIndent"/>
    <w:autoRedefine/>
    <w:qFormat/>
    <w:rsid w:val="00F4017E"/>
    <w:pPr>
      <w:keepNext/>
      <w:spacing w:before="240"/>
    </w:pPr>
    <w:rPr>
      <w:rFonts w:eastAsia="Times New Roman" w:cs="Times New Roman (Body CS)"/>
      <w:color w:val="000000" w:themeColor="text1"/>
      <w:sz w:val="24"/>
    </w:rPr>
  </w:style>
  <w:style w:type="paragraph" w:customStyle="1" w:styleId="Ideas">
    <w:name w:val="_Ideas"/>
    <w:basedOn w:val="BodyNoIndent"/>
    <w:autoRedefine/>
    <w:qFormat/>
    <w:rsid w:val="00F03796"/>
    <w:rPr>
      <w:rFonts w:cs="Times New Roman (Body CS)"/>
      <w:color w:val="C00000"/>
    </w:rPr>
  </w:style>
  <w:style w:type="character" w:customStyle="1" w:styleId="Publication">
    <w:name w:val="_Publication"/>
    <w:uiPriority w:val="1"/>
    <w:qFormat/>
    <w:rsid w:val="00F03796"/>
    <w:rPr>
      <w:i/>
    </w:rPr>
  </w:style>
  <w:style w:type="paragraph" w:customStyle="1" w:styleId="LongQuote">
    <w:name w:val="_Long_Quote"/>
    <w:basedOn w:val="Body"/>
    <w:next w:val="BodyNoIndent"/>
    <w:autoRedefine/>
    <w:qFormat/>
    <w:rsid w:val="003877C1"/>
    <w:pPr>
      <w:spacing w:before="120" w:after="120"/>
      <w:ind w:left="737" w:firstLine="0"/>
      <w:contextualSpacing/>
    </w:pPr>
    <w:rPr>
      <w:color w:val="000000" w:themeColor="text1" w:themeShade="BF"/>
    </w:rPr>
  </w:style>
  <w:style w:type="paragraph" w:customStyle="1" w:styleId="ToRemove">
    <w:name w:val="_To_Remove"/>
    <w:basedOn w:val="Body"/>
    <w:next w:val="Body"/>
    <w:autoRedefine/>
    <w:qFormat/>
    <w:rsid w:val="005C5186"/>
    <w:pPr>
      <w:spacing w:before="120" w:after="120"/>
    </w:pPr>
    <w:rPr>
      <w:color w:val="FFFF00"/>
    </w:rPr>
  </w:style>
  <w:style w:type="character" w:customStyle="1" w:styleId="Superscript">
    <w:name w:val="_Superscript"/>
    <w:basedOn w:val="DefaultParagraphFont"/>
    <w:uiPriority w:val="1"/>
    <w:qFormat/>
    <w:rsid w:val="00544B5F"/>
    <w:rPr>
      <w:vertAlign w:val="superscript"/>
    </w:rPr>
  </w:style>
  <w:style w:type="paragraph" w:customStyle="1" w:styleId="Reject">
    <w:name w:val="_Reject"/>
    <w:basedOn w:val="Body"/>
    <w:next w:val="Body"/>
    <w:autoRedefine/>
    <w:qFormat/>
    <w:rsid w:val="002726B2"/>
    <w:rPr>
      <w:rFonts w:cs="Times New Roman (Body CS)"/>
      <w:strike/>
      <w:color w:val="C00000"/>
    </w:rPr>
  </w:style>
  <w:style w:type="character" w:customStyle="1" w:styleId="ToRemove0">
    <w:name w:val="_ToRemove"/>
    <w:basedOn w:val="DefaultParagraphFont"/>
    <w:uiPriority w:val="1"/>
    <w:qFormat/>
    <w:rsid w:val="00F82698"/>
    <w:rPr>
      <w:color w:val="833C0B" w:themeColor="accent2" w:themeShade="80"/>
    </w:rPr>
  </w:style>
  <w:style w:type="paragraph" w:customStyle="1" w:styleId="BodyNewMatter">
    <w:name w:val="_Body_New_Matter"/>
    <w:basedOn w:val="BodyNoIndent"/>
    <w:autoRedefine/>
    <w:qFormat/>
    <w:rsid w:val="009B082E"/>
    <w:rPr>
      <w:color w:val="538135" w:themeColor="accent6" w:themeShade="BF"/>
    </w:rPr>
  </w:style>
  <w:style w:type="character" w:customStyle="1" w:styleId="ReConsider">
    <w:name w:val="_ReConsider"/>
    <w:basedOn w:val="ToRemove0"/>
    <w:uiPriority w:val="1"/>
    <w:qFormat/>
    <w:rsid w:val="00066E4C"/>
    <w:rPr>
      <w:color w:val="00B0F0"/>
    </w:rPr>
  </w:style>
  <w:style w:type="paragraph" w:styleId="FootnoteText">
    <w:name w:val="footnote text"/>
    <w:basedOn w:val="Normal"/>
    <w:link w:val="FootnoteTextChar"/>
    <w:uiPriority w:val="99"/>
    <w:semiHidden/>
    <w:unhideWhenUsed/>
    <w:rsid w:val="00AF2079"/>
    <w:rPr>
      <w:sz w:val="20"/>
      <w:szCs w:val="20"/>
    </w:rPr>
  </w:style>
  <w:style w:type="character" w:customStyle="1" w:styleId="FootnoteTextChar">
    <w:name w:val="Footnote Text Char"/>
    <w:basedOn w:val="DefaultParagraphFont"/>
    <w:link w:val="FootnoteText"/>
    <w:uiPriority w:val="99"/>
    <w:semiHidden/>
    <w:rsid w:val="00AF2079"/>
    <w:rPr>
      <w:sz w:val="20"/>
      <w:szCs w:val="20"/>
    </w:rPr>
  </w:style>
  <w:style w:type="character" w:styleId="FootnoteReference">
    <w:name w:val="footnote reference"/>
    <w:basedOn w:val="DefaultParagraphFont"/>
    <w:uiPriority w:val="99"/>
    <w:semiHidden/>
    <w:unhideWhenUsed/>
    <w:rsid w:val="00AF2079"/>
    <w:rPr>
      <w:vertAlign w:val="superscript"/>
    </w:rPr>
  </w:style>
  <w:style w:type="paragraph" w:styleId="Caption">
    <w:name w:val="caption"/>
    <w:basedOn w:val="Normal"/>
    <w:next w:val="Normal"/>
    <w:uiPriority w:val="35"/>
    <w:unhideWhenUsed/>
    <w:qFormat/>
    <w:rsid w:val="00E90523"/>
    <w:pPr>
      <w:spacing w:after="200"/>
    </w:pPr>
    <w:rPr>
      <w:i/>
      <w:iCs/>
      <w:color w:val="44546A" w:themeColor="text2"/>
      <w:sz w:val="18"/>
      <w:szCs w:val="18"/>
    </w:rPr>
  </w:style>
  <w:style w:type="character" w:styleId="Hyperlink">
    <w:name w:val="Hyperlink"/>
    <w:basedOn w:val="DefaultParagraphFont"/>
    <w:uiPriority w:val="99"/>
    <w:unhideWhenUsed/>
    <w:rsid w:val="00E90523"/>
    <w:rPr>
      <w:color w:val="0563C1" w:themeColor="hyperlink"/>
      <w:u w:val="single"/>
    </w:rPr>
  </w:style>
  <w:style w:type="character" w:styleId="UnresolvedMention">
    <w:name w:val="Unresolved Mention"/>
    <w:basedOn w:val="DefaultParagraphFont"/>
    <w:uiPriority w:val="99"/>
    <w:semiHidden/>
    <w:unhideWhenUsed/>
    <w:rsid w:val="00E90523"/>
    <w:rPr>
      <w:color w:val="605E5C"/>
      <w:shd w:val="clear" w:color="auto" w:fill="E1DFDD"/>
    </w:rPr>
  </w:style>
  <w:style w:type="paragraph" w:styleId="Header">
    <w:name w:val="header"/>
    <w:basedOn w:val="Normal"/>
    <w:link w:val="HeaderChar"/>
    <w:uiPriority w:val="99"/>
    <w:unhideWhenUsed/>
    <w:rsid w:val="003033BE"/>
    <w:pPr>
      <w:tabs>
        <w:tab w:val="center" w:pos="4513"/>
        <w:tab w:val="right" w:pos="9026"/>
      </w:tabs>
    </w:pPr>
  </w:style>
  <w:style w:type="character" w:customStyle="1" w:styleId="HeaderChar">
    <w:name w:val="Header Char"/>
    <w:basedOn w:val="DefaultParagraphFont"/>
    <w:link w:val="Header"/>
    <w:uiPriority w:val="99"/>
    <w:rsid w:val="003033BE"/>
  </w:style>
  <w:style w:type="paragraph" w:styleId="Footer">
    <w:name w:val="footer"/>
    <w:basedOn w:val="Normal"/>
    <w:link w:val="FooterChar"/>
    <w:uiPriority w:val="99"/>
    <w:unhideWhenUsed/>
    <w:rsid w:val="003033BE"/>
    <w:pPr>
      <w:tabs>
        <w:tab w:val="center" w:pos="4513"/>
        <w:tab w:val="right" w:pos="9026"/>
      </w:tabs>
    </w:pPr>
  </w:style>
  <w:style w:type="character" w:customStyle="1" w:styleId="FooterChar">
    <w:name w:val="Footer Char"/>
    <w:basedOn w:val="DefaultParagraphFont"/>
    <w:link w:val="Footer"/>
    <w:uiPriority w:val="99"/>
    <w:rsid w:val="003033BE"/>
  </w:style>
  <w:style w:type="paragraph" w:customStyle="1" w:styleId="Proofread">
    <w:name w:val="_Proofread"/>
    <w:basedOn w:val="Body"/>
    <w:next w:val="Body"/>
    <w:autoRedefine/>
    <w:qFormat/>
    <w:rsid w:val="00A33383"/>
    <w:rPr>
      <w:color w:val="806000" w:themeColor="accent4" w:themeShade="80"/>
    </w:rPr>
  </w:style>
  <w:style w:type="character" w:customStyle="1" w:styleId="Heading3Char">
    <w:name w:val="Heading 3 Char"/>
    <w:basedOn w:val="DefaultParagraphFont"/>
    <w:link w:val="Heading3"/>
    <w:uiPriority w:val="9"/>
    <w:semiHidden/>
    <w:rsid w:val="006B79E8"/>
    <w:rPr>
      <w:rFonts w:asciiTheme="majorHAnsi" w:eastAsiaTheme="majorEastAsia" w:hAnsiTheme="majorHAnsi" w:cstheme="majorBidi"/>
      <w:color w:val="1F3763" w:themeColor="accent1" w:themeShade="7F"/>
    </w:rPr>
  </w:style>
  <w:style w:type="paragraph" w:styleId="NormalWeb">
    <w:name w:val="Normal (Web)"/>
    <w:basedOn w:val="Normal"/>
    <w:qFormat/>
    <w:rsid w:val="006B79E8"/>
    <w:rPr>
      <w:rFonts w:ascii="Georgia" w:eastAsia="Times New Roman" w:hAnsi="Georgia" w:cs="Times New Roman"/>
      <w:color w:val="000000"/>
      <w:sz w:val="21"/>
      <w:szCs w:val="21"/>
      <w:lang w:eastAsia="en-GB"/>
    </w:rPr>
  </w:style>
  <w:style w:type="paragraph" w:styleId="Bibliography">
    <w:name w:val="Bibliography"/>
    <w:basedOn w:val="Normal"/>
    <w:next w:val="Normal"/>
    <w:uiPriority w:val="37"/>
    <w:unhideWhenUsed/>
    <w:rsid w:val="00621D3A"/>
    <w:pPr>
      <w:spacing w:after="240"/>
      <w:ind w:left="720" w:hanging="720"/>
    </w:pPr>
  </w:style>
  <w:style w:type="character" w:customStyle="1" w:styleId="Remove">
    <w:name w:val="_Remove"/>
    <w:basedOn w:val="ReConsider"/>
    <w:uiPriority w:val="1"/>
    <w:qFormat/>
    <w:rsid w:val="005A6C06"/>
    <w:rPr>
      <w:color w:val="C00000"/>
    </w:rPr>
  </w:style>
  <w:style w:type="character" w:styleId="EndnoteReference">
    <w:name w:val="endnote reference"/>
    <w:basedOn w:val="DefaultParagraphFont"/>
    <w:uiPriority w:val="99"/>
    <w:semiHidden/>
    <w:unhideWhenUsed/>
    <w:rsid w:val="00ED4BE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36106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vadimzaver/Library/Group%20Containers/UBF8T346G9.Office/User%20Content.localized/Templates.localized/Essay_Template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Essay_Template1.dotx</Template>
  <TotalTime>1</TotalTime>
  <Pages>11</Pages>
  <Words>3548</Words>
  <Characters>20225</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4</cp:revision>
  <cp:lastPrinted>2023-03-20T21:02:00Z</cp:lastPrinted>
  <dcterms:created xsi:type="dcterms:W3CDTF">2023-07-28T13:21:00Z</dcterms:created>
  <dcterms:modified xsi:type="dcterms:W3CDTF">2023-07-28T19:59:00Z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zotero-version="6.0.26"&gt;&lt;session id="N5cmKQFz"/&gt;&lt;style id="http://www.zotero.org/styles/modern-humanities-research-association" hasBibliography="1" bibliographyStyleHasBeenSet="1"/&gt;&lt;prefs&gt;&lt;pref name="fieldType" value="Field"/&gt;&lt;pref </vt:lpwstr>
  </property>
  <property fmtid="{D5CDD505-2E9C-101B-9397-08002B2CF9AE}" pid="3" name="ZOTERO_PREF_2">
    <vt:lpwstr>name="automaticJournalAbbreviations" value="true"/&gt;&lt;pref name="noteType" value="1"/&gt;&lt;/prefs&gt;&lt;/data&gt;</vt:lpwstr>
  </property>
</Properties>
</file>