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758A1" w14:textId="6FEE7AA5" w:rsidR="002A4070" w:rsidRDefault="002A4070" w:rsidP="002A4070">
      <w:pPr>
        <w:spacing w:line="360" w:lineRule="auto"/>
        <w:jc w:val="both"/>
        <w:rPr>
          <w:rFonts w:ascii="Arial" w:hAnsi="Arial" w:cs="Arial"/>
          <w:b/>
          <w:bCs/>
        </w:rPr>
      </w:pPr>
      <w:r>
        <w:rPr>
          <w:noProof/>
        </w:rPr>
        <w:drawing>
          <wp:inline distT="0" distB="0" distL="0" distR="0" wp14:anchorId="2AE3FAD6" wp14:editId="5FAF7FC8">
            <wp:extent cx="3420777" cy="1524000"/>
            <wp:effectExtent l="0" t="0" r="8255" b="0"/>
            <wp:docPr id="786836104" name="Picture 786836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423972" cy="1525423"/>
                    </a:xfrm>
                    <a:prstGeom prst="rect">
                      <a:avLst/>
                    </a:prstGeom>
                  </pic:spPr>
                </pic:pic>
              </a:graphicData>
            </a:graphic>
          </wp:inline>
        </w:drawing>
      </w:r>
    </w:p>
    <w:p w14:paraId="2365958D" w14:textId="77777777" w:rsidR="002A4070" w:rsidRDefault="002A4070" w:rsidP="002A4070">
      <w:pPr>
        <w:spacing w:line="360" w:lineRule="auto"/>
        <w:jc w:val="both"/>
        <w:rPr>
          <w:rFonts w:ascii="Arial" w:hAnsi="Arial" w:cs="Arial"/>
          <w:b/>
          <w:bCs/>
        </w:rPr>
      </w:pPr>
    </w:p>
    <w:p w14:paraId="752A71F7" w14:textId="77777777" w:rsidR="002A4070" w:rsidRDefault="002A4070" w:rsidP="002A4070">
      <w:pPr>
        <w:spacing w:line="360" w:lineRule="auto"/>
        <w:jc w:val="both"/>
        <w:rPr>
          <w:rFonts w:ascii="Arial" w:hAnsi="Arial" w:cs="Arial"/>
          <w:b/>
          <w:bCs/>
        </w:rPr>
      </w:pPr>
    </w:p>
    <w:p w14:paraId="29EF75A0" w14:textId="77777777" w:rsidR="002A4070" w:rsidRPr="001A79D8" w:rsidRDefault="002A4070" w:rsidP="002A4070">
      <w:pPr>
        <w:spacing w:line="360" w:lineRule="auto"/>
        <w:jc w:val="both"/>
        <w:rPr>
          <w:rFonts w:ascii="Arial" w:eastAsia="Arial" w:hAnsi="Arial" w:cs="Arial"/>
          <w:b/>
          <w:bCs/>
        </w:rPr>
      </w:pPr>
      <w:r w:rsidRPr="001A79D8">
        <w:rPr>
          <w:rFonts w:ascii="Arial" w:eastAsia="Arial" w:hAnsi="Arial" w:cs="Arial"/>
          <w:b/>
          <w:bCs/>
        </w:rPr>
        <w:t xml:space="preserve">Name: Eden Goytom </w:t>
      </w:r>
    </w:p>
    <w:p w14:paraId="628047C6" w14:textId="77777777" w:rsidR="002A4070" w:rsidRPr="001A79D8" w:rsidRDefault="002A4070" w:rsidP="002A4070">
      <w:pPr>
        <w:spacing w:line="360" w:lineRule="auto"/>
        <w:jc w:val="both"/>
        <w:rPr>
          <w:rFonts w:ascii="Arial" w:eastAsia="Arial" w:hAnsi="Arial" w:cs="Arial"/>
          <w:b/>
          <w:bCs/>
        </w:rPr>
      </w:pPr>
      <w:r w:rsidRPr="001A79D8">
        <w:rPr>
          <w:rFonts w:ascii="Arial" w:eastAsia="Arial" w:hAnsi="Arial" w:cs="Arial"/>
          <w:b/>
          <w:bCs/>
        </w:rPr>
        <w:t>Student ID: 2417491</w:t>
      </w:r>
    </w:p>
    <w:p w14:paraId="11E4E27E" w14:textId="77777777" w:rsidR="00006BEA" w:rsidRDefault="00006BEA" w:rsidP="00006BEA">
      <w:pPr>
        <w:spacing w:line="360" w:lineRule="auto"/>
        <w:jc w:val="both"/>
        <w:rPr>
          <w:rFonts w:ascii="Arial" w:eastAsia="Arial" w:hAnsi="Arial" w:cs="Arial"/>
          <w:b/>
          <w:bCs/>
        </w:rPr>
      </w:pPr>
      <w:r w:rsidRPr="00006BEA">
        <w:rPr>
          <w:rFonts w:ascii="Arial" w:eastAsia="Arial" w:hAnsi="Arial" w:cs="Arial"/>
          <w:b/>
          <w:bCs/>
        </w:rPr>
        <w:t xml:space="preserve">Module: Psychology in Health and Social Care </w:t>
      </w:r>
    </w:p>
    <w:p w14:paraId="3EF01520" w14:textId="5B5606C3" w:rsidR="00DF3FA1" w:rsidRDefault="00006BEA" w:rsidP="00006BEA">
      <w:pPr>
        <w:spacing w:line="360" w:lineRule="auto"/>
        <w:jc w:val="both"/>
        <w:rPr>
          <w:rFonts w:ascii="Arial" w:eastAsia="Arial" w:hAnsi="Arial" w:cs="Arial"/>
          <w:b/>
          <w:bCs/>
        </w:rPr>
      </w:pPr>
      <w:r w:rsidRPr="001A79D8">
        <w:rPr>
          <w:rFonts w:ascii="Arial" w:eastAsia="Arial" w:hAnsi="Arial" w:cs="Arial"/>
          <w:b/>
          <w:bCs/>
        </w:rPr>
        <w:t xml:space="preserve">Module </w:t>
      </w:r>
      <w:proofErr w:type="gramStart"/>
      <w:r w:rsidRPr="001A79D8">
        <w:rPr>
          <w:rFonts w:ascii="Arial" w:eastAsia="Arial" w:hAnsi="Arial" w:cs="Arial"/>
          <w:b/>
          <w:bCs/>
        </w:rPr>
        <w:t>Code :</w:t>
      </w:r>
      <w:proofErr w:type="gramEnd"/>
      <w:r w:rsidRPr="001A79D8">
        <w:rPr>
          <w:rFonts w:ascii="Arial" w:eastAsia="Arial" w:hAnsi="Arial" w:cs="Arial"/>
          <w:b/>
          <w:bCs/>
        </w:rPr>
        <w:t xml:space="preserve"> </w:t>
      </w:r>
      <w:r w:rsidR="00DF3FA1" w:rsidRPr="00DF3FA1">
        <w:rPr>
          <w:rFonts w:ascii="Arial" w:eastAsia="Arial" w:hAnsi="Arial" w:cs="Arial"/>
          <w:b/>
          <w:bCs/>
        </w:rPr>
        <w:t>LCHS4010</w:t>
      </w:r>
    </w:p>
    <w:p w14:paraId="5231D10D" w14:textId="6E4E7E20" w:rsidR="002A4070" w:rsidRPr="001A79D8" w:rsidRDefault="002A4070" w:rsidP="00626353">
      <w:pPr>
        <w:spacing w:line="360" w:lineRule="auto"/>
        <w:jc w:val="both"/>
        <w:rPr>
          <w:rFonts w:ascii="Arial" w:eastAsia="Arial" w:hAnsi="Arial" w:cs="Arial"/>
          <w:b/>
          <w:bCs/>
        </w:rPr>
      </w:pPr>
      <w:r w:rsidRPr="001A79D8">
        <w:rPr>
          <w:rFonts w:ascii="Arial" w:eastAsia="Arial" w:hAnsi="Arial" w:cs="Arial"/>
          <w:b/>
          <w:bCs/>
        </w:rPr>
        <w:t xml:space="preserve">Lecturer: </w:t>
      </w:r>
      <w:r w:rsidR="00626353" w:rsidRPr="00626353">
        <w:rPr>
          <w:rFonts w:ascii="Arial" w:eastAsia="Arial" w:hAnsi="Arial" w:cs="Arial"/>
          <w:b/>
          <w:bCs/>
          <w:color w:val="242130"/>
        </w:rPr>
        <w:t>Jolly Nwanko</w:t>
      </w:r>
    </w:p>
    <w:p w14:paraId="0BAA3148" w14:textId="77777777" w:rsidR="002A4070" w:rsidRDefault="002A4070" w:rsidP="002A4070">
      <w:pPr>
        <w:spacing w:line="360" w:lineRule="auto"/>
        <w:jc w:val="both"/>
        <w:rPr>
          <w:rFonts w:ascii="Arial" w:hAnsi="Arial" w:cs="Arial"/>
          <w:b/>
          <w:bCs/>
        </w:rPr>
      </w:pPr>
    </w:p>
    <w:p w14:paraId="4D98B40E" w14:textId="77777777" w:rsidR="002A4070" w:rsidRDefault="002A4070" w:rsidP="002A4070">
      <w:pPr>
        <w:spacing w:line="360" w:lineRule="auto"/>
        <w:jc w:val="both"/>
        <w:rPr>
          <w:rFonts w:ascii="Arial" w:hAnsi="Arial" w:cs="Arial"/>
          <w:b/>
          <w:bCs/>
        </w:rPr>
      </w:pPr>
    </w:p>
    <w:p w14:paraId="20DFEAE8" w14:textId="77777777" w:rsidR="002A4070" w:rsidRDefault="002A4070" w:rsidP="002A4070">
      <w:pPr>
        <w:spacing w:line="360" w:lineRule="auto"/>
        <w:jc w:val="both"/>
        <w:rPr>
          <w:rFonts w:ascii="Arial" w:hAnsi="Arial" w:cs="Arial"/>
          <w:b/>
          <w:bCs/>
        </w:rPr>
      </w:pPr>
    </w:p>
    <w:p w14:paraId="3CE7D60C" w14:textId="77777777" w:rsidR="002A4070" w:rsidRDefault="002A4070" w:rsidP="002A4070">
      <w:pPr>
        <w:spacing w:line="360" w:lineRule="auto"/>
        <w:jc w:val="both"/>
        <w:rPr>
          <w:rFonts w:ascii="Arial" w:hAnsi="Arial" w:cs="Arial"/>
          <w:b/>
          <w:bCs/>
        </w:rPr>
      </w:pPr>
    </w:p>
    <w:p w14:paraId="3DABB142" w14:textId="77777777" w:rsidR="002A4070" w:rsidRDefault="002A4070" w:rsidP="002A4070">
      <w:pPr>
        <w:spacing w:line="360" w:lineRule="auto"/>
        <w:jc w:val="both"/>
        <w:rPr>
          <w:rFonts w:ascii="Arial" w:hAnsi="Arial" w:cs="Arial"/>
          <w:b/>
          <w:bCs/>
        </w:rPr>
      </w:pPr>
    </w:p>
    <w:p w14:paraId="0BB06B5D" w14:textId="77777777" w:rsidR="002A4070" w:rsidRDefault="002A4070" w:rsidP="002A4070">
      <w:pPr>
        <w:spacing w:line="360" w:lineRule="auto"/>
        <w:jc w:val="both"/>
        <w:rPr>
          <w:rFonts w:ascii="Arial" w:hAnsi="Arial" w:cs="Arial"/>
          <w:b/>
          <w:bCs/>
        </w:rPr>
      </w:pPr>
    </w:p>
    <w:p w14:paraId="2B89FE38" w14:textId="77777777" w:rsidR="002A4070" w:rsidRDefault="002A4070" w:rsidP="002A4070">
      <w:pPr>
        <w:spacing w:line="360" w:lineRule="auto"/>
        <w:jc w:val="both"/>
        <w:rPr>
          <w:rFonts w:ascii="Arial" w:hAnsi="Arial" w:cs="Arial"/>
          <w:b/>
          <w:bCs/>
        </w:rPr>
      </w:pPr>
    </w:p>
    <w:p w14:paraId="2665C438" w14:textId="77777777" w:rsidR="002A4070" w:rsidRDefault="002A4070" w:rsidP="002A4070">
      <w:pPr>
        <w:spacing w:line="360" w:lineRule="auto"/>
        <w:jc w:val="both"/>
        <w:rPr>
          <w:rFonts w:ascii="Arial" w:hAnsi="Arial" w:cs="Arial"/>
          <w:b/>
          <w:bCs/>
        </w:rPr>
      </w:pPr>
    </w:p>
    <w:p w14:paraId="1B1ED7D2" w14:textId="77777777" w:rsidR="002A4070" w:rsidRDefault="002A4070" w:rsidP="002A4070">
      <w:pPr>
        <w:spacing w:line="360" w:lineRule="auto"/>
        <w:jc w:val="both"/>
        <w:rPr>
          <w:rFonts w:ascii="Arial" w:hAnsi="Arial" w:cs="Arial"/>
          <w:b/>
          <w:bCs/>
        </w:rPr>
      </w:pPr>
    </w:p>
    <w:p w14:paraId="0280D3C2" w14:textId="77777777" w:rsidR="002A4070" w:rsidRDefault="002A4070" w:rsidP="002A4070">
      <w:pPr>
        <w:spacing w:line="360" w:lineRule="auto"/>
        <w:jc w:val="both"/>
        <w:rPr>
          <w:rFonts w:ascii="Arial" w:hAnsi="Arial" w:cs="Arial"/>
          <w:b/>
          <w:bCs/>
        </w:rPr>
      </w:pPr>
    </w:p>
    <w:p w14:paraId="2B18AEDF" w14:textId="77777777" w:rsidR="002A4070" w:rsidRDefault="002A4070" w:rsidP="002A4070">
      <w:pPr>
        <w:spacing w:line="360" w:lineRule="auto"/>
        <w:jc w:val="both"/>
        <w:rPr>
          <w:rFonts w:ascii="Arial" w:hAnsi="Arial" w:cs="Arial"/>
          <w:b/>
          <w:bCs/>
        </w:rPr>
      </w:pPr>
    </w:p>
    <w:p w14:paraId="361C5AB6" w14:textId="77777777" w:rsidR="002A4070" w:rsidRDefault="002A4070" w:rsidP="002A4070">
      <w:pPr>
        <w:spacing w:line="360" w:lineRule="auto"/>
        <w:jc w:val="both"/>
        <w:rPr>
          <w:rFonts w:ascii="Arial" w:hAnsi="Arial" w:cs="Arial"/>
          <w:b/>
          <w:bCs/>
        </w:rPr>
      </w:pPr>
    </w:p>
    <w:p w14:paraId="7AA99CFD" w14:textId="77777777" w:rsidR="002A4070" w:rsidRDefault="002A4070" w:rsidP="002A4070">
      <w:pPr>
        <w:spacing w:line="360" w:lineRule="auto"/>
        <w:jc w:val="both"/>
        <w:rPr>
          <w:rFonts w:ascii="Arial" w:hAnsi="Arial" w:cs="Arial"/>
          <w:b/>
          <w:bCs/>
        </w:rPr>
      </w:pPr>
    </w:p>
    <w:p w14:paraId="749E3F8F" w14:textId="77777777" w:rsidR="002A4070" w:rsidRDefault="002A4070" w:rsidP="002A4070">
      <w:pPr>
        <w:spacing w:line="360" w:lineRule="auto"/>
        <w:jc w:val="both"/>
        <w:rPr>
          <w:rFonts w:ascii="Arial" w:hAnsi="Arial" w:cs="Arial"/>
          <w:b/>
          <w:bCs/>
        </w:rPr>
      </w:pPr>
    </w:p>
    <w:p w14:paraId="54992A46" w14:textId="77777777" w:rsidR="00462297" w:rsidRDefault="00462297" w:rsidP="00780158">
      <w:pPr>
        <w:jc w:val="center"/>
        <w:rPr>
          <w:rFonts w:ascii="Arial" w:hAnsi="Arial" w:cs="Arial"/>
          <w:b/>
          <w:bCs/>
        </w:rPr>
      </w:pPr>
      <w:r w:rsidRPr="00780158">
        <w:rPr>
          <w:rFonts w:ascii="Arial" w:hAnsi="Arial" w:cs="Arial"/>
          <w:b/>
          <w:bCs/>
        </w:rPr>
        <w:lastRenderedPageBreak/>
        <w:t>Developmental Psychology in Health and Social Care for Children and Young People</w:t>
      </w:r>
    </w:p>
    <w:p w14:paraId="33492F2E" w14:textId="77777777" w:rsidR="008C00AB" w:rsidRPr="00780158" w:rsidRDefault="008C00AB" w:rsidP="00780158">
      <w:pPr>
        <w:jc w:val="center"/>
        <w:rPr>
          <w:rFonts w:ascii="Arial" w:hAnsi="Arial" w:cs="Arial"/>
        </w:rPr>
      </w:pPr>
    </w:p>
    <w:p w14:paraId="77B85207" w14:textId="77777777" w:rsidR="00462297" w:rsidRPr="008C00AB" w:rsidRDefault="00462297" w:rsidP="00462297">
      <w:pPr>
        <w:spacing w:line="360" w:lineRule="auto"/>
        <w:jc w:val="both"/>
        <w:rPr>
          <w:rFonts w:ascii="Arial" w:hAnsi="Arial" w:cs="Arial"/>
          <w:b/>
          <w:bCs/>
        </w:rPr>
      </w:pPr>
      <w:r w:rsidRPr="008C00AB">
        <w:rPr>
          <w:rFonts w:ascii="Arial" w:hAnsi="Arial" w:cs="Arial"/>
          <w:b/>
          <w:bCs/>
        </w:rPr>
        <w:t>Introduction</w:t>
      </w:r>
      <w:r w:rsidRPr="008C00AB">
        <w:rPr>
          <w:rFonts w:ascii="Arial" w:hAnsi="Arial" w:cs="Arial"/>
          <w:b/>
          <w:bCs/>
        </w:rPr>
        <w:t xml:space="preserve"> </w:t>
      </w:r>
    </w:p>
    <w:p w14:paraId="486C7F20" w14:textId="1F8CCD9A" w:rsidR="001B3DE6" w:rsidRPr="001B3DE6" w:rsidRDefault="001B3DE6" w:rsidP="00EE3C38">
      <w:pPr>
        <w:spacing w:line="360" w:lineRule="auto"/>
        <w:jc w:val="both"/>
        <w:rPr>
          <w:rFonts w:ascii="Arial" w:hAnsi="Arial" w:cs="Arial"/>
        </w:rPr>
      </w:pPr>
      <w:r w:rsidRPr="001B3DE6">
        <w:rPr>
          <w:rFonts w:ascii="Arial" w:hAnsi="Arial" w:cs="Arial"/>
        </w:rPr>
        <w:t>Developmental psychology is a major field that studies how people grow, change, and develop over the course of their lives. It includes the physical, mental, emotional, social, and behavioural aspects of development. It shows what normal growth looks like at different ages and points out any delays or unusual patterns that may need help (O'Hara and Sutherland, 2013). People who work in healthcare with kids and teens need to know a lot about how kids and teens grow and change. It helps you figure out developmental milestones, when you need help, and how to give each person the help they need. People who know about developmental psychology can give care that is kind, helpful, and appropriate for the person's age. This information can greatly affect a young person's health and future (Department of Health and Social Care, 2020). This booklet should be very helpful for new healthcare workers. It gives a full picture of developmental psychology, with a focus on teens. Teenagers are a good choice because they go through a lot of changes in their bodies, minds, and society. People are both stronger and weaker at this time, and the right support can help them make a smooth transition to adulthood (Smith and Jones, 2019). The booklet starts by talking about the basic ideas of nature and nurture, with a focus on how genetic and environmental factors work together to shape development. After that, it talks about what makes being a teen a special time in life. Then it talks about two important theories of development: Erik Erikson's psychosocial theory and Piaget's cognitive development theory, and how these theories can be used to work with teens (McLeod, 2011; Erikson, 2010). Lastly, these theories are looked at critically to see how they can be used in health and social care settings. Case studies demonstrate how comprehension of theories can enhance practical application. The goal is to teach healthcare workers how to help young people in a way that respects their growth and leads to good results.</w:t>
      </w:r>
    </w:p>
    <w:p w14:paraId="6707D380" w14:textId="6C36D7C1" w:rsidR="002A4070" w:rsidRPr="008A6D81" w:rsidRDefault="00A33D5B" w:rsidP="008A6D81">
      <w:pPr>
        <w:spacing w:line="360" w:lineRule="auto"/>
        <w:jc w:val="both"/>
        <w:rPr>
          <w:rFonts w:ascii="Arial" w:hAnsi="Arial" w:cs="Arial"/>
          <w:b/>
          <w:bCs/>
        </w:rPr>
      </w:pPr>
      <w:r w:rsidRPr="008A6D81">
        <w:rPr>
          <w:rFonts w:ascii="Arial" w:hAnsi="Arial" w:cs="Arial"/>
          <w:b/>
          <w:bCs/>
        </w:rPr>
        <w:t>The Interplay of Nature and Nurture in Development</w:t>
      </w:r>
    </w:p>
    <w:p w14:paraId="266095EE" w14:textId="77777777" w:rsidR="00717ED1" w:rsidRPr="008A6D81" w:rsidRDefault="006D6256" w:rsidP="008A6D81">
      <w:pPr>
        <w:spacing w:line="360" w:lineRule="auto"/>
        <w:jc w:val="both"/>
        <w:rPr>
          <w:rFonts w:ascii="Arial" w:hAnsi="Arial" w:cs="Arial"/>
        </w:rPr>
      </w:pPr>
      <w:r w:rsidRPr="006D6256">
        <w:rPr>
          <w:rFonts w:ascii="Arial" w:hAnsi="Arial" w:cs="Arial"/>
        </w:rPr>
        <w:t xml:space="preserve">You need to know more about how nature and nurture work together to understand how people grow and change. Brown and Williams (2021) say these are two of the most important things that define us. </w:t>
      </w:r>
    </w:p>
    <w:p w14:paraId="00B8C3CE" w14:textId="77777777" w:rsidR="00717ED1" w:rsidRPr="008A6D81" w:rsidRDefault="00717ED1" w:rsidP="008A6D81">
      <w:pPr>
        <w:spacing w:line="360" w:lineRule="auto"/>
        <w:jc w:val="both"/>
        <w:rPr>
          <w:rFonts w:ascii="Arial" w:hAnsi="Arial" w:cs="Arial"/>
        </w:rPr>
      </w:pPr>
      <w:r w:rsidRPr="008A6D81">
        <w:rPr>
          <w:rFonts w:ascii="Arial" w:hAnsi="Arial" w:cs="Arial"/>
          <w:b/>
          <w:bCs/>
        </w:rPr>
        <w:t>Biological (Nature) Factors</w:t>
      </w:r>
      <w:r w:rsidRPr="008A6D81">
        <w:rPr>
          <w:rFonts w:ascii="Arial" w:hAnsi="Arial" w:cs="Arial"/>
        </w:rPr>
        <w:t xml:space="preserve"> </w:t>
      </w:r>
    </w:p>
    <w:p w14:paraId="25008E20" w14:textId="4AE2FAB5" w:rsidR="006D6256" w:rsidRPr="008A6D81" w:rsidRDefault="006D6256" w:rsidP="008A6D81">
      <w:pPr>
        <w:spacing w:line="360" w:lineRule="auto"/>
        <w:jc w:val="both"/>
        <w:rPr>
          <w:rFonts w:ascii="Arial" w:hAnsi="Arial" w:cs="Arial"/>
        </w:rPr>
      </w:pPr>
      <w:r w:rsidRPr="006D6256">
        <w:rPr>
          <w:rFonts w:ascii="Arial" w:hAnsi="Arial" w:cs="Arial"/>
        </w:rPr>
        <w:t xml:space="preserve">"Nature" refers to the biological and genetic elements that transmit from one generation to the next, influencing the growth and transformation of individuals. These factors encompass inherited genes from progenitors, cerebral architecture and functionality, hormonal </w:t>
      </w:r>
      <w:r w:rsidRPr="006D6256">
        <w:rPr>
          <w:rFonts w:ascii="Arial" w:hAnsi="Arial" w:cs="Arial"/>
        </w:rPr>
        <w:lastRenderedPageBreak/>
        <w:t>concentrations, and overall well-being. Genetic predispositions can affect intelligence, temperament, mental health problems, and physical health problems (O'Hara and Sutherland, 2013). Biological changes are very obvious during the teenage years, such as the start of puberty, which changes hormones that affect mood, behaviour, and growth. The genes of each person determine when they go through puberty. These changes can change how they feel about themselves and how they get along with other people. For example, growing up too fast or too slowly can change how you feel about your body, your friends, and your mental health (Brown and Williams, 2021).</w:t>
      </w:r>
    </w:p>
    <w:p w14:paraId="62901AD5" w14:textId="09999C94" w:rsidR="00DF0B72" w:rsidRPr="008A6D81" w:rsidRDefault="00095CE0" w:rsidP="008A6D81">
      <w:pPr>
        <w:spacing w:line="360" w:lineRule="auto"/>
        <w:jc w:val="both"/>
        <w:rPr>
          <w:rFonts w:ascii="Arial" w:hAnsi="Arial" w:cs="Arial"/>
          <w:b/>
          <w:bCs/>
        </w:rPr>
      </w:pPr>
      <w:r w:rsidRPr="008A6D81">
        <w:rPr>
          <w:rFonts w:ascii="Arial" w:hAnsi="Arial" w:cs="Arial"/>
          <w:b/>
          <w:bCs/>
        </w:rPr>
        <w:t>Environmental (Nurture) Factors</w:t>
      </w:r>
    </w:p>
    <w:p w14:paraId="70F9442F" w14:textId="718F8F17" w:rsidR="003B17AE" w:rsidRPr="008A6D81" w:rsidRDefault="003952DA" w:rsidP="008A6D81">
      <w:pPr>
        <w:spacing w:line="360" w:lineRule="auto"/>
        <w:jc w:val="both"/>
        <w:rPr>
          <w:rFonts w:ascii="Arial" w:hAnsi="Arial" w:cs="Arial"/>
        </w:rPr>
      </w:pPr>
      <w:r w:rsidRPr="008A6D81">
        <w:rPr>
          <w:rFonts w:ascii="Arial" w:hAnsi="Arial" w:cs="Arial"/>
        </w:rPr>
        <w:t>“</w:t>
      </w:r>
      <w:r w:rsidR="003B17AE" w:rsidRPr="008A6D81">
        <w:rPr>
          <w:rFonts w:ascii="Arial" w:hAnsi="Arial" w:cs="Arial"/>
        </w:rPr>
        <w:t>Nurture" means everything outside that affects growth. Some of these are family life, friends, education, cultural background, and life experiences. The quality of care, exposure to stress or trauma, access to education, and community resources are all very important (Department of Health and Social Care, 2020).</w:t>
      </w:r>
    </w:p>
    <w:p w14:paraId="1AF8B9EC" w14:textId="25B9B756" w:rsidR="00095CE0" w:rsidRPr="006D6256" w:rsidRDefault="003B17AE" w:rsidP="008A6D81">
      <w:pPr>
        <w:spacing w:line="360" w:lineRule="auto"/>
        <w:jc w:val="both"/>
        <w:rPr>
          <w:rFonts w:ascii="Arial" w:hAnsi="Arial" w:cs="Arial"/>
        </w:rPr>
      </w:pPr>
      <w:r w:rsidRPr="008A6D81">
        <w:rPr>
          <w:rFonts w:ascii="Arial" w:hAnsi="Arial" w:cs="Arial"/>
        </w:rPr>
        <w:t>For example, a family that is supportive helps kids get stronger emotionally and learn how to get along with others, but neglect or abuse can make them have emotional problems and slow their growth. Not having enough money or being poor can make it harder to go to school, get medical care, and live in safe places. This can affect how well a child develops (Smith and Jones, 2019).</w:t>
      </w:r>
    </w:p>
    <w:p w14:paraId="321C83E2" w14:textId="4543E69D" w:rsidR="00A33D5B" w:rsidRPr="008A6D81" w:rsidRDefault="00DD6EDD" w:rsidP="008A6D81">
      <w:pPr>
        <w:spacing w:line="360" w:lineRule="auto"/>
        <w:jc w:val="both"/>
        <w:rPr>
          <w:rFonts w:ascii="Arial" w:hAnsi="Arial" w:cs="Arial"/>
          <w:b/>
          <w:bCs/>
        </w:rPr>
      </w:pPr>
      <w:r w:rsidRPr="008A6D81">
        <w:rPr>
          <w:rFonts w:ascii="Arial" w:hAnsi="Arial" w:cs="Arial"/>
          <w:b/>
          <w:bCs/>
        </w:rPr>
        <w:t>The Dynamic Interaction</w:t>
      </w:r>
    </w:p>
    <w:p w14:paraId="076C5FC7" w14:textId="77777777" w:rsidR="00277B7F" w:rsidRPr="008A6D81" w:rsidRDefault="00277B7F" w:rsidP="008A6D81">
      <w:pPr>
        <w:spacing w:line="360" w:lineRule="auto"/>
        <w:jc w:val="both"/>
        <w:rPr>
          <w:rFonts w:ascii="Arial" w:hAnsi="Arial" w:cs="Arial"/>
        </w:rPr>
      </w:pPr>
      <w:r w:rsidRPr="008A6D81">
        <w:rPr>
          <w:rFonts w:ascii="Arial" w:hAnsi="Arial" w:cs="Arial"/>
        </w:rPr>
        <w:t>The relationship between nature and nurture is intricate and perpetual. The genetic predispositions of adolescents may exhibit variation depending on their surroundings. A genetically inclined individual may encounter intensified anxiety in stressful circumstances. A nurturing environment characterised by solid relationships and effective stress management strategies can mitigate these tendencies (McLeod, 2011).</w:t>
      </w:r>
    </w:p>
    <w:p w14:paraId="63B51539" w14:textId="63A2FA61" w:rsidR="00DD6EDD" w:rsidRPr="008A6D81" w:rsidRDefault="00277B7F" w:rsidP="008A6D81">
      <w:pPr>
        <w:spacing w:line="360" w:lineRule="auto"/>
        <w:jc w:val="both"/>
        <w:rPr>
          <w:rFonts w:ascii="Arial" w:hAnsi="Arial" w:cs="Arial"/>
        </w:rPr>
      </w:pPr>
      <w:r w:rsidRPr="008A6D81">
        <w:rPr>
          <w:rFonts w:ascii="Arial" w:hAnsi="Arial" w:cs="Arial"/>
        </w:rPr>
        <w:t>Research indicates that biology and the environment influence growth not just independently but also through their continuous interplay. A genetically predisposed teenager may maintain resilience in a stable and supportive environment that provides emotional support (Brown and Williams, 2021).</w:t>
      </w:r>
    </w:p>
    <w:p w14:paraId="1BF42609" w14:textId="3C8A8173" w:rsidR="00277B7F" w:rsidRPr="008A6D81" w:rsidRDefault="00305F74" w:rsidP="008A6D81">
      <w:pPr>
        <w:spacing w:line="360" w:lineRule="auto"/>
        <w:jc w:val="both"/>
        <w:rPr>
          <w:rFonts w:ascii="Arial" w:hAnsi="Arial" w:cs="Arial"/>
          <w:b/>
          <w:bCs/>
        </w:rPr>
      </w:pPr>
      <w:r w:rsidRPr="008A6D81">
        <w:rPr>
          <w:rFonts w:ascii="Arial" w:hAnsi="Arial" w:cs="Arial"/>
          <w:b/>
          <w:bCs/>
        </w:rPr>
        <w:t>Practical Implications for Healthcare Professionals</w:t>
      </w:r>
    </w:p>
    <w:p w14:paraId="38B6C8A5" w14:textId="77777777" w:rsidR="00BE6E22" w:rsidRPr="008A6D81" w:rsidRDefault="00BE6E22" w:rsidP="008A6D81">
      <w:pPr>
        <w:spacing w:line="360" w:lineRule="auto"/>
        <w:jc w:val="both"/>
        <w:rPr>
          <w:rFonts w:ascii="Arial" w:hAnsi="Arial" w:cs="Arial"/>
        </w:rPr>
      </w:pPr>
      <w:r w:rsidRPr="008A6D81">
        <w:rPr>
          <w:rFonts w:ascii="Arial" w:hAnsi="Arial" w:cs="Arial"/>
        </w:rPr>
        <w:t xml:space="preserve">When evaluating and aiding development, healthcare professionals must take into account both biological and environmental factors. For instance, delays in speech or motor skills may be associated with genetic factors or environmental deprivation. Understanding these factors makes it possible to create personalised interventions, like therapy, family support, or changes </w:t>
      </w:r>
      <w:r w:rsidRPr="008A6D81">
        <w:rPr>
          <w:rFonts w:ascii="Arial" w:hAnsi="Arial" w:cs="Arial"/>
        </w:rPr>
        <w:lastRenderedPageBreak/>
        <w:t>to the environment, that help people grow in the best way possible (O'Hara and Sutherland, 2013).</w:t>
      </w:r>
    </w:p>
    <w:p w14:paraId="751E09B7" w14:textId="573C38C8" w:rsidR="00305F74" w:rsidRPr="008A6D81" w:rsidRDefault="00BE6E22" w:rsidP="008A6D81">
      <w:pPr>
        <w:spacing w:line="360" w:lineRule="auto"/>
        <w:jc w:val="both"/>
        <w:rPr>
          <w:rFonts w:ascii="Arial" w:hAnsi="Arial" w:cs="Arial"/>
        </w:rPr>
      </w:pPr>
      <w:r w:rsidRPr="008A6D81">
        <w:rPr>
          <w:rFonts w:ascii="Arial" w:hAnsi="Arial" w:cs="Arial"/>
        </w:rPr>
        <w:t>In mental health contexts, recognising that biological vulnerabilities may be intensified or mitigated by environmental factors informs comprehensive care strategies. This viewpoint promotes early intervention and comprehensive support that encompasses biological, psychological, and social dimensions (Department of Health and Social Care, 2020).</w:t>
      </w:r>
    </w:p>
    <w:p w14:paraId="2F95CA8B" w14:textId="77777777" w:rsidR="00EA449F" w:rsidRPr="008A6D81" w:rsidRDefault="00EA449F" w:rsidP="008A6D81">
      <w:pPr>
        <w:spacing w:line="360" w:lineRule="auto"/>
        <w:rPr>
          <w:rFonts w:ascii="Arial" w:hAnsi="Arial" w:cs="Arial"/>
        </w:rPr>
      </w:pPr>
      <w:r w:rsidRPr="008A6D81">
        <w:rPr>
          <w:rFonts w:ascii="Arial" w:hAnsi="Arial" w:cs="Arial"/>
          <w:b/>
          <w:bCs/>
        </w:rPr>
        <w:t>Focus on Adolescence: A Critical Life Stage</w:t>
      </w:r>
      <w:r w:rsidRPr="008A6D81">
        <w:rPr>
          <w:rFonts w:ascii="Arial" w:hAnsi="Arial" w:cs="Arial"/>
        </w:rPr>
        <w:br/>
        <w:t>Adolescence is a period of rapid transformation, typically spanning from ages 10 to 19. It is characterized by significant physical, cognitive, emotional, and social changes, marking the transition from childhood to adulthood (Smith and Jones, 2019).</w:t>
      </w:r>
    </w:p>
    <w:p w14:paraId="2088058C" w14:textId="37011867" w:rsidR="00EA449F" w:rsidRPr="008A6D81" w:rsidRDefault="00EA449F" w:rsidP="008A6D81">
      <w:pPr>
        <w:spacing w:line="360" w:lineRule="auto"/>
        <w:rPr>
          <w:rFonts w:ascii="Arial" w:hAnsi="Arial" w:cs="Arial"/>
        </w:rPr>
      </w:pPr>
      <w:r w:rsidRPr="008A6D81">
        <w:rPr>
          <w:rFonts w:ascii="Arial" w:hAnsi="Arial" w:cs="Arial"/>
          <w:b/>
          <w:bCs/>
        </w:rPr>
        <w:t>Physical Development</w:t>
      </w:r>
      <w:r w:rsidRPr="008A6D81">
        <w:rPr>
          <w:rFonts w:ascii="Arial" w:hAnsi="Arial" w:cs="Arial"/>
        </w:rPr>
        <w:br/>
        <w:t xml:space="preserve">Puberty initiates a cascade of hormonal changes, leading to physical growth, secondary sexual characteristics, and increased independence of bodily functions. These changes can influence self-image, social interactions, and </w:t>
      </w:r>
      <w:r w:rsidR="008A6D81" w:rsidRPr="008A6D81">
        <w:rPr>
          <w:rFonts w:ascii="Arial" w:hAnsi="Arial" w:cs="Arial"/>
        </w:rPr>
        <w:t>behaviour</w:t>
      </w:r>
      <w:r w:rsidRPr="008A6D81">
        <w:rPr>
          <w:rFonts w:ascii="Arial" w:hAnsi="Arial" w:cs="Arial"/>
        </w:rPr>
        <w:t xml:space="preserve"> (Brown and Williams, 2021).</w:t>
      </w:r>
    </w:p>
    <w:p w14:paraId="1D49978A" w14:textId="420688E0" w:rsidR="00EA449F" w:rsidRPr="008A6D81" w:rsidRDefault="00EA449F" w:rsidP="008A6D81">
      <w:pPr>
        <w:spacing w:line="360" w:lineRule="auto"/>
        <w:rPr>
          <w:rFonts w:ascii="Arial" w:hAnsi="Arial" w:cs="Arial"/>
        </w:rPr>
      </w:pPr>
      <w:r w:rsidRPr="008A6D81">
        <w:rPr>
          <w:rFonts w:ascii="Arial" w:hAnsi="Arial" w:cs="Arial"/>
          <w:b/>
          <w:bCs/>
        </w:rPr>
        <w:t>Cognitive</w:t>
      </w:r>
      <w:r w:rsidR="008A6D81">
        <w:rPr>
          <w:rFonts w:ascii="Arial" w:hAnsi="Arial" w:cs="Arial"/>
          <w:b/>
          <w:bCs/>
        </w:rPr>
        <w:t xml:space="preserve"> </w:t>
      </w:r>
      <w:r w:rsidRPr="008A6D81">
        <w:rPr>
          <w:rFonts w:ascii="Arial" w:hAnsi="Arial" w:cs="Arial"/>
          <w:b/>
          <w:bCs/>
        </w:rPr>
        <w:t>Development</w:t>
      </w:r>
      <w:r w:rsidRPr="008A6D81">
        <w:rPr>
          <w:rFonts w:ascii="Arial" w:hAnsi="Arial" w:cs="Arial"/>
        </w:rPr>
        <w:br/>
        <w:t xml:space="preserve">During adolescence, the brain undergoes significant </w:t>
      </w:r>
      <w:r w:rsidR="008A6D81" w:rsidRPr="008A6D81">
        <w:rPr>
          <w:rFonts w:ascii="Arial" w:hAnsi="Arial" w:cs="Arial"/>
        </w:rPr>
        <w:t>remodelling</w:t>
      </w:r>
      <w:r w:rsidRPr="008A6D81">
        <w:rPr>
          <w:rFonts w:ascii="Arial" w:hAnsi="Arial" w:cs="Arial"/>
        </w:rPr>
        <w:t>, especially in the prefrontal cortex</w:t>
      </w:r>
      <w:r w:rsidR="008A6D81">
        <w:rPr>
          <w:rFonts w:ascii="Arial" w:hAnsi="Arial" w:cs="Arial"/>
        </w:rPr>
        <w:t xml:space="preserve"> </w:t>
      </w:r>
      <w:r w:rsidRPr="008A6D81">
        <w:rPr>
          <w:rFonts w:ascii="Arial" w:hAnsi="Arial" w:cs="Arial"/>
        </w:rPr>
        <w:t xml:space="preserve">the area responsible for decision-making, impulse control, and planning. This development supports higher-order thinking, abstract reasoning, and moral judgment but also contributes to risk-taking </w:t>
      </w:r>
      <w:r w:rsidR="008A6D81" w:rsidRPr="008A6D81">
        <w:rPr>
          <w:rFonts w:ascii="Arial" w:hAnsi="Arial" w:cs="Arial"/>
        </w:rPr>
        <w:t>behaviours</w:t>
      </w:r>
      <w:r w:rsidRPr="008A6D81">
        <w:rPr>
          <w:rFonts w:ascii="Arial" w:hAnsi="Arial" w:cs="Arial"/>
        </w:rPr>
        <w:t xml:space="preserve"> and emotional volatility (McLeod, 2011).</w:t>
      </w:r>
    </w:p>
    <w:p w14:paraId="732333DD" w14:textId="77777777" w:rsidR="008A6D81" w:rsidRDefault="00EA449F" w:rsidP="008A6D81">
      <w:pPr>
        <w:spacing w:line="360" w:lineRule="auto"/>
        <w:jc w:val="both"/>
        <w:rPr>
          <w:rFonts w:ascii="Arial" w:hAnsi="Arial" w:cs="Arial"/>
          <w:b/>
          <w:bCs/>
        </w:rPr>
      </w:pPr>
      <w:r w:rsidRPr="008A6D81">
        <w:rPr>
          <w:rFonts w:ascii="Arial" w:hAnsi="Arial" w:cs="Arial"/>
          <w:b/>
          <w:bCs/>
        </w:rPr>
        <w:t>Emotional and Social Development</w:t>
      </w:r>
    </w:p>
    <w:p w14:paraId="2B474E25" w14:textId="17D8CC52" w:rsidR="00EA449F" w:rsidRPr="008A6D81" w:rsidRDefault="00EA449F" w:rsidP="008A6D81">
      <w:pPr>
        <w:spacing w:line="360" w:lineRule="auto"/>
        <w:jc w:val="both"/>
        <w:rPr>
          <w:rFonts w:ascii="Arial" w:hAnsi="Arial" w:cs="Arial"/>
        </w:rPr>
      </w:pPr>
      <w:r w:rsidRPr="008A6D81">
        <w:rPr>
          <w:rFonts w:ascii="Arial" w:hAnsi="Arial" w:cs="Arial"/>
        </w:rPr>
        <w:br/>
        <w:t xml:space="preserve">Adolescents develop a greater capacity for self-reflection, identity exploration, and autonomy. Peer relationships become central to their social world, often influencing </w:t>
      </w:r>
      <w:r w:rsidR="008A6D81" w:rsidRPr="008A6D81">
        <w:rPr>
          <w:rFonts w:ascii="Arial" w:hAnsi="Arial" w:cs="Arial"/>
        </w:rPr>
        <w:t>behaviours</w:t>
      </w:r>
      <w:r w:rsidRPr="008A6D81">
        <w:rPr>
          <w:rFonts w:ascii="Arial" w:hAnsi="Arial" w:cs="Arial"/>
        </w:rPr>
        <w:t xml:space="preserve"> and attitudes. They may experiment with different roles and identities, seeking acceptance and understanding (Smith and Jones, 2019).</w:t>
      </w:r>
    </w:p>
    <w:p w14:paraId="3F6B6E86" w14:textId="77777777" w:rsidR="008A6D81" w:rsidRDefault="00EA449F" w:rsidP="008A6D81">
      <w:pPr>
        <w:spacing w:line="360" w:lineRule="auto"/>
        <w:jc w:val="both"/>
        <w:rPr>
          <w:rFonts w:ascii="Arial" w:hAnsi="Arial" w:cs="Arial"/>
          <w:b/>
          <w:bCs/>
        </w:rPr>
      </w:pPr>
      <w:r w:rsidRPr="008A6D81">
        <w:rPr>
          <w:rFonts w:ascii="Arial" w:hAnsi="Arial" w:cs="Arial"/>
          <w:b/>
          <w:bCs/>
        </w:rPr>
        <w:t>Challenges and Opportunities</w:t>
      </w:r>
    </w:p>
    <w:p w14:paraId="698DA014" w14:textId="08F75D1A" w:rsidR="00EA449F" w:rsidRPr="008A6D81" w:rsidRDefault="00EA449F" w:rsidP="008A6D81">
      <w:pPr>
        <w:spacing w:line="360" w:lineRule="auto"/>
        <w:jc w:val="both"/>
        <w:rPr>
          <w:rFonts w:ascii="Arial" w:hAnsi="Arial" w:cs="Arial"/>
        </w:rPr>
      </w:pPr>
      <w:r w:rsidRPr="008A6D81">
        <w:rPr>
          <w:rFonts w:ascii="Arial" w:hAnsi="Arial" w:cs="Arial"/>
        </w:rPr>
        <w:br/>
        <w:t xml:space="preserve">While adolescence offers opportunities for growth, it also presents challenges such as mental health issues, substance misuse, risky </w:t>
      </w:r>
      <w:r w:rsidR="008A6D81" w:rsidRPr="008A6D81">
        <w:rPr>
          <w:rFonts w:ascii="Arial" w:hAnsi="Arial" w:cs="Arial"/>
        </w:rPr>
        <w:t>behaviours</w:t>
      </w:r>
      <w:r w:rsidRPr="008A6D81">
        <w:rPr>
          <w:rFonts w:ascii="Arial" w:hAnsi="Arial" w:cs="Arial"/>
        </w:rPr>
        <w:t>, and social pressures. Healthcare professionals working with this population need to be sensitive to these complexities, promoting resilience and healthy development (Department of Health and Social Care, 2020).</w:t>
      </w:r>
    </w:p>
    <w:p w14:paraId="3CFA7293" w14:textId="77777777" w:rsidR="008A6D81" w:rsidRDefault="008A6D81" w:rsidP="008A6D81">
      <w:pPr>
        <w:spacing w:line="360" w:lineRule="auto"/>
        <w:jc w:val="both"/>
        <w:rPr>
          <w:rFonts w:ascii="Arial" w:hAnsi="Arial" w:cs="Arial"/>
          <w:b/>
          <w:bCs/>
        </w:rPr>
      </w:pPr>
    </w:p>
    <w:p w14:paraId="73830E16" w14:textId="05C04A99" w:rsidR="008A6D81" w:rsidRDefault="00EA449F" w:rsidP="008A6D81">
      <w:pPr>
        <w:spacing w:line="360" w:lineRule="auto"/>
        <w:jc w:val="both"/>
        <w:rPr>
          <w:rFonts w:ascii="Arial" w:hAnsi="Arial" w:cs="Arial"/>
          <w:b/>
          <w:bCs/>
        </w:rPr>
      </w:pPr>
      <w:r w:rsidRPr="008A6D81">
        <w:rPr>
          <w:rFonts w:ascii="Arial" w:hAnsi="Arial" w:cs="Arial"/>
          <w:b/>
          <w:bCs/>
        </w:rPr>
        <w:lastRenderedPageBreak/>
        <w:t>The Role of Support</w:t>
      </w:r>
    </w:p>
    <w:p w14:paraId="794319C5" w14:textId="14BB60F3" w:rsidR="00EA449F" w:rsidRPr="008A6D81" w:rsidRDefault="00EA449F" w:rsidP="008A6D81">
      <w:pPr>
        <w:spacing w:line="360" w:lineRule="auto"/>
        <w:jc w:val="both"/>
        <w:rPr>
          <w:rFonts w:ascii="Arial" w:hAnsi="Arial" w:cs="Arial"/>
        </w:rPr>
      </w:pPr>
      <w:r w:rsidRPr="008A6D81">
        <w:rPr>
          <w:rFonts w:ascii="Arial" w:hAnsi="Arial" w:cs="Arial"/>
        </w:rPr>
        <w:br/>
        <w:t>Supporting adolescents involves recognizing their developmental needs, providing age-appropriate information, fostering positive relationships, and promoting autonomy within safe boundaries. Understanding the physical, cognitive, and emotional changes they experience allows healthcare providers to tailor interventions effectively (Brown and Williams, 2021).</w:t>
      </w:r>
    </w:p>
    <w:p w14:paraId="5D2AA039" w14:textId="77777777" w:rsidR="00BC49B5" w:rsidRPr="00BC49B5" w:rsidRDefault="00BC49B5" w:rsidP="00380A1B">
      <w:pPr>
        <w:spacing w:line="360" w:lineRule="auto"/>
        <w:jc w:val="both"/>
        <w:rPr>
          <w:rFonts w:ascii="Arial" w:hAnsi="Arial" w:cs="Arial"/>
        </w:rPr>
      </w:pPr>
      <w:r w:rsidRPr="00BC49B5">
        <w:rPr>
          <w:rFonts w:ascii="Arial" w:hAnsi="Arial" w:cs="Arial"/>
          <w:b/>
          <w:bCs/>
        </w:rPr>
        <w:t>Theories of Development in Adolescence</w:t>
      </w:r>
    </w:p>
    <w:p w14:paraId="46733D87" w14:textId="4E0C3364" w:rsidR="00B53EC3" w:rsidRPr="00B53EC3" w:rsidRDefault="00BC49B5" w:rsidP="00B53EC3">
      <w:pPr>
        <w:pStyle w:val="ListParagraph"/>
        <w:numPr>
          <w:ilvl w:val="0"/>
          <w:numId w:val="4"/>
        </w:numPr>
        <w:spacing w:line="360" w:lineRule="auto"/>
        <w:jc w:val="both"/>
        <w:rPr>
          <w:rFonts w:ascii="Arial" w:hAnsi="Arial" w:cs="Arial"/>
        </w:rPr>
      </w:pPr>
      <w:r w:rsidRPr="00B53EC3">
        <w:rPr>
          <w:rFonts w:ascii="Arial" w:hAnsi="Arial" w:cs="Arial"/>
          <w:b/>
          <w:bCs/>
        </w:rPr>
        <w:t>Erik Erikson’s Psychosocial Development Theory</w:t>
      </w:r>
    </w:p>
    <w:p w14:paraId="47519BD9" w14:textId="58A82A7F" w:rsidR="00BC49B5" w:rsidRPr="00B53EC3" w:rsidRDefault="00BC49B5" w:rsidP="00B53EC3">
      <w:pPr>
        <w:spacing w:line="360" w:lineRule="auto"/>
        <w:jc w:val="both"/>
        <w:rPr>
          <w:rFonts w:ascii="Arial" w:hAnsi="Arial" w:cs="Arial"/>
        </w:rPr>
      </w:pPr>
      <w:r w:rsidRPr="00B53EC3">
        <w:rPr>
          <w:rFonts w:ascii="Arial" w:hAnsi="Arial" w:cs="Arial"/>
        </w:rPr>
        <w:br/>
        <w:t>Erik Erikson’s psychosocial theory describes development as a series of psychosocial crises that individuals resolve at different stages of life. Each stage involves a central conflict that influences personality development (Erikson, 2010).</w:t>
      </w:r>
    </w:p>
    <w:p w14:paraId="20D4B850" w14:textId="3DE8CB69" w:rsidR="00BC49B5" w:rsidRPr="00BC49B5" w:rsidRDefault="00BC49B5" w:rsidP="00380A1B">
      <w:pPr>
        <w:spacing w:line="360" w:lineRule="auto"/>
        <w:jc w:val="both"/>
        <w:rPr>
          <w:rFonts w:ascii="Arial" w:hAnsi="Arial" w:cs="Arial"/>
        </w:rPr>
      </w:pPr>
      <w:r w:rsidRPr="00BC49B5">
        <w:rPr>
          <w:rFonts w:ascii="Arial" w:hAnsi="Arial" w:cs="Arial"/>
        </w:rPr>
        <w:t xml:space="preserve">Adolescence </w:t>
      </w:r>
      <w:r w:rsidRPr="00BC49B5">
        <w:rPr>
          <w:rFonts w:ascii="Arial" w:hAnsi="Arial" w:cs="Arial"/>
          <w:i/>
          <w:iCs/>
        </w:rPr>
        <w:t>Identity vs. Role Confusion</w:t>
      </w:r>
      <w:r w:rsidRPr="00BC49B5">
        <w:rPr>
          <w:rFonts w:ascii="Arial" w:hAnsi="Arial" w:cs="Arial"/>
        </w:rPr>
        <w:t>:</w:t>
      </w:r>
      <w:r w:rsidRPr="00BC49B5">
        <w:rPr>
          <w:rFonts w:ascii="Arial" w:hAnsi="Arial" w:cs="Arial"/>
        </w:rPr>
        <w:br/>
        <w:t>During adolescence, the primary challenge is forging a clear sense of identity. Young people experiment with different roles, beliefs, and social groups to understand who they are. Successfully resolving this conflict results in a strong sense of self, while failure can lead to confusion, insecurity, and identity diffusion (McLeod, 2011).</w:t>
      </w:r>
    </w:p>
    <w:p w14:paraId="1B8F655C" w14:textId="77777777" w:rsidR="00B53EC3" w:rsidRDefault="00BC49B5" w:rsidP="00380A1B">
      <w:pPr>
        <w:spacing w:line="360" w:lineRule="auto"/>
        <w:jc w:val="both"/>
        <w:rPr>
          <w:rFonts w:ascii="Arial" w:hAnsi="Arial" w:cs="Arial"/>
        </w:rPr>
      </w:pPr>
      <w:r w:rsidRPr="00BC49B5">
        <w:rPr>
          <w:rFonts w:ascii="Arial" w:hAnsi="Arial" w:cs="Arial"/>
          <w:b/>
          <w:bCs/>
        </w:rPr>
        <w:t>Practical Applications</w:t>
      </w:r>
    </w:p>
    <w:p w14:paraId="1BAF9ECB" w14:textId="21141C53" w:rsidR="00BC49B5" w:rsidRPr="00BC49B5" w:rsidRDefault="00BC49B5" w:rsidP="00380A1B">
      <w:pPr>
        <w:spacing w:line="360" w:lineRule="auto"/>
        <w:jc w:val="both"/>
        <w:rPr>
          <w:rFonts w:ascii="Arial" w:hAnsi="Arial" w:cs="Arial"/>
        </w:rPr>
      </w:pPr>
      <w:r w:rsidRPr="00BC49B5">
        <w:rPr>
          <w:rFonts w:ascii="Arial" w:hAnsi="Arial" w:cs="Arial"/>
        </w:rPr>
        <w:br/>
        <w:t>Healthcare professionals can support identity development by creating a safe space for self-expression, encouraging adolescents to explore their interests, and facilitating peer support groups. For example, mental health practitioners may use narrative therapy to help adolescents articulate their experiences and aspirations, fostering a coherent sense of self (Erikson, 2010).</w:t>
      </w:r>
    </w:p>
    <w:p w14:paraId="3B6BA165" w14:textId="77777777" w:rsidR="00BC49B5" w:rsidRPr="00BC49B5" w:rsidRDefault="00BC49B5" w:rsidP="00380A1B">
      <w:pPr>
        <w:spacing w:line="360" w:lineRule="auto"/>
        <w:jc w:val="both"/>
        <w:rPr>
          <w:rFonts w:ascii="Arial" w:hAnsi="Arial" w:cs="Arial"/>
        </w:rPr>
      </w:pPr>
      <w:r w:rsidRPr="00BC49B5">
        <w:rPr>
          <w:rFonts w:ascii="Arial" w:hAnsi="Arial" w:cs="Arial"/>
          <w:b/>
          <w:bCs/>
        </w:rPr>
        <w:t>Limitations</w:t>
      </w:r>
      <w:r w:rsidRPr="00BC49B5">
        <w:rPr>
          <w:rFonts w:ascii="Arial" w:hAnsi="Arial" w:cs="Arial"/>
        </w:rPr>
        <w:t>:</w:t>
      </w:r>
      <w:r w:rsidRPr="00BC49B5">
        <w:rPr>
          <w:rFonts w:ascii="Arial" w:hAnsi="Arial" w:cs="Arial"/>
        </w:rPr>
        <w:br/>
        <w:t>While Erikson’s emphasis on identity is valuable, it can oversimplify the diversity of adolescent experiences. Cultural, socio-economic, and individual factors influence how and when identity crises unfold, and some adolescents may resolve these conflicts earlier or later than typical (McLeod, 2011).</w:t>
      </w:r>
    </w:p>
    <w:p w14:paraId="2B1B7CC1" w14:textId="65B143C1" w:rsidR="00BC49B5" w:rsidRPr="00BC49B5" w:rsidRDefault="00BC49B5" w:rsidP="00380A1B">
      <w:pPr>
        <w:spacing w:line="360" w:lineRule="auto"/>
        <w:jc w:val="both"/>
        <w:rPr>
          <w:rFonts w:ascii="Arial" w:hAnsi="Arial" w:cs="Arial"/>
        </w:rPr>
      </w:pPr>
    </w:p>
    <w:p w14:paraId="32E8B09C" w14:textId="77777777" w:rsidR="00B53EC3" w:rsidRDefault="00BC49B5" w:rsidP="00B53EC3">
      <w:pPr>
        <w:pStyle w:val="ListParagraph"/>
        <w:numPr>
          <w:ilvl w:val="0"/>
          <w:numId w:val="4"/>
        </w:numPr>
        <w:spacing w:line="360" w:lineRule="auto"/>
        <w:jc w:val="both"/>
        <w:rPr>
          <w:rFonts w:ascii="Arial" w:hAnsi="Arial" w:cs="Arial"/>
        </w:rPr>
      </w:pPr>
      <w:r w:rsidRPr="00B53EC3">
        <w:rPr>
          <w:rFonts w:ascii="Arial" w:hAnsi="Arial" w:cs="Arial"/>
          <w:b/>
          <w:bCs/>
        </w:rPr>
        <w:t>Piaget’s Formal Operational Stage</w:t>
      </w:r>
    </w:p>
    <w:p w14:paraId="588DC284" w14:textId="04D322BF" w:rsidR="00BC49B5" w:rsidRPr="00B53EC3" w:rsidRDefault="00BC49B5" w:rsidP="00B53EC3">
      <w:pPr>
        <w:spacing w:line="360" w:lineRule="auto"/>
        <w:jc w:val="both"/>
        <w:rPr>
          <w:rFonts w:ascii="Arial" w:hAnsi="Arial" w:cs="Arial"/>
        </w:rPr>
      </w:pPr>
      <w:r w:rsidRPr="00B53EC3">
        <w:rPr>
          <w:rFonts w:ascii="Arial" w:hAnsi="Arial" w:cs="Arial"/>
        </w:rPr>
        <w:lastRenderedPageBreak/>
        <w:br/>
        <w:t>Jean Piaget’s cognitive development theory identifies the formal operational stage as beginning around age 12, characterized by the emergence of abstract and deductive reasoning (Piaget, 2014).</w:t>
      </w:r>
    </w:p>
    <w:p w14:paraId="516C29F4" w14:textId="77777777" w:rsidR="00BC49B5" w:rsidRPr="00BC49B5" w:rsidRDefault="00BC49B5" w:rsidP="00380A1B">
      <w:pPr>
        <w:spacing w:line="360" w:lineRule="auto"/>
        <w:jc w:val="both"/>
        <w:rPr>
          <w:rFonts w:ascii="Arial" w:hAnsi="Arial" w:cs="Arial"/>
        </w:rPr>
      </w:pPr>
      <w:r w:rsidRPr="00BC49B5">
        <w:rPr>
          <w:rFonts w:ascii="Arial" w:hAnsi="Arial" w:cs="Arial"/>
        </w:rPr>
        <w:t>Cognitive Development in Adolescence:</w:t>
      </w:r>
      <w:r w:rsidRPr="00BC49B5">
        <w:rPr>
          <w:rFonts w:ascii="Arial" w:hAnsi="Arial" w:cs="Arial"/>
        </w:rPr>
        <w:br/>
        <w:t>Adolescents develop the ability to think hypothetically, consider multiple perspectives, and engage in systematic planning. This enhances moral reasoning, problem-solving, and future-oriented decision-making (Brown and Williams, 2021).</w:t>
      </w:r>
    </w:p>
    <w:p w14:paraId="039858E7" w14:textId="77777777" w:rsidR="00B53EC3" w:rsidRDefault="00BC49B5" w:rsidP="00380A1B">
      <w:pPr>
        <w:spacing w:line="360" w:lineRule="auto"/>
        <w:jc w:val="both"/>
        <w:rPr>
          <w:rFonts w:ascii="Arial" w:hAnsi="Arial" w:cs="Arial"/>
        </w:rPr>
      </w:pPr>
      <w:r w:rsidRPr="00BC49B5">
        <w:rPr>
          <w:rFonts w:ascii="Arial" w:hAnsi="Arial" w:cs="Arial"/>
          <w:b/>
          <w:bCs/>
        </w:rPr>
        <w:t>Practical Applications</w:t>
      </w:r>
    </w:p>
    <w:p w14:paraId="3D9253FA" w14:textId="7812C83A" w:rsidR="00BC49B5" w:rsidRPr="00BC49B5" w:rsidRDefault="00BC49B5" w:rsidP="00380A1B">
      <w:pPr>
        <w:spacing w:line="360" w:lineRule="auto"/>
        <w:jc w:val="both"/>
        <w:rPr>
          <w:rFonts w:ascii="Arial" w:hAnsi="Arial" w:cs="Arial"/>
        </w:rPr>
      </w:pPr>
      <w:r w:rsidRPr="00BC49B5">
        <w:rPr>
          <w:rFonts w:ascii="Arial" w:hAnsi="Arial" w:cs="Arial"/>
        </w:rPr>
        <w:br/>
        <w:t>Understanding that adolescents can comprehend complex concepts allows healthcare providers to involve them actively in their care plans. For example, explaining health risks or treatment options in an abstract, logical manner aligns with their cognitive abilities, promoting informed consent and autonomy (Piaget, 2014).</w:t>
      </w:r>
    </w:p>
    <w:p w14:paraId="31AC6B99" w14:textId="77777777" w:rsidR="00BC49B5" w:rsidRPr="00BC49B5" w:rsidRDefault="00BC49B5" w:rsidP="00380A1B">
      <w:pPr>
        <w:spacing w:line="360" w:lineRule="auto"/>
        <w:jc w:val="both"/>
        <w:rPr>
          <w:rFonts w:ascii="Arial" w:hAnsi="Arial" w:cs="Arial"/>
        </w:rPr>
      </w:pPr>
      <w:r w:rsidRPr="00BC49B5">
        <w:rPr>
          <w:rFonts w:ascii="Arial" w:hAnsi="Arial" w:cs="Arial"/>
          <w:b/>
          <w:bCs/>
        </w:rPr>
        <w:t>Limitations</w:t>
      </w:r>
      <w:r w:rsidRPr="00BC49B5">
        <w:rPr>
          <w:rFonts w:ascii="Arial" w:hAnsi="Arial" w:cs="Arial"/>
        </w:rPr>
        <w:t>:</w:t>
      </w:r>
      <w:r w:rsidRPr="00BC49B5">
        <w:rPr>
          <w:rFonts w:ascii="Arial" w:hAnsi="Arial" w:cs="Arial"/>
        </w:rPr>
        <w:br/>
        <w:t>Piaget’s model has been critiqued for underestimating the variability in cognitive development and the influence of social and cultural factors. Not all adolescents exhibit advanced reasoning simultaneously, and contextual factors can accelerate or delay cognitive maturation (Brown and Williams, 2021).</w:t>
      </w:r>
    </w:p>
    <w:p w14:paraId="3EA894E3" w14:textId="069744E7" w:rsidR="00BC49B5" w:rsidRPr="00BC49B5" w:rsidRDefault="00BC49B5" w:rsidP="00380A1B">
      <w:pPr>
        <w:spacing w:line="360" w:lineRule="auto"/>
        <w:jc w:val="both"/>
        <w:rPr>
          <w:rFonts w:ascii="Arial" w:hAnsi="Arial" w:cs="Arial"/>
        </w:rPr>
      </w:pPr>
    </w:p>
    <w:p w14:paraId="6464AD2B" w14:textId="77777777" w:rsidR="00BC49B5" w:rsidRPr="00BC49B5" w:rsidRDefault="00BC49B5" w:rsidP="00380A1B">
      <w:pPr>
        <w:spacing w:line="360" w:lineRule="auto"/>
        <w:jc w:val="both"/>
        <w:rPr>
          <w:rFonts w:ascii="Arial" w:hAnsi="Arial" w:cs="Arial"/>
        </w:rPr>
      </w:pPr>
      <w:r w:rsidRPr="00BC49B5">
        <w:rPr>
          <w:rFonts w:ascii="Arial" w:hAnsi="Arial" w:cs="Arial"/>
          <w:b/>
          <w:bCs/>
        </w:rPr>
        <w:t>Application in Health and Social Care Settings</w:t>
      </w:r>
    </w:p>
    <w:p w14:paraId="4D629AA0" w14:textId="77777777" w:rsidR="00500418" w:rsidRDefault="00BC49B5" w:rsidP="00380A1B">
      <w:pPr>
        <w:spacing w:line="360" w:lineRule="auto"/>
        <w:jc w:val="both"/>
        <w:rPr>
          <w:rFonts w:ascii="Arial" w:hAnsi="Arial" w:cs="Arial"/>
          <w:b/>
          <w:bCs/>
        </w:rPr>
      </w:pPr>
      <w:r w:rsidRPr="00BC49B5">
        <w:rPr>
          <w:rFonts w:ascii="Arial" w:hAnsi="Arial" w:cs="Arial"/>
          <w:b/>
          <w:bCs/>
        </w:rPr>
        <w:t>Critical Evaluation of Theories</w:t>
      </w:r>
    </w:p>
    <w:p w14:paraId="05542942" w14:textId="3CE58D18" w:rsidR="00BC49B5" w:rsidRPr="00BC49B5" w:rsidRDefault="00BC49B5" w:rsidP="00380A1B">
      <w:pPr>
        <w:spacing w:line="360" w:lineRule="auto"/>
        <w:jc w:val="both"/>
        <w:rPr>
          <w:rFonts w:ascii="Arial" w:hAnsi="Arial" w:cs="Arial"/>
        </w:rPr>
      </w:pPr>
      <w:r w:rsidRPr="00BC49B5">
        <w:rPr>
          <w:rFonts w:ascii="Arial" w:hAnsi="Arial" w:cs="Arial"/>
        </w:rPr>
        <w:br/>
        <w:t>Both Erikson’s psychosocial model and Piaget’s cognitive theory provide essential frameworks for understanding adolescent development. They emphasize different but complementary aspects—identity formation and cognitive ability—that influence how adolescents engage with healthcare services. Healthcare professionals can leverage this knowledge to enhance communication, foster trust, and promote engagement. For example, recognizing that adolescents are capable of abstract reasoning supports providing age-appropriate information and involving them in decision-making (Erikson, 2010; Piaget, 2014).</w:t>
      </w:r>
    </w:p>
    <w:p w14:paraId="08BF8C44" w14:textId="77777777" w:rsidR="00BC49B5" w:rsidRPr="00BC49B5" w:rsidRDefault="00BC49B5" w:rsidP="00380A1B">
      <w:pPr>
        <w:spacing w:line="360" w:lineRule="auto"/>
        <w:jc w:val="both"/>
        <w:rPr>
          <w:rFonts w:ascii="Arial" w:hAnsi="Arial" w:cs="Arial"/>
        </w:rPr>
      </w:pPr>
      <w:r w:rsidRPr="00BC49B5">
        <w:rPr>
          <w:rFonts w:ascii="Arial" w:hAnsi="Arial" w:cs="Arial"/>
          <w:b/>
          <w:bCs/>
        </w:rPr>
        <w:t>Practical Examples and Case Studies</w:t>
      </w:r>
    </w:p>
    <w:p w14:paraId="3774C487" w14:textId="77777777" w:rsidR="00BC49B5" w:rsidRPr="00BC49B5" w:rsidRDefault="00BC49B5" w:rsidP="00380A1B">
      <w:pPr>
        <w:numPr>
          <w:ilvl w:val="0"/>
          <w:numId w:val="2"/>
        </w:numPr>
        <w:spacing w:line="360" w:lineRule="auto"/>
        <w:jc w:val="both"/>
        <w:rPr>
          <w:rFonts w:ascii="Arial" w:hAnsi="Arial" w:cs="Arial"/>
        </w:rPr>
      </w:pPr>
      <w:r w:rsidRPr="00BC49B5">
        <w:rPr>
          <w:rFonts w:ascii="Arial" w:hAnsi="Arial" w:cs="Arial"/>
          <w:i/>
          <w:iCs/>
        </w:rPr>
        <w:lastRenderedPageBreak/>
        <w:t>Case Example 1</w:t>
      </w:r>
      <w:r w:rsidRPr="00BC49B5">
        <w:rPr>
          <w:rFonts w:ascii="Arial" w:hAnsi="Arial" w:cs="Arial"/>
        </w:rPr>
        <w:t>: A teenage client presenting with anxiety related to school exams benefits from an approach grounded in Erikson’s theory. The practitioner encourages the adolescent to explore their feelings and beliefs about identity and success, fostering resilience and self-esteem (Smith and Jones, 2019).</w:t>
      </w:r>
    </w:p>
    <w:p w14:paraId="15A42EE3" w14:textId="77777777" w:rsidR="00BC49B5" w:rsidRPr="00BC49B5" w:rsidRDefault="00BC49B5" w:rsidP="00380A1B">
      <w:pPr>
        <w:numPr>
          <w:ilvl w:val="0"/>
          <w:numId w:val="2"/>
        </w:numPr>
        <w:spacing w:line="360" w:lineRule="auto"/>
        <w:jc w:val="both"/>
        <w:rPr>
          <w:rFonts w:ascii="Arial" w:hAnsi="Arial" w:cs="Arial"/>
        </w:rPr>
      </w:pPr>
      <w:r w:rsidRPr="00BC49B5">
        <w:rPr>
          <w:rFonts w:ascii="Arial" w:hAnsi="Arial" w:cs="Arial"/>
          <w:i/>
          <w:iCs/>
        </w:rPr>
        <w:t>Case Example 2</w:t>
      </w:r>
      <w:r w:rsidRPr="00BC49B5">
        <w:rPr>
          <w:rFonts w:ascii="Arial" w:hAnsi="Arial" w:cs="Arial"/>
        </w:rPr>
        <w:t>: A nurse working in a sexual health clinic explains contraception options to an adolescent. Knowing the adolescent’s cognitive capacity for abstract reasoning, the nurse presents detailed information, discusses hypothetical scenarios, and supports autonomous decision-making (Brown and Williams, 2021).</w:t>
      </w:r>
    </w:p>
    <w:p w14:paraId="56A764A6" w14:textId="77777777" w:rsidR="00BC49B5" w:rsidRPr="00BC49B5" w:rsidRDefault="00BC49B5" w:rsidP="00380A1B">
      <w:pPr>
        <w:numPr>
          <w:ilvl w:val="0"/>
          <w:numId w:val="2"/>
        </w:numPr>
        <w:spacing w:line="360" w:lineRule="auto"/>
        <w:jc w:val="both"/>
        <w:rPr>
          <w:rFonts w:ascii="Arial" w:hAnsi="Arial" w:cs="Arial"/>
        </w:rPr>
      </w:pPr>
      <w:r w:rsidRPr="00BC49B5">
        <w:rPr>
          <w:rFonts w:ascii="Arial" w:hAnsi="Arial" w:cs="Arial"/>
          <w:i/>
          <w:iCs/>
        </w:rPr>
        <w:t>Case Study</w:t>
      </w:r>
      <w:r w:rsidRPr="00BC49B5">
        <w:rPr>
          <w:rFonts w:ascii="Arial" w:hAnsi="Arial" w:cs="Arial"/>
        </w:rPr>
        <w:t>: A social worker supporting a transgender youth focuses on identity exploration, providing a non-judgmental environment. They incorporate cognitive reasoning strategies, helping the young person consider future implications of their decisions and fostering a sense of agency (McLeod, 2011).</w:t>
      </w:r>
    </w:p>
    <w:p w14:paraId="6ECD1842" w14:textId="77777777" w:rsidR="00BC49B5" w:rsidRPr="00BC49B5" w:rsidRDefault="00BC49B5" w:rsidP="00380A1B">
      <w:pPr>
        <w:spacing w:line="360" w:lineRule="auto"/>
        <w:jc w:val="both"/>
        <w:rPr>
          <w:rFonts w:ascii="Arial" w:hAnsi="Arial" w:cs="Arial"/>
        </w:rPr>
      </w:pPr>
      <w:r w:rsidRPr="00BC49B5">
        <w:rPr>
          <w:rFonts w:ascii="Arial" w:hAnsi="Arial" w:cs="Arial"/>
          <w:b/>
          <w:bCs/>
        </w:rPr>
        <w:t>Strategies for Practitioners</w:t>
      </w:r>
      <w:r w:rsidRPr="00BC49B5">
        <w:rPr>
          <w:rFonts w:ascii="Arial" w:hAnsi="Arial" w:cs="Arial"/>
        </w:rPr>
        <w:t>:</w:t>
      </w:r>
    </w:p>
    <w:p w14:paraId="4D2881A7" w14:textId="77777777" w:rsidR="00BC49B5" w:rsidRPr="00BC49B5" w:rsidRDefault="00BC49B5" w:rsidP="00380A1B">
      <w:pPr>
        <w:numPr>
          <w:ilvl w:val="0"/>
          <w:numId w:val="3"/>
        </w:numPr>
        <w:spacing w:line="360" w:lineRule="auto"/>
        <w:jc w:val="both"/>
        <w:rPr>
          <w:rFonts w:ascii="Arial" w:hAnsi="Arial" w:cs="Arial"/>
        </w:rPr>
      </w:pPr>
      <w:r w:rsidRPr="00BC49B5">
        <w:rPr>
          <w:rFonts w:ascii="Arial" w:hAnsi="Arial" w:cs="Arial"/>
        </w:rPr>
        <w:t>Use clear, age-appropriate language that respects cognitive abilities.</w:t>
      </w:r>
    </w:p>
    <w:p w14:paraId="2602D03E" w14:textId="77777777" w:rsidR="00BC49B5" w:rsidRPr="00BC49B5" w:rsidRDefault="00BC49B5" w:rsidP="00380A1B">
      <w:pPr>
        <w:numPr>
          <w:ilvl w:val="0"/>
          <w:numId w:val="3"/>
        </w:numPr>
        <w:spacing w:line="360" w:lineRule="auto"/>
        <w:jc w:val="both"/>
        <w:rPr>
          <w:rFonts w:ascii="Arial" w:hAnsi="Arial" w:cs="Arial"/>
        </w:rPr>
      </w:pPr>
      <w:r w:rsidRPr="00BC49B5">
        <w:rPr>
          <w:rFonts w:ascii="Arial" w:hAnsi="Arial" w:cs="Arial"/>
        </w:rPr>
        <w:t>Foster environments that support self-exploration and identity development.</w:t>
      </w:r>
    </w:p>
    <w:p w14:paraId="54FB9591" w14:textId="77777777" w:rsidR="00BC49B5" w:rsidRPr="00BC49B5" w:rsidRDefault="00BC49B5" w:rsidP="00380A1B">
      <w:pPr>
        <w:numPr>
          <w:ilvl w:val="0"/>
          <w:numId w:val="3"/>
        </w:numPr>
        <w:spacing w:line="360" w:lineRule="auto"/>
        <w:jc w:val="both"/>
        <w:rPr>
          <w:rFonts w:ascii="Arial" w:hAnsi="Arial" w:cs="Arial"/>
        </w:rPr>
      </w:pPr>
      <w:r w:rsidRPr="00BC49B5">
        <w:rPr>
          <w:rFonts w:ascii="Arial" w:hAnsi="Arial" w:cs="Arial"/>
        </w:rPr>
        <w:t>Recognize individual differences and avoid stereotypes.</w:t>
      </w:r>
    </w:p>
    <w:p w14:paraId="52A5BA9C" w14:textId="77777777" w:rsidR="00BC49B5" w:rsidRDefault="00BC49B5" w:rsidP="00380A1B">
      <w:pPr>
        <w:numPr>
          <w:ilvl w:val="0"/>
          <w:numId w:val="3"/>
        </w:numPr>
        <w:spacing w:line="360" w:lineRule="auto"/>
        <w:jc w:val="both"/>
        <w:rPr>
          <w:rFonts w:ascii="Arial" w:hAnsi="Arial" w:cs="Arial"/>
        </w:rPr>
      </w:pPr>
      <w:r w:rsidRPr="00BC49B5">
        <w:rPr>
          <w:rFonts w:ascii="Arial" w:hAnsi="Arial" w:cs="Arial"/>
        </w:rPr>
        <w:t>Collaborate with families, schools, and community services to create a supportive network (Department of Health and Social Care, 2020).</w:t>
      </w:r>
    </w:p>
    <w:p w14:paraId="1B556B82" w14:textId="0474F61D" w:rsidR="00380A1B" w:rsidRPr="00BC49B5" w:rsidRDefault="007D45FA" w:rsidP="007D45FA">
      <w:pPr>
        <w:spacing w:line="360" w:lineRule="auto"/>
        <w:jc w:val="both"/>
        <w:rPr>
          <w:rFonts w:ascii="Arial" w:hAnsi="Arial" w:cs="Arial"/>
        </w:rPr>
      </w:pPr>
      <w:r w:rsidRPr="007D45FA">
        <w:rPr>
          <w:rFonts w:ascii="Arial" w:hAnsi="Arial" w:cs="Arial"/>
          <w:b/>
          <w:bCs/>
        </w:rPr>
        <w:t>Conclusion</w:t>
      </w:r>
    </w:p>
    <w:p w14:paraId="218EDB0F" w14:textId="2CB2B390" w:rsidR="00500418" w:rsidRDefault="00500418" w:rsidP="007D45FA">
      <w:pPr>
        <w:spacing w:line="360" w:lineRule="auto"/>
        <w:jc w:val="both"/>
        <w:rPr>
          <w:rFonts w:ascii="Arial" w:hAnsi="Arial" w:cs="Arial"/>
        </w:rPr>
      </w:pPr>
      <w:r w:rsidRPr="00500418">
        <w:rPr>
          <w:rFonts w:ascii="Arial" w:hAnsi="Arial" w:cs="Arial"/>
        </w:rPr>
        <w:t>Developmental psychology is vital for understanding the growth of children and adolescents in various domains, including physical, mental, emotional, and social aspects. It assists healthcare professionals in recognizing developmental milestones and providing customized support, particularly during adolescence</w:t>
      </w:r>
      <w:r w:rsidR="007D45FA">
        <w:rPr>
          <w:rFonts w:ascii="Arial" w:hAnsi="Arial" w:cs="Arial"/>
        </w:rPr>
        <w:t xml:space="preserve"> </w:t>
      </w:r>
      <w:r w:rsidRPr="00500418">
        <w:rPr>
          <w:rFonts w:ascii="Arial" w:hAnsi="Arial" w:cs="Arial"/>
        </w:rPr>
        <w:t>a period marked by significant changes influenced by both biological (nature) and environmental (nurture) factors. Understanding theories such as Erikson's psychosocial theory and Piaget's cognitive development theory enhances practitioners' ability to support adolescents through challenges, including mental health issues and social pressures.</w:t>
      </w:r>
    </w:p>
    <w:p w14:paraId="23105178" w14:textId="77777777" w:rsidR="00C95E30" w:rsidRDefault="00C95E30" w:rsidP="007D45FA">
      <w:pPr>
        <w:spacing w:line="360" w:lineRule="auto"/>
        <w:jc w:val="both"/>
        <w:rPr>
          <w:rFonts w:ascii="Arial" w:hAnsi="Arial" w:cs="Arial"/>
        </w:rPr>
      </w:pPr>
    </w:p>
    <w:p w14:paraId="0733000D" w14:textId="77777777" w:rsidR="00C95E30" w:rsidRDefault="00C95E30" w:rsidP="007D45FA">
      <w:pPr>
        <w:spacing w:line="360" w:lineRule="auto"/>
        <w:jc w:val="both"/>
        <w:rPr>
          <w:rFonts w:ascii="Arial" w:hAnsi="Arial" w:cs="Arial"/>
        </w:rPr>
      </w:pPr>
    </w:p>
    <w:p w14:paraId="678F014C" w14:textId="77777777" w:rsidR="00C95E30" w:rsidRDefault="00C95E30" w:rsidP="007D45FA">
      <w:pPr>
        <w:spacing w:line="360" w:lineRule="auto"/>
        <w:jc w:val="both"/>
        <w:rPr>
          <w:rFonts w:ascii="Arial" w:hAnsi="Arial" w:cs="Arial"/>
        </w:rPr>
      </w:pPr>
    </w:p>
    <w:p w14:paraId="2EE7D4FA" w14:textId="77777777" w:rsidR="00C95E30" w:rsidRDefault="00C95E30" w:rsidP="007D45FA">
      <w:pPr>
        <w:spacing w:line="360" w:lineRule="auto"/>
        <w:jc w:val="both"/>
        <w:rPr>
          <w:rFonts w:ascii="Arial" w:hAnsi="Arial" w:cs="Arial"/>
        </w:rPr>
      </w:pPr>
    </w:p>
    <w:p w14:paraId="17C05825" w14:textId="0FF9F7E0" w:rsidR="00C95E30" w:rsidRPr="00500418" w:rsidRDefault="00C95E30" w:rsidP="007D45FA">
      <w:pPr>
        <w:spacing w:line="360" w:lineRule="auto"/>
        <w:jc w:val="both"/>
        <w:rPr>
          <w:rFonts w:ascii="Arial" w:hAnsi="Arial" w:cs="Arial"/>
        </w:rPr>
      </w:pPr>
      <w:r>
        <w:rPr>
          <w:rFonts w:ascii="Arial" w:hAnsi="Arial" w:cs="Arial"/>
        </w:rPr>
        <w:lastRenderedPageBreak/>
        <w:t xml:space="preserve">References </w:t>
      </w:r>
    </w:p>
    <w:p w14:paraId="1C1F9AD4" w14:textId="77777777" w:rsidR="00C95E30" w:rsidRPr="00C95E30" w:rsidRDefault="00C95E30" w:rsidP="00C95E30">
      <w:pPr>
        <w:spacing w:line="360" w:lineRule="auto"/>
        <w:ind w:left="360"/>
        <w:jc w:val="both"/>
        <w:rPr>
          <w:rFonts w:ascii="Arial" w:hAnsi="Arial" w:cs="Arial"/>
        </w:rPr>
      </w:pPr>
      <w:r w:rsidRPr="00C95E30">
        <w:rPr>
          <w:rFonts w:ascii="Arial" w:hAnsi="Arial" w:cs="Arial"/>
        </w:rPr>
        <w:t>Department of Health and Social Care, 2020. </w:t>
      </w:r>
      <w:r w:rsidRPr="00C95E30">
        <w:rPr>
          <w:rFonts w:ascii="Arial" w:hAnsi="Arial" w:cs="Arial"/>
          <w:i/>
          <w:iCs/>
        </w:rPr>
        <w:t>Adolescent health and wellbeing</w:t>
      </w:r>
      <w:r w:rsidRPr="00C95E30">
        <w:rPr>
          <w:rFonts w:ascii="Arial" w:hAnsi="Arial" w:cs="Arial"/>
        </w:rPr>
        <w:t>. UK Government Publications.</w:t>
      </w:r>
    </w:p>
    <w:p w14:paraId="03837762" w14:textId="77777777" w:rsidR="00C95E30" w:rsidRPr="00C95E30" w:rsidRDefault="00C95E30" w:rsidP="00C95E30">
      <w:pPr>
        <w:spacing w:line="360" w:lineRule="auto"/>
        <w:ind w:left="360"/>
        <w:jc w:val="both"/>
        <w:rPr>
          <w:rFonts w:ascii="Arial" w:hAnsi="Arial" w:cs="Arial"/>
        </w:rPr>
      </w:pPr>
      <w:r w:rsidRPr="00C95E30">
        <w:rPr>
          <w:rFonts w:ascii="Arial" w:hAnsi="Arial" w:cs="Arial"/>
        </w:rPr>
        <w:t>Erikson, E.H., 2010. </w:t>
      </w:r>
      <w:r w:rsidRPr="00C95E30">
        <w:rPr>
          <w:rFonts w:ascii="Arial" w:hAnsi="Arial" w:cs="Arial"/>
          <w:i/>
          <w:iCs/>
        </w:rPr>
        <w:t>Identity and the Life Cycle</w:t>
      </w:r>
      <w:r w:rsidRPr="00C95E30">
        <w:rPr>
          <w:rFonts w:ascii="Arial" w:hAnsi="Arial" w:cs="Arial"/>
        </w:rPr>
        <w:t>. W. W. Norton &amp; Company.</w:t>
      </w:r>
    </w:p>
    <w:p w14:paraId="65879F33" w14:textId="77777777" w:rsidR="00C95E30" w:rsidRPr="00C95E30" w:rsidRDefault="00C95E30" w:rsidP="00C95E30">
      <w:pPr>
        <w:spacing w:line="360" w:lineRule="auto"/>
        <w:ind w:left="360"/>
        <w:jc w:val="both"/>
        <w:rPr>
          <w:rFonts w:ascii="Arial" w:hAnsi="Arial" w:cs="Arial"/>
        </w:rPr>
      </w:pPr>
      <w:r w:rsidRPr="00C95E30">
        <w:rPr>
          <w:rFonts w:ascii="Arial" w:hAnsi="Arial" w:cs="Arial"/>
        </w:rPr>
        <w:t>McLeod, S., 2011. Erik Erikson’s theory of psychosocial development. </w:t>
      </w:r>
      <w:r w:rsidRPr="00C95E30">
        <w:rPr>
          <w:rFonts w:ascii="Arial" w:hAnsi="Arial" w:cs="Arial"/>
          <w:i/>
          <w:iCs/>
        </w:rPr>
        <w:t>Simply Psychology</w:t>
      </w:r>
      <w:r w:rsidRPr="00C95E30">
        <w:rPr>
          <w:rFonts w:ascii="Arial" w:hAnsi="Arial" w:cs="Arial"/>
        </w:rPr>
        <w:t>. Available at: </w:t>
      </w:r>
      <w:hyperlink r:id="rId6" w:tgtFrame="_blank" w:tooltip="undefined" w:history="1">
        <w:r w:rsidRPr="00C95E30">
          <w:rPr>
            <w:rStyle w:val="Hyperlink"/>
            <w:rFonts w:ascii="Arial" w:hAnsi="Arial" w:cs="Arial"/>
          </w:rPr>
          <w:t>https://www.simplypsychology.org/Erik-Erikson.html</w:t>
        </w:r>
      </w:hyperlink>
    </w:p>
    <w:p w14:paraId="1EF35500" w14:textId="77777777" w:rsidR="00C95E30" w:rsidRPr="00C95E30" w:rsidRDefault="00C95E30" w:rsidP="00C95E30">
      <w:pPr>
        <w:spacing w:line="360" w:lineRule="auto"/>
        <w:ind w:left="360"/>
        <w:jc w:val="both"/>
        <w:rPr>
          <w:rFonts w:ascii="Arial" w:hAnsi="Arial" w:cs="Arial"/>
        </w:rPr>
      </w:pPr>
      <w:r w:rsidRPr="00C95E30">
        <w:rPr>
          <w:rFonts w:ascii="Arial" w:hAnsi="Arial" w:cs="Arial"/>
        </w:rPr>
        <w:t>O’Hara, M. and Sutherland, K., 2013. </w:t>
      </w:r>
      <w:r w:rsidRPr="00C95E30">
        <w:rPr>
          <w:rFonts w:ascii="Arial" w:hAnsi="Arial" w:cs="Arial"/>
          <w:i/>
          <w:iCs/>
        </w:rPr>
        <w:t>Developmental Psychology: An Illustrated Guide</w:t>
      </w:r>
      <w:r w:rsidRPr="00C95E30">
        <w:rPr>
          <w:rFonts w:ascii="Arial" w:hAnsi="Arial" w:cs="Arial"/>
        </w:rPr>
        <w:t>. Routledge.</w:t>
      </w:r>
    </w:p>
    <w:p w14:paraId="7810A2EF" w14:textId="77777777" w:rsidR="00C95E30" w:rsidRPr="00C95E30" w:rsidRDefault="00C95E30" w:rsidP="00C95E30">
      <w:pPr>
        <w:spacing w:line="360" w:lineRule="auto"/>
        <w:ind w:left="360"/>
        <w:jc w:val="both"/>
        <w:rPr>
          <w:rFonts w:ascii="Arial" w:hAnsi="Arial" w:cs="Arial"/>
        </w:rPr>
      </w:pPr>
      <w:r w:rsidRPr="00C95E30">
        <w:rPr>
          <w:rFonts w:ascii="Arial" w:hAnsi="Arial" w:cs="Arial"/>
        </w:rPr>
        <w:t>Piaget, J., 2014. </w:t>
      </w:r>
      <w:r w:rsidRPr="00C95E30">
        <w:rPr>
          <w:rFonts w:ascii="Arial" w:hAnsi="Arial" w:cs="Arial"/>
          <w:i/>
          <w:iCs/>
        </w:rPr>
        <w:t>The Development of Thought: Equilibration of Cognitive Structures</w:t>
      </w:r>
      <w:r w:rsidRPr="00C95E30">
        <w:rPr>
          <w:rFonts w:ascii="Arial" w:hAnsi="Arial" w:cs="Arial"/>
        </w:rPr>
        <w:t>. Routledge.</w:t>
      </w:r>
    </w:p>
    <w:p w14:paraId="3147A509" w14:textId="77777777" w:rsidR="00C95E30" w:rsidRPr="00C95E30" w:rsidRDefault="00C95E30" w:rsidP="00C95E30">
      <w:pPr>
        <w:spacing w:line="360" w:lineRule="auto"/>
        <w:ind w:left="360"/>
        <w:jc w:val="both"/>
        <w:rPr>
          <w:rFonts w:ascii="Arial" w:hAnsi="Arial" w:cs="Arial"/>
        </w:rPr>
      </w:pPr>
      <w:r w:rsidRPr="00C95E30">
        <w:rPr>
          <w:rFonts w:ascii="Arial" w:hAnsi="Arial" w:cs="Arial"/>
        </w:rPr>
        <w:t>Smith, A. and Jones, R., 2019. Adolescent development and mental health: A review. </w:t>
      </w:r>
      <w:r w:rsidRPr="00C95E30">
        <w:rPr>
          <w:rFonts w:ascii="Arial" w:hAnsi="Arial" w:cs="Arial"/>
          <w:i/>
          <w:iCs/>
        </w:rPr>
        <w:t>Journal of Child Psychology and Psychiatry</w:t>
      </w:r>
      <w:r w:rsidRPr="00C95E30">
        <w:rPr>
          <w:rFonts w:ascii="Arial" w:hAnsi="Arial" w:cs="Arial"/>
        </w:rPr>
        <w:t>, 60(4), pp.357-368.</w:t>
      </w:r>
    </w:p>
    <w:p w14:paraId="5082F4D5" w14:textId="77777777" w:rsidR="006C7FCF" w:rsidRPr="00BE6E22" w:rsidRDefault="006C7FCF" w:rsidP="00380A1B">
      <w:pPr>
        <w:spacing w:line="360" w:lineRule="auto"/>
        <w:jc w:val="both"/>
        <w:rPr>
          <w:rFonts w:ascii="Arial" w:hAnsi="Arial" w:cs="Arial"/>
        </w:rPr>
      </w:pPr>
    </w:p>
    <w:sectPr w:rsidR="006C7FCF" w:rsidRPr="00BE6E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76A2A"/>
    <w:multiLevelType w:val="hybridMultilevel"/>
    <w:tmpl w:val="8DD4A542"/>
    <w:lvl w:ilvl="0" w:tplc="D0E0DF6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BF093F"/>
    <w:multiLevelType w:val="multilevel"/>
    <w:tmpl w:val="D080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FA0DD3"/>
    <w:multiLevelType w:val="multilevel"/>
    <w:tmpl w:val="303C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FA0D5B"/>
    <w:multiLevelType w:val="multilevel"/>
    <w:tmpl w:val="0AF2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F83D2D"/>
    <w:multiLevelType w:val="hybridMultilevel"/>
    <w:tmpl w:val="23D863F2"/>
    <w:lvl w:ilvl="0" w:tplc="557493D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1041504">
    <w:abstractNumId w:val="4"/>
  </w:num>
  <w:num w:numId="2" w16cid:durableId="1505052417">
    <w:abstractNumId w:val="3"/>
  </w:num>
  <w:num w:numId="3" w16cid:durableId="1390766176">
    <w:abstractNumId w:val="1"/>
  </w:num>
  <w:num w:numId="4" w16cid:durableId="684945558">
    <w:abstractNumId w:val="0"/>
  </w:num>
  <w:num w:numId="5" w16cid:durableId="1834371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F28"/>
    <w:rsid w:val="00006BEA"/>
    <w:rsid w:val="00095CE0"/>
    <w:rsid w:val="001368BF"/>
    <w:rsid w:val="001665B9"/>
    <w:rsid w:val="001B3DE6"/>
    <w:rsid w:val="00277B7F"/>
    <w:rsid w:val="002A4070"/>
    <w:rsid w:val="00305F74"/>
    <w:rsid w:val="00380A1B"/>
    <w:rsid w:val="003952DA"/>
    <w:rsid w:val="003B17AE"/>
    <w:rsid w:val="00462297"/>
    <w:rsid w:val="00500418"/>
    <w:rsid w:val="00537102"/>
    <w:rsid w:val="00626353"/>
    <w:rsid w:val="00656305"/>
    <w:rsid w:val="00695FEE"/>
    <w:rsid w:val="006C7FCF"/>
    <w:rsid w:val="006D6256"/>
    <w:rsid w:val="00717ED1"/>
    <w:rsid w:val="00780158"/>
    <w:rsid w:val="007D45FA"/>
    <w:rsid w:val="008A6D81"/>
    <w:rsid w:val="008C00AB"/>
    <w:rsid w:val="00A33D5B"/>
    <w:rsid w:val="00B53EC3"/>
    <w:rsid w:val="00BC49B5"/>
    <w:rsid w:val="00BE6E22"/>
    <w:rsid w:val="00C032A2"/>
    <w:rsid w:val="00C95E30"/>
    <w:rsid w:val="00DD4ED3"/>
    <w:rsid w:val="00DD6EDD"/>
    <w:rsid w:val="00DF0B72"/>
    <w:rsid w:val="00DF3F28"/>
    <w:rsid w:val="00DF3FA1"/>
    <w:rsid w:val="00E7747B"/>
    <w:rsid w:val="00EA449F"/>
    <w:rsid w:val="00EE3C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47E2D"/>
  <w15:chartTrackingRefBased/>
  <w15:docId w15:val="{888D26CF-B495-42AC-9DE4-A0FA8E04B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F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3F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3F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3F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3F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3F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3F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3F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3F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F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3F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3F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3F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3F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3F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3F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3F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3F28"/>
    <w:rPr>
      <w:rFonts w:eastAsiaTheme="majorEastAsia" w:cstheme="majorBidi"/>
      <w:color w:val="272727" w:themeColor="text1" w:themeTint="D8"/>
    </w:rPr>
  </w:style>
  <w:style w:type="paragraph" w:styleId="Title">
    <w:name w:val="Title"/>
    <w:basedOn w:val="Normal"/>
    <w:next w:val="Normal"/>
    <w:link w:val="TitleChar"/>
    <w:uiPriority w:val="10"/>
    <w:qFormat/>
    <w:rsid w:val="00DF3F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F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3F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3F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3F28"/>
    <w:pPr>
      <w:spacing w:before="160"/>
      <w:jc w:val="center"/>
    </w:pPr>
    <w:rPr>
      <w:i/>
      <w:iCs/>
      <w:color w:val="404040" w:themeColor="text1" w:themeTint="BF"/>
    </w:rPr>
  </w:style>
  <w:style w:type="character" w:customStyle="1" w:styleId="QuoteChar">
    <w:name w:val="Quote Char"/>
    <w:basedOn w:val="DefaultParagraphFont"/>
    <w:link w:val="Quote"/>
    <w:uiPriority w:val="29"/>
    <w:rsid w:val="00DF3F28"/>
    <w:rPr>
      <w:i/>
      <w:iCs/>
      <w:color w:val="404040" w:themeColor="text1" w:themeTint="BF"/>
    </w:rPr>
  </w:style>
  <w:style w:type="paragraph" w:styleId="ListParagraph">
    <w:name w:val="List Paragraph"/>
    <w:basedOn w:val="Normal"/>
    <w:uiPriority w:val="34"/>
    <w:qFormat/>
    <w:rsid w:val="00DF3F28"/>
    <w:pPr>
      <w:ind w:left="720"/>
      <w:contextualSpacing/>
    </w:pPr>
  </w:style>
  <w:style w:type="character" w:styleId="IntenseEmphasis">
    <w:name w:val="Intense Emphasis"/>
    <w:basedOn w:val="DefaultParagraphFont"/>
    <w:uiPriority w:val="21"/>
    <w:qFormat/>
    <w:rsid w:val="00DF3F28"/>
    <w:rPr>
      <w:i/>
      <w:iCs/>
      <w:color w:val="0F4761" w:themeColor="accent1" w:themeShade="BF"/>
    </w:rPr>
  </w:style>
  <w:style w:type="paragraph" w:styleId="IntenseQuote">
    <w:name w:val="Intense Quote"/>
    <w:basedOn w:val="Normal"/>
    <w:next w:val="Normal"/>
    <w:link w:val="IntenseQuoteChar"/>
    <w:uiPriority w:val="30"/>
    <w:qFormat/>
    <w:rsid w:val="00DF3F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3F28"/>
    <w:rPr>
      <w:i/>
      <w:iCs/>
      <w:color w:val="0F4761" w:themeColor="accent1" w:themeShade="BF"/>
    </w:rPr>
  </w:style>
  <w:style w:type="character" w:styleId="IntenseReference">
    <w:name w:val="Intense Reference"/>
    <w:basedOn w:val="DefaultParagraphFont"/>
    <w:uiPriority w:val="32"/>
    <w:qFormat/>
    <w:rsid w:val="00DF3F28"/>
    <w:rPr>
      <w:b/>
      <w:bCs/>
      <w:smallCaps/>
      <w:color w:val="0F4761" w:themeColor="accent1" w:themeShade="BF"/>
      <w:spacing w:val="5"/>
    </w:rPr>
  </w:style>
  <w:style w:type="character" w:styleId="Hyperlink">
    <w:name w:val="Hyperlink"/>
    <w:basedOn w:val="DefaultParagraphFont"/>
    <w:uiPriority w:val="99"/>
    <w:unhideWhenUsed/>
    <w:rsid w:val="002A4070"/>
    <w:rPr>
      <w:color w:val="467886" w:themeColor="hyperlink"/>
      <w:u w:val="single"/>
    </w:rPr>
  </w:style>
  <w:style w:type="character" w:styleId="UnresolvedMention">
    <w:name w:val="Unresolved Mention"/>
    <w:basedOn w:val="DefaultParagraphFont"/>
    <w:uiPriority w:val="99"/>
    <w:semiHidden/>
    <w:unhideWhenUsed/>
    <w:rsid w:val="002A4070"/>
    <w:rPr>
      <w:color w:val="605E5C"/>
      <w:shd w:val="clear" w:color="auto" w:fill="E1DFDD"/>
    </w:rPr>
  </w:style>
  <w:style w:type="character" w:styleId="FollowedHyperlink">
    <w:name w:val="FollowedHyperlink"/>
    <w:basedOn w:val="DefaultParagraphFont"/>
    <w:uiPriority w:val="99"/>
    <w:semiHidden/>
    <w:unhideWhenUsed/>
    <w:rsid w:val="002A407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140097">
      <w:bodyDiv w:val="1"/>
      <w:marLeft w:val="0"/>
      <w:marRight w:val="0"/>
      <w:marTop w:val="0"/>
      <w:marBottom w:val="0"/>
      <w:divBdr>
        <w:top w:val="none" w:sz="0" w:space="0" w:color="auto"/>
        <w:left w:val="none" w:sz="0" w:space="0" w:color="auto"/>
        <w:bottom w:val="none" w:sz="0" w:space="0" w:color="auto"/>
        <w:right w:val="none" w:sz="0" w:space="0" w:color="auto"/>
      </w:divBdr>
    </w:div>
    <w:div w:id="530605527">
      <w:bodyDiv w:val="1"/>
      <w:marLeft w:val="0"/>
      <w:marRight w:val="0"/>
      <w:marTop w:val="0"/>
      <w:marBottom w:val="0"/>
      <w:divBdr>
        <w:top w:val="none" w:sz="0" w:space="0" w:color="auto"/>
        <w:left w:val="none" w:sz="0" w:space="0" w:color="auto"/>
        <w:bottom w:val="none" w:sz="0" w:space="0" w:color="auto"/>
        <w:right w:val="none" w:sz="0" w:space="0" w:color="auto"/>
      </w:divBdr>
    </w:div>
    <w:div w:id="575089321">
      <w:bodyDiv w:val="1"/>
      <w:marLeft w:val="0"/>
      <w:marRight w:val="0"/>
      <w:marTop w:val="0"/>
      <w:marBottom w:val="0"/>
      <w:divBdr>
        <w:top w:val="none" w:sz="0" w:space="0" w:color="auto"/>
        <w:left w:val="none" w:sz="0" w:space="0" w:color="auto"/>
        <w:bottom w:val="none" w:sz="0" w:space="0" w:color="auto"/>
        <w:right w:val="none" w:sz="0" w:space="0" w:color="auto"/>
      </w:divBdr>
    </w:div>
    <w:div w:id="917135864">
      <w:bodyDiv w:val="1"/>
      <w:marLeft w:val="0"/>
      <w:marRight w:val="0"/>
      <w:marTop w:val="0"/>
      <w:marBottom w:val="0"/>
      <w:divBdr>
        <w:top w:val="none" w:sz="0" w:space="0" w:color="auto"/>
        <w:left w:val="none" w:sz="0" w:space="0" w:color="auto"/>
        <w:bottom w:val="none" w:sz="0" w:space="0" w:color="auto"/>
        <w:right w:val="none" w:sz="0" w:space="0" w:color="auto"/>
      </w:divBdr>
    </w:div>
    <w:div w:id="1120538072">
      <w:bodyDiv w:val="1"/>
      <w:marLeft w:val="0"/>
      <w:marRight w:val="0"/>
      <w:marTop w:val="0"/>
      <w:marBottom w:val="0"/>
      <w:divBdr>
        <w:top w:val="none" w:sz="0" w:space="0" w:color="auto"/>
        <w:left w:val="none" w:sz="0" w:space="0" w:color="auto"/>
        <w:bottom w:val="none" w:sz="0" w:space="0" w:color="auto"/>
        <w:right w:val="none" w:sz="0" w:space="0" w:color="auto"/>
      </w:divBdr>
    </w:div>
    <w:div w:id="1347099626">
      <w:bodyDiv w:val="1"/>
      <w:marLeft w:val="0"/>
      <w:marRight w:val="0"/>
      <w:marTop w:val="0"/>
      <w:marBottom w:val="0"/>
      <w:divBdr>
        <w:top w:val="none" w:sz="0" w:space="0" w:color="auto"/>
        <w:left w:val="none" w:sz="0" w:space="0" w:color="auto"/>
        <w:bottom w:val="none" w:sz="0" w:space="0" w:color="auto"/>
        <w:right w:val="none" w:sz="0" w:space="0" w:color="auto"/>
      </w:divBdr>
    </w:div>
    <w:div w:id="1375157608">
      <w:bodyDiv w:val="1"/>
      <w:marLeft w:val="0"/>
      <w:marRight w:val="0"/>
      <w:marTop w:val="0"/>
      <w:marBottom w:val="0"/>
      <w:divBdr>
        <w:top w:val="none" w:sz="0" w:space="0" w:color="auto"/>
        <w:left w:val="none" w:sz="0" w:space="0" w:color="auto"/>
        <w:bottom w:val="none" w:sz="0" w:space="0" w:color="auto"/>
        <w:right w:val="none" w:sz="0" w:space="0" w:color="auto"/>
      </w:divBdr>
    </w:div>
    <w:div w:id="1452823705">
      <w:bodyDiv w:val="1"/>
      <w:marLeft w:val="0"/>
      <w:marRight w:val="0"/>
      <w:marTop w:val="0"/>
      <w:marBottom w:val="0"/>
      <w:divBdr>
        <w:top w:val="none" w:sz="0" w:space="0" w:color="auto"/>
        <w:left w:val="none" w:sz="0" w:space="0" w:color="auto"/>
        <w:bottom w:val="none" w:sz="0" w:space="0" w:color="auto"/>
        <w:right w:val="none" w:sz="0" w:space="0" w:color="auto"/>
      </w:divBdr>
    </w:div>
    <w:div w:id="1543323122">
      <w:bodyDiv w:val="1"/>
      <w:marLeft w:val="0"/>
      <w:marRight w:val="0"/>
      <w:marTop w:val="0"/>
      <w:marBottom w:val="0"/>
      <w:divBdr>
        <w:top w:val="none" w:sz="0" w:space="0" w:color="auto"/>
        <w:left w:val="none" w:sz="0" w:space="0" w:color="auto"/>
        <w:bottom w:val="none" w:sz="0" w:space="0" w:color="auto"/>
        <w:right w:val="none" w:sz="0" w:space="0" w:color="auto"/>
      </w:divBdr>
    </w:div>
    <w:div w:id="1787501098">
      <w:bodyDiv w:val="1"/>
      <w:marLeft w:val="0"/>
      <w:marRight w:val="0"/>
      <w:marTop w:val="0"/>
      <w:marBottom w:val="0"/>
      <w:divBdr>
        <w:top w:val="none" w:sz="0" w:space="0" w:color="auto"/>
        <w:left w:val="none" w:sz="0" w:space="0" w:color="auto"/>
        <w:bottom w:val="none" w:sz="0" w:space="0" w:color="auto"/>
        <w:right w:val="none" w:sz="0" w:space="0" w:color="auto"/>
      </w:divBdr>
    </w:div>
    <w:div w:id="2010475208">
      <w:bodyDiv w:val="1"/>
      <w:marLeft w:val="0"/>
      <w:marRight w:val="0"/>
      <w:marTop w:val="0"/>
      <w:marBottom w:val="0"/>
      <w:divBdr>
        <w:top w:val="none" w:sz="0" w:space="0" w:color="auto"/>
        <w:left w:val="none" w:sz="0" w:space="0" w:color="auto"/>
        <w:bottom w:val="none" w:sz="0" w:space="0" w:color="auto"/>
        <w:right w:val="none" w:sz="0" w:space="0" w:color="auto"/>
      </w:divBdr>
    </w:div>
    <w:div w:id="207396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Erik-Erikson.html"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2079</Words>
  <Characters>11855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Spogmay Ahmadzai</dc:creator>
  <cp:keywords/>
  <dc:description/>
  <cp:lastModifiedBy>Spogmay Ahmadzai</cp:lastModifiedBy>
  <cp:revision>2</cp:revision>
  <dcterms:created xsi:type="dcterms:W3CDTF">2025-12-19T13:02:00Z</dcterms:created>
  <dcterms:modified xsi:type="dcterms:W3CDTF">2025-12-19T13:02:00Z</dcterms:modified>
</cp:coreProperties>
</file>