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90C8B70" w:rsidP="465066A6" w:rsidRDefault="090C8B70" w14:paraId="02413686" w14:textId="12B416EA">
      <w:pPr>
        <w:pStyle w:val="Normal"/>
        <w:spacing w:before="200" w:beforeAutospacing="off" w:after="0" w:afterAutospacing="off" w:line="216" w:lineRule="auto"/>
        <w:ind w:left="0" w:right="-20"/>
        <w:jc w:val="center"/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</w:pP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Ystyriwch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y 3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egwyddor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addysgegol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a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amlinellir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uchod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.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Trafodwch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yr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egwyddorion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hyn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mewn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perthynas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ag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arferion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mewn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addysg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,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gan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ddangos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dealltwriaeth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gadarn,nodi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cryfderau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a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meysydd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i’w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datblygu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ar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gyfer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pob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egwyddor</w:t>
      </w:r>
      <w:r w:rsidRPr="2FA1D867" w:rsidR="1AA57D3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.</w:t>
      </w:r>
    </w:p>
    <w:p w:rsidR="465066A6" w:rsidP="465066A6" w:rsidRDefault="465066A6" w14:paraId="598071F8" w14:textId="6B3ACFC6">
      <w:pPr>
        <w:pStyle w:val="Normal"/>
        <w:spacing w:before="200" w:beforeAutospacing="off" w:after="0" w:afterAutospacing="off" w:line="216" w:lineRule="auto"/>
        <w:ind w:left="0" w:right="-20"/>
        <w:jc w:val="center"/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9360"/>
      </w:tblGrid>
      <w:tr w:rsidR="465066A6" w:rsidTr="465066A6" w14:paraId="565E60C7">
        <w:trPr>
          <w:trHeight w:val="300"/>
        </w:trPr>
        <w:tc>
          <w:tcPr>
            <w:tcW w:w="9360" w:type="dxa"/>
            <w:tcMar>
              <w:left w:w="105" w:type="dxa"/>
              <w:right w:w="105" w:type="dxa"/>
            </w:tcMar>
            <w:vAlign w:val="top"/>
          </w:tcPr>
          <w:p w:rsidR="465066A6" w:rsidP="465066A6" w:rsidRDefault="465066A6" w14:paraId="23CB98AF" w14:textId="621E82D7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65066A6" w:rsidR="465066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>Targedau</w:t>
            </w:r>
          </w:p>
        </w:tc>
      </w:tr>
      <w:tr w:rsidR="465066A6" w:rsidTr="465066A6" w14:paraId="245521F6">
        <w:trPr>
          <w:trHeight w:val="300"/>
        </w:trPr>
        <w:tc>
          <w:tcPr>
            <w:tcW w:w="9360" w:type="dxa"/>
            <w:tcMar>
              <w:left w:w="105" w:type="dxa"/>
              <w:right w:w="105" w:type="dxa"/>
            </w:tcMar>
            <w:vAlign w:val="top"/>
          </w:tcPr>
          <w:p w:rsidR="465066A6" w:rsidP="465066A6" w:rsidRDefault="465066A6" w14:paraId="4AED5678" w14:textId="1B0E14F3">
            <w:pPr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1"/>
                <w:szCs w:val="21"/>
              </w:rPr>
            </w:pPr>
            <w:r w:rsidRPr="465066A6" w:rsidR="465066A6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283041"/>
                <w:sz w:val="21"/>
                <w:szCs w:val="21"/>
                <w:u w:val="none"/>
                <w:lang w:val="cy-GB"/>
              </w:rPr>
              <w:t>1)  I ddarllen yn ehangach er mwyn cefnogi dy safbwyntiau gyda thystiolaeth gadarn a chredadwy</w:t>
            </w:r>
          </w:p>
        </w:tc>
      </w:tr>
      <w:tr w:rsidR="465066A6" w:rsidTr="465066A6" w14:paraId="4BF67674">
        <w:trPr>
          <w:trHeight w:val="300"/>
        </w:trPr>
        <w:tc>
          <w:tcPr>
            <w:tcW w:w="9360" w:type="dxa"/>
            <w:tcMar>
              <w:left w:w="105" w:type="dxa"/>
              <w:right w:w="105" w:type="dxa"/>
            </w:tcMar>
            <w:vAlign w:val="top"/>
          </w:tcPr>
          <w:p w:rsidR="465066A6" w:rsidP="465066A6" w:rsidRDefault="465066A6" w14:paraId="47AC9DE3" w14:textId="2A89BB9E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1"/>
                <w:szCs w:val="21"/>
              </w:rPr>
            </w:pPr>
            <w:r w:rsidRPr="465066A6" w:rsidR="465066A6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283041"/>
                <w:sz w:val="21"/>
                <w:szCs w:val="21"/>
                <w:u w:val="none"/>
                <w:lang w:val="cy-GB"/>
              </w:rPr>
              <w:t>2) Ail edrych ar ganllawiau Harvard er mwyn cyfeirnodi'n gywir o fewn dy waith.</w:t>
            </w:r>
          </w:p>
        </w:tc>
      </w:tr>
      <w:tr w:rsidR="465066A6" w:rsidTr="465066A6" w14:paraId="6BE3B608">
        <w:trPr>
          <w:trHeight w:val="300"/>
        </w:trPr>
        <w:tc>
          <w:tcPr>
            <w:tcW w:w="9360" w:type="dxa"/>
            <w:tcMar>
              <w:left w:w="105" w:type="dxa"/>
              <w:right w:w="105" w:type="dxa"/>
            </w:tcMar>
            <w:vAlign w:val="top"/>
          </w:tcPr>
          <w:p w:rsidR="465066A6" w:rsidP="465066A6" w:rsidRDefault="465066A6" w14:paraId="2215D227" w14:textId="178C4C41">
            <w:pPr>
              <w:shd w:val="clear" w:color="auto" w:fill="FFFFFF" w:themeFill="background1"/>
              <w:spacing w:before="0" w:beforeAutospacing="off" w:after="0" w:afterAutospacing="off"/>
              <w:jc w:val="left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1"/>
                <w:szCs w:val="21"/>
              </w:rPr>
            </w:pPr>
            <w:r w:rsidRPr="465066A6" w:rsidR="465066A6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283041"/>
                <w:sz w:val="21"/>
                <w:szCs w:val="21"/>
                <w:u w:val="none"/>
                <w:lang w:val="cy-GB"/>
              </w:rPr>
              <w:t>3) I brawf ddarllen dy waith er mwyn sicrhau llif brawddegau a bod ymadroddion yn cyfleu ystyr yn union fel yr wyt yn dymuno.</w:t>
            </w:r>
          </w:p>
        </w:tc>
      </w:tr>
    </w:tbl>
    <w:p w:rsidR="465066A6" w:rsidP="2375A4FB" w:rsidRDefault="465066A6" w14:paraId="14B254E0" w14:textId="43140AA7">
      <w:pPr>
        <w:pStyle w:val="Normal"/>
        <w:spacing w:before="200" w:beforeAutospacing="off" w:after="0" w:afterAutospacing="off" w:line="216" w:lineRule="auto"/>
        <w:ind w:left="0" w:right="-20"/>
        <w:jc w:val="center"/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single"/>
        </w:rPr>
      </w:pPr>
    </w:p>
    <w:p w:rsidR="68BD312F" w:rsidP="2375A4FB" w:rsidRDefault="68BD312F" w14:paraId="42483C8A" w14:textId="42163D2A">
      <w:pPr>
        <w:pStyle w:val="Normal"/>
        <w:rPr>
          <w:rFonts w:ascii="Calibri" w:hAnsi="Calibri" w:eastAsia="Calibri" w:cs="Calibri"/>
          <w:sz w:val="22"/>
          <w:szCs w:val="22"/>
        </w:rPr>
      </w:pPr>
      <w:r w:rsidRPr="2375A4FB" w:rsidR="68BD312F">
        <w:rPr>
          <w:rFonts w:ascii="Calibri" w:hAnsi="Calibri" w:eastAsia="Calibri" w:cs="Calibri"/>
          <w:sz w:val="22"/>
          <w:szCs w:val="22"/>
        </w:rPr>
        <w:t xml:space="preserve">David </w:t>
      </w:r>
      <w:r w:rsidRPr="2375A4FB" w:rsidR="68BD312F">
        <w:rPr>
          <w:rFonts w:ascii="Calibri" w:hAnsi="Calibri" w:eastAsia="Calibri" w:cs="Calibri"/>
          <w:sz w:val="22"/>
          <w:szCs w:val="22"/>
        </w:rPr>
        <w:t>Donaldson</w:t>
      </w:r>
      <w:r w:rsidRPr="2375A4FB" w:rsidR="68BD312F">
        <w:rPr>
          <w:rFonts w:ascii="Calibri" w:hAnsi="Calibri" w:eastAsia="Calibri" w:cs="Calibri"/>
          <w:sz w:val="22"/>
          <w:szCs w:val="22"/>
        </w:rPr>
        <w:t xml:space="preserve"> oedd y cyntaf i ymwneud â'r cwricwlwm Cymreig yn gynnar yn y “2000au”. Cafodd ei gomisiynu gan Lywodraeth Cymru i gynnal adolygiad o addysg ddwyieithog yng Nghymru a gwneud argymhellion ar gyfer gwella ansawdd addysg Gymraeg. Arweiniodd hyn at gyhoeddi Adroddiad </w:t>
      </w:r>
      <w:r w:rsidRPr="2375A4FB" w:rsidR="68BD312F">
        <w:rPr>
          <w:rFonts w:ascii="Calibri" w:hAnsi="Calibri" w:eastAsia="Calibri" w:cs="Calibri"/>
          <w:sz w:val="22"/>
          <w:szCs w:val="22"/>
        </w:rPr>
        <w:t>Donaldson</w:t>
      </w:r>
      <w:r w:rsidRPr="2375A4FB" w:rsidR="68BD312F">
        <w:rPr>
          <w:rFonts w:ascii="Calibri" w:hAnsi="Calibri" w:eastAsia="Calibri" w:cs="Calibri"/>
          <w:sz w:val="22"/>
          <w:szCs w:val="22"/>
        </w:rPr>
        <w:t xml:space="preserve"> yn 2004, a wnaeth argymhellion sylweddol ar gyfer diwygio'r cwricwlwm, yr asesiad a'r hyfforddiant yng Nghymru</w:t>
      </w:r>
      <w:r w:rsidRPr="2375A4FB" w:rsidR="42143CCC">
        <w:rPr>
          <w:rFonts w:ascii="Calibri" w:hAnsi="Calibri" w:eastAsia="Calibri" w:cs="Calibri"/>
          <w:sz w:val="22"/>
          <w:szCs w:val="22"/>
        </w:rPr>
        <w:t xml:space="preserve"> (Llywodraeth Cymru, 2022)</w:t>
      </w:r>
      <w:r w:rsidRPr="2375A4FB" w:rsidR="68BD312F">
        <w:rPr>
          <w:rFonts w:ascii="Calibri" w:hAnsi="Calibri" w:eastAsia="Calibri" w:cs="Calibri"/>
          <w:sz w:val="22"/>
          <w:szCs w:val="22"/>
        </w:rPr>
        <w:t xml:space="preserve">. </w:t>
      </w:r>
      <w:r w:rsidRPr="2375A4FB" w:rsidR="5298BD32">
        <w:rPr>
          <w:rFonts w:ascii="Calibri" w:hAnsi="Calibri" w:eastAsia="Calibri" w:cs="Calibri"/>
          <w:sz w:val="22"/>
          <w:szCs w:val="22"/>
        </w:rPr>
        <w:t>Roedd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yr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hen </w:t>
      </w:r>
      <w:r w:rsidRPr="2375A4FB" w:rsidR="5298BD32">
        <w:rPr>
          <w:rFonts w:ascii="Calibri" w:hAnsi="Calibri" w:eastAsia="Calibri" w:cs="Calibri"/>
          <w:sz w:val="22"/>
          <w:szCs w:val="22"/>
        </w:rPr>
        <w:t>gwricwlwm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yng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Nghymru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, </w:t>
      </w:r>
      <w:r w:rsidRPr="2375A4FB" w:rsidR="5298BD32">
        <w:rPr>
          <w:rFonts w:ascii="Calibri" w:hAnsi="Calibri" w:eastAsia="Calibri" w:cs="Calibri"/>
          <w:sz w:val="22"/>
          <w:szCs w:val="22"/>
        </w:rPr>
        <w:t>a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oedd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yn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seiliedig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ar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Gwricwlwm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Cenedlaethol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Lloegr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, </w:t>
      </w:r>
      <w:r w:rsidRPr="2375A4FB" w:rsidR="5298BD32">
        <w:rPr>
          <w:rFonts w:ascii="Calibri" w:hAnsi="Calibri" w:eastAsia="Calibri" w:cs="Calibri"/>
          <w:sz w:val="22"/>
          <w:szCs w:val="22"/>
        </w:rPr>
        <w:t>yn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wynebu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sawl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0CF4B6C4">
        <w:rPr>
          <w:rFonts w:ascii="Calibri" w:hAnsi="Calibri" w:eastAsia="Calibri" w:cs="Calibri"/>
          <w:sz w:val="22"/>
          <w:szCs w:val="22"/>
        </w:rPr>
        <w:t>problemau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. Yn </w:t>
      </w:r>
      <w:r w:rsidRPr="2375A4FB" w:rsidR="5298BD32">
        <w:rPr>
          <w:rFonts w:ascii="Calibri" w:hAnsi="Calibri" w:eastAsia="Calibri" w:cs="Calibri"/>
          <w:sz w:val="22"/>
          <w:szCs w:val="22"/>
        </w:rPr>
        <w:t>gyntaf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, </w:t>
      </w:r>
      <w:r w:rsidRPr="2375A4FB" w:rsidR="5298BD32">
        <w:rPr>
          <w:rFonts w:ascii="Calibri" w:hAnsi="Calibri" w:eastAsia="Calibri" w:cs="Calibri"/>
          <w:sz w:val="22"/>
          <w:szCs w:val="22"/>
        </w:rPr>
        <w:t>nid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oedd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yn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cydnabod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cyd-destun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diwylliannol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ac </w:t>
      </w:r>
      <w:r w:rsidRPr="2375A4FB" w:rsidR="5298BD32">
        <w:rPr>
          <w:rFonts w:ascii="Calibri" w:hAnsi="Calibri" w:eastAsia="Calibri" w:cs="Calibri"/>
          <w:sz w:val="22"/>
          <w:szCs w:val="22"/>
        </w:rPr>
        <w:t>ieithyddol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unigryw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Cymru </w:t>
      </w:r>
      <w:r w:rsidRPr="2375A4FB" w:rsidR="5298BD32">
        <w:rPr>
          <w:rFonts w:ascii="Calibri" w:hAnsi="Calibri" w:eastAsia="Calibri" w:cs="Calibri"/>
          <w:sz w:val="22"/>
          <w:szCs w:val="22"/>
        </w:rPr>
        <w:t>yn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llawn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, </w:t>
      </w:r>
      <w:r w:rsidRPr="2375A4FB" w:rsidR="5298BD32">
        <w:rPr>
          <w:rFonts w:ascii="Calibri" w:hAnsi="Calibri" w:eastAsia="Calibri" w:cs="Calibri"/>
          <w:sz w:val="22"/>
          <w:szCs w:val="22"/>
        </w:rPr>
        <w:t>gan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arwain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at </w:t>
      </w:r>
      <w:r w:rsidRPr="2375A4FB" w:rsidR="5298BD32">
        <w:rPr>
          <w:rFonts w:ascii="Calibri" w:hAnsi="Calibri" w:eastAsia="Calibri" w:cs="Calibri"/>
          <w:sz w:val="22"/>
          <w:szCs w:val="22"/>
        </w:rPr>
        <w:t>ymdeimlad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o </w:t>
      </w:r>
      <w:r w:rsidRPr="2375A4FB" w:rsidR="5298BD32">
        <w:rPr>
          <w:rFonts w:ascii="Calibri" w:hAnsi="Calibri" w:eastAsia="Calibri" w:cs="Calibri"/>
          <w:sz w:val="22"/>
          <w:szCs w:val="22"/>
        </w:rPr>
        <w:t>ddatgysylltiad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rhwng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dysgwyr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a'r</w:t>
      </w:r>
      <w:r w:rsidRPr="2375A4FB" w:rsidR="5298BD32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5298BD32">
        <w:rPr>
          <w:rFonts w:ascii="Calibri" w:hAnsi="Calibri" w:eastAsia="Calibri" w:cs="Calibri"/>
          <w:sz w:val="22"/>
          <w:szCs w:val="22"/>
        </w:rPr>
        <w:t>cwricwlwm</w:t>
      </w:r>
      <w:r w:rsidRPr="2375A4FB" w:rsidR="5298BD32">
        <w:rPr>
          <w:rFonts w:ascii="Calibri" w:hAnsi="Calibri" w:eastAsia="Calibri" w:cs="Calibri"/>
          <w:sz w:val="22"/>
          <w:szCs w:val="22"/>
        </w:rPr>
        <w:t>.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Yn </w:t>
      </w:r>
      <w:r w:rsidRPr="2375A4FB" w:rsidR="22B9E18F">
        <w:rPr>
          <w:rFonts w:ascii="Calibri" w:hAnsi="Calibri" w:eastAsia="Calibri" w:cs="Calibri"/>
          <w:sz w:val="22"/>
          <w:szCs w:val="22"/>
        </w:rPr>
        <w:t>ail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, </w:t>
      </w:r>
      <w:r w:rsidRPr="2375A4FB" w:rsidR="22B9E18F">
        <w:rPr>
          <w:rFonts w:ascii="Calibri" w:hAnsi="Calibri" w:eastAsia="Calibri" w:cs="Calibri"/>
          <w:sz w:val="22"/>
          <w:szCs w:val="22"/>
        </w:rPr>
        <w:t>roedd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pryderon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am </w:t>
      </w:r>
      <w:r w:rsidRPr="2375A4FB" w:rsidR="22B9E18F">
        <w:rPr>
          <w:rFonts w:ascii="Calibri" w:hAnsi="Calibri" w:eastAsia="Calibri" w:cs="Calibri"/>
          <w:sz w:val="22"/>
          <w:szCs w:val="22"/>
        </w:rPr>
        <w:t>ddiffyg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dilyniant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a </w:t>
      </w:r>
      <w:r w:rsidRPr="2375A4FB" w:rsidR="22B9E18F">
        <w:rPr>
          <w:rFonts w:ascii="Calibri" w:hAnsi="Calibri" w:eastAsia="Calibri" w:cs="Calibri"/>
          <w:sz w:val="22"/>
          <w:szCs w:val="22"/>
        </w:rPr>
        <w:t>chydlyniad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ar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draws </w:t>
      </w:r>
      <w:r w:rsidRPr="2375A4FB" w:rsidR="22B9E18F">
        <w:rPr>
          <w:rFonts w:ascii="Calibri" w:hAnsi="Calibri" w:eastAsia="Calibri" w:cs="Calibri"/>
          <w:sz w:val="22"/>
          <w:szCs w:val="22"/>
        </w:rPr>
        <w:t>cyfnodau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allweddol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, </w:t>
      </w:r>
      <w:r w:rsidRPr="2375A4FB" w:rsidR="22B9E18F">
        <w:rPr>
          <w:rFonts w:ascii="Calibri" w:hAnsi="Calibri" w:eastAsia="Calibri" w:cs="Calibri"/>
          <w:sz w:val="22"/>
          <w:szCs w:val="22"/>
        </w:rPr>
        <w:t>yn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enwedig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wrth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addysgu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pynciau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sylfaen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Cymraeg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a </w:t>
      </w:r>
      <w:r w:rsidRPr="2375A4FB" w:rsidR="22B9E18F">
        <w:rPr>
          <w:rFonts w:ascii="Calibri" w:hAnsi="Calibri" w:eastAsia="Calibri" w:cs="Calibri"/>
          <w:sz w:val="22"/>
          <w:szCs w:val="22"/>
        </w:rPr>
        <w:t>phynciau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sylfaen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eraill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. Yn </w:t>
      </w:r>
      <w:r w:rsidRPr="2375A4FB" w:rsidR="22B9E18F">
        <w:rPr>
          <w:rFonts w:ascii="Calibri" w:hAnsi="Calibri" w:eastAsia="Calibri" w:cs="Calibri"/>
          <w:sz w:val="22"/>
          <w:szCs w:val="22"/>
        </w:rPr>
        <w:t>drydydd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, </w:t>
      </w:r>
      <w:r w:rsidRPr="2375A4FB" w:rsidR="22B9E18F">
        <w:rPr>
          <w:rFonts w:ascii="Calibri" w:hAnsi="Calibri" w:eastAsia="Calibri" w:cs="Calibri"/>
          <w:sz w:val="22"/>
          <w:szCs w:val="22"/>
        </w:rPr>
        <w:t>gwelwyd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3E1BD943">
        <w:rPr>
          <w:rFonts w:ascii="Calibri" w:hAnsi="Calibri" w:eastAsia="Calibri" w:cs="Calibri"/>
          <w:sz w:val="22"/>
          <w:szCs w:val="22"/>
        </w:rPr>
        <w:t>gôr-bwyslais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ar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bynciau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academaidd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ar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draul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dysgu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galwedigaethol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a </w:t>
      </w:r>
      <w:r w:rsidRPr="2375A4FB" w:rsidR="22B9E18F">
        <w:rPr>
          <w:rFonts w:ascii="Calibri" w:hAnsi="Calibri" w:eastAsia="Calibri" w:cs="Calibri"/>
          <w:sz w:val="22"/>
          <w:szCs w:val="22"/>
        </w:rPr>
        <w:t>seiliedig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ar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sgiliau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, </w:t>
      </w:r>
      <w:r w:rsidRPr="2375A4FB" w:rsidR="22B9E18F">
        <w:rPr>
          <w:rFonts w:ascii="Calibri" w:hAnsi="Calibri" w:eastAsia="Calibri" w:cs="Calibri"/>
          <w:sz w:val="22"/>
          <w:szCs w:val="22"/>
        </w:rPr>
        <w:t>nad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oedd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bob </w:t>
      </w:r>
      <w:r w:rsidRPr="2375A4FB" w:rsidR="22B9E18F">
        <w:rPr>
          <w:rFonts w:ascii="Calibri" w:hAnsi="Calibri" w:eastAsia="Calibri" w:cs="Calibri"/>
          <w:sz w:val="22"/>
          <w:szCs w:val="22"/>
        </w:rPr>
        <w:t>amser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yn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cyd-fynd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ag </w:t>
      </w:r>
      <w:r w:rsidRPr="2375A4FB" w:rsidR="22B9E18F">
        <w:rPr>
          <w:rFonts w:ascii="Calibri" w:hAnsi="Calibri" w:eastAsia="Calibri" w:cs="Calibri"/>
          <w:sz w:val="22"/>
          <w:szCs w:val="22"/>
        </w:rPr>
        <w:t>anghenion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economi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Cymru</w:t>
      </w:r>
      <w:r w:rsidRPr="2375A4FB" w:rsidR="1DFFC910">
        <w:rPr>
          <w:rFonts w:ascii="Calibri" w:hAnsi="Calibri" w:eastAsia="Calibri" w:cs="Calibri"/>
          <w:sz w:val="22"/>
          <w:szCs w:val="22"/>
        </w:rPr>
        <w:t xml:space="preserve"> (Llywodraeth Cymru, 2022)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. Yn </w:t>
      </w:r>
      <w:r w:rsidRPr="2375A4FB" w:rsidR="22B9E18F">
        <w:rPr>
          <w:rFonts w:ascii="Calibri" w:hAnsi="Calibri" w:eastAsia="Calibri" w:cs="Calibri"/>
          <w:sz w:val="22"/>
          <w:szCs w:val="22"/>
        </w:rPr>
        <w:t>olaf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, </w:t>
      </w:r>
      <w:r w:rsidRPr="2375A4FB" w:rsidR="22B9E18F">
        <w:rPr>
          <w:rFonts w:ascii="Calibri" w:hAnsi="Calibri" w:eastAsia="Calibri" w:cs="Calibri"/>
          <w:sz w:val="22"/>
          <w:szCs w:val="22"/>
        </w:rPr>
        <w:t>roedd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problemau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gydag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asesu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ac </w:t>
      </w:r>
      <w:r w:rsidRPr="2375A4FB" w:rsidR="22B9E18F">
        <w:rPr>
          <w:rFonts w:ascii="Calibri" w:hAnsi="Calibri" w:eastAsia="Calibri" w:cs="Calibri"/>
          <w:sz w:val="22"/>
          <w:szCs w:val="22"/>
        </w:rPr>
        <w:t>atebolrwydd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, </w:t>
      </w:r>
      <w:r w:rsidRPr="2375A4FB" w:rsidR="22B9E18F">
        <w:rPr>
          <w:rFonts w:ascii="Calibri" w:hAnsi="Calibri" w:eastAsia="Calibri" w:cs="Calibri"/>
          <w:sz w:val="22"/>
          <w:szCs w:val="22"/>
        </w:rPr>
        <w:t>a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oedd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yn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cael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eu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hystyried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yn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or-</w:t>
      </w:r>
      <w:r w:rsidRPr="2375A4FB" w:rsidR="22B9E18F">
        <w:rPr>
          <w:rFonts w:ascii="Calibri" w:hAnsi="Calibri" w:eastAsia="Calibri" w:cs="Calibri"/>
          <w:sz w:val="22"/>
          <w:szCs w:val="22"/>
        </w:rPr>
        <w:t>rhagnodol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ac </w:t>
      </w:r>
      <w:r w:rsidRPr="2375A4FB" w:rsidR="22B9E18F">
        <w:rPr>
          <w:rFonts w:ascii="Calibri" w:hAnsi="Calibri" w:eastAsia="Calibri" w:cs="Calibri"/>
          <w:sz w:val="22"/>
          <w:szCs w:val="22"/>
        </w:rPr>
        <w:t>nad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oeddent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yn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ymateb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i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anghenion</w:t>
      </w:r>
      <w:r w:rsidRPr="2375A4FB" w:rsidR="22B9E18F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22B9E18F">
        <w:rPr>
          <w:rFonts w:ascii="Calibri" w:hAnsi="Calibri" w:eastAsia="Calibri" w:cs="Calibri"/>
          <w:sz w:val="22"/>
          <w:szCs w:val="22"/>
        </w:rPr>
        <w:t>lleol</w:t>
      </w:r>
      <w:r w:rsidRPr="2375A4FB" w:rsidR="22B9E18F">
        <w:rPr>
          <w:rFonts w:ascii="Calibri" w:hAnsi="Calibri" w:eastAsia="Calibri" w:cs="Calibri"/>
          <w:sz w:val="22"/>
          <w:szCs w:val="22"/>
        </w:rPr>
        <w:t>.</w:t>
      </w:r>
      <w:r w:rsidRPr="2375A4FB" w:rsidR="7235A09D">
        <w:rPr>
          <w:rFonts w:ascii="Calibri" w:hAnsi="Calibri" w:eastAsia="Calibri" w:cs="Calibri"/>
          <w:sz w:val="22"/>
          <w:szCs w:val="22"/>
        </w:rPr>
        <w:t xml:space="preserve"> Er nad ydynt wedi gwneud sylwadau penodol ar y cwricwla hen neu newydd, mae</w:t>
      </w:r>
      <w:r w:rsidRPr="2375A4FB" w:rsidR="6681DC3B">
        <w:rPr>
          <w:rFonts w:ascii="Calibri" w:hAnsi="Calibri" w:eastAsia="Calibri" w:cs="Calibri"/>
          <w:sz w:val="22"/>
          <w:szCs w:val="22"/>
        </w:rPr>
        <w:t xml:space="preserve"> Estyn (2019)</w:t>
      </w:r>
      <w:r w:rsidRPr="2375A4FB" w:rsidR="7235A09D">
        <w:rPr>
          <w:rFonts w:ascii="Calibri" w:hAnsi="Calibri" w:eastAsia="Calibri" w:cs="Calibri"/>
          <w:sz w:val="22"/>
          <w:szCs w:val="22"/>
        </w:rPr>
        <w:t xml:space="preserve"> wedi gwneud rhai sylwadau cyffredinol am gryfderau a meysydd i'w gwella yn addysg Cymru. Er enghraifft, </w:t>
      </w:r>
      <w:r w:rsidRPr="2375A4FB" w:rsidR="75C0CE9B">
        <w:rPr>
          <w:rFonts w:ascii="Calibri" w:hAnsi="Calibri" w:eastAsia="Calibri" w:cs="Calibri"/>
          <w:sz w:val="22"/>
          <w:szCs w:val="22"/>
        </w:rPr>
        <w:t>yn yr adroddiad</w:t>
      </w:r>
      <w:r w:rsidRPr="2375A4FB" w:rsidR="7235A09D">
        <w:rPr>
          <w:rFonts w:ascii="Calibri" w:hAnsi="Calibri" w:eastAsia="Calibri" w:cs="Calibri"/>
          <w:sz w:val="22"/>
          <w:szCs w:val="22"/>
        </w:rPr>
        <w:t xml:space="preserve">, tynnodd sylw at yr angen am ddull mwy cydlynol o ymdrin ag addysg ddwyieithog a chefnogaeth well i athrawon wrth weithredu'r cwricwlwm Cymraeg. </w:t>
      </w:r>
      <w:r w:rsidRPr="2375A4FB" w:rsidR="0C563E02">
        <w:rPr>
          <w:rFonts w:ascii="Calibri" w:hAnsi="Calibri" w:eastAsia="Calibri" w:cs="Calibri"/>
          <w:sz w:val="22"/>
          <w:szCs w:val="22"/>
        </w:rPr>
        <w:t>Roeddent hefyd yn pwysleisio pwysigrwydd sicrhau bod pob dysgwr yn cael mynediad at ofal, cefnogaeth a phrofiadau dysgu o ansawdd uchel</w:t>
      </w:r>
      <w:r w:rsidRPr="2375A4FB" w:rsidR="0AC65EDB">
        <w:rPr>
          <w:rFonts w:ascii="Calibri" w:hAnsi="Calibri" w:eastAsia="Calibri" w:cs="Calibri"/>
          <w:sz w:val="22"/>
          <w:szCs w:val="22"/>
        </w:rPr>
        <w:t xml:space="preserve"> sy'n </w:t>
      </w:r>
      <w:r w:rsidRPr="2375A4FB" w:rsidR="3B226A86">
        <w:rPr>
          <w:rFonts w:ascii="Calibri" w:hAnsi="Calibri" w:eastAsia="Calibri" w:cs="Calibri"/>
          <w:sz w:val="22"/>
          <w:szCs w:val="22"/>
        </w:rPr>
        <w:t>cydlynu</w:t>
      </w:r>
      <w:r w:rsidRPr="2375A4FB" w:rsidR="0AC65EDB">
        <w:rPr>
          <w:rFonts w:ascii="Calibri" w:hAnsi="Calibri" w:eastAsia="Calibri" w:cs="Calibri"/>
          <w:sz w:val="22"/>
          <w:szCs w:val="22"/>
        </w:rPr>
        <w:t xml:space="preserve"> gyda ymchwil </w:t>
      </w:r>
      <w:r w:rsidRPr="2375A4FB" w:rsidR="0AC65EDB">
        <w:rPr>
          <w:rFonts w:ascii="Calibri" w:hAnsi="Calibri" w:eastAsia="Calibri" w:cs="Calibri"/>
          <w:sz w:val="22"/>
          <w:szCs w:val="22"/>
        </w:rPr>
        <w:t>Donaldson</w:t>
      </w:r>
      <w:r w:rsidRPr="2375A4FB" w:rsidR="0C563E02">
        <w:rPr>
          <w:rFonts w:ascii="Calibri" w:hAnsi="Calibri" w:eastAsia="Calibri" w:cs="Calibri"/>
          <w:sz w:val="22"/>
          <w:szCs w:val="22"/>
        </w:rPr>
        <w:t xml:space="preserve">. </w:t>
      </w:r>
    </w:p>
    <w:p w:rsidR="0C563E02" w:rsidP="2375A4FB" w:rsidRDefault="0C563E02" w14:paraId="68713149" w14:textId="748566BD">
      <w:pPr>
        <w:pStyle w:val="Normal"/>
        <w:rPr>
          <w:rFonts w:ascii="Calibri" w:hAnsi="Calibri" w:eastAsia="Calibri" w:cs="Calibri"/>
          <w:sz w:val="22"/>
          <w:szCs w:val="22"/>
        </w:rPr>
      </w:pPr>
      <w:r w:rsidRPr="2375A4FB" w:rsidR="0C563E02">
        <w:rPr>
          <w:rFonts w:ascii="Calibri" w:hAnsi="Calibri" w:eastAsia="Calibri" w:cs="Calibri"/>
          <w:sz w:val="22"/>
          <w:szCs w:val="22"/>
        </w:rPr>
        <w:t xml:space="preserve">Yn y rownd ddiweddaraf o brofion PISA (Llywodraeth Cymru, 2019) yn 2018, oedd cymysg o ganlyniadau yn Gymru. Wrth ddarllen, roedd sgôr cymedrig Cymru ychydig yn uwch na chyfartaledd yr OECD, tra mewn mathemateg a gwyddoniaeth, roedd y sgoriau cymedrig yn is na'r cyfartaledd. Fodd bynnag, roedd gwahaniaethau sylweddol rhwng ysgolion yng Nghymru, gyda rhai yn perfformio'n sylweddol well nag eraill. Dangosodd y canlyniadau hefyd fod disgyblion mewn ardaloedd difreintiedig a'r rhai ag anghenion dysgu ychwanegol yn tueddu i berfformio'n waeth na'u cyfoedion. Wnaeth y canlyniadau </w:t>
      </w:r>
      <w:r w:rsidRPr="2375A4FB" w:rsidR="1F2AF19C">
        <w:rPr>
          <w:rFonts w:ascii="Calibri" w:hAnsi="Calibri" w:eastAsia="Calibri" w:cs="Calibri"/>
          <w:sz w:val="22"/>
          <w:szCs w:val="22"/>
        </w:rPr>
        <w:t>uwch goleuo'r</w:t>
      </w:r>
      <w:r w:rsidRPr="2375A4FB" w:rsidR="0C563E02">
        <w:rPr>
          <w:rFonts w:ascii="Calibri" w:hAnsi="Calibri" w:eastAsia="Calibri" w:cs="Calibri"/>
          <w:sz w:val="22"/>
          <w:szCs w:val="22"/>
        </w:rPr>
        <w:t xml:space="preserve"> pwysigrwydd addysg a newid oedd angen yn ysgolion cynradd yng Nghymru.</w:t>
      </w:r>
      <w:r w:rsidRPr="2375A4FB" w:rsidR="0DA7B057">
        <w:rPr>
          <w:rFonts w:ascii="Calibri" w:hAnsi="Calibri" w:eastAsia="Calibri" w:cs="Calibri"/>
          <w:sz w:val="22"/>
          <w:szCs w:val="22"/>
        </w:rPr>
        <w:t xml:space="preserve"> Sut gallwn ni rhoi fframwaith i athrawon i helpu nhw addysgu’r </w:t>
      </w:r>
      <w:r w:rsidRPr="2375A4FB" w:rsidR="2E553DBE">
        <w:rPr>
          <w:rFonts w:ascii="Calibri" w:hAnsi="Calibri" w:eastAsia="Calibri" w:cs="Calibri"/>
          <w:sz w:val="22"/>
          <w:szCs w:val="22"/>
        </w:rPr>
        <w:t xml:space="preserve">cwricwlwm </w:t>
      </w:r>
      <w:r w:rsidRPr="2375A4FB" w:rsidR="0DA7B057">
        <w:rPr>
          <w:rFonts w:ascii="Calibri" w:hAnsi="Calibri" w:eastAsia="Calibri" w:cs="Calibri"/>
          <w:sz w:val="22"/>
          <w:szCs w:val="22"/>
        </w:rPr>
        <w:t>newydd?</w:t>
      </w:r>
      <w:r w:rsidRPr="2375A4FB" w:rsidR="5B019B25">
        <w:rPr>
          <w:rFonts w:ascii="Calibri" w:hAnsi="Calibri" w:eastAsia="Calibri" w:cs="Calibri"/>
          <w:sz w:val="22"/>
          <w:szCs w:val="22"/>
        </w:rPr>
        <w:t xml:space="preserve"> </w:t>
      </w:r>
      <w:r w:rsidRPr="2375A4FB" w:rsidR="16C47C58">
        <w:rPr>
          <w:rFonts w:ascii="Calibri" w:hAnsi="Calibri" w:eastAsia="Calibri" w:cs="Calibri"/>
          <w:sz w:val="22"/>
          <w:szCs w:val="22"/>
        </w:rPr>
        <w:t>Mae addysgedau yn bwysig yng Nghymru oherwydd eu bod yn llunio'r ffordd y mae athrawon yn rhyngweithio â'u myfyrwyr a sut mae myfyrwyr yn dysgu. Dangoswyd bod gwahanol addysgeg yn effeithiol o dan amgylchiadau gwahanol, ac mae'n hanfodol i addysgwyr ddewis y dull mwyaf priodol ar gyfer eu dysgwyr.  Felly mae angen astudio’r addysgedau i sicrhau maen nhw’n addas ac yn gweithio gydag ymchwil sydd wedi neud yn barod (Llywodraeth Cymru, 2016).</w:t>
      </w:r>
    </w:p>
    <w:p w:rsidR="63046D04" w:rsidP="2375A4FB" w:rsidRDefault="63046D04" w14:paraId="60F4F3AC" w14:textId="3D83C47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2375A4FB" w:rsidR="63046D04">
        <w:rPr>
          <w:rFonts w:ascii="Calibri" w:hAnsi="Calibri" w:eastAsia="Calibri" w:cs="Calibri"/>
          <w:noProof w:val="0"/>
          <w:sz w:val="22"/>
          <w:szCs w:val="22"/>
          <w:lang w:val="cy-GB"/>
        </w:rPr>
        <w:t>“Mae addysgu a dysgu da yn galw am ddefnyddio cymysgedd o d dulliau sy’n cynnwys addysgu uniongyrchol.”</w:t>
      </w:r>
      <w:r w:rsidRPr="2375A4FB" w:rsidR="586651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yw Addysgeg y Porth, sy'n pwysleisio pwysigrwydd integreiddio gwahanol ddulliau addysgu i greu profiad dysgu cyfannol i fyfyrwyr Un elfen yn unig o'r ymagwedd hon yw addysgu uniongyrchol (Robert, H, J, 2004).</w:t>
      </w:r>
      <w:r w:rsidRPr="2375A4FB" w:rsidR="4401BE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4401BE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Mae Addysgeg y Porth yn bwysig am sawl rheswm. Yn gyntaf, mae'n cydnabod bod gan fyfyrwyr wahanol arddulliau a hoffterau dysgu, ac efallai na fydd ymagwedd un ateb i bawb yn effeithiol. Trwy ymgorffori dulliau addysgu amrywiol, gall hyfforddwyr ddarparu ar gyfer anghenion amrywiol eu myfyrwyr, gan wella canlyniadau dysgu ac ymgysylltiad myfyrwyr.</w:t>
      </w:r>
      <w:r w:rsidRPr="2375A4FB" w:rsidR="3AE4F2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Mae cefnogaeth ymchwil gref i effeithiolrwydd dull integredig o addysgu. Er enghraifft, canfu meta-ddadansoddiad gan </w:t>
      </w:r>
      <w:r w:rsidRPr="2375A4FB" w:rsidR="3AE4F2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Kulik</w:t>
      </w:r>
      <w:r w:rsidRPr="2375A4FB" w:rsidR="3AE4F2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 </w:t>
      </w:r>
      <w:r w:rsidRPr="2375A4FB" w:rsidR="3AE4F2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Kulik</w:t>
      </w:r>
      <w:r w:rsidRPr="2375A4FB" w:rsidR="3AE4F2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(1988) fod myfyrwyr mewn dosbarthiadau sy'n defnyddio amrywiaeth o ddulliau addysgu yn perfformio'n well ar fesurau dysgu na'r rhai mewn dosbarthiadau gan ddefnyddio un dull yn unig. </w:t>
      </w:r>
      <w:r w:rsidRPr="2375A4FB" w:rsidR="5D2713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Yn ogystal, nododd Hattie a Timperley (2007) "amrywiad" fel un o'r dylanwadau mwyaf pwerus ar gyflawniad myfyrwyr, gan bwysleisio pwysigrwydd defnyddio ystod o strategaethau addysgu i ysgogi dysgu. Mae damcaniaeth Dewey (1938) o ddysgu drwy brofiad yn cyd-fynd â chanfyddiadau ymchwil Kulik a Kulik (1988) a Hattie a Timperley (2007). Mewn gwirionedd, mae syniadau Dewey yn rhagddyddio'r astudiaethau hyn ond ers hynny maent wedi'u dilysu gan dystiolaeth empirig. Mae Addysgeg y Porth yn adeiladu ar y cysyniadau sylfaenol hyn drwy gynnig dull mwy systematig a chyfannol o integreiddio amrywiol ddulliau addysgu mewn addysg uwch.</w:t>
      </w:r>
    </w:p>
    <w:p w:rsidR="370975A5" w:rsidP="0B9C768E" w:rsidRDefault="370975A5" w14:paraId="0337878D" w14:textId="70611FAF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0B9C768E" w:rsidR="3BAC8C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Rwy'n cytuno'n gryf â theimlad Llywodraeth Cymru y dylai addysg yng Nghymru hyrwyddo'r defnydd o ddulliau creadigol ac arloesol, gan gynnwys dulliau addysgu uniongyrchol. Mae hyn yn cyd-fynd â chanfyddiadau ESTYN</w:t>
      </w:r>
      <w:r w:rsidRPr="0B9C768E" w:rsidR="729469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(2020)</w:t>
      </w:r>
      <w:r w:rsidRPr="0B9C768E" w:rsidR="3BAC8C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sy'n pwysleisio pwysigrwydd darparu gofal, cefnogaeth a phrofiadau dysgu o ansawdd uchel i bob dysgwr. Mae Llywodraeth Cymru (2016) yn argymell defnyddio amrywiaeth o </w:t>
      </w:r>
      <w:r w:rsidRPr="0B9C768E" w:rsidR="75AD67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addysgedau</w:t>
      </w:r>
      <w:r w:rsidRPr="0B9C768E" w:rsidR="3BAC8C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 gan gynnwys addysgu uniongyrchol, i ddiwallu anghenion amrywiol dysgwyr. Mae'r canllaw hefyd yn annog addysgwyr i fyfyrio ar eu hymarfer a chydweithio â chydweithwyr i wella ansawdd yr addysgu a'r dysgu yn eu hysgolion yn barhaus.</w:t>
      </w:r>
      <w:r w:rsidRPr="0B9C768E" w:rsidR="3F6953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Mae "Cymunedau Dysgu Proffesiynol: Canllaw i Ysgolion yng Nghymru" (2016) Llywodraeth Cymru yn cyfeirio at ystod o ymchwil allanol i gefnogi ei hargymhellion ar addysgeg a dysgu proffesiynol.</w:t>
      </w:r>
      <w:r w:rsidRPr="0B9C768E" w:rsidR="12251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Enghraifft gwelon ni o’r addysgeg yma yw mewn ystafell ddosbarth, wnaeth yr athro ddefnyddio cyfuniad o ddulliau gan gynnwys addysgu uniongyrchol wrth gyflwyno cysyniad newydd fel adio</w:t>
      </w:r>
      <w:r w:rsidRPr="0B9C768E" w:rsidR="397CC5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rhifau</w:t>
      </w:r>
      <w:r w:rsidRPr="0B9C768E" w:rsidR="12251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 Byddai'r athro yn dechrau drwy ddarparu cyfarwyddiadau cam wrth gam penodol ar sut i gyflawni'r weithdrefn, gan ddefnyddio cymhorthion gweledol a modelau i helpu myfyrwyr i ddeall. Yna, byddai myfyrwyr yn ymarfer y dechneg trwy ymarferion dan arweiniad a dysgu a gynorthwyir gan gymheiriaid.</w:t>
      </w:r>
      <w:r w:rsidRPr="0B9C768E" w:rsidR="6496D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Yn olaf, byddai'r athro yn asesu dealltwriaeth myfyrwyr trwy eu cael i gwblhau problemau ymarfer annibynnol a rhoi adborth ar eu gwaith. Mae'r dull hwn nid yn unig yn helpu myfyrwyr i ddysgu sgiliau penodol adio ond hefyd yn datblygu eu sgiliau meddwl beirniadol a datrys problemau.</w:t>
      </w:r>
      <w:r w:rsidRPr="0B9C768E" w:rsidR="208E4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Mae'r enghraifft hon yn cysylltu'n ôl â theori </w:t>
      </w:r>
      <w:r w:rsidRPr="0B9C768E" w:rsidR="208E4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Piaget</w:t>
      </w:r>
      <w:r w:rsidRPr="0B9C768E" w:rsidR="6FA067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6FA067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(1954)</w:t>
      </w:r>
      <w:r w:rsidRPr="0B9C768E" w:rsidR="208E4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o'r gwyddonydd bach gan ei bod yn caniatáu i fyfyrwyr gymryd rhan weithredol yn y broses ddysgu, archwilio cysyniadau, ac adeiladu eu dealltwriaeth eu hunain. Rôl yr athro yw hwyluso'r broses hon drwy ddarparu arweiniad a chymorth, yn hytrach na throsglwyddo gwybodaeth yn unig. Mae'r cyfuniad o ddulliau a ddefnyddir yn y strategaeth gyfarwyddyd hon yn cydnabod bod gan wahanol fyfyrwyr wahanol gryfderau a dewisiadau dysgu, ac mae'n darparu ar gyfer y gwahaniaethau hyn trwy gynnig llwybrau lluosog ar gyfer dysgu. Mae hyn yn cyd-fynd â syniad </w:t>
      </w:r>
      <w:r w:rsidRPr="0B9C768E" w:rsidR="208E4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Piaget</w:t>
      </w:r>
      <w:r w:rsidRPr="0B9C768E" w:rsidR="208E4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19380C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(1954).</w:t>
      </w:r>
      <w:r w:rsidRPr="0B9C768E" w:rsidR="19380C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208E4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bod plant yn datblygu'n ddeallusol trwy gyfres o gamau ansoddol, sy'n cael eu hwyluso trwy ymgysylltu â'r amgylchedd a rhyngweithio ag eraill.</w:t>
      </w:r>
    </w:p>
    <w:p w:rsidR="7BEA0771" w:rsidP="0B9C768E" w:rsidRDefault="7BEA0771" w14:paraId="448EA10F" w14:textId="5841997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0B9C768E" w:rsidR="7BEA07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Oes, gallai mynd â myfyrwyr ar deithiau ysgol i amgueddfa, fel Amgueddfa Genedlaethol Caerdydd, gyd-fynd â'r addysgeg a drafodwyd yn gynharach, gan fod myfyrwyr yn agored i ystod eang o arteffactau ac arddangosion sy'n darparu pwyntiau mynediad lluosog ar gyfer dysgu. Gallai hefyd gyd-fynd â damcaniaeth gymdeithasol a ddiwylliannol </w:t>
      </w:r>
      <w:r w:rsidRPr="0B9C768E" w:rsidR="7BEA07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Vygotsky</w:t>
      </w:r>
      <w:r w:rsidRPr="0B9C768E" w:rsidR="7BEA07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 gan fod ymweliad yr amgueddfa yn brofiad cymdeithasol a ddiwylliannol sy'n helpu myfyrwyr i ddatblygu eu dealltwriaeth o hanes, celf a diwylliant trwy ryngweithio â chanllawiau neu gyfoedion mwy gwybodus. Yn ogystal, gallai'r defnydd o dechnolegau digidol yn ystod yr ymweliad, megis arddangosfeydd rhyngweithiol neu brofiadau realiti rhithwir, gefnogi dysgu adeiladol trwy annog myfyrwyr i fynd ati i ddatblygu eu dealltwriaeth eu hunain o'r arddangosion</w:t>
      </w:r>
      <w:r w:rsidRPr="0B9C768E" w:rsidR="53538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(National </w:t>
      </w:r>
      <w:r w:rsidRPr="0B9C768E" w:rsidR="53538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Museum</w:t>
      </w:r>
      <w:r w:rsidRPr="0B9C768E" w:rsidR="53538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Cardiff, </w:t>
      </w:r>
      <w:r w:rsidRPr="0B9C768E" w:rsidR="53538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n.d</w:t>
      </w:r>
      <w:r w:rsidRPr="0B9C768E" w:rsidR="53538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.)</w:t>
      </w:r>
      <w:r w:rsidRPr="0B9C768E" w:rsidR="7BEA07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</w:p>
    <w:p w:rsidR="638DA9D7" w:rsidP="0B9C768E" w:rsidRDefault="638DA9D7" w14:paraId="6E5ACA94" w14:textId="597B964B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0B9C768E" w:rsidR="7A6D64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Un awgrymiad i gwella’r addysgeg yma yw annog cynllunio ac addysgu ar y cyd: Mae ymchwil yn awgrymu bod athrawon sy'n cydweithio mewn cymunedau dysgu proffesiynol yn fwy tebygol o gymryd rhan mewn ymarfer myfyriol a rhannu strategaethau effeithiol. Gallai ysgolion roi amser cydweithio strwythuredig ar waith i athrawon gynllunio gwersi, rhannu adnoddau, a rhoi adborth ar addysgu ei gilydd. 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Cafwyd un astudiaeth a gynhaliwyd gan 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Darling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-Hammond 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et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al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(2009) fod athrawon mewn cymunedau dysgu proffesiynol yn fwy tebygol o weithredu arferion hyfforddi seiliedig ar ymchwil ac adrodd lefelau uwch o foddhad swydd a chyflawniad myfyrwyr. Dangosodd astudiaeth arall gan 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Klein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et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al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(2007) fod athrawon a weithiodd ar y cyd mewn cymunedau dysgu proffesiynol yn fwy effeithiol wrth ddefnyddio strategaethau hyfforddi a oedd yn meithrin ymgysylltiad myfyrwyr a meddwl yn feirniadol. Yn olaf, mae gwaith 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Fullan</w:t>
      </w:r>
      <w:r w:rsidRPr="0B9C768E" w:rsidR="07CA2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(2012) yn pwysleisio pwysigrwydd arweinyddiaeth effeithiol wrth gefnogi a chynnal mentrau newid, gan gynnwys gweithredu cymunedau dysgu proffesiynol.</w:t>
      </w:r>
    </w:p>
    <w:p w:rsidR="2375A4FB" w:rsidP="2FA1D867" w:rsidRDefault="2375A4FB" w14:paraId="5CCB2C00" w14:textId="2FFADE2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2FA1D867" w:rsidR="0FE8CF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Mae pwyslais Llywodraeth Cymru ar osod tasgau a dewis adnoddau sy'n adeiladu ar wybodaeth a phrofiad blaenorol, yn ogystal ag ennyn diddordeb,</w:t>
      </w:r>
      <w:r w:rsidRPr="2FA1D867" w:rsidR="182635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“</w:t>
      </w:r>
      <w:r w:rsidRPr="2FA1D867" w:rsidR="1826353C">
        <w:rPr>
          <w:rFonts w:ascii="Calibri" w:hAnsi="Calibri" w:eastAsia="Calibri" w:cs="Calibri"/>
          <w:noProof w:val="0"/>
          <w:sz w:val="22"/>
          <w:szCs w:val="22"/>
          <w:lang w:val="cy-GB"/>
        </w:rPr>
        <w:t>Mae addysgu a dysgu da yn golygu gosod tasgau a dewis adnoddau sy’n adeiladu ar wybodaeth a phrofiad blaenorol ac yn ennyn diddordeb”</w:t>
      </w:r>
      <w:r w:rsidRPr="2FA1D867" w:rsidR="6B8EC870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(Llywodraeth Cymru, 2023)</w:t>
      </w:r>
      <w:r w:rsidRPr="2FA1D867" w:rsidR="1826353C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. Mae’n </w:t>
      </w:r>
      <w:r w:rsidRPr="2FA1D867" w:rsidR="0FE8CF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awgrymu </w:t>
      </w:r>
      <w:r w:rsidRPr="2FA1D867" w:rsidR="4E055E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mae angen </w:t>
      </w:r>
      <w:r w:rsidRPr="2FA1D867" w:rsidR="0FE8CF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strategaeth hyfforddi sydd wedi'i chynllunio'n ofalus, yn ymatebol i anghenion dysgwyr unigol, ac sydd wedi'i chynllunio i feithrin ymdeimlad o ymgysylltiad a pherthnasedd yn yr ystafell ddosbarth.</w:t>
      </w:r>
      <w:r w:rsidRPr="2FA1D867" w:rsidR="1C7FEB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Mae Estyn (2016), wedi cydnabod pwysigrwydd y dull hwn o hyrwyddo addysgu a dysgu effeithiol. Yn eu hadroddiad "Arfer da mewn ysgolion cynradd: Datblygu dysgu yn y cyfnod sylfaen," maent yn pwysleisio'r angen i athrawon adeiladu ar wybodaeth a phrofiadau blaenorol plant wrth gynllunio gwersi a dewis adnoddau. Maent hefyd yn pwysleisio pwysigrwydd ymgysylltu â dysgwyr drwy amrywiaeth o ddulliau, gan gynnwys defnyddio tasgau diddorol a pherthnasol.</w:t>
      </w:r>
      <w:r w:rsidRPr="2FA1D867" w:rsidR="1BD9E4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Mae'r addysgeg hon yn cyd-fynd â safbwyntiau adeiladol mewn dysgu, gan ei fod yn pwysleisio pwysigrwydd adeiladu ar wybodaeth flaenorol, ennyn diddordeb dysgwyr yn weithredol yn y broses ddysgu, a chydnabod rôl rhyngweithio cymdeithasol a chyd-destun diwylliannol mewn datblygiad gwybyddol. Mae hefyd yn atseinio gyda Pharth Datblygiad </w:t>
      </w:r>
      <w:r w:rsidRPr="2FA1D867" w:rsidR="1BD9E4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Proximal</w:t>
      </w:r>
      <w:r w:rsidRPr="2FA1D867" w:rsidR="1BD9E4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1BD9E4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Vygotsky</w:t>
      </w:r>
      <w:r w:rsidRPr="2FA1D867" w:rsidR="1BD9E4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</w:t>
      </w:r>
      <w:r w:rsidRPr="2FA1D867" w:rsidR="30DA7A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PDP</w:t>
      </w:r>
      <w:r w:rsidRPr="2FA1D867" w:rsidR="1BD9E4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)</w:t>
      </w:r>
      <w:r w:rsidRPr="2FA1D867" w:rsidR="284263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(</w:t>
      </w:r>
      <w:r w:rsidRPr="2FA1D867" w:rsidR="284263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Vygostky</w:t>
      </w:r>
      <w:r w:rsidRPr="2FA1D867" w:rsidR="284263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 1978)</w:t>
      </w:r>
      <w:r w:rsidRPr="2FA1D867" w:rsidR="1BD9E4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  <w:r w:rsidRPr="2FA1D867" w:rsidR="11AE22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Mae damcaniaeth </w:t>
      </w:r>
      <w:r w:rsidRPr="2FA1D867" w:rsidR="11AE22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Vygotsky</w:t>
      </w:r>
      <w:r w:rsidRPr="2FA1D867" w:rsidR="011495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(1978)</w:t>
      </w:r>
      <w:r w:rsidRPr="2FA1D867" w:rsidR="11AE22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 a elwir hefyd yn theori gymdeithasol-ddiwylliannol, yn awgrymu bod datblygiad gwybyddol dynol yn cael ei lunio'n sylfaenol gan ryngweithio cymdeithasol a chyd-destun diwylliannol. Dadleuodd fod unigolion yn dysgu trwy broses o "fewnoli," lle maent yn mewnoli'r wybodaeth a'r offer a ddarperir gan aelodau mwy profiadol o'u diwylliant. Mae'r broses hon yn digwydd o fewn "Parth Datblygu Pr</w:t>
      </w:r>
      <w:r w:rsidRPr="2FA1D867" w:rsidR="07D4F1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ocsimol</w:t>
      </w:r>
      <w:r w:rsidRPr="2FA1D867" w:rsidR="11AE22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"</w:t>
      </w:r>
      <w:r w:rsidRPr="2FA1D867" w:rsidR="0CEA4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11AE22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(</w:t>
      </w:r>
      <w:r w:rsidRPr="2FA1D867" w:rsidR="6AB809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</w:t>
      </w:r>
      <w:r w:rsidRPr="2FA1D867" w:rsidR="11AE22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PD)</w:t>
      </w:r>
      <w:r w:rsidRPr="2FA1D867" w:rsidR="080985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Mae hyn yn cyfeirio at y bwlch rhwng yr hyn y gall dysgwr ei wneud yn annibynnol a'r hyn y </w:t>
      </w:r>
      <w:r w:rsidRPr="2FA1D867" w:rsidR="080985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gallant</w:t>
      </w:r>
      <w:r w:rsidRPr="2FA1D867" w:rsidR="080985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ei gyflawni gyda chymorth partner neu offeryn cyfryngol mwy galluog.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Gellir cysylltu damcaniaeth 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Bromme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 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Häckermann</w:t>
      </w:r>
      <w:r w:rsidRPr="2FA1D867" w:rsidR="77CCEA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(2010)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 "anghyfartaledd cynhyrchiol" â'r addysgeg hon hefyd. Maent yn awgrymu bod dysgwyr yn profi cyflwr o anghyfartaledd cynhyrchiol pan fyddant yn cael eu herio gan dasgau sydd ychydig y tu hwnt i'w galluoedd presennol. Mae'r wladwriaeth hon yn ysgogi twf gwybyddol a dysgu wrth i'r dysgwr ymgysylltu â'r dasg, yn ceisio cymorth gan eraill, ac yn addasu eu dealltwriaeth i oresgyn yr her. Mae hyn yn cyd-fynd â ZPD 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Vygotsky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wrth i'r ddwy ddamcaniaeth bwysleisio pwysigrwydd darparu tasgau sy'n heriol ac yn gefnogol i'w datblygiad i ddysgwyr. </w:t>
      </w:r>
      <w:r w:rsidRPr="2FA1D867" w:rsidR="45150C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(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Bromme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R., &amp; 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Häckermann</w:t>
      </w:r>
      <w:r w:rsidRPr="2FA1D867" w:rsidR="44A28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 F. 2010).</w:t>
      </w:r>
      <w:r w:rsidRPr="2FA1D867" w:rsidR="4A9A1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Mae adolygiad cwricwlwm Llywodraeth Cymru, "Dyfodol Llwyddiannus," (2020), yn pwysleisio pwysigrwydd dysgu gweithredol, cydweithredol ac ymchwiliadol, sy'n cyd-fynd â'r safbwyntiau </w:t>
      </w:r>
      <w:r w:rsidRPr="2FA1D867" w:rsidR="4A9A1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cymdeithasol</w:t>
      </w:r>
      <w:r w:rsidRPr="2FA1D867" w:rsidR="6289D0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 </w:t>
      </w:r>
      <w:r w:rsidRPr="2FA1D867" w:rsidR="4A9A1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ddiwylliannol</w:t>
      </w:r>
      <w:r w:rsidRPr="2FA1D867" w:rsidR="4A9A1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ac adeiladol a drafodwyd yn gynharach. Mae'r adroddiad hefyd yn tynnu sylw at rôl technolegau digidol wrth wella profiadau dysgu a chefnogi gwaith cydweithredol. Mae adroddiadau arolygu Estyn, fel yr un a grybwyllwyd yn gynharach, yn asesu effeithiolrwydd gweithredu'r egwyddorion hyn ysgolion Cymru yn rheolaidd ac yn darparu argymhellion ar gyfer gwella.</w:t>
      </w:r>
    </w:p>
    <w:p w:rsidR="465066A6" w:rsidP="2375A4FB" w:rsidRDefault="465066A6" w14:paraId="3CF21F9F" w14:textId="1550415F">
      <w:pPr>
        <w:pStyle w:val="Normal"/>
        <w:rPr>
          <w:rFonts w:ascii="Calibri" w:hAnsi="Calibri" w:eastAsia="Calibri" w:cs="Calibri"/>
          <w:sz w:val="22"/>
          <w:szCs w:val="22"/>
        </w:rPr>
      </w:pPr>
      <w:r w:rsidRPr="2FA1D867" w:rsidR="5D9706A7">
        <w:rPr>
          <w:rFonts w:ascii="Calibri" w:hAnsi="Calibri" w:eastAsia="Calibri" w:cs="Calibri"/>
          <w:sz w:val="22"/>
          <w:szCs w:val="22"/>
        </w:rPr>
        <w:t xml:space="preserve">Rwy'n cytuno â'r egwyddor addysgol hon. Mae'n cyd-fynd â ZPD </w:t>
      </w:r>
      <w:r w:rsidRPr="2FA1D867" w:rsidR="5D9706A7">
        <w:rPr>
          <w:rFonts w:ascii="Calibri" w:hAnsi="Calibri" w:eastAsia="Calibri" w:cs="Calibri"/>
          <w:sz w:val="22"/>
          <w:szCs w:val="22"/>
        </w:rPr>
        <w:t>Vygotsky</w:t>
      </w:r>
      <w:r w:rsidRPr="2FA1D867" w:rsidR="5D9706A7">
        <w:rPr>
          <w:rFonts w:ascii="Calibri" w:hAnsi="Calibri" w:eastAsia="Calibri" w:cs="Calibri"/>
          <w:sz w:val="22"/>
          <w:szCs w:val="22"/>
        </w:rPr>
        <w:t xml:space="preserve">, sy'n pwysleisio pwysigrwydd darparu tasgau ac adnoddau i ddysgwyr sy'n heriol ond </w:t>
      </w:r>
      <w:r w:rsidRPr="2FA1D867" w:rsidR="5D9706A7">
        <w:rPr>
          <w:rFonts w:ascii="Calibri" w:hAnsi="Calibri" w:eastAsia="Calibri" w:cs="Calibri"/>
          <w:sz w:val="22"/>
          <w:szCs w:val="22"/>
        </w:rPr>
        <w:t>eto'n</w:t>
      </w:r>
      <w:r w:rsidRPr="2FA1D867" w:rsidR="5D9706A7">
        <w:rPr>
          <w:rFonts w:ascii="Calibri" w:hAnsi="Calibri" w:eastAsia="Calibri" w:cs="Calibri"/>
          <w:sz w:val="22"/>
          <w:szCs w:val="22"/>
        </w:rPr>
        <w:t xml:space="preserve"> gyraeddadwy, gan adeiladu ar eu gwybodaeth a'u sgiliau presennol. Mae'r dull hwn nid yn unig yn hyrwyddo dysgu dyfnach, ond mae hefyd yn meithrin ymdeimlad o gyflawniad a hunan-effeithiolrwydd ymhlith myfyrwyr. Yng nghyd-destun ymweliadau ag amgueddfeydd, gallai hyn gynnwys cynllunio gweithgareddau sy'n cysylltu'r arddangosion â phynciau y mae myfyrwyr eisoes wedi'u hastudio yn y dosbarth, neu ddewis arddangosion sy'n debygol o greu eu diddordebau.</w:t>
      </w:r>
      <w:r w:rsidRPr="2FA1D867" w:rsidR="4701D81C">
        <w:rPr>
          <w:rFonts w:ascii="Calibri" w:hAnsi="Calibri" w:eastAsia="Calibri" w:cs="Calibri"/>
          <w:sz w:val="22"/>
          <w:szCs w:val="22"/>
        </w:rPr>
        <w:t xml:space="preserve"> Pe bawn i'n gallu gwneud newid neu ychwanegu at yr egwyddor </w:t>
      </w:r>
      <w:r w:rsidRPr="2FA1D867" w:rsidR="4701D81C">
        <w:rPr>
          <w:rFonts w:ascii="Calibri" w:hAnsi="Calibri" w:eastAsia="Calibri" w:cs="Calibri"/>
          <w:sz w:val="22"/>
          <w:szCs w:val="22"/>
        </w:rPr>
        <w:t>addysgegol</w:t>
      </w:r>
      <w:r w:rsidRPr="2FA1D867" w:rsidR="4701D81C">
        <w:rPr>
          <w:rFonts w:ascii="Calibri" w:hAnsi="Calibri" w:eastAsia="Calibri" w:cs="Calibri"/>
          <w:sz w:val="22"/>
          <w:szCs w:val="22"/>
        </w:rPr>
        <w:t xml:space="preserve"> hon, byddwn yn pwysleisio pwysigrwydd cynnwys myfyrwyr yn y broses o ddewis tasgau ac adnoddau. Trwy roi rhywfaint o ddewis iddynt dros eu profiad dysgu, gall addysgwyr fanteisio ar eu cymhelliant cynhenid a meithrin ymgysylltiad mwy dilys â'r deunydd. Mae'r dull hwn hefyd yn cyd-fynd ag addysgeg lluniadol, sy'n seiliedig ar ymchwil, sy'n gwerthfawrogi ymreolaeth a chydweithio dysgwyr.</w:t>
      </w:r>
      <w:r w:rsidRPr="2FA1D867" w:rsidR="3F137ACD">
        <w:rPr>
          <w:rFonts w:ascii="Calibri" w:hAnsi="Calibri" w:eastAsia="Calibri" w:cs="Calibri"/>
          <w:sz w:val="22"/>
          <w:szCs w:val="22"/>
        </w:rPr>
        <w:t xml:space="preserve"> Er enghraifft, yn ystod ymweliad amgueddfa, gallai myfyrwyr weithio mewn grwpiau i ymchwilio i arddangosyn neu arteffact penodol ac yna dylunio gweithgaredd neu gyflwyniad i'w cyfoedion.</w:t>
      </w:r>
      <w:r w:rsidRPr="2FA1D867" w:rsidR="73B65AD0">
        <w:rPr>
          <w:rFonts w:ascii="Calibri" w:hAnsi="Calibri" w:eastAsia="Calibri" w:cs="Calibri"/>
          <w:sz w:val="22"/>
          <w:szCs w:val="22"/>
        </w:rPr>
        <w:t xml:space="preserve"> Mae'r argymhelliad hwn wedi'i seilio ar ymchwil ar gymhelliant ac ymgysylltiad dysgwyr. Mae astudiaethau wedi dangos, pan fydd gan fyfyrwyr fwy o ymdeimlad o ymreolaeth dros eu dysgu, eu bod yn fwy tebygol o gael eu hysgogi, a chyflawni gwell canlyniadau academaidd (</w:t>
      </w:r>
      <w:r w:rsidRPr="2FA1D867" w:rsidR="73B65AD0">
        <w:rPr>
          <w:rFonts w:ascii="Calibri" w:hAnsi="Calibri" w:eastAsia="Calibri" w:cs="Calibri"/>
          <w:sz w:val="22"/>
          <w:szCs w:val="22"/>
        </w:rPr>
        <w:t>Deci</w:t>
      </w:r>
      <w:r w:rsidRPr="2FA1D867" w:rsidR="73B65AD0">
        <w:rPr>
          <w:rFonts w:ascii="Calibri" w:hAnsi="Calibri" w:eastAsia="Calibri" w:cs="Calibri"/>
          <w:sz w:val="22"/>
          <w:szCs w:val="22"/>
        </w:rPr>
        <w:t xml:space="preserve"> a Ryan, 2000;).</w:t>
      </w:r>
      <w:r w:rsidRPr="2FA1D867" w:rsidR="7A1CF134">
        <w:rPr>
          <w:rFonts w:ascii="Calibri" w:hAnsi="Calibri" w:eastAsia="Calibri" w:cs="Calibri"/>
          <w:sz w:val="22"/>
          <w:szCs w:val="22"/>
        </w:rPr>
        <w:t xml:space="preserve"> Mae cynnwys myfyrwyr wrth ddewis tasgau ac adnoddau hefyd yn cyd-fynd ag egwyddorion dysgu gweithredol ac adeiladaeth, sy'n pwysleisio pwysigrwydd cynnwys dysgwyr a rhyngweithio â'r deunydd.</w:t>
      </w:r>
    </w:p>
    <w:p w:rsidR="2624DB3F" w:rsidP="2FA1D867" w:rsidRDefault="2624DB3F" w14:paraId="516FA081" w14:textId="3371EF32">
      <w:pPr>
        <w:pStyle w:val="Normal"/>
        <w:rPr>
          <w:rFonts w:ascii="Calibri" w:hAnsi="Calibri" w:eastAsia="Calibri" w:cs="Calibri"/>
          <w:sz w:val="22"/>
          <w:szCs w:val="22"/>
        </w:rPr>
      </w:pPr>
      <w:r w:rsidRPr="2FA1D867" w:rsidR="2624DB3F">
        <w:rPr>
          <w:rFonts w:ascii="Calibri" w:hAnsi="Calibri" w:eastAsia="Calibri" w:cs="Calibri"/>
          <w:sz w:val="22"/>
          <w:szCs w:val="22"/>
        </w:rPr>
        <w:t xml:space="preserve">Gellir </w:t>
      </w:r>
      <w:r w:rsidRPr="2FA1D867" w:rsidR="4D46A670">
        <w:rPr>
          <w:rFonts w:ascii="Calibri" w:hAnsi="Calibri" w:eastAsia="Calibri" w:cs="Calibri"/>
          <w:sz w:val="22"/>
          <w:szCs w:val="22"/>
        </w:rPr>
        <w:t xml:space="preserve">cysylltu’r </w:t>
      </w:r>
      <w:r w:rsidRPr="2FA1D867" w:rsidR="2624DB3F">
        <w:rPr>
          <w:rFonts w:ascii="Calibri" w:hAnsi="Calibri" w:eastAsia="Calibri" w:cs="Calibri"/>
          <w:sz w:val="22"/>
          <w:szCs w:val="22"/>
        </w:rPr>
        <w:t xml:space="preserve">egwyddor </w:t>
      </w:r>
      <w:r w:rsidRPr="2FA1D867" w:rsidR="2624DB3F">
        <w:rPr>
          <w:rFonts w:ascii="Calibri" w:hAnsi="Calibri" w:eastAsia="Calibri" w:cs="Calibri"/>
          <w:sz w:val="22"/>
          <w:szCs w:val="22"/>
        </w:rPr>
        <w:t>addysgegol</w:t>
      </w:r>
      <w:r w:rsidRPr="2FA1D867" w:rsidR="2624DB3F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EA1C13F">
        <w:rPr>
          <w:rFonts w:ascii="Calibri" w:hAnsi="Calibri" w:eastAsia="Calibri" w:cs="Calibri"/>
          <w:sz w:val="22"/>
          <w:szCs w:val="22"/>
        </w:rPr>
        <w:t xml:space="preserve">“Mae addysgu a dysgu da yn ymestyn oddi mewn ac ar draws </w:t>
      </w:r>
      <w:r w:rsidRPr="2FA1D867" w:rsidR="0EA1C13F">
        <w:rPr>
          <w:rFonts w:ascii="Calibri" w:hAnsi="Calibri" w:eastAsia="Calibri" w:cs="Calibri"/>
          <w:sz w:val="22"/>
          <w:szCs w:val="22"/>
        </w:rPr>
        <w:t>eysydd</w:t>
      </w:r>
      <w:r w:rsidRPr="2FA1D867" w:rsidR="0EA1C13F">
        <w:rPr>
          <w:rFonts w:ascii="Calibri" w:hAnsi="Calibri" w:eastAsia="Calibri" w:cs="Calibri"/>
          <w:sz w:val="22"/>
          <w:szCs w:val="22"/>
        </w:rPr>
        <w:t xml:space="preserve"> Dysgu a Phrofiad.”</w:t>
      </w:r>
      <w:r w:rsidRPr="2FA1D867" w:rsidR="2624DB3F">
        <w:rPr>
          <w:rFonts w:ascii="Calibri" w:hAnsi="Calibri" w:eastAsia="Calibri" w:cs="Calibri"/>
          <w:sz w:val="22"/>
          <w:szCs w:val="22"/>
        </w:rPr>
        <w:t xml:space="preserve"> yn agos â dysgu trawsgwricwlaidd yng Nghymru. Mae'r Cwricwlwm i Gymru (2022) yn pwysleisio pwysigrwydd datblygu sgiliau, profiadau a gwybodaeth dysgwyr ar draws ystod o bynciau a chyd-destunau. Mae'r dull hwn wedi'i gynllunio i hyrwyddo dealltwriaeth ddyfnach a sgiliau trosglwyddadwy, yn ogystal â meithrin golwg fwy cysylltiedig a chyfannol o'r byd. Mae dysgu trawsgwricwlaidd yn annog addysgwyr i ddylunio profiadau dysgu</w:t>
      </w:r>
      <w:r w:rsidRPr="2FA1D867" w:rsidR="2624DB3F">
        <w:rPr>
          <w:rFonts w:ascii="Calibri" w:hAnsi="Calibri" w:eastAsia="Calibri" w:cs="Calibri"/>
          <w:sz w:val="22"/>
          <w:szCs w:val="22"/>
        </w:rPr>
        <w:t xml:space="preserve"> sy'n galluogi dysgwyr i wneud cysylltiadau ystyrlon rhwng gwahanol bynciau a meysydd profiad.</w:t>
      </w:r>
      <w:r w:rsidRPr="2FA1D867" w:rsidR="39580CB7">
        <w:rPr>
          <w:rFonts w:ascii="Calibri" w:hAnsi="Calibri" w:eastAsia="Calibri" w:cs="Calibri"/>
          <w:sz w:val="22"/>
          <w:szCs w:val="22"/>
        </w:rPr>
        <w:t xml:space="preserve"> Mae sawl ymchwilydd a damcaniaethwr sy'n cefnogi'r dull hwn. Un enghraifft o'r fath yw David </w:t>
      </w:r>
      <w:r w:rsidRPr="2FA1D867" w:rsidR="39580CB7">
        <w:rPr>
          <w:rFonts w:ascii="Calibri" w:hAnsi="Calibri" w:eastAsia="Calibri" w:cs="Calibri"/>
          <w:sz w:val="22"/>
          <w:szCs w:val="22"/>
        </w:rPr>
        <w:t>Perkin</w:t>
      </w:r>
      <w:r w:rsidRPr="2FA1D867" w:rsidR="39580CB7">
        <w:rPr>
          <w:rFonts w:ascii="Calibri" w:hAnsi="Calibri" w:eastAsia="Calibri" w:cs="Calibri"/>
          <w:sz w:val="22"/>
          <w:szCs w:val="22"/>
        </w:rPr>
        <w:t>s</w:t>
      </w:r>
      <w:r w:rsidRPr="2FA1D867" w:rsidR="3723EA62">
        <w:rPr>
          <w:rFonts w:ascii="Calibri" w:hAnsi="Calibri" w:eastAsia="Calibri" w:cs="Calibri"/>
          <w:sz w:val="22"/>
          <w:szCs w:val="22"/>
        </w:rPr>
        <w:t xml:space="preserve"> (2014)</w:t>
      </w:r>
      <w:r w:rsidRPr="2FA1D867" w:rsidR="39580CB7">
        <w:rPr>
          <w:rFonts w:ascii="Calibri" w:hAnsi="Calibri" w:eastAsia="Calibri" w:cs="Calibri"/>
          <w:sz w:val="22"/>
          <w:szCs w:val="22"/>
        </w:rPr>
        <w:t xml:space="preserve">, a ddatblygodd y cysyniad o "wneud dysgu'n gyfan" yn ei lyfr. Mae </w:t>
      </w:r>
      <w:r w:rsidRPr="2FA1D867" w:rsidR="39580CB7">
        <w:rPr>
          <w:rFonts w:ascii="Calibri" w:hAnsi="Calibri" w:eastAsia="Calibri" w:cs="Calibri"/>
          <w:sz w:val="22"/>
          <w:szCs w:val="22"/>
        </w:rPr>
        <w:t>Perkins</w:t>
      </w:r>
      <w:r w:rsidRPr="2FA1D867" w:rsidR="37F69733">
        <w:rPr>
          <w:rFonts w:ascii="Calibri" w:hAnsi="Calibri" w:eastAsia="Calibri" w:cs="Calibri"/>
          <w:sz w:val="22"/>
          <w:szCs w:val="22"/>
        </w:rPr>
        <w:t xml:space="preserve"> (2014)</w:t>
      </w:r>
      <w:r w:rsidRPr="2FA1D867" w:rsidR="39580CB7">
        <w:rPr>
          <w:rFonts w:ascii="Calibri" w:hAnsi="Calibri" w:eastAsia="Calibri" w:cs="Calibri"/>
          <w:sz w:val="22"/>
          <w:szCs w:val="22"/>
        </w:rPr>
        <w:t xml:space="preserve"> yn dadlau bod cyfarwyddyd traddodiadol sy'n seiliedig ar bwnc yn aml yn creu "Trap Anableddau Dysgu"</w:t>
      </w:r>
      <w:r w:rsidRPr="2FA1D867" w:rsidR="321060A1">
        <w:rPr>
          <w:rFonts w:ascii="Calibri" w:hAnsi="Calibri" w:eastAsia="Calibri" w:cs="Calibri"/>
          <w:sz w:val="22"/>
          <w:szCs w:val="22"/>
        </w:rPr>
        <w:t xml:space="preserve"> lle mae myfyrwyr yn cael trafferth gweld perthnasedd eu dysgu i'r byd go iawn a datblygu dealltwriaeth dameidiog. Mae'n eirioli dros ddull mwy rhyngddisgyblaethol ac integredig o addysgu a dysgu, yn debyg i'r un a amlinellwyd gan egwyddor </w:t>
      </w:r>
      <w:r w:rsidRPr="2FA1D867" w:rsidR="321060A1">
        <w:rPr>
          <w:rFonts w:ascii="Calibri" w:hAnsi="Calibri" w:eastAsia="Calibri" w:cs="Calibri"/>
          <w:sz w:val="22"/>
          <w:szCs w:val="22"/>
        </w:rPr>
        <w:t>addysgegol</w:t>
      </w:r>
      <w:r w:rsidRPr="2FA1D867" w:rsidR="321060A1">
        <w:rPr>
          <w:rFonts w:ascii="Calibri" w:hAnsi="Calibri" w:eastAsia="Calibri" w:cs="Calibri"/>
          <w:sz w:val="22"/>
          <w:szCs w:val="22"/>
        </w:rPr>
        <w:t xml:space="preserve"> Llywodraeth Cymru.</w:t>
      </w:r>
      <w:r w:rsidRPr="2FA1D867" w:rsidR="57A1A07D">
        <w:rPr>
          <w:rFonts w:ascii="Calibri" w:hAnsi="Calibri" w:eastAsia="Calibri" w:cs="Calibri"/>
          <w:sz w:val="22"/>
          <w:szCs w:val="22"/>
        </w:rPr>
        <w:t xml:space="preserve"> Yn gyffredinol, mae Estyn</w:t>
      </w:r>
      <w:r w:rsidRPr="2FA1D867" w:rsidR="3E7B3BE8">
        <w:rPr>
          <w:rFonts w:ascii="Calibri" w:hAnsi="Calibri" w:eastAsia="Calibri" w:cs="Calibri"/>
          <w:sz w:val="22"/>
          <w:szCs w:val="22"/>
        </w:rPr>
        <w:t xml:space="preserve"> (2020)</w:t>
      </w:r>
      <w:r w:rsidRPr="2FA1D867" w:rsidR="57A1A07D">
        <w:rPr>
          <w:rFonts w:ascii="Calibri" w:hAnsi="Calibri" w:eastAsia="Calibri" w:cs="Calibri"/>
          <w:sz w:val="22"/>
          <w:szCs w:val="22"/>
        </w:rPr>
        <w:t xml:space="preserve"> wedi cefnogi dysgu trawsgwricwlaidd fel ffordd o hyrwyddo dealltwriaeth ddyfnach a datblygu sgiliau trosglwyddadwy. Fodd bynnag, maent yn pwysleisio bod yn rhaid ei weithredu'n effeithiol a pheidio â'i ddefnyddio fel esgus dros addysgu gwael neu ddysgu arwynebol.</w:t>
      </w:r>
    </w:p>
    <w:p w:rsidR="4860E91B" w:rsidP="2FA1D867" w:rsidRDefault="4860E91B" w14:paraId="18442524" w14:textId="077C39B2">
      <w:pPr>
        <w:pStyle w:val="Normal"/>
        <w:rPr>
          <w:rFonts w:ascii="Calibri" w:hAnsi="Calibri" w:eastAsia="Calibri" w:cs="Calibri"/>
          <w:sz w:val="22"/>
          <w:szCs w:val="22"/>
        </w:rPr>
      </w:pPr>
      <w:r w:rsidRPr="2FA1D867" w:rsidR="4860E91B">
        <w:rPr>
          <w:rFonts w:ascii="Calibri" w:hAnsi="Calibri" w:eastAsia="Calibri" w:cs="Calibri"/>
          <w:sz w:val="22"/>
          <w:szCs w:val="22"/>
        </w:rPr>
        <w:t>Mae ymchwilwyr sy'n anghytuno â'r egwyddor o ddysgu trawsgwricwlaidd yn aml yn pwysleisio pwysigrwydd cynnal ffiniau disgyblaethol a sicrhau bod pynciau unigol yn cael eu haddysgu mewn digon o ddyfnder. Maent yn dadlau y gall ceisio cwmpasu gormod o gynnwys neu integreiddio gormod o bynciau arwain at ddealltwriaeth arwynebol ac efallai na fyddant yn paratoi myfyrwyr yn ddigonol ar gyfer astudiaeth bellach neu arbenigo mewn meysydd penodol.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Un ymchwilydd sy'n eiriol dros gynnal ffiniau disgyblaeth yw E. D. </w:t>
      </w:r>
      <w:r w:rsidRPr="2FA1D867" w:rsidR="33FC565A">
        <w:rPr>
          <w:rFonts w:ascii="Calibri" w:hAnsi="Calibri" w:eastAsia="Calibri" w:cs="Calibri"/>
          <w:sz w:val="22"/>
          <w:szCs w:val="22"/>
        </w:rPr>
        <w:t>Hirsch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33FC565A">
        <w:rPr>
          <w:rFonts w:ascii="Calibri" w:hAnsi="Calibri" w:eastAsia="Calibri" w:cs="Calibri"/>
          <w:sz w:val="22"/>
          <w:szCs w:val="22"/>
        </w:rPr>
        <w:t>Jr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(2016), damcaniaethwr addysgol Americanaidd ac awdur y llyfr "The </w:t>
      </w:r>
      <w:r w:rsidRPr="2FA1D867" w:rsidR="33FC565A">
        <w:rPr>
          <w:rFonts w:ascii="Calibri" w:hAnsi="Calibri" w:eastAsia="Calibri" w:cs="Calibri"/>
          <w:sz w:val="22"/>
          <w:szCs w:val="22"/>
        </w:rPr>
        <w:t>Knowledge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Gap: The </w:t>
      </w:r>
      <w:r w:rsidRPr="2FA1D867" w:rsidR="33FC565A">
        <w:rPr>
          <w:rFonts w:ascii="Calibri" w:hAnsi="Calibri" w:eastAsia="Calibri" w:cs="Calibri"/>
          <w:sz w:val="22"/>
          <w:szCs w:val="22"/>
        </w:rPr>
        <w:t>Hidden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33FC565A">
        <w:rPr>
          <w:rFonts w:ascii="Calibri" w:hAnsi="Calibri" w:eastAsia="Calibri" w:cs="Calibri"/>
          <w:sz w:val="22"/>
          <w:szCs w:val="22"/>
        </w:rPr>
        <w:t>Cause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of </w:t>
      </w:r>
      <w:r w:rsidRPr="2FA1D867" w:rsidR="33FC565A">
        <w:rPr>
          <w:rFonts w:ascii="Calibri" w:hAnsi="Calibri" w:eastAsia="Calibri" w:cs="Calibri"/>
          <w:sz w:val="22"/>
          <w:szCs w:val="22"/>
        </w:rPr>
        <w:t>America's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33FC565A">
        <w:rPr>
          <w:rFonts w:ascii="Calibri" w:hAnsi="Calibri" w:eastAsia="Calibri" w:cs="Calibri"/>
          <w:sz w:val="22"/>
          <w:szCs w:val="22"/>
        </w:rPr>
        <w:t>Broken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33FC565A">
        <w:rPr>
          <w:rFonts w:ascii="Calibri" w:hAnsi="Calibri" w:eastAsia="Calibri" w:cs="Calibri"/>
          <w:sz w:val="22"/>
          <w:szCs w:val="22"/>
        </w:rPr>
        <w:t>Education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System-</w:t>
      </w:r>
      <w:r w:rsidRPr="2FA1D867" w:rsidR="33FC565A">
        <w:rPr>
          <w:rFonts w:ascii="Calibri" w:hAnsi="Calibri" w:eastAsia="Calibri" w:cs="Calibri"/>
          <w:sz w:val="22"/>
          <w:szCs w:val="22"/>
        </w:rPr>
        <w:t>and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33FC565A">
        <w:rPr>
          <w:rFonts w:ascii="Calibri" w:hAnsi="Calibri" w:eastAsia="Calibri" w:cs="Calibri"/>
          <w:sz w:val="22"/>
          <w:szCs w:val="22"/>
        </w:rPr>
        <w:t>How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to </w:t>
      </w:r>
      <w:r w:rsidRPr="2FA1D867" w:rsidR="33FC565A">
        <w:rPr>
          <w:rFonts w:ascii="Calibri" w:hAnsi="Calibri" w:eastAsia="Calibri" w:cs="Calibri"/>
          <w:sz w:val="22"/>
          <w:szCs w:val="22"/>
        </w:rPr>
        <w:t>Fix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It" (2016). Mae </w:t>
      </w:r>
      <w:r w:rsidRPr="2FA1D867" w:rsidR="33FC565A">
        <w:rPr>
          <w:rFonts w:ascii="Calibri" w:hAnsi="Calibri" w:eastAsia="Calibri" w:cs="Calibri"/>
          <w:sz w:val="22"/>
          <w:szCs w:val="22"/>
        </w:rPr>
        <w:t>Hirsch</w:t>
      </w:r>
      <w:r w:rsidRPr="2FA1D867" w:rsidR="33FC565A">
        <w:rPr>
          <w:rFonts w:ascii="Calibri" w:hAnsi="Calibri" w:eastAsia="Calibri" w:cs="Calibri"/>
          <w:sz w:val="22"/>
          <w:szCs w:val="22"/>
        </w:rPr>
        <w:t xml:space="preserve"> yn dadlau bod angen dealltwriaeth ddofn ar fyfyrwyr o gynnwys craidd ym mhob maes pwnc cyn y gallent ymgysylltu'n effeithiol â dysgu traws-ddisgyblaethol. Mae'n credu mai cwricwlwm traddodiadol sy'n seiliedig ar bwnc yw'r ffordd orau o gyflawni hyn.</w:t>
      </w:r>
      <w:r w:rsidRPr="2FA1D867" w:rsidR="24FD2617">
        <w:rPr>
          <w:rFonts w:ascii="Calibri" w:hAnsi="Calibri" w:eastAsia="Calibri" w:cs="Calibri"/>
          <w:sz w:val="22"/>
          <w:szCs w:val="22"/>
        </w:rPr>
        <w:t xml:space="preserve"> Er bod gwaith E. D. </w:t>
      </w:r>
      <w:r w:rsidRPr="2FA1D867" w:rsidR="24FD2617">
        <w:rPr>
          <w:rFonts w:ascii="Calibri" w:hAnsi="Calibri" w:eastAsia="Calibri" w:cs="Calibri"/>
          <w:sz w:val="22"/>
          <w:szCs w:val="22"/>
        </w:rPr>
        <w:t>Hirsch</w:t>
      </w:r>
      <w:r w:rsidRPr="2FA1D867" w:rsidR="24FD2617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24FD2617">
        <w:rPr>
          <w:rFonts w:ascii="Calibri" w:hAnsi="Calibri" w:eastAsia="Calibri" w:cs="Calibri"/>
          <w:sz w:val="22"/>
          <w:szCs w:val="22"/>
        </w:rPr>
        <w:t>Jr</w:t>
      </w:r>
      <w:r w:rsidRPr="2FA1D867" w:rsidR="24FD2617">
        <w:rPr>
          <w:rFonts w:ascii="Calibri" w:hAnsi="Calibri" w:eastAsia="Calibri" w:cs="Calibri"/>
          <w:sz w:val="22"/>
          <w:szCs w:val="22"/>
        </w:rPr>
        <w:t xml:space="preserve"> yn canolbwyntio'n bennaf ar addysg Americanaidd, gall ei ddadleuon am bwysigrwydd gwybodaeth ddisgyblu ac anfanteision posibl dull traws-ddisgyblaethol rhy eang fod yn berthnasol i systemau addysg mewn gwledydd eraill, gan gynnwys Cymru. Mae'n werth ystyried a yw'r un materion a heriau yn wynebu addysgwyr yng Nghymru wrth weithredu'r Cwricwlwm newydd i Gymru, sy'n pwysleisio dysgu trawsgwricwlaidd. Gallai safbwynt Hirsch gynnig gwrthbwynt diddorol i farn Estyn ac addysgwyr eraill o Gymru sy'n cefnogi dysgu trawsgwricwlaidd.</w:t>
      </w:r>
    </w:p>
    <w:p w:rsidR="63C681AA" w:rsidP="2FA1D867" w:rsidRDefault="63C681AA" w14:paraId="43B48210" w14:textId="666810C3">
      <w:pPr>
        <w:pStyle w:val="Normal"/>
        <w:rPr>
          <w:rFonts w:ascii="Calibri" w:hAnsi="Calibri" w:eastAsia="Calibri" w:cs="Calibri"/>
          <w:sz w:val="22"/>
          <w:szCs w:val="22"/>
        </w:rPr>
      </w:pPr>
      <w:r w:rsidRPr="2FA1D867" w:rsidR="63C681AA">
        <w:rPr>
          <w:rFonts w:ascii="Calibri" w:hAnsi="Calibri" w:eastAsia="Calibri" w:cs="Calibri"/>
          <w:sz w:val="22"/>
          <w:szCs w:val="22"/>
        </w:rPr>
        <w:t>Rwy'n credu y dylai addysgu da gynnwys dysgu o fewn y bwnc, ac ar draws pynciau. Er bod cynnal ffiniau disgyblu yn bwysig, gall integreiddio cysyniadau a syniadau o wahanol bynciau i feithrin dealltwriaeth ddyfnach a sgiliau meddwl beirniadol. Fodd bynnag, dylid gwneud yr integreiddio hwn yn feddylgar ac yn bwrpasol, gan sicrhau nad yw pynciau unigol yn cael eu peryglu yn y broses. Yn fy marn i, yr allwedd yw cael cydbwysedd rhwng y ddau ddull.</w:t>
      </w:r>
      <w:r w:rsidRPr="2FA1D867" w:rsidR="7C3A2185">
        <w:rPr>
          <w:rFonts w:ascii="Calibri" w:hAnsi="Calibri" w:eastAsia="Calibri" w:cs="Calibri"/>
          <w:sz w:val="22"/>
          <w:szCs w:val="22"/>
        </w:rPr>
        <w:t xml:space="preserve"> Mae ymchwil ar seicoleg wybyddol a theori dysgu yn cefnogi'r syniad y gall integreiddio ar draws pynciau arwain at ganlyniadau dysgu gwell, yn enwedig pan fydd y cysylltiadau rhwng cysyniadau yn cael eu gwneud yn eglur ac wedi'u hatgyfnerthu trwy strategaethau dysgu gweithredol</w:t>
      </w:r>
      <w:r w:rsidRPr="2FA1D867" w:rsidR="5FB9F51A">
        <w:rPr>
          <w:rFonts w:ascii="Calibri" w:hAnsi="Calibri" w:eastAsia="Calibri" w:cs="Calibri"/>
          <w:sz w:val="22"/>
          <w:szCs w:val="22"/>
        </w:rPr>
        <w:t xml:space="preserve"> (</w:t>
      </w:r>
      <w:r w:rsidRPr="2FA1D867" w:rsidR="5FB9F51A">
        <w:rPr>
          <w:rFonts w:ascii="Calibri" w:hAnsi="Calibri" w:eastAsia="Calibri" w:cs="Calibri"/>
          <w:sz w:val="22"/>
          <w:szCs w:val="22"/>
        </w:rPr>
        <w:t>Bransford</w:t>
      </w:r>
      <w:r w:rsidRPr="2FA1D867" w:rsidR="5FB9F51A">
        <w:rPr>
          <w:rFonts w:ascii="Calibri" w:hAnsi="Calibri" w:eastAsia="Calibri" w:cs="Calibri"/>
          <w:sz w:val="22"/>
          <w:szCs w:val="22"/>
        </w:rPr>
        <w:t>, J. D, 1999)</w:t>
      </w:r>
      <w:r w:rsidRPr="2FA1D867" w:rsidR="7C3A2185">
        <w:rPr>
          <w:rFonts w:ascii="Calibri" w:hAnsi="Calibri" w:eastAsia="Calibri" w:cs="Calibri"/>
          <w:sz w:val="22"/>
          <w:szCs w:val="22"/>
        </w:rPr>
        <w:t>.</w:t>
      </w:r>
    </w:p>
    <w:p w:rsidR="5A641ECE" w:rsidP="2FA1D867" w:rsidRDefault="5A641ECE" w14:paraId="17DDE8A4" w14:textId="2B5B596E">
      <w:pPr>
        <w:pStyle w:val="Normal"/>
        <w:rPr>
          <w:rFonts w:ascii="Calibri" w:hAnsi="Calibri" w:eastAsia="Calibri" w:cs="Calibri"/>
          <w:sz w:val="22"/>
          <w:szCs w:val="22"/>
        </w:rPr>
      </w:pPr>
      <w:r w:rsidRPr="2FA1D867" w:rsidR="5A641ECE">
        <w:rPr>
          <w:rFonts w:ascii="Calibri" w:hAnsi="Calibri" w:eastAsia="Calibri" w:cs="Calibri"/>
          <w:sz w:val="22"/>
          <w:szCs w:val="22"/>
        </w:rPr>
        <w:t>Er fy mod yn credu y gall dysgu trawsgwricwlaidd fod yn fuddiol iawn, mae'n bwysig osgoi rhai anawsterau. Er mwyn osgoi'r anfanteision hyn, awgrymaf: Sicrhau bod integreiddio pynciau yn ystyrlon a dilys. Ni ddylid ystyried dysgu trawsgwricwlaidd fel esgus i orfodi i gyd-fynd â phynciau nad ydynt yn gysylltiedig â'i gilydd, ond yn hytrach fel cyfle i archwilio cydgysylltiad gwybodaeth.</w:t>
      </w:r>
      <w:r w:rsidRPr="2FA1D867" w:rsidR="671BE21E">
        <w:rPr>
          <w:rFonts w:ascii="Calibri" w:hAnsi="Calibri" w:eastAsia="Calibri" w:cs="Calibri"/>
          <w:sz w:val="22"/>
          <w:szCs w:val="22"/>
        </w:rPr>
        <w:t xml:space="preserve"> Darparu adnoddau a hyfforddiant digonol i athrawon. Mae unedau trawsgwricwlaidd yn ei gwneud yn ofynnol i athrawon feddu ar ddealltwriaeth ddofn o ddisgyblaethau lluosog a bod yn fedrus wrth hwyluso dysgu rhyngddisgyblaethol, mae hyn yn cysylltu'n ôl â'r egwyddor flaenorol. Gwneud cysylltiadau'n eglur a sicrhau bod myfyrwyr yn deall y rhesymeg y tu ôl i'r dull gweithredu. Dylai myfyrwyr allu gweld sut mae'r gwahanol bynciau yn gysylltiedig a pham mae dysgu amdanynt gyda'i gilydd yn ddefnyddiol.</w:t>
      </w:r>
      <w:r w:rsidRPr="2FA1D867" w:rsidR="764E3F96">
        <w:rPr>
          <w:rFonts w:ascii="Calibri" w:hAnsi="Calibri" w:eastAsia="Calibri" w:cs="Calibri"/>
          <w:sz w:val="22"/>
          <w:szCs w:val="22"/>
        </w:rPr>
        <w:t xml:space="preserve"> Mae ymchwil gan y Sefydliad ar gyfer Cydweithrediad a Datblygiad Economaidd (OECD) wedi dangos bod dysgu trawsgwricwlaidd effeithiol yn cael ei nodweddu gan gydlyniad, perthnasedd a chydweithio ymhlith athrawon. Maent yn argymell bod llunwyr polisi ac addysgwyr yn canolbwyntio ar ddatblygu deunyddiau cwricwlwm o ansawdd uchel a darparu datblygiad proffesiynol i gefnogi athrawon i weithredu dulliau trawsgwricwlaidd. (OECD, 2017).</w:t>
      </w:r>
    </w:p>
    <w:p w:rsidR="335F438A" w:rsidP="2FA1D867" w:rsidRDefault="335F438A" w14:paraId="62B0C1D3" w14:textId="786584ED">
      <w:pPr>
        <w:pStyle w:val="Normal"/>
        <w:rPr>
          <w:rFonts w:ascii="Calibri" w:hAnsi="Calibri" w:eastAsia="Calibri" w:cs="Calibri"/>
          <w:sz w:val="22"/>
          <w:szCs w:val="22"/>
        </w:rPr>
      </w:pPr>
      <w:r w:rsidRPr="2FA1D867" w:rsidR="335F438A">
        <w:rPr>
          <w:rFonts w:ascii="Calibri" w:hAnsi="Calibri" w:eastAsia="Calibri" w:cs="Calibri"/>
          <w:sz w:val="22"/>
          <w:szCs w:val="22"/>
        </w:rPr>
        <w:t xml:space="preserve">Gallai uned drawsgwricwlaidd ar y Deyrnas Unedig (DU) ganolbwyntio ar y thema "Prydain Fawr: y Gorffennol a'r Presennol." Gallai'r uned hon integreiddio pynciau fel hanes, daearyddiaeth, celf a llenyddiaeth. Mewn gwersi hanes, efallai y bydd myfyrwyr yn dysgu am ddigwyddiadau a ffigurau arwyddol yn hanes Prydain, megis teyrnasiad y Frenhines Elisabeth I neu'r Chwyldro Diwydiannol. Gallai gwersi daearyddiaeth archwilio gwahanol ranbarthau'r DU, eu nodweddion ffisegol unigryw, a daearyddiaeth ddynol, gan gynnwys dosbarthiad poblogaeth a hunaniaethau diwylliannol. Gallai gwersi celf gynnwys creu mapiau o'r DU, paentiadau o dirnodau enwog, neu gludwaith sy'n cynrychioli gwahanol agweddau ar ddiwylliant Prydain. Gall gwersi llenyddiaeth gynnwys darllen a thrafod llyfrau plant clasurol wedi'u gosod yn y DU, megis "Peter Pan" gan J.M. </w:t>
      </w:r>
      <w:r w:rsidRPr="2FA1D867" w:rsidR="335F438A">
        <w:rPr>
          <w:rFonts w:ascii="Calibri" w:hAnsi="Calibri" w:eastAsia="Calibri" w:cs="Calibri"/>
          <w:sz w:val="22"/>
          <w:szCs w:val="22"/>
        </w:rPr>
        <w:t>Barrie</w:t>
      </w:r>
      <w:r w:rsidRPr="2FA1D867" w:rsidR="335F438A">
        <w:rPr>
          <w:rFonts w:ascii="Calibri" w:hAnsi="Calibri" w:eastAsia="Calibri" w:cs="Calibri"/>
          <w:sz w:val="22"/>
          <w:szCs w:val="22"/>
        </w:rPr>
        <w:t xml:space="preserve"> neu "</w:t>
      </w:r>
      <w:r w:rsidRPr="2FA1D867" w:rsidR="335F438A">
        <w:rPr>
          <w:rFonts w:ascii="Calibri" w:hAnsi="Calibri" w:eastAsia="Calibri" w:cs="Calibri"/>
          <w:sz w:val="22"/>
          <w:szCs w:val="22"/>
        </w:rPr>
        <w:t>Charlotte's</w:t>
      </w:r>
      <w:r w:rsidRPr="2FA1D867" w:rsidR="335F438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335F438A">
        <w:rPr>
          <w:rFonts w:ascii="Calibri" w:hAnsi="Calibri" w:eastAsia="Calibri" w:cs="Calibri"/>
          <w:sz w:val="22"/>
          <w:szCs w:val="22"/>
        </w:rPr>
        <w:t>Web</w:t>
      </w:r>
      <w:r w:rsidRPr="2FA1D867" w:rsidR="335F438A">
        <w:rPr>
          <w:rFonts w:ascii="Calibri" w:hAnsi="Calibri" w:eastAsia="Calibri" w:cs="Calibri"/>
          <w:sz w:val="22"/>
          <w:szCs w:val="22"/>
        </w:rPr>
        <w:t>" gan E.B. White. Trwy gydol yr uned, byddai'r cysylltiadau rhwng y gwahanol ddisgyblaethau'n cael eu gwneud yn eglur, gan feithrin dealltwriaeth gyflawn o'r DU a'i threftadaeth ddiwylliannol gyfoethog.</w:t>
      </w:r>
    </w:p>
    <w:p w:rsidR="465066A6" w:rsidP="2375A4FB" w:rsidRDefault="465066A6" w14:paraId="06271926" w14:textId="4B2565E6">
      <w:pPr>
        <w:pStyle w:val="Normal"/>
        <w:rPr>
          <w:rFonts w:ascii="Calibri" w:hAnsi="Calibri" w:eastAsia="Calibri" w:cs="Calibri"/>
          <w:sz w:val="22"/>
          <w:szCs w:val="22"/>
        </w:rPr>
      </w:pPr>
      <w:r w:rsidRPr="2FA1D867" w:rsidR="55297B45">
        <w:rPr>
          <w:rFonts w:ascii="Calibri" w:hAnsi="Calibri" w:eastAsia="Calibri" w:cs="Calibri"/>
          <w:sz w:val="22"/>
          <w:szCs w:val="22"/>
        </w:rPr>
        <w:t>Yn addysg Cymru, mae'n hanfodol defnyddio cyfuniad o ddulliau addysgu sy'n darparu ar gyfer anghenion ac arddulliau dysgu amrywiol. Nid addysgu uniongyrchol, (er ei fod yn bwysig), yw'r unig ddull a ddefnyddir. Mae athrawon da yn cydnabod gwerth adeiladu ar wybodaeth a phrofiadau blaenorol myfyrwyr, ymgysylltu â'u diddordebau, a hyrwyddo dysgu sy'n ymestyn y tu hwnt i Feysydd Dysgu a Phrofiad unigol.</w:t>
      </w:r>
      <w:r w:rsidRPr="2FA1D867" w:rsidR="67D90C4F">
        <w:rPr>
          <w:rFonts w:ascii="Calibri" w:hAnsi="Calibri" w:eastAsia="Calibri" w:cs="Calibri"/>
          <w:sz w:val="22"/>
          <w:szCs w:val="22"/>
        </w:rPr>
        <w:t xml:space="preserve"> Mae'r dull cyfannol hwn yn meithrin dealltwriaeth ddyfnach a sgiliau trosglwyddadwy, gan alluogi myfyrwyr i ddod yn ddysgwyr hyderus, creadigol a llwyddiannus.</w:t>
      </w:r>
    </w:p>
    <w:p w:rsidR="1AC83611" w:rsidP="2375A4FB" w:rsidRDefault="1AC83611" w14:paraId="352E5134" w14:textId="2EEF04F9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0BBA41FB" w14:textId="74D7054E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55AEA4BE" w14:textId="1BDF9A3C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461EC1CD" w14:textId="77D41861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41BF2DFF" w14:textId="5EF6E194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3A787185" w14:textId="7BC47CBA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347E22C0" w14:textId="0485764D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49310D2B" w14:textId="200208D8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32A9E385" w14:textId="73504662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7C1A363A" w14:textId="739C7856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3A77917A" w14:textId="17FBF275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0FE02270" w14:textId="72DCF26A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50112E3D" w14:textId="38F48F16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6EBBF514" w14:textId="510028BB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5A4ADC66" w14:textId="3EDCB67A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7678EC62" w14:textId="05EAD5A7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2A744CAD" w14:textId="3CBA1A03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08059C5E" w14:textId="759BDAF7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23D952DD" w14:textId="7C64FC8C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21D2F2E0" w14:textId="60D5EC70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7A8699F5" w14:textId="65BFE6A6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582AE0CF" w14:textId="5C78AF47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6B217587" w14:textId="7E59BCDE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788050D3" w14:textId="793F2FE3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0BA969EF" w14:textId="51378E28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1126EB2A" w14:textId="212845B1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B9C768E" w:rsidP="0B9C768E" w:rsidRDefault="0B9C768E" w14:paraId="014C98ED" w14:textId="533CC9E1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2FA1D867" w:rsidP="2FA1D867" w:rsidRDefault="2FA1D867" w14:paraId="41C51400" w14:textId="0DA2C4DA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2FA1D867" w:rsidP="2FA1D867" w:rsidRDefault="2FA1D867" w14:paraId="4B7EA709" w14:textId="69B60D3A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2FA1D867" w:rsidP="2FA1D867" w:rsidRDefault="2FA1D867" w14:paraId="625DCFCD" w14:textId="52B7149F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2FA1D867" w:rsidP="2FA1D867" w:rsidRDefault="2FA1D867" w14:paraId="116E8F4E" w14:textId="0B073F13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2FA1D867" w:rsidP="2FA1D867" w:rsidRDefault="2FA1D867" w14:paraId="54F02925" w14:textId="30DAC4C6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2FA1D867" w:rsidP="2FA1D867" w:rsidRDefault="2FA1D867" w14:paraId="1DB246FF" w14:textId="4438EAF6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2FA1D867" w:rsidP="2FA1D867" w:rsidRDefault="2FA1D867" w14:paraId="24D86E09" w14:textId="0D03C729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1AC83611" w:rsidP="2375A4FB" w:rsidRDefault="1AC83611" w14:paraId="2E2D990F" w14:textId="2F899CCA">
      <w:pPr>
        <w:pStyle w:val="Normal"/>
        <w:rPr>
          <w:rFonts w:ascii="Calibri" w:hAnsi="Calibri" w:eastAsia="Calibri" w:cs="Calibri"/>
          <w:sz w:val="22"/>
          <w:szCs w:val="22"/>
        </w:rPr>
      </w:pPr>
      <w:r w:rsidRPr="0B9C768E" w:rsidR="2212AFCC">
        <w:rPr>
          <w:rFonts w:ascii="Calibri" w:hAnsi="Calibri" w:eastAsia="Calibri" w:cs="Calibri"/>
          <w:sz w:val="22"/>
          <w:szCs w:val="22"/>
        </w:rPr>
        <w:t>Cyfeirnodi</w:t>
      </w:r>
    </w:p>
    <w:p w:rsidR="73946E87" w:rsidP="0B9C768E" w:rsidRDefault="73946E87" w14:paraId="5BB5A48B" w14:textId="394C0661">
      <w:pPr>
        <w:pStyle w:val="Normal"/>
        <w:rPr>
          <w:rFonts w:ascii="Calibri" w:hAnsi="Calibri" w:eastAsia="Calibri" w:cs="Calibri"/>
          <w:sz w:val="22"/>
          <w:szCs w:val="22"/>
        </w:rPr>
      </w:pPr>
      <w:r w:rsidRPr="2FA1D867" w:rsidR="73946E87">
        <w:rPr>
          <w:rFonts w:ascii="Calibri" w:hAnsi="Calibri" w:eastAsia="Calibri" w:cs="Calibri"/>
          <w:sz w:val="22"/>
          <w:szCs w:val="22"/>
        </w:rPr>
        <w:t>Bromme</w:t>
      </w:r>
      <w:r w:rsidRPr="2FA1D867" w:rsidR="73946E87">
        <w:rPr>
          <w:rFonts w:ascii="Calibri" w:hAnsi="Calibri" w:eastAsia="Calibri" w:cs="Calibri"/>
          <w:sz w:val="22"/>
          <w:szCs w:val="22"/>
        </w:rPr>
        <w:t xml:space="preserve">, R., &amp; </w:t>
      </w:r>
      <w:r w:rsidRPr="2FA1D867" w:rsidR="73946E87">
        <w:rPr>
          <w:rFonts w:ascii="Calibri" w:hAnsi="Calibri" w:eastAsia="Calibri" w:cs="Calibri"/>
          <w:sz w:val="22"/>
          <w:szCs w:val="22"/>
        </w:rPr>
        <w:t>Häckermann</w:t>
      </w:r>
      <w:r w:rsidRPr="2FA1D867" w:rsidR="73946E87">
        <w:rPr>
          <w:rFonts w:ascii="Calibri" w:hAnsi="Calibri" w:eastAsia="Calibri" w:cs="Calibri"/>
          <w:sz w:val="22"/>
          <w:szCs w:val="22"/>
        </w:rPr>
        <w:t xml:space="preserve">, F. (2010).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“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Productive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disequilibrium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and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the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development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of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learning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processes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: The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role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of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didactical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content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and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classroom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discourse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.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Learning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and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Instruction</w:t>
      </w:r>
      <w:r w:rsidRPr="2FA1D867" w:rsidR="73946E87">
        <w:rPr>
          <w:rFonts w:ascii="Calibri" w:hAnsi="Calibri" w:eastAsia="Calibri" w:cs="Calibri"/>
          <w:i w:val="1"/>
          <w:iCs w:val="1"/>
          <w:sz w:val="22"/>
          <w:szCs w:val="22"/>
        </w:rPr>
        <w:t>,”</w:t>
      </w:r>
      <w:r w:rsidRPr="2FA1D867" w:rsidR="73946E87">
        <w:rPr>
          <w:rFonts w:ascii="Calibri" w:hAnsi="Calibri" w:eastAsia="Calibri" w:cs="Calibri"/>
          <w:sz w:val="22"/>
          <w:szCs w:val="22"/>
        </w:rPr>
        <w:t xml:space="preserve"> 20(5), 415-424.</w:t>
      </w:r>
    </w:p>
    <w:p w:rsidR="0CFABC71" w:rsidP="2FA1D867" w:rsidRDefault="0CFABC71" w14:paraId="34406779" w14:textId="75E228FA">
      <w:pPr>
        <w:pStyle w:val="Normal"/>
        <w:rPr>
          <w:rFonts w:ascii="Calibri" w:hAnsi="Calibri" w:eastAsia="Calibri" w:cs="Calibri"/>
          <w:sz w:val="22"/>
          <w:szCs w:val="22"/>
        </w:rPr>
      </w:pPr>
      <w:r w:rsidRPr="2FA1D867" w:rsidR="56FFBCC9">
        <w:rPr>
          <w:rFonts w:ascii="Calibri" w:hAnsi="Calibri" w:eastAsia="Calibri" w:cs="Calibri"/>
          <w:sz w:val="22"/>
          <w:szCs w:val="22"/>
        </w:rPr>
        <w:t>Bransford, J. D., Stein, B. S., &amp; Cocking, R. R. (1999). How people learn: Brain, mind, experience, and school. Washington, DC: National Academy Press.</w:t>
      </w:r>
      <w:r w:rsidRPr="2FA1D867" w:rsidR="56FFBCC9">
        <w:rPr>
          <w:rFonts w:ascii="Calibri" w:hAnsi="Calibri" w:eastAsia="Calibri" w:cs="Calibri"/>
          <w:sz w:val="22"/>
          <w:szCs w:val="22"/>
        </w:rPr>
        <w:t xml:space="preserve"> </w:t>
      </w:r>
    </w:p>
    <w:p w:rsidR="0CFABC71" w:rsidP="2375A4FB" w:rsidRDefault="0CFABC71" w14:paraId="710D93A1" w14:textId="38A6163A">
      <w:pPr>
        <w:pStyle w:val="Normal"/>
        <w:rPr>
          <w:rFonts w:ascii="Calibri" w:hAnsi="Calibri" w:eastAsia="Calibri" w:cs="Calibri"/>
          <w:sz w:val="22"/>
          <w:szCs w:val="22"/>
        </w:rPr>
      </w:pPr>
      <w:r w:rsidRPr="2FA1D867" w:rsidR="6A998ECF">
        <w:rPr>
          <w:rFonts w:ascii="Calibri" w:hAnsi="Calibri" w:eastAsia="Calibri" w:cs="Calibri"/>
          <w:sz w:val="22"/>
          <w:szCs w:val="22"/>
        </w:rPr>
        <w:t>Darling</w:t>
      </w:r>
      <w:r w:rsidRPr="2FA1D867" w:rsidR="6A998ECF">
        <w:rPr>
          <w:rFonts w:ascii="Calibri" w:hAnsi="Calibri" w:eastAsia="Calibri" w:cs="Calibri"/>
          <w:sz w:val="22"/>
          <w:szCs w:val="22"/>
        </w:rPr>
        <w:t>-Hammond, L.,  (2009).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“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Dynamic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learning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: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Supporting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teachers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to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develop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knowledge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and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practice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across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content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and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settings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.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Educational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Evaluation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and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Policy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Analysis</w:t>
      </w:r>
      <w:r w:rsidRPr="2FA1D867" w:rsidR="6A998ECF">
        <w:rPr>
          <w:rFonts w:ascii="Calibri" w:hAnsi="Calibri" w:eastAsia="Calibri" w:cs="Calibri"/>
          <w:i w:val="1"/>
          <w:iCs w:val="1"/>
          <w:sz w:val="22"/>
          <w:szCs w:val="22"/>
        </w:rPr>
        <w:t>,”</w:t>
      </w:r>
      <w:r w:rsidRPr="2FA1D867" w:rsidR="6A998ECF">
        <w:rPr>
          <w:rFonts w:ascii="Calibri" w:hAnsi="Calibri" w:eastAsia="Calibri" w:cs="Calibri"/>
          <w:sz w:val="22"/>
          <w:szCs w:val="22"/>
        </w:rPr>
        <w:t xml:space="preserve"> 31(3), 335-360.</w:t>
      </w:r>
    </w:p>
    <w:p w:rsidR="4ADE4DB8" w:rsidP="0B9C768E" w:rsidRDefault="4ADE4DB8" w14:paraId="4E805D05" w14:textId="47CEC991">
      <w:pPr>
        <w:pStyle w:val="Normal"/>
        <w:rPr>
          <w:rFonts w:ascii="Calibri" w:hAnsi="Calibri" w:eastAsia="Calibri" w:cs="Calibri"/>
          <w:sz w:val="22"/>
          <w:szCs w:val="22"/>
        </w:rPr>
      </w:pPr>
      <w:r w:rsidRPr="0B9C768E" w:rsidR="71967246">
        <w:rPr>
          <w:rFonts w:ascii="Calibri" w:hAnsi="Calibri" w:eastAsia="Calibri" w:cs="Calibri"/>
          <w:sz w:val="22"/>
          <w:szCs w:val="22"/>
        </w:rPr>
        <w:t xml:space="preserve">Deci, L. R., &amp; Ryan, R. M. (2000). </w:t>
      </w:r>
      <w:r w:rsidRPr="0B9C768E" w:rsidR="71967246">
        <w:rPr>
          <w:rFonts w:ascii="Calibri" w:hAnsi="Calibri" w:eastAsia="Calibri" w:cs="Calibri"/>
          <w:i w:val="1"/>
          <w:iCs w:val="1"/>
          <w:sz w:val="22"/>
          <w:szCs w:val="22"/>
        </w:rPr>
        <w:t>“The 'what' and 'why' of goal concepts: Applications to health motivation and intervention design.”</w:t>
      </w:r>
      <w:r w:rsidRPr="0B9C768E" w:rsidR="71967246">
        <w:rPr>
          <w:rFonts w:ascii="Calibri" w:hAnsi="Calibri" w:eastAsia="Calibri" w:cs="Calibri"/>
          <w:sz w:val="22"/>
          <w:szCs w:val="22"/>
        </w:rPr>
        <w:t xml:space="preserve"> Psychological bulletin, 126(2), 324-336.</w:t>
      </w:r>
      <w:r w:rsidRPr="0B9C768E" w:rsidR="719672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</w:p>
    <w:p w:rsidR="4ADE4DB8" w:rsidP="2375A4FB" w:rsidRDefault="4ADE4DB8" w14:paraId="00C1EA95" w14:textId="2D57EE5A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cy-GB"/>
        </w:rPr>
      </w:pPr>
      <w:r w:rsidRPr="2FA1D867" w:rsidR="1D868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Dewey</w:t>
      </w:r>
      <w:r w:rsidRPr="2FA1D867" w:rsidR="1D868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J. (1938). </w:t>
      </w:r>
      <w:r w:rsidRPr="2FA1D867" w:rsidR="1D868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Experience</w:t>
      </w:r>
      <w:r w:rsidRPr="2FA1D867" w:rsidR="1D868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1D868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2FA1D867" w:rsidR="1D868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1D868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education</w:t>
      </w:r>
      <w:r w:rsidRPr="2FA1D867" w:rsidR="1D868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New York: Simon &amp; </w:t>
      </w:r>
      <w:r w:rsidRPr="2FA1D867" w:rsidR="1D868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Schuster</w:t>
      </w:r>
      <w:r w:rsidRPr="2FA1D867" w:rsidR="1D868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</w:p>
    <w:p w:rsidR="6CBED749" w:rsidP="2FA1D867" w:rsidRDefault="6CBED749" w14:paraId="312D041C" w14:textId="06AC095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2FA1D867" w:rsidR="6CBED7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Hirsch, E. D. Jr. (2016). The Knowledge Gap: The Hidden Cause of America's Broken Education System--and How to Fix It. New York, NY: Sentinel.</w:t>
      </w:r>
    </w:p>
    <w:p w:rsidR="62F6C631" w:rsidP="2FA1D867" w:rsidRDefault="62F6C631" w14:paraId="098F21DF" w14:textId="56DA748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2FA1D867" w:rsidR="62F6C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Estyn (2020).</w:t>
      </w:r>
      <w:r w:rsidRPr="2FA1D867" w:rsidR="3C66D488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“</w:t>
      </w:r>
      <w:r w:rsidRPr="2FA1D867" w:rsidR="3C66D488">
        <w:rPr>
          <w:rFonts w:ascii="Calibri" w:hAnsi="Calibri" w:eastAsia="Calibri" w:cs="Calibri"/>
          <w:noProof w:val="0"/>
          <w:sz w:val="22"/>
          <w:szCs w:val="22"/>
          <w:lang w:val="cy-GB"/>
        </w:rPr>
        <w:t>Preparing</w:t>
      </w:r>
      <w:r w:rsidRPr="2FA1D867" w:rsidR="3C66D488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</w:t>
      </w:r>
      <w:r w:rsidRPr="2FA1D867" w:rsidR="3C66D488">
        <w:rPr>
          <w:rFonts w:ascii="Calibri" w:hAnsi="Calibri" w:eastAsia="Calibri" w:cs="Calibri"/>
          <w:noProof w:val="0"/>
          <w:sz w:val="22"/>
          <w:szCs w:val="22"/>
          <w:lang w:val="cy-GB"/>
        </w:rPr>
        <w:t>for</w:t>
      </w:r>
      <w:r w:rsidRPr="2FA1D867" w:rsidR="3C66D488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the </w:t>
      </w:r>
      <w:r w:rsidRPr="2FA1D867" w:rsidR="3C66D488">
        <w:rPr>
          <w:rFonts w:ascii="Calibri" w:hAnsi="Calibri" w:eastAsia="Calibri" w:cs="Calibri"/>
          <w:noProof w:val="0"/>
          <w:sz w:val="22"/>
          <w:szCs w:val="22"/>
          <w:lang w:val="cy-GB"/>
        </w:rPr>
        <w:t>Curriculum</w:t>
      </w:r>
      <w:r w:rsidRPr="2FA1D867" w:rsidR="3C66D488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</w:t>
      </w:r>
      <w:r w:rsidRPr="2FA1D867" w:rsidR="3C66D488">
        <w:rPr>
          <w:rFonts w:ascii="Calibri" w:hAnsi="Calibri" w:eastAsia="Calibri" w:cs="Calibri"/>
          <w:noProof w:val="0"/>
          <w:sz w:val="22"/>
          <w:szCs w:val="22"/>
          <w:lang w:val="cy-GB"/>
        </w:rPr>
        <w:t>for</w:t>
      </w:r>
      <w:r w:rsidRPr="2FA1D867" w:rsidR="3C66D488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Wales”</w:t>
      </w:r>
      <w:r w:rsidRPr="2FA1D867" w:rsidR="62F6C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62F6C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Available</w:t>
      </w:r>
      <w:r w:rsidRPr="2FA1D867" w:rsidR="62F6C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at: </w:t>
      </w:r>
      <w:hyperlink r:id="R68c850aa822846da">
        <w:r w:rsidRPr="2FA1D867" w:rsidR="1071806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https://www.estyn.gov.wales/system/files/2022-01/Preparing%20for%20the%20Curriculum%20for%20Wales%20en.pdf</w:t>
        </w:r>
      </w:hyperlink>
      <w:r w:rsidRPr="2FA1D867" w:rsidR="107180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62F6C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(</w:t>
      </w:r>
      <w:r w:rsidRPr="2FA1D867" w:rsidR="62F6C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2FA1D867" w:rsidR="62F6C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13 March 2024).</w:t>
      </w:r>
    </w:p>
    <w:p w:rsidR="7CE04780" w:rsidP="2375A4FB" w:rsidRDefault="7CE04780" w14:paraId="138ED1F6" w14:textId="787634E6">
      <w:pPr>
        <w:pStyle w:val="Normal"/>
        <w:rPr>
          <w:rFonts w:ascii="Calibri" w:hAnsi="Calibri" w:eastAsia="Calibri" w:cs="Calibri"/>
          <w:sz w:val="22"/>
          <w:szCs w:val="22"/>
        </w:rPr>
      </w:pPr>
      <w:r w:rsidRPr="2375A4FB" w:rsidR="7CE04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Estyn, (2020). 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"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Inspection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 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Education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Training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2375A4FB" w:rsidR="7CE0478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Wales: 2019-2020"</w:t>
      </w:r>
      <w:r w:rsidRPr="2375A4FB" w:rsidR="7CE04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7CE04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Available</w:t>
      </w:r>
      <w:r w:rsidRPr="2375A4FB" w:rsidR="7CE04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at: </w:t>
      </w:r>
      <w:hyperlink r:id="R2387d758bec54e45">
        <w:r w:rsidRPr="2375A4FB" w:rsidR="7CE0478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https://gov.wales/sites/default/files/publication/2020-11/inpection-of-education-and-training-in-wales-2019-2020.pdf</w:t>
        </w:r>
      </w:hyperlink>
      <w:r w:rsidRPr="2375A4FB" w:rsidR="7CE04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</w:t>
      </w:r>
      <w:r w:rsidRPr="2375A4FB" w:rsidR="7CE04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2375A4FB" w:rsidR="7CE04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7CE04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2375A4FB" w:rsidR="7CE04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: March 9th 2024).</w:t>
      </w:r>
      <w:r w:rsidRPr="2375A4FB" w:rsidR="7CE04780">
        <w:rPr>
          <w:rFonts w:ascii="Calibri" w:hAnsi="Calibri" w:eastAsia="Calibri" w:cs="Calibri"/>
          <w:sz w:val="22"/>
          <w:szCs w:val="22"/>
        </w:rPr>
        <w:t xml:space="preserve"> </w:t>
      </w:r>
    </w:p>
    <w:p w:rsidR="7C2FFDF2" w:rsidP="0B9C768E" w:rsidRDefault="7C2FFDF2" w14:paraId="1FD15BAC" w14:textId="463CA96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0B9C768E" w:rsidR="4DB85939">
        <w:rPr>
          <w:rFonts w:ascii="Calibri" w:hAnsi="Calibri" w:eastAsia="Calibri" w:cs="Calibri"/>
          <w:sz w:val="22"/>
          <w:szCs w:val="22"/>
        </w:rPr>
        <w:t>Estyn, (2019)</w:t>
      </w:r>
      <w:r w:rsidRPr="0B9C768E" w:rsidR="741DE0A3">
        <w:rPr>
          <w:rFonts w:ascii="Calibri" w:hAnsi="Calibri" w:eastAsia="Calibri" w:cs="Calibri"/>
          <w:sz w:val="22"/>
          <w:szCs w:val="22"/>
        </w:rPr>
        <w:t>.</w:t>
      </w:r>
      <w:r w:rsidRPr="0B9C768E" w:rsidR="080455EC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“The 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Annual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Report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of Her 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Majesty's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Chief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Inspector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of 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Education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and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Training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in</w:t>
      </w:r>
      <w:r w:rsidRPr="0B9C768E" w:rsidR="080455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Wales”</w:t>
      </w:r>
      <w:r w:rsidRPr="0B9C768E" w:rsidR="4DB85939">
        <w:rPr>
          <w:rFonts w:ascii="Calibri" w:hAnsi="Calibri" w:eastAsia="Calibri" w:cs="Calibri"/>
          <w:sz w:val="22"/>
          <w:szCs w:val="22"/>
        </w:rPr>
        <w:t xml:space="preserve"> </w:t>
      </w:r>
      <w:r w:rsidRPr="0B9C768E" w:rsidR="5237AA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Available</w:t>
      </w:r>
      <w:r w:rsidRPr="0B9C768E" w:rsidR="5237AA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at:</w:t>
      </w:r>
      <w:r w:rsidRPr="0B9C768E" w:rsidR="5237AAE4">
        <w:rPr>
          <w:rStyle w:val="Hyperlink"/>
          <w:rFonts w:ascii="Calibri" w:hAnsi="Calibri" w:eastAsia="Calibri" w:cs="Calibri"/>
          <w:sz w:val="22"/>
          <w:szCs w:val="22"/>
        </w:rPr>
        <w:t xml:space="preserve"> </w:t>
      </w:r>
      <w:hyperlink r:id="R84d529d991ea4dd9">
        <w:r w:rsidRPr="0B9C768E" w:rsidR="398B96E0">
          <w:rPr>
            <w:rStyle w:val="Hyperlink"/>
            <w:rFonts w:ascii="Calibri" w:hAnsi="Calibri" w:eastAsia="Calibri" w:cs="Calibri"/>
            <w:sz w:val="22"/>
            <w:szCs w:val="22"/>
          </w:rPr>
          <w:t>https://www.estyn.gov.wales/sites/www.estyn.gov.wales/files/2020-07/Annual_Report_2018_2019_en_2.pdf</w:t>
        </w:r>
      </w:hyperlink>
      <w:r w:rsidRPr="0B9C768E" w:rsidR="398B96E0">
        <w:rPr>
          <w:rFonts w:ascii="Calibri" w:hAnsi="Calibri" w:eastAsia="Calibri" w:cs="Calibri"/>
          <w:sz w:val="22"/>
          <w:szCs w:val="22"/>
        </w:rPr>
        <w:t xml:space="preserve"> </w:t>
      </w:r>
      <w:r w:rsidRPr="0B9C768E" w:rsidR="042272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(</w:t>
      </w:r>
      <w:r w:rsidRPr="0B9C768E" w:rsidR="042272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0B9C768E" w:rsidR="042272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042272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0B9C768E" w:rsidR="042272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: March 8th 2024).</w:t>
      </w:r>
    </w:p>
    <w:p w:rsidR="7B02C0B0" w:rsidP="0B9C768E" w:rsidRDefault="7B02C0B0" w14:paraId="63C412C0" w14:textId="6C95983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0B9C768E" w:rsidR="7B02C0B0">
        <w:rPr>
          <w:rFonts w:ascii="Calibri" w:hAnsi="Calibri" w:eastAsia="Calibri" w:cs="Calibri"/>
          <w:sz w:val="22"/>
          <w:szCs w:val="22"/>
        </w:rPr>
        <w:t>Estyn, (2016).</w:t>
      </w:r>
      <w:r w:rsidRPr="0B9C768E" w:rsidR="7B02C0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7B02C0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“</w:t>
      </w:r>
      <w:r w:rsidRPr="0B9C768E" w:rsidR="7B02C0B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Active</w:t>
      </w:r>
      <w:r w:rsidRPr="0B9C768E" w:rsidR="7B02C0B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0B9C768E" w:rsidR="7B02C0B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and</w:t>
      </w:r>
      <w:r w:rsidRPr="0B9C768E" w:rsidR="7B02C0B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0B9C768E" w:rsidR="7B02C0B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experiential</w:t>
      </w:r>
      <w:r w:rsidRPr="0B9C768E" w:rsidR="7B02C0B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0B9C768E" w:rsidR="7B02C0B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learning</w:t>
      </w:r>
      <w:r w:rsidRPr="0B9C768E" w:rsidR="7B02C0B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”</w:t>
      </w:r>
      <w:r w:rsidRPr="0B9C768E" w:rsidR="7B02C0B0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</w:t>
      </w:r>
      <w:r w:rsidRPr="0B9C768E" w:rsidR="7B02C0B0">
        <w:rPr>
          <w:rFonts w:ascii="Calibri" w:hAnsi="Calibri" w:eastAsia="Calibri" w:cs="Calibri"/>
          <w:noProof w:val="0"/>
          <w:sz w:val="22"/>
          <w:szCs w:val="22"/>
          <w:lang w:val="cy-GB"/>
        </w:rPr>
        <w:t>Available</w:t>
      </w:r>
      <w:r w:rsidRPr="0B9C768E" w:rsidR="7B02C0B0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at: </w:t>
      </w:r>
      <w:hyperlink r:id="Ra72b8d719a7f42d6">
        <w:r w:rsidRPr="0B9C768E" w:rsidR="7B02C0B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cy-GB"/>
          </w:rPr>
          <w:t>https://www.estyn.gov.wales/system/files/2020-07/Estyn%2520Active%2520and%2520experiential%2520learning_E_Accessible_1.pdf</w:t>
        </w:r>
      </w:hyperlink>
      <w:r w:rsidRPr="0B9C768E" w:rsidR="7B02C0B0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(</w:t>
      </w:r>
      <w:r w:rsidRPr="0B9C768E" w:rsidR="7B02C0B0">
        <w:rPr>
          <w:rFonts w:ascii="Calibri" w:hAnsi="Calibri" w:eastAsia="Calibri" w:cs="Calibri"/>
          <w:noProof w:val="0"/>
          <w:sz w:val="22"/>
          <w:szCs w:val="22"/>
          <w:lang w:val="cy-GB"/>
        </w:rPr>
        <w:t>Accessed</w:t>
      </w:r>
      <w:r w:rsidRPr="0B9C768E" w:rsidR="7B02C0B0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</w:t>
      </w:r>
      <w:r w:rsidRPr="0B9C768E" w:rsidR="7B02C0B0">
        <w:rPr>
          <w:rFonts w:ascii="Calibri" w:hAnsi="Calibri" w:eastAsia="Calibri" w:cs="Calibri"/>
          <w:noProof w:val="0"/>
          <w:sz w:val="22"/>
          <w:szCs w:val="22"/>
          <w:lang w:val="cy-GB"/>
        </w:rPr>
        <w:t>on</w:t>
      </w:r>
      <w:r w:rsidRPr="0B9C768E" w:rsidR="7B02C0B0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: </w:t>
      </w:r>
      <w:r w:rsidRPr="0B9C768E" w:rsidR="1433A00C">
        <w:rPr>
          <w:rFonts w:ascii="Calibri" w:hAnsi="Calibri" w:eastAsia="Calibri" w:cs="Calibri"/>
          <w:noProof w:val="0"/>
          <w:sz w:val="22"/>
          <w:szCs w:val="22"/>
          <w:lang w:val="cy-GB"/>
        </w:rPr>
        <w:t>11th of March 2024).</w:t>
      </w:r>
    </w:p>
    <w:p w:rsidR="3F56A6FC" w:rsidP="2375A4FB" w:rsidRDefault="3F56A6FC" w14:paraId="1483AC70" w14:textId="00A261B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2375A4FB" w:rsidR="3F56A6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Fullan</w:t>
      </w:r>
      <w:r w:rsidRPr="2375A4FB" w:rsidR="3F56A6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M. (2012). 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“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Change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leader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: 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Learning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to 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achieve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achieve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to 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lead</w:t>
      </w:r>
      <w:r w:rsidRPr="2375A4FB" w:rsidR="3F56A6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.”</w:t>
      </w:r>
      <w:r w:rsidRPr="2375A4FB" w:rsidR="3F56A6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San Francisco, CA: </w:t>
      </w:r>
      <w:r w:rsidRPr="2375A4FB" w:rsidR="3F56A6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Jossey-Bass</w:t>
      </w:r>
      <w:r w:rsidRPr="2375A4FB" w:rsidR="3F56A6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</w:p>
    <w:p w:rsidR="7989D77C" w:rsidP="0B9C768E" w:rsidRDefault="7989D77C" w14:paraId="579A66AD" w14:textId="25CB0E92">
      <w:pPr>
        <w:pStyle w:val="Normal"/>
        <w:suppressLineNumbers w:val="0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Hattie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J., &amp; 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Timperley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H. (2007). </w:t>
      </w:r>
      <w:r w:rsidRPr="0B9C768E" w:rsidR="487F21B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“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The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power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feedback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Review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Educational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Research</w:t>
      </w:r>
      <w:r w:rsidRPr="0B9C768E" w:rsidR="344A08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”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77(1), 81-112.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</w:p>
    <w:p w:rsidR="136152D5" w:rsidP="2375A4FB" w:rsidRDefault="136152D5" w14:paraId="10606800" w14:textId="447BB48C">
      <w:pPr>
        <w:pStyle w:val="Normal"/>
        <w:suppressLineNumbers w:val="0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2375A4FB" w:rsidR="136152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Klein</w:t>
      </w:r>
      <w:r w:rsidRPr="2375A4FB" w:rsidR="136152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J. D., </w:t>
      </w:r>
      <w:r w:rsidRPr="2375A4FB" w:rsidR="136152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Greenberg</w:t>
      </w:r>
      <w:r w:rsidRPr="2375A4FB" w:rsidR="136152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 J. B., &amp; Harris, A. L. (2007). “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The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effects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professional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development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classroom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instruction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urban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elementary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schools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Teachers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College</w:t>
      </w:r>
      <w:r w:rsidRPr="2375A4FB" w:rsidR="136152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Record</w:t>
      </w:r>
      <w:r w:rsidRPr="2375A4FB" w:rsidR="136152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”, 109(4), 847-871.</w:t>
      </w:r>
    </w:p>
    <w:p w:rsidR="7989D77C" w:rsidP="0B9C768E" w:rsidRDefault="7989D77C" w14:paraId="55FEBB57" w14:textId="2BF2420E">
      <w:pPr>
        <w:pStyle w:val="Normal"/>
        <w:suppressLineNumbers w:val="0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Kulik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C. L., &amp; 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Kulik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J. A. (1988). </w:t>
      </w:r>
      <w:r w:rsidRPr="0B9C768E" w:rsidR="6804A3A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“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Effectiveness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tutoring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elementary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secondary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schools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: A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review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recent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research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  <w:r w:rsidRPr="0B9C768E" w:rsidR="0CBC00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”</w:t>
      </w:r>
      <w:r w:rsidRPr="0B9C768E" w:rsidR="3F0756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New York: 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Teachers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College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Press</w:t>
      </w:r>
      <w:r w:rsidRPr="0B9C768E" w:rsidR="3F07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</w:p>
    <w:p w:rsidR="59DCAAD8" w:rsidP="0B9C768E" w:rsidRDefault="59DCAAD8" w14:paraId="73310FEC" w14:textId="0012A03C">
      <w:pPr>
        <w:pStyle w:val="Normal"/>
        <w:suppressLineNumbers w:val="0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0B9C768E" w:rsidR="59DCAA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Llywodraeth Cymru, (2023).</w:t>
      </w:r>
      <w:r w:rsidRPr="0B9C768E" w:rsidR="59DCAA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“</w:t>
      </w:r>
      <w:r w:rsidRPr="0B9C768E" w:rsidR="59DCAA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Designing</w:t>
      </w:r>
      <w:r w:rsidRPr="0B9C768E" w:rsidR="59DCAA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59DCAA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your</w:t>
      </w:r>
      <w:r w:rsidRPr="0B9C768E" w:rsidR="59DCAA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59DCAA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curriculum</w:t>
      </w:r>
      <w:r w:rsidRPr="0B9C768E" w:rsidR="59DCAA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” </w:t>
      </w:r>
      <w:r w:rsidRPr="0B9C768E" w:rsidR="59DCAA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Available</w:t>
      </w:r>
      <w:r w:rsidRPr="0B9C768E" w:rsidR="59DCAA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at:</w:t>
      </w:r>
      <w:r w:rsidRPr="0B9C768E" w:rsidR="59DCAA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hyperlink r:id="Rb63d4d5505414e17"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://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hwb.gov.wales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/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curriculum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-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for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-wales/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designing-your-curriculum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/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pedagogy</w:t>
        </w:r>
        <w:r w:rsidRPr="0B9C768E" w:rsidR="59DCAA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/</w:t>
        </w:r>
      </w:hyperlink>
      <w:r w:rsidRPr="0B9C768E" w:rsidR="59DCAA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</w:t>
      </w:r>
      <w:r w:rsidRPr="0B9C768E" w:rsidR="59DCAA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0B9C768E" w:rsidR="59DCAA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59DCAA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0B9C768E" w:rsidR="59DCAA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: </w:t>
      </w:r>
      <w:r w:rsidRPr="0B9C768E" w:rsidR="67405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11th of March 2024</w:t>
      </w:r>
      <w:r w:rsidRPr="0B9C768E" w:rsidR="59DCAA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)</w:t>
      </w:r>
      <w:r w:rsidRPr="0B9C768E" w:rsidR="7E259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</w:p>
    <w:p w:rsidR="3DAC62E0" w:rsidP="2FA1D867" w:rsidRDefault="3DAC62E0" w14:paraId="3EC97B19" w14:textId="357DA232">
      <w:pPr>
        <w:pStyle w:val="Normal"/>
        <w:suppressLineNumbers w:val="0"/>
        <w:bidi w:val="0"/>
        <w:spacing w:before="0" w:beforeAutospacing="off" w:after="160" w:afterAutospacing="off" w:line="279" w:lineRule="auto"/>
        <w:ind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2FA1D867" w:rsidR="15C78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Llywodraeth Cymru, (2022). 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“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Successful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Futures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: 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Independent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review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 the 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curriculum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for</w:t>
      </w:r>
      <w:r w:rsidRPr="2FA1D867" w:rsidR="53ED5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Wales.”</w:t>
      </w:r>
      <w:r w:rsidRPr="2FA1D867" w:rsidR="136A2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136A2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Available</w:t>
      </w:r>
      <w:r w:rsidRPr="2FA1D867" w:rsidR="136A2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at:</w:t>
      </w:r>
      <w:r w:rsidRPr="2FA1D867" w:rsidR="53ED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hyperlink r:id="Rc0c07dae5ccd4539">
        <w:r w:rsidRPr="2FA1D867" w:rsidR="15C787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https://www.gov.wales/sites/default/files/publications/2018-03/succesful-futures-a-summary-of-professor-graham-donaldsons-report.pdf</w:t>
        </w:r>
      </w:hyperlink>
      <w:r w:rsidRPr="2FA1D867" w:rsidR="60E64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</w:t>
      </w:r>
      <w:r w:rsidRPr="2FA1D867" w:rsidR="60E64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2FA1D867" w:rsidR="60E64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60E64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2FA1D867" w:rsidR="60E64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: March 11th 2024).</w:t>
      </w:r>
      <w:r w:rsidRPr="2FA1D867" w:rsidR="3DAC6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Llywodraeth Cymru, (2022). </w:t>
      </w:r>
      <w:r w:rsidRPr="2FA1D867" w:rsidR="5A80F64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”</w:t>
      </w:r>
      <w:r w:rsidRPr="2FA1D867" w:rsidR="1AC8361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succesful-futures-a-summary-of-professor-graham-donaldsons-report.pdf</w:t>
      </w:r>
      <w:r w:rsidRPr="2FA1D867" w:rsidR="1AB00B5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"</w:t>
      </w:r>
      <w:r w:rsidRPr="2FA1D867" w:rsidR="586C958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586C95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Available</w:t>
      </w:r>
      <w:r w:rsidRPr="2FA1D867" w:rsidR="586C95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at: </w:t>
      </w:r>
      <w:hyperlink r:id="R3816afccce994bc8">
        <w:r w:rsidRPr="2FA1D867" w:rsidR="586C958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https://www.gov.wales/sites/default/files/publications/2018-03/succesful-futures-a-summary-of-professor-graham-donaldsons-report.pdf</w:t>
        </w:r>
      </w:hyperlink>
      <w:r w:rsidRPr="2FA1D867" w:rsidR="586C95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</w:t>
      </w:r>
      <w:r w:rsidRPr="2FA1D867" w:rsidR="586C95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2FA1D867" w:rsidR="586C95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FA1D867" w:rsidR="586C95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2FA1D867" w:rsidR="211774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: </w:t>
      </w:r>
      <w:r w:rsidRPr="2FA1D867" w:rsidR="586C95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March 8th 2024)</w:t>
      </w:r>
      <w:r w:rsidRPr="2FA1D867" w:rsidR="66406C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</w:p>
    <w:p w:rsidR="6257AAE7" w:rsidP="2375A4FB" w:rsidRDefault="6257AAE7" w14:paraId="4A1C4A63" w14:textId="2E054F98">
      <w:pPr>
        <w:pStyle w:val="Normal"/>
        <w:suppressLineNumbers w:val="0"/>
        <w:bidi w:val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2375A4FB" w:rsidR="6257AA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Llywodraeth Cymru, (2019). 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“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>Understanding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 xml:space="preserve"> 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>bilingualism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 xml:space="preserve"> 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>in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 xml:space="preserve"> 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>education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 xml:space="preserve">: a 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>seed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 xml:space="preserve"> 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>for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 xml:space="preserve"> 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>bilingual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 xml:space="preserve"> 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>teaching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 xml:space="preserve"> 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>success</w:t>
      </w:r>
      <w:r w:rsidRPr="2375A4FB" w:rsidR="6257AA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cy-GB"/>
        </w:rPr>
        <w:t>”</w:t>
      </w:r>
      <w:r w:rsidRPr="2375A4FB" w:rsidR="6257AA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cy-GB"/>
        </w:rPr>
        <w:t xml:space="preserve"> </w:t>
      </w:r>
      <w:r w:rsidRPr="2375A4FB" w:rsidR="50830A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Available</w:t>
      </w:r>
      <w:r w:rsidRPr="2375A4FB" w:rsidR="50830A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at:</w:t>
      </w:r>
      <w:r w:rsidRPr="2375A4FB" w:rsidR="50830A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hyperlink r:id="R1f086ced7f44487a">
        <w:r w:rsidRPr="2375A4FB" w:rsidR="6257AA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https://educationwales.blog.gov.wales/2019/01/31/understanding-bilingualism-in-education-a-seed-for-bilingual-teaching-success/</w:t>
        </w:r>
      </w:hyperlink>
      <w:r w:rsidRPr="2375A4FB" w:rsidR="442D0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</w:t>
      </w:r>
      <w:r w:rsidRPr="2375A4FB" w:rsidR="442D0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2375A4FB" w:rsidR="442D0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442D0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2375A4FB" w:rsidR="442D0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: March 8th 2024).</w:t>
      </w:r>
    </w:p>
    <w:p w:rsidR="73598137" w:rsidP="2375A4FB" w:rsidRDefault="73598137" w14:paraId="4560592A" w14:textId="22EAE7AC">
      <w:pPr>
        <w:pStyle w:val="Normal"/>
        <w:suppressLineNumbers w:val="0"/>
        <w:bidi w:val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2375A4FB" w:rsidR="735981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Llywodraeth Cymru, (2019). 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“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Achievement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of 15 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year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olds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(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Program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for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International 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Student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Assessment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) PISA 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national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report</w:t>
      </w:r>
      <w:r w:rsidRPr="2375A4FB" w:rsidR="31D04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” </w:t>
      </w:r>
      <w:r w:rsidRPr="2375A4FB" w:rsidR="31D04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Available</w:t>
      </w:r>
      <w:r w:rsidRPr="2375A4FB" w:rsidR="31D04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at: </w:t>
      </w:r>
      <w:hyperlink r:id="Recb6496a06584c4b">
        <w:r w:rsidRPr="2375A4FB" w:rsidR="7359813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https://www.gov.wales/achievement-15-year-olds-program-international-student-assessment-pisa-national-report-2018</w:t>
        </w:r>
      </w:hyperlink>
      <w:r w:rsidRPr="2375A4FB" w:rsidR="383C47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</w:t>
      </w:r>
      <w:r w:rsidRPr="2375A4FB" w:rsidR="383C47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2375A4FB" w:rsidR="383C47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383C47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2375A4FB" w:rsidR="383C47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: March 8th 2024).</w:t>
      </w:r>
    </w:p>
    <w:p w:rsidR="0BBC8CB8" w:rsidP="2375A4FB" w:rsidRDefault="0BBC8CB8" w14:paraId="2BD2A671" w14:textId="6F8D12C9">
      <w:pPr>
        <w:pStyle w:val="Normal"/>
        <w:suppressLineNumbers w:val="0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2375A4FB" w:rsidR="0BBC8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Llywodraeth Cymru, (2016) 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"Professional 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Learning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Communities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: A 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Guide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for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Schools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2375A4FB" w:rsidR="0BBC8C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Wales"</w:t>
      </w:r>
      <w:r w:rsidRPr="2375A4FB" w:rsidR="0BBC8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0BBC8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Available</w:t>
      </w:r>
      <w:r w:rsidRPr="2375A4FB" w:rsidR="0BBC8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at: </w:t>
      </w:r>
      <w:hyperlink r:id="R5c4bdaea5deb4ea7">
        <w:r w:rsidRPr="2375A4FB" w:rsidR="5EFC269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https://www.gov.wales/sites/default/files/publications/2018-12/theme-5-developing-community-partnerships-and-multi-agency-working-resources-1-2.pdf</w:t>
        </w:r>
      </w:hyperlink>
      <w:r w:rsidRPr="2375A4FB" w:rsidR="5EFC26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0BBC8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(</w:t>
      </w:r>
      <w:r w:rsidRPr="2375A4FB" w:rsidR="0BBC8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2375A4FB" w:rsidR="0BBC8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2375A4FB" w:rsidR="0BBC8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2375A4FB" w:rsidR="0BBC8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: March 8th 2024).</w:t>
      </w:r>
    </w:p>
    <w:p w:rsidR="7498D241" w:rsidP="0B9C768E" w:rsidRDefault="7498D241" w14:paraId="41660BDC" w14:textId="484B3C35">
      <w:pPr>
        <w:pStyle w:val="Normal"/>
        <w:suppressLineNumbers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</w:pPr>
      <w:r w:rsidRPr="0B9C768E" w:rsidR="7498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Llywodraeth Cymru, (2016) 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"Professional 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Learning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Communities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: A 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Guide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for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Schools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0B9C768E" w:rsidR="7498D2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Wales"</w:t>
      </w:r>
      <w:r w:rsidRPr="0B9C768E" w:rsidR="7498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9C768E" w:rsidR="7498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Available</w:t>
      </w:r>
      <w:r w:rsidRPr="0B9C768E" w:rsidR="7498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at: </w:t>
      </w:r>
      <w:hyperlink r:id="R98b58e737e0f4ea8">
        <w:r w:rsidRPr="0B9C768E" w:rsidR="7498D2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https://gov.wales/sites/default/files/publication/2016-10/professional-learning-comunities-a-guide-for-schools-in-wales.pdf</w:t>
        </w:r>
      </w:hyperlink>
      <w:r w:rsidRPr="0B9C768E" w:rsidR="7498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(</w:t>
      </w:r>
      <w:r w:rsidRPr="0B9C768E" w:rsidR="7498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Accessed</w:t>
      </w:r>
      <w:r w:rsidRPr="0B9C768E" w:rsidR="7498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7498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on</w:t>
      </w:r>
      <w:r w:rsidRPr="0B9C768E" w:rsidR="7498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: March 9th 2024).</w:t>
      </w:r>
    </w:p>
    <w:p w:rsidR="379462D8" w:rsidP="0B9C768E" w:rsidRDefault="379462D8" w14:paraId="508FDBF7" w14:textId="6AAE86FA">
      <w:pPr>
        <w:pStyle w:val="Normal"/>
        <w:suppressLineNumbers w:val="0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</w:pP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National 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Museum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Cardiff. (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n.d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.). “</w:t>
      </w:r>
      <w:r w:rsidRPr="2FA1D867" w:rsidR="379462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School</w:t>
      </w:r>
      <w:r w:rsidRPr="2FA1D867" w:rsidR="379462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2FA1D867" w:rsidR="379462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Visits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”. 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Available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at: </w:t>
      </w:r>
      <w:hyperlink r:id="R14675341afdb43c2">
        <w:r w:rsidRPr="2FA1D867" w:rsidR="379462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https://www.museum.wales/cardiff/whatson/schoolvisits/schoolvisits/</w:t>
        </w:r>
      </w:hyperlink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(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Accessed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on</w:t>
      </w:r>
      <w:r w:rsidRPr="2FA1D867" w:rsidR="37946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: 11th of March)</w:t>
      </w:r>
    </w:p>
    <w:p w:rsidR="5703983C" w:rsidP="2FA1D867" w:rsidRDefault="5703983C" w14:paraId="581B4CE4" w14:textId="459E951B">
      <w:pPr>
        <w:pStyle w:val="Normal"/>
        <w:suppressLineNumbers w:val="0"/>
        <w:bidi w:val="0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OECD (2018), 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“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Developing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Schools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as 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Learning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Organisations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in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Wales, 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Implementing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Education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Policies</w:t>
      </w:r>
      <w:r w:rsidRPr="2FA1D867" w:rsidR="2416F8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,”</w:t>
      </w:r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OECD </w:t>
      </w:r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>Publishing</w:t>
      </w:r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, Paris. </w:t>
      </w:r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>Available</w:t>
      </w:r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at: </w:t>
      </w:r>
      <w:hyperlink r:id="Rfa743bdd50164096">
        <w:r w:rsidRPr="2FA1D867" w:rsidR="2416F80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cy-GB"/>
          </w:rPr>
          <w:t>https://doi.org/10.1787/9789264307193-en</w:t>
        </w:r>
      </w:hyperlink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(</w:t>
      </w:r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>Accessed</w:t>
      </w:r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</w:t>
      </w:r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>on</w:t>
      </w:r>
      <w:r w:rsidRPr="2FA1D867" w:rsidR="2416F80E">
        <w:rPr>
          <w:rFonts w:ascii="Calibri" w:hAnsi="Calibri" w:eastAsia="Calibri" w:cs="Calibri"/>
          <w:noProof w:val="0"/>
          <w:sz w:val="22"/>
          <w:szCs w:val="22"/>
          <w:lang w:val="cy-GB"/>
        </w:rPr>
        <w:t>: 13th of March 2024).</w:t>
      </w:r>
    </w:p>
    <w:p w:rsidR="5703983C" w:rsidP="2FA1D867" w:rsidRDefault="5703983C" w14:paraId="7C4F179C" w14:textId="20FD7FF4">
      <w:pPr>
        <w:pStyle w:val="Normal"/>
        <w:suppressLineNumbers w:val="0"/>
        <w:rPr>
          <w:rFonts w:ascii="Calibri" w:hAnsi="Calibri" w:eastAsia="Calibri" w:cs="Calibri"/>
          <w:sz w:val="22"/>
          <w:szCs w:val="22"/>
        </w:rPr>
      </w:pPr>
      <w:r w:rsidRPr="2FA1D867" w:rsidR="0AA9939A">
        <w:rPr>
          <w:rFonts w:ascii="Calibri" w:hAnsi="Calibri" w:eastAsia="Calibri" w:cs="Calibri"/>
          <w:sz w:val="22"/>
          <w:szCs w:val="22"/>
        </w:rPr>
        <w:t>Perkins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, D. (2014). </w:t>
      </w:r>
      <w:r w:rsidRPr="2FA1D867" w:rsidR="0AA9939A">
        <w:rPr>
          <w:rFonts w:ascii="Calibri" w:hAnsi="Calibri" w:eastAsia="Calibri" w:cs="Calibri"/>
          <w:sz w:val="22"/>
          <w:szCs w:val="22"/>
        </w:rPr>
        <w:t>Making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Learning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Whole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: </w:t>
      </w:r>
      <w:r w:rsidRPr="2FA1D867" w:rsidR="0AA9939A">
        <w:rPr>
          <w:rFonts w:ascii="Calibri" w:hAnsi="Calibri" w:eastAsia="Calibri" w:cs="Calibri"/>
          <w:sz w:val="22"/>
          <w:szCs w:val="22"/>
        </w:rPr>
        <w:t>How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Seven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Expanded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Practices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Start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Teachers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Using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Emotion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and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Movement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to </w:t>
      </w:r>
      <w:r w:rsidRPr="2FA1D867" w:rsidR="0AA9939A">
        <w:rPr>
          <w:rFonts w:ascii="Calibri" w:hAnsi="Calibri" w:eastAsia="Calibri" w:cs="Calibri"/>
          <w:sz w:val="22"/>
          <w:szCs w:val="22"/>
        </w:rPr>
        <w:t>Support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Deep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Understanding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. New York, NY: </w:t>
      </w:r>
      <w:r w:rsidRPr="2FA1D867" w:rsidR="0AA9939A">
        <w:rPr>
          <w:rFonts w:ascii="Calibri" w:hAnsi="Calibri" w:eastAsia="Calibri" w:cs="Calibri"/>
          <w:sz w:val="22"/>
          <w:szCs w:val="22"/>
        </w:rPr>
        <w:t>Teachers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College</w:t>
      </w:r>
      <w:r w:rsidRPr="2FA1D867" w:rsidR="0AA9939A">
        <w:rPr>
          <w:rFonts w:ascii="Calibri" w:hAnsi="Calibri" w:eastAsia="Calibri" w:cs="Calibri"/>
          <w:sz w:val="22"/>
          <w:szCs w:val="22"/>
        </w:rPr>
        <w:t xml:space="preserve"> </w:t>
      </w:r>
      <w:r w:rsidRPr="2FA1D867" w:rsidR="0AA9939A">
        <w:rPr>
          <w:rFonts w:ascii="Calibri" w:hAnsi="Calibri" w:eastAsia="Calibri" w:cs="Calibri"/>
          <w:sz w:val="22"/>
          <w:szCs w:val="22"/>
        </w:rPr>
        <w:t>Press</w:t>
      </w:r>
      <w:r w:rsidRPr="2FA1D867" w:rsidR="0AA9939A">
        <w:rPr>
          <w:rFonts w:ascii="Calibri" w:hAnsi="Calibri" w:eastAsia="Calibri" w:cs="Calibri"/>
          <w:sz w:val="22"/>
          <w:szCs w:val="22"/>
        </w:rPr>
        <w:t>.</w:t>
      </w:r>
      <w:r w:rsidRPr="2FA1D867" w:rsidR="0AA993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</w:t>
      </w:r>
    </w:p>
    <w:p w:rsidR="5703983C" w:rsidP="2FA1D867" w:rsidRDefault="5703983C" w14:paraId="56757EF2" w14:textId="286962B2">
      <w:pPr>
        <w:pStyle w:val="Normal"/>
        <w:suppressLineNumbers w:val="0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</w:pPr>
      <w:r w:rsidRPr="2FA1D867" w:rsidR="053AD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Piaget</w:t>
      </w:r>
      <w:r w:rsidRPr="2FA1D867" w:rsidR="053AD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, J. (1954). </w:t>
      </w:r>
      <w:r w:rsidRPr="2FA1D867" w:rsidR="4EC4BB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“</w:t>
      </w:r>
      <w:r w:rsidRPr="2FA1D867" w:rsidR="053AD2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The </w:t>
      </w:r>
      <w:r w:rsidRPr="2FA1D867" w:rsidR="053AD2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construction</w:t>
      </w:r>
      <w:r w:rsidRPr="2FA1D867" w:rsidR="053AD2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of </w:t>
      </w:r>
      <w:r w:rsidRPr="2FA1D867" w:rsidR="053AD2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reality</w:t>
      </w:r>
      <w:r w:rsidRPr="2FA1D867" w:rsidR="053AD2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2FA1D867" w:rsidR="053AD2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in</w:t>
      </w:r>
      <w:r w:rsidRPr="2FA1D867" w:rsidR="053AD2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the </w:t>
      </w:r>
      <w:r w:rsidRPr="2FA1D867" w:rsidR="053AD2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child</w:t>
      </w:r>
      <w:r w:rsidRPr="2FA1D867" w:rsidR="053AD2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.</w:t>
      </w:r>
      <w:r w:rsidRPr="2FA1D867" w:rsidR="5C8D59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”</w:t>
      </w:r>
      <w:r w:rsidRPr="2FA1D867" w:rsidR="053AD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New York: International </w:t>
      </w:r>
      <w:r w:rsidRPr="2FA1D867" w:rsidR="053AD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Universities</w:t>
      </w:r>
      <w:r w:rsidRPr="2FA1D867" w:rsidR="053AD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2FA1D867" w:rsidR="053AD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Press</w:t>
      </w:r>
      <w:r w:rsidRPr="2FA1D867" w:rsidR="053AD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.</w:t>
      </w:r>
    </w:p>
    <w:p w:rsidR="5BEBC9D1" w:rsidP="0B9C768E" w:rsidRDefault="5BEBC9D1" w14:paraId="129E1892" w14:textId="13D6E4E8">
      <w:pPr>
        <w:pStyle w:val="Normal"/>
        <w:suppressLineNumbers w:val="0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</w:pP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Vygotsky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, L. S. (1978).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“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Interaction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between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learning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and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development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.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In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Mind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in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society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: The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development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of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higher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psychological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processes</w:t>
      </w:r>
      <w:r w:rsidRPr="0B9C768E" w:rsidR="5BEBC9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cy-GB"/>
        </w:rPr>
        <w:t>”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(C. M. 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Agena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, 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Ed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., &amp; R. W. 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Rieber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, 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Ed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.). 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Cambridge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: 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Harvard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University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 xml:space="preserve"> 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Press</w:t>
      </w:r>
      <w:r w:rsidRPr="0B9C768E" w:rsidR="5BEBC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cy-GB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c663b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aa47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92baa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28d8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d0060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B6617B"/>
    <w:rsid w:val="011495B5"/>
    <w:rsid w:val="01DF264C"/>
    <w:rsid w:val="029BF26C"/>
    <w:rsid w:val="03453962"/>
    <w:rsid w:val="03FAF68A"/>
    <w:rsid w:val="042272C9"/>
    <w:rsid w:val="04C7D884"/>
    <w:rsid w:val="053AD23C"/>
    <w:rsid w:val="0550D3DD"/>
    <w:rsid w:val="05DD07C5"/>
    <w:rsid w:val="06A7499D"/>
    <w:rsid w:val="06ECA43E"/>
    <w:rsid w:val="0717553E"/>
    <w:rsid w:val="07682209"/>
    <w:rsid w:val="077AF077"/>
    <w:rsid w:val="07CA2942"/>
    <w:rsid w:val="07D4F11D"/>
    <w:rsid w:val="07E65923"/>
    <w:rsid w:val="080455EC"/>
    <w:rsid w:val="0809854B"/>
    <w:rsid w:val="08F02B74"/>
    <w:rsid w:val="090C8B70"/>
    <w:rsid w:val="098584E3"/>
    <w:rsid w:val="0A00A62D"/>
    <w:rsid w:val="0AA9939A"/>
    <w:rsid w:val="0AC65EDB"/>
    <w:rsid w:val="0AE53BB7"/>
    <w:rsid w:val="0B215544"/>
    <w:rsid w:val="0B2A3B35"/>
    <w:rsid w:val="0B471C37"/>
    <w:rsid w:val="0B9C768E"/>
    <w:rsid w:val="0BBC8CB8"/>
    <w:rsid w:val="0C4F46D3"/>
    <w:rsid w:val="0C563E02"/>
    <w:rsid w:val="0CBC00E7"/>
    <w:rsid w:val="0CEA45A9"/>
    <w:rsid w:val="0CF4B6C4"/>
    <w:rsid w:val="0CFABC71"/>
    <w:rsid w:val="0D52C7EC"/>
    <w:rsid w:val="0D72A5A7"/>
    <w:rsid w:val="0DA7B057"/>
    <w:rsid w:val="0EA1C13F"/>
    <w:rsid w:val="0EF7383B"/>
    <w:rsid w:val="0FC29E29"/>
    <w:rsid w:val="0FE8CFC0"/>
    <w:rsid w:val="10718061"/>
    <w:rsid w:val="108A68AE"/>
    <w:rsid w:val="10AA4669"/>
    <w:rsid w:val="11AE2293"/>
    <w:rsid w:val="1216A48D"/>
    <w:rsid w:val="121B80C5"/>
    <w:rsid w:val="122517E5"/>
    <w:rsid w:val="12880C1E"/>
    <w:rsid w:val="136152D5"/>
    <w:rsid w:val="136A294B"/>
    <w:rsid w:val="1433A00C"/>
    <w:rsid w:val="1478149C"/>
    <w:rsid w:val="1478149C"/>
    <w:rsid w:val="1526552B"/>
    <w:rsid w:val="15C7877B"/>
    <w:rsid w:val="1613E4FD"/>
    <w:rsid w:val="16B6617B"/>
    <w:rsid w:val="16C47C58"/>
    <w:rsid w:val="17447E88"/>
    <w:rsid w:val="17447E88"/>
    <w:rsid w:val="1826353C"/>
    <w:rsid w:val="1852FA4B"/>
    <w:rsid w:val="1882BEE3"/>
    <w:rsid w:val="19380CC7"/>
    <w:rsid w:val="1939D885"/>
    <w:rsid w:val="19A39633"/>
    <w:rsid w:val="1A74DD1F"/>
    <w:rsid w:val="1AA53946"/>
    <w:rsid w:val="1AA57D32"/>
    <w:rsid w:val="1AB00B52"/>
    <w:rsid w:val="1AC83611"/>
    <w:rsid w:val="1AE75620"/>
    <w:rsid w:val="1AE75620"/>
    <w:rsid w:val="1B3F6694"/>
    <w:rsid w:val="1BD9E43F"/>
    <w:rsid w:val="1C5CB5F4"/>
    <w:rsid w:val="1C7FEB8F"/>
    <w:rsid w:val="1CA93F9A"/>
    <w:rsid w:val="1CB3E2A9"/>
    <w:rsid w:val="1D868276"/>
    <w:rsid w:val="1DFFC910"/>
    <w:rsid w:val="1E1EF6E2"/>
    <w:rsid w:val="1ED25572"/>
    <w:rsid w:val="1F044E38"/>
    <w:rsid w:val="1F2AF19C"/>
    <w:rsid w:val="1F465907"/>
    <w:rsid w:val="1F9659C7"/>
    <w:rsid w:val="20066185"/>
    <w:rsid w:val="204AE4A9"/>
    <w:rsid w:val="205A938C"/>
    <w:rsid w:val="206E25D3"/>
    <w:rsid w:val="206E25D3"/>
    <w:rsid w:val="208E4DDD"/>
    <w:rsid w:val="2117743C"/>
    <w:rsid w:val="217CB0BD"/>
    <w:rsid w:val="2192EF4D"/>
    <w:rsid w:val="2212AFCC"/>
    <w:rsid w:val="22B9E18F"/>
    <w:rsid w:val="22DC99A7"/>
    <w:rsid w:val="22DC99A7"/>
    <w:rsid w:val="2375A4FB"/>
    <w:rsid w:val="23A5C695"/>
    <w:rsid w:val="2416F80E"/>
    <w:rsid w:val="24BBE5A6"/>
    <w:rsid w:val="24FD2617"/>
    <w:rsid w:val="25410E27"/>
    <w:rsid w:val="25674C5B"/>
    <w:rsid w:val="26096584"/>
    <w:rsid w:val="2624DB3F"/>
    <w:rsid w:val="263AFF7A"/>
    <w:rsid w:val="26E036DC"/>
    <w:rsid w:val="27F38668"/>
    <w:rsid w:val="28426383"/>
    <w:rsid w:val="293EC178"/>
    <w:rsid w:val="298F56C9"/>
    <w:rsid w:val="2B2B272A"/>
    <w:rsid w:val="2BB3A7FF"/>
    <w:rsid w:val="2BE01859"/>
    <w:rsid w:val="2BF1A184"/>
    <w:rsid w:val="2C62FFE8"/>
    <w:rsid w:val="2C76623A"/>
    <w:rsid w:val="2C8A305B"/>
    <w:rsid w:val="2D294CF9"/>
    <w:rsid w:val="2D5AA099"/>
    <w:rsid w:val="2DFAEB58"/>
    <w:rsid w:val="2E553DBE"/>
    <w:rsid w:val="2F541624"/>
    <w:rsid w:val="2FA1D867"/>
    <w:rsid w:val="30DA7A10"/>
    <w:rsid w:val="31039617"/>
    <w:rsid w:val="31A16BBA"/>
    <w:rsid w:val="31B255D8"/>
    <w:rsid w:val="31D049A0"/>
    <w:rsid w:val="321060A1"/>
    <w:rsid w:val="32CE5C7B"/>
    <w:rsid w:val="32CEC02F"/>
    <w:rsid w:val="3322BC4E"/>
    <w:rsid w:val="335F438A"/>
    <w:rsid w:val="33FC565A"/>
    <w:rsid w:val="34200BA6"/>
    <w:rsid w:val="344A0842"/>
    <w:rsid w:val="35D7073A"/>
    <w:rsid w:val="36903510"/>
    <w:rsid w:val="3701FB3F"/>
    <w:rsid w:val="370975A5"/>
    <w:rsid w:val="3723EA62"/>
    <w:rsid w:val="379462D8"/>
    <w:rsid w:val="37A4B670"/>
    <w:rsid w:val="37F69733"/>
    <w:rsid w:val="381197B8"/>
    <w:rsid w:val="383C4756"/>
    <w:rsid w:val="38DCB0A1"/>
    <w:rsid w:val="39580CB7"/>
    <w:rsid w:val="397CC501"/>
    <w:rsid w:val="398B96E0"/>
    <w:rsid w:val="3990B18C"/>
    <w:rsid w:val="3A91DBAC"/>
    <w:rsid w:val="3AE4F24B"/>
    <w:rsid w:val="3B226A86"/>
    <w:rsid w:val="3B49387A"/>
    <w:rsid w:val="3BAC8CCE"/>
    <w:rsid w:val="3BD50FED"/>
    <w:rsid w:val="3BF49F2F"/>
    <w:rsid w:val="3C66D488"/>
    <w:rsid w:val="3CF420E0"/>
    <w:rsid w:val="3D9D5449"/>
    <w:rsid w:val="3DAC62E0"/>
    <w:rsid w:val="3E1BD943"/>
    <w:rsid w:val="3E3BF2B0"/>
    <w:rsid w:val="3E5DEF11"/>
    <w:rsid w:val="3E7B3BE8"/>
    <w:rsid w:val="3E951DCA"/>
    <w:rsid w:val="3EB2288D"/>
    <w:rsid w:val="3F075635"/>
    <w:rsid w:val="3F137ACD"/>
    <w:rsid w:val="3F56A6FC"/>
    <w:rsid w:val="3F6953F5"/>
    <w:rsid w:val="40F87210"/>
    <w:rsid w:val="4155ACBC"/>
    <w:rsid w:val="42143CCC"/>
    <w:rsid w:val="42F17D1D"/>
    <w:rsid w:val="43B69FCD"/>
    <w:rsid w:val="4401BE4C"/>
    <w:rsid w:val="442D01A2"/>
    <w:rsid w:val="44A2840B"/>
    <w:rsid w:val="44FBB42E"/>
    <w:rsid w:val="45150C21"/>
    <w:rsid w:val="452E9C56"/>
    <w:rsid w:val="458F3DD1"/>
    <w:rsid w:val="4597E91A"/>
    <w:rsid w:val="465066A6"/>
    <w:rsid w:val="4701D81C"/>
    <w:rsid w:val="4701D84B"/>
    <w:rsid w:val="47486474"/>
    <w:rsid w:val="4860E91B"/>
    <w:rsid w:val="487372FD"/>
    <w:rsid w:val="487F21BC"/>
    <w:rsid w:val="4A82BC32"/>
    <w:rsid w:val="4A9A11BE"/>
    <w:rsid w:val="4ADE4DB8"/>
    <w:rsid w:val="4B3D1611"/>
    <w:rsid w:val="4B436610"/>
    <w:rsid w:val="4B54F898"/>
    <w:rsid w:val="4B55D08F"/>
    <w:rsid w:val="4C168275"/>
    <w:rsid w:val="4C855603"/>
    <w:rsid w:val="4CA161CC"/>
    <w:rsid w:val="4D3AB981"/>
    <w:rsid w:val="4D46A670"/>
    <w:rsid w:val="4DB85939"/>
    <w:rsid w:val="4DBA5CF4"/>
    <w:rsid w:val="4E055E74"/>
    <w:rsid w:val="4E2B56F1"/>
    <w:rsid w:val="4E61FB23"/>
    <w:rsid w:val="4E8D7151"/>
    <w:rsid w:val="4EC4BBEF"/>
    <w:rsid w:val="4F02CB25"/>
    <w:rsid w:val="4FC72752"/>
    <w:rsid w:val="50537CAD"/>
    <w:rsid w:val="50830A98"/>
    <w:rsid w:val="5237AAE4"/>
    <w:rsid w:val="5298BD32"/>
    <w:rsid w:val="53538ECB"/>
    <w:rsid w:val="53E22416"/>
    <w:rsid w:val="53ED5E73"/>
    <w:rsid w:val="55297B45"/>
    <w:rsid w:val="566B7806"/>
    <w:rsid w:val="56B2ED58"/>
    <w:rsid w:val="56FFBCC9"/>
    <w:rsid w:val="5703983C"/>
    <w:rsid w:val="57A1A07D"/>
    <w:rsid w:val="57DCA9AA"/>
    <w:rsid w:val="58133A6E"/>
    <w:rsid w:val="5866510D"/>
    <w:rsid w:val="586C958F"/>
    <w:rsid w:val="58DBB2B2"/>
    <w:rsid w:val="5919C250"/>
    <w:rsid w:val="59DCAAD8"/>
    <w:rsid w:val="5A1AE73E"/>
    <w:rsid w:val="5A578A5D"/>
    <w:rsid w:val="5A641ECE"/>
    <w:rsid w:val="5A80F649"/>
    <w:rsid w:val="5AC9A964"/>
    <w:rsid w:val="5B019B25"/>
    <w:rsid w:val="5BD04D98"/>
    <w:rsid w:val="5BEBC9D1"/>
    <w:rsid w:val="5C8D5913"/>
    <w:rsid w:val="5CE3C3B2"/>
    <w:rsid w:val="5D271373"/>
    <w:rsid w:val="5D95F0AF"/>
    <w:rsid w:val="5D9706A7"/>
    <w:rsid w:val="5E43400E"/>
    <w:rsid w:val="5E8CA2A8"/>
    <w:rsid w:val="5EFC2692"/>
    <w:rsid w:val="5FB9F51A"/>
    <w:rsid w:val="60E64689"/>
    <w:rsid w:val="6121234F"/>
    <w:rsid w:val="6257AAE7"/>
    <w:rsid w:val="6257E348"/>
    <w:rsid w:val="6289D019"/>
    <w:rsid w:val="62F6C631"/>
    <w:rsid w:val="63046D04"/>
    <w:rsid w:val="63711BD1"/>
    <w:rsid w:val="638DA9D7"/>
    <w:rsid w:val="63C681AA"/>
    <w:rsid w:val="640E514C"/>
    <w:rsid w:val="641E6726"/>
    <w:rsid w:val="64723214"/>
    <w:rsid w:val="6496DE5E"/>
    <w:rsid w:val="64EEF182"/>
    <w:rsid w:val="65D4B6B7"/>
    <w:rsid w:val="65F2492F"/>
    <w:rsid w:val="66406CBA"/>
    <w:rsid w:val="6681DC3B"/>
    <w:rsid w:val="66A8BC93"/>
    <w:rsid w:val="66E0CF81"/>
    <w:rsid w:val="671BE21E"/>
    <w:rsid w:val="67405409"/>
    <w:rsid w:val="67708718"/>
    <w:rsid w:val="67A9D2D6"/>
    <w:rsid w:val="67D90C4F"/>
    <w:rsid w:val="6804A3AA"/>
    <w:rsid w:val="686D67E1"/>
    <w:rsid w:val="687C9FE2"/>
    <w:rsid w:val="687EA2B8"/>
    <w:rsid w:val="68BD312F"/>
    <w:rsid w:val="68F31931"/>
    <w:rsid w:val="6945A337"/>
    <w:rsid w:val="69EED6A0"/>
    <w:rsid w:val="6A998ECF"/>
    <w:rsid w:val="6AB80911"/>
    <w:rsid w:val="6AB93336"/>
    <w:rsid w:val="6B3704F1"/>
    <w:rsid w:val="6B5E3306"/>
    <w:rsid w:val="6B8BDB1F"/>
    <w:rsid w:val="6B8EC870"/>
    <w:rsid w:val="6C7D43F9"/>
    <w:rsid w:val="6CBED749"/>
    <w:rsid w:val="6E95D3C8"/>
    <w:rsid w:val="6FA06783"/>
    <w:rsid w:val="71967246"/>
    <w:rsid w:val="7235A09D"/>
    <w:rsid w:val="7294691C"/>
    <w:rsid w:val="73598137"/>
    <w:rsid w:val="73946E87"/>
    <w:rsid w:val="73B65AD0"/>
    <w:rsid w:val="741DE0A3"/>
    <w:rsid w:val="7498D241"/>
    <w:rsid w:val="74A168C0"/>
    <w:rsid w:val="75AD67F6"/>
    <w:rsid w:val="75B7EB0D"/>
    <w:rsid w:val="75C0CE9B"/>
    <w:rsid w:val="75CE02A8"/>
    <w:rsid w:val="75D989BF"/>
    <w:rsid w:val="75D989BF"/>
    <w:rsid w:val="764E3F96"/>
    <w:rsid w:val="768B174F"/>
    <w:rsid w:val="76C20592"/>
    <w:rsid w:val="772C7325"/>
    <w:rsid w:val="77755A20"/>
    <w:rsid w:val="77889609"/>
    <w:rsid w:val="77C968E0"/>
    <w:rsid w:val="77CCEA83"/>
    <w:rsid w:val="788A3711"/>
    <w:rsid w:val="789A239A"/>
    <w:rsid w:val="789A239A"/>
    <w:rsid w:val="78F50234"/>
    <w:rsid w:val="78F50234"/>
    <w:rsid w:val="79112A81"/>
    <w:rsid w:val="797FA013"/>
    <w:rsid w:val="7989D77C"/>
    <w:rsid w:val="79FD15D9"/>
    <w:rsid w:val="7A1CF134"/>
    <w:rsid w:val="7A6D6470"/>
    <w:rsid w:val="7AF2627B"/>
    <w:rsid w:val="7B02C0B0"/>
    <w:rsid w:val="7B77255A"/>
    <w:rsid w:val="7BEA0771"/>
    <w:rsid w:val="7C2FFDF2"/>
    <w:rsid w:val="7C3A2185"/>
    <w:rsid w:val="7CA4FF04"/>
    <w:rsid w:val="7CACDDE1"/>
    <w:rsid w:val="7CE04780"/>
    <w:rsid w:val="7D3A02FB"/>
    <w:rsid w:val="7E2591A2"/>
    <w:rsid w:val="7E2A033D"/>
    <w:rsid w:val="7E655E29"/>
    <w:rsid w:val="7F09D2BA"/>
    <w:rsid w:val="7FA01F2C"/>
    <w:rsid w:val="7FBC86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6617B"/>
  <w15:chartTrackingRefBased/>
  <w15:docId w15:val="{20143A6C-F838-4E55-B775-ECA64B1C22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65066A6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65066A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65066A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65066A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65066A6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65066A6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65066A6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65066A6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65066A6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65066A6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65066A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65066A6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65066A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65066A6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65066A6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65066A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65066A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65066A6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65066A6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65066A6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65066A6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65066A6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65066A6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65066A6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65066A6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465066A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65066A6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465066A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gov.wales/sites/default/files/publication/2020-11/inpection-of-education-and-training-in-wales-2019-2020.pdf" TargetMode="External" Id="R2387d758bec54e45" /><Relationship Type="http://schemas.openxmlformats.org/officeDocument/2006/relationships/hyperlink" Target="https://educationwales.blog.gov.wales/2019/01/31/understanding-bilingualism-in-education-a-seed-for-bilingual-teaching-success/" TargetMode="External" Id="R1f086ced7f44487a" /><Relationship Type="http://schemas.openxmlformats.org/officeDocument/2006/relationships/hyperlink" Target="https://www.gov.wales/achievement-15-year-olds-program-international-student-assessment-pisa-national-report-2018" TargetMode="External" Id="Recb6496a06584c4b" /><Relationship Type="http://schemas.openxmlformats.org/officeDocument/2006/relationships/hyperlink" Target="https://www.gov.wales/sites/default/files/publications/2018-12/theme-5-developing-community-partnerships-and-multi-agency-working-resources-1-2.pdf" TargetMode="External" Id="R5c4bdaea5deb4ea7" /><Relationship Type="http://schemas.openxmlformats.org/officeDocument/2006/relationships/numbering" Target="numbering.xml" Id="Rc0c816a490274a47" /><Relationship Type="http://schemas.openxmlformats.org/officeDocument/2006/relationships/hyperlink" Target="https://www.estyn.gov.wales/sites/www.estyn.gov.wales/files/2020-07/Annual_Report_2018_2019_en_2.pdf" TargetMode="External" Id="R84d529d991ea4dd9" /><Relationship Type="http://schemas.openxmlformats.org/officeDocument/2006/relationships/hyperlink" Target="https://www.estyn.gov.wales/system/files/2020-07/Estyn%2520Active%2520and%2520experiential%2520learning_E_Accessible_1.pdf" TargetMode="External" Id="Ra72b8d719a7f42d6" /><Relationship Type="http://schemas.openxmlformats.org/officeDocument/2006/relationships/hyperlink" Target="https://hwb.gov.wales/curriculum-for-wales/designing-your-curriculum/pedagogy/" TargetMode="External" Id="Rb63d4d5505414e17" /><Relationship Type="http://schemas.openxmlformats.org/officeDocument/2006/relationships/hyperlink" Target="https://gov.wales/sites/default/files/publication/2016-10/professional-learning-comunities-a-guide-for-schools-in-wales.pdf" TargetMode="External" Id="R98b58e737e0f4ea8" /><Relationship Type="http://schemas.openxmlformats.org/officeDocument/2006/relationships/hyperlink" Target="https://www.estyn.gov.wales/system/files/2022-01/Preparing%20for%20the%20Curriculum%20for%20Wales%20en.pdf" TargetMode="External" Id="R68c850aa822846da" /><Relationship Type="http://schemas.openxmlformats.org/officeDocument/2006/relationships/hyperlink" Target="https://www.gov.wales/sites/default/files/publications/2018-03/succesful-futures-a-summary-of-professor-graham-donaldsons-report.pdf" TargetMode="External" Id="Rc0c07dae5ccd4539" /><Relationship Type="http://schemas.openxmlformats.org/officeDocument/2006/relationships/hyperlink" Target="https://www.gov.wales/sites/default/files/publications/2018-03/succesful-futures-a-summary-of-professor-graham-donaldsons-report.pdf" TargetMode="External" Id="R3816afccce994bc8" /><Relationship Type="http://schemas.openxmlformats.org/officeDocument/2006/relationships/hyperlink" Target="https://www.museum.wales/cardiff/whatson/schoolvisits/schoolvisits/" TargetMode="External" Id="R14675341afdb43c2" /><Relationship Type="http://schemas.openxmlformats.org/officeDocument/2006/relationships/hyperlink" Target="https://doi.org/10.1787/9789264307193-en" TargetMode="External" Id="Rfa743bdd501640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2024-03-08T18:09:53.0902303Z</dcterms:created>
  <dcterms:modified xsi:type="dcterms:W3CDTF">2024-03-13T20:49:37.1827067Z</dcterms:modified>
  <dc:creator>Tejay Hampton (2305227)</dc:creator>
  <lastModifiedBy>Tejay Hampton (2305227)</lastModifiedBy>
</coreProperties>
</file>