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AC67C" w14:textId="77777777" w:rsidR="001D451C" w:rsidRDefault="001D451C">
      <w:pPr>
        <w:rPr>
          <w:rFonts w:ascii="Arial" w:hAnsi="Arial" w:cs="Arial"/>
          <w:b/>
          <w:bCs/>
        </w:rPr>
      </w:pPr>
    </w:p>
    <w:p w14:paraId="7E6D73E8" w14:textId="77777777" w:rsidR="001D451C" w:rsidRDefault="001D451C">
      <w:pPr>
        <w:rPr>
          <w:rFonts w:ascii="Arial" w:hAnsi="Arial" w:cs="Arial"/>
          <w:b/>
          <w:bCs/>
        </w:rPr>
      </w:pPr>
    </w:p>
    <w:p w14:paraId="7264DA69" w14:textId="77777777" w:rsidR="001D451C" w:rsidRDefault="001D451C">
      <w:pPr>
        <w:rPr>
          <w:rFonts w:ascii="Arial" w:hAnsi="Arial" w:cs="Arial"/>
          <w:b/>
          <w:bCs/>
        </w:rPr>
      </w:pPr>
    </w:p>
    <w:p w14:paraId="22F2D0E8" w14:textId="77777777" w:rsidR="001D451C" w:rsidRDefault="001D451C">
      <w:pPr>
        <w:rPr>
          <w:rFonts w:ascii="Arial" w:hAnsi="Arial" w:cs="Arial"/>
          <w:b/>
          <w:bCs/>
        </w:rPr>
      </w:pPr>
    </w:p>
    <w:p w14:paraId="709CD1B7" w14:textId="77777777" w:rsidR="001D451C" w:rsidRDefault="001D451C">
      <w:pPr>
        <w:rPr>
          <w:rFonts w:ascii="Arial" w:hAnsi="Arial" w:cs="Arial"/>
          <w:b/>
          <w:bCs/>
        </w:rPr>
      </w:pPr>
    </w:p>
    <w:p w14:paraId="1914C2B5" w14:textId="77777777" w:rsidR="001D451C" w:rsidRDefault="001D451C">
      <w:pPr>
        <w:rPr>
          <w:rFonts w:ascii="Arial" w:hAnsi="Arial" w:cs="Arial"/>
          <w:b/>
          <w:bCs/>
        </w:rPr>
      </w:pPr>
    </w:p>
    <w:p w14:paraId="2490C02B" w14:textId="77777777" w:rsidR="001D451C" w:rsidRDefault="001D451C">
      <w:pPr>
        <w:rPr>
          <w:rFonts w:ascii="Arial" w:hAnsi="Arial" w:cs="Arial"/>
          <w:b/>
          <w:bCs/>
        </w:rPr>
      </w:pPr>
    </w:p>
    <w:p w14:paraId="1E1488CC" w14:textId="77777777" w:rsidR="001D451C" w:rsidRDefault="001D451C">
      <w:pPr>
        <w:rPr>
          <w:rFonts w:ascii="Arial" w:hAnsi="Arial" w:cs="Arial"/>
          <w:b/>
          <w:bCs/>
        </w:rPr>
      </w:pPr>
    </w:p>
    <w:p w14:paraId="13BD8D4B" w14:textId="77777777" w:rsidR="001D451C" w:rsidRDefault="001D451C" w:rsidP="001D451C">
      <w:pPr>
        <w:jc w:val="center"/>
        <w:rPr>
          <w:rFonts w:ascii="Arial" w:hAnsi="Arial" w:cs="Arial"/>
          <w:b/>
          <w:bCs/>
        </w:rPr>
      </w:pPr>
    </w:p>
    <w:p w14:paraId="2755AE20" w14:textId="77777777" w:rsidR="001D451C" w:rsidRDefault="001D451C" w:rsidP="001D451C">
      <w:pPr>
        <w:jc w:val="center"/>
        <w:rPr>
          <w:rFonts w:ascii="Arial" w:hAnsi="Arial" w:cs="Arial"/>
          <w:b/>
          <w:bCs/>
        </w:rPr>
      </w:pPr>
    </w:p>
    <w:p w14:paraId="04795924" w14:textId="77777777" w:rsidR="001D451C" w:rsidRDefault="001D451C" w:rsidP="001D451C">
      <w:pPr>
        <w:jc w:val="center"/>
        <w:rPr>
          <w:rFonts w:ascii="Arial" w:hAnsi="Arial" w:cs="Arial"/>
          <w:b/>
          <w:bCs/>
        </w:rPr>
      </w:pPr>
    </w:p>
    <w:p w14:paraId="1F60A7DC" w14:textId="77777777" w:rsidR="001D451C" w:rsidRDefault="001D451C" w:rsidP="001D451C">
      <w:pPr>
        <w:jc w:val="center"/>
        <w:rPr>
          <w:rFonts w:ascii="Arial" w:hAnsi="Arial" w:cs="Arial"/>
          <w:b/>
          <w:bCs/>
        </w:rPr>
      </w:pPr>
    </w:p>
    <w:p w14:paraId="58D8FD83" w14:textId="77777777" w:rsidR="001D451C" w:rsidRDefault="001D451C" w:rsidP="001D451C">
      <w:pPr>
        <w:jc w:val="center"/>
        <w:rPr>
          <w:rFonts w:ascii="Arial" w:hAnsi="Arial" w:cs="Arial"/>
          <w:b/>
          <w:bCs/>
        </w:rPr>
      </w:pPr>
    </w:p>
    <w:p w14:paraId="3AE4D82B" w14:textId="7432C151" w:rsidR="001D451C" w:rsidRPr="001D451C" w:rsidRDefault="001D451C" w:rsidP="001D451C">
      <w:pPr>
        <w:jc w:val="center"/>
        <w:rPr>
          <w:rFonts w:ascii="Arial" w:hAnsi="Arial" w:cs="Arial"/>
          <w:b/>
          <w:bCs/>
        </w:rPr>
      </w:pPr>
      <w:r w:rsidRPr="001D451C">
        <w:rPr>
          <w:rFonts w:ascii="Arial" w:hAnsi="Arial" w:cs="Arial"/>
          <w:b/>
          <w:bCs/>
        </w:rPr>
        <w:t>AI declaration</w:t>
      </w:r>
    </w:p>
    <w:p w14:paraId="52427A20" w14:textId="7845C3C2" w:rsidR="001D451C" w:rsidRPr="001D451C" w:rsidRDefault="001D451C" w:rsidP="001D451C">
      <w:pPr>
        <w:jc w:val="center"/>
        <w:rPr>
          <w:rFonts w:ascii="Arial" w:hAnsi="Arial" w:cs="Arial"/>
        </w:rPr>
      </w:pPr>
      <w:r w:rsidRPr="001D451C">
        <w:rPr>
          <w:rFonts w:ascii="Arial" w:hAnsi="Arial" w:cs="Arial"/>
        </w:rPr>
        <w:t>I confirm that I have not presented any AI generated text as my own work.</w:t>
      </w:r>
      <w:r w:rsidRPr="001D451C">
        <w:rPr>
          <w:rFonts w:ascii="Arial" w:hAnsi="Arial" w:cs="Arial"/>
        </w:rPr>
        <w:br w:type="page"/>
      </w:r>
    </w:p>
    <w:p w14:paraId="49AD5E90" w14:textId="7E1DA4A6" w:rsidR="00BC5597" w:rsidRPr="00DB4443" w:rsidRDefault="00BC5597" w:rsidP="00F97174">
      <w:pPr>
        <w:spacing w:line="360" w:lineRule="auto"/>
        <w:jc w:val="both"/>
        <w:rPr>
          <w:rFonts w:ascii="Arial" w:hAnsi="Arial" w:cs="Arial"/>
          <w:b/>
          <w:bCs/>
        </w:rPr>
      </w:pPr>
      <w:r w:rsidRPr="00DB4443">
        <w:rPr>
          <w:rFonts w:ascii="Arial" w:hAnsi="Arial" w:cs="Arial"/>
          <w:b/>
          <w:bCs/>
        </w:rPr>
        <w:lastRenderedPageBreak/>
        <w:t>The influence of power and control on</w:t>
      </w:r>
      <w:r w:rsidR="00C53D3E" w:rsidRPr="00DB4443">
        <w:rPr>
          <w:rFonts w:ascii="Arial" w:hAnsi="Arial" w:cs="Arial"/>
          <w:b/>
          <w:bCs/>
        </w:rPr>
        <w:t xml:space="preserve"> the reproduction of</w:t>
      </w:r>
      <w:r w:rsidRPr="00DB4443">
        <w:rPr>
          <w:rFonts w:ascii="Arial" w:hAnsi="Arial" w:cs="Arial"/>
          <w:b/>
          <w:bCs/>
        </w:rPr>
        <w:t xml:space="preserve"> menstrual inequality.</w:t>
      </w:r>
    </w:p>
    <w:p w14:paraId="7A185ED5" w14:textId="77777777" w:rsidR="00CE170C" w:rsidRPr="00DB4443" w:rsidRDefault="00CE170C" w:rsidP="00DB4443">
      <w:pPr>
        <w:spacing w:line="360" w:lineRule="auto"/>
        <w:jc w:val="both"/>
        <w:rPr>
          <w:rFonts w:ascii="Arial" w:hAnsi="Arial" w:cs="Arial"/>
          <w:b/>
          <w:bCs/>
        </w:rPr>
      </w:pPr>
    </w:p>
    <w:p w14:paraId="7844A9E8" w14:textId="6219BAED" w:rsidR="00F91EAB" w:rsidRPr="00F91EAB" w:rsidRDefault="00F91EAB" w:rsidP="00F91EAB">
      <w:pPr>
        <w:spacing w:line="360" w:lineRule="auto"/>
        <w:jc w:val="both"/>
        <w:rPr>
          <w:rFonts w:ascii="Arial" w:hAnsi="Arial" w:cs="Arial"/>
        </w:rPr>
      </w:pPr>
      <w:r w:rsidRPr="00F91EAB">
        <w:rPr>
          <w:rFonts w:ascii="Arial" w:hAnsi="Arial" w:cs="Arial"/>
        </w:rPr>
        <w:t>Today’s school children are tomorrow’s teachers, and therefore, the significant impact of incorrect presentations and expectations of menstruation can persist throughout generations without effective policies</w:t>
      </w:r>
      <w:r w:rsidR="001F54D5">
        <w:rPr>
          <w:rFonts w:ascii="Arial" w:hAnsi="Arial" w:cs="Arial"/>
        </w:rPr>
        <w:t>,</w:t>
      </w:r>
      <w:r w:rsidRPr="00F91EAB">
        <w:rPr>
          <w:rFonts w:ascii="Arial" w:hAnsi="Arial" w:cs="Arial"/>
        </w:rPr>
        <w:t xml:space="preserve"> practices</w:t>
      </w:r>
      <w:r w:rsidR="001F54D5">
        <w:rPr>
          <w:rFonts w:ascii="Arial" w:hAnsi="Arial" w:cs="Arial"/>
        </w:rPr>
        <w:t>, and awareness</w:t>
      </w:r>
      <w:r w:rsidRPr="00F91EAB">
        <w:rPr>
          <w:rFonts w:ascii="Arial" w:hAnsi="Arial" w:cs="Arial"/>
        </w:rPr>
        <w:t xml:space="preserve"> (Gomez, 2012; In Kind Direct, 2024). Interpretation of menstruation is unique and constructed from people’s own beliefs and experiences, however, larger social institutions in society, for example, history, politics, education, health, and the media (Fingerson, 2012), can influence the reproduction of stereotypes (Heilman, Caleo, and Manzi, 2024). In addition, people who menstruate may have more knowledge and experience with menstruation, but those who identify as male can possess more social power over menstruation (Fingerson, 2012). The ingrained silence of menstruation is difficult to overcome without support from others, whether a single person or government policies. Therefore, society should recognise the disparities which are created because of menstrual inequality, from individual beliefs to cultural norms, and the generational influence on misogyny and gender equity.</w:t>
      </w:r>
    </w:p>
    <w:p w14:paraId="7D37237C" w14:textId="77777777" w:rsidR="00F91EAB" w:rsidRPr="00F91EAB" w:rsidRDefault="00F91EAB" w:rsidP="00F91EAB">
      <w:pPr>
        <w:spacing w:line="360" w:lineRule="auto"/>
        <w:jc w:val="both"/>
        <w:rPr>
          <w:rFonts w:ascii="Arial" w:hAnsi="Arial" w:cs="Arial"/>
        </w:rPr>
      </w:pPr>
      <w:r w:rsidRPr="00F91EAB">
        <w:rPr>
          <w:rFonts w:ascii="Arial" w:hAnsi="Arial" w:cs="Arial"/>
        </w:rPr>
        <w:t>Menstrual injustice is structural intersectionality, as, for example, young girls may experience limited bathroom access due to gender and age, and transgender men and non-binary people can encounter exclusion from societal practices and policies, aimed at improving menstrual health, because of gender and gender identity (Johnson, 2019). Therefore, there is no singular or standard of a person who menstruates, and inclusive language, practices, and legislation must be discussed and enforced to overcome menstrual inequality.</w:t>
      </w:r>
    </w:p>
    <w:p w14:paraId="47595624" w14:textId="77777777" w:rsidR="00F91EAB" w:rsidRPr="00F91EAB" w:rsidRDefault="00F91EAB" w:rsidP="00F91EAB">
      <w:pPr>
        <w:spacing w:line="360" w:lineRule="auto"/>
        <w:jc w:val="both"/>
        <w:rPr>
          <w:rFonts w:ascii="Arial" w:hAnsi="Arial" w:cs="Arial"/>
        </w:rPr>
      </w:pPr>
      <w:r w:rsidRPr="00F91EAB">
        <w:rPr>
          <w:rFonts w:ascii="Arial" w:hAnsi="Arial" w:cs="Arial"/>
        </w:rPr>
        <w:t> </w:t>
      </w:r>
    </w:p>
    <w:p w14:paraId="494A73ED" w14:textId="3134BABE" w:rsidR="00F91EAB" w:rsidRPr="00F91EAB" w:rsidRDefault="00F91EAB" w:rsidP="00F91EAB">
      <w:pPr>
        <w:spacing w:line="360" w:lineRule="auto"/>
        <w:jc w:val="both"/>
        <w:rPr>
          <w:rFonts w:ascii="Arial" w:hAnsi="Arial" w:cs="Arial"/>
        </w:rPr>
      </w:pPr>
      <w:r w:rsidRPr="00F91EAB">
        <w:rPr>
          <w:rFonts w:ascii="Arial" w:hAnsi="Arial" w:cs="Arial"/>
        </w:rPr>
        <w:t xml:space="preserve">History should not only consider what is said but examine the information and topics which have been omitted from social discourse, and politics and government (Pascoe, 2007). Understanding power and control is essential in establishing transformational change to menstrual inequality worldwide (Bagala </w:t>
      </w:r>
      <w:r w:rsidRPr="00F91EAB">
        <w:rPr>
          <w:rFonts w:ascii="Arial" w:hAnsi="Arial" w:cs="Arial"/>
          <w:i/>
          <w:iCs/>
        </w:rPr>
        <w:t xml:space="preserve">et al., </w:t>
      </w:r>
      <w:r w:rsidRPr="00F91EAB">
        <w:rPr>
          <w:rFonts w:ascii="Arial" w:hAnsi="Arial" w:cs="Arial"/>
        </w:rPr>
        <w:t xml:space="preserve">2023). While power and control are interconnected concepts, there are some distinctions in their definitions and consequences. Bierstedt (1950) illustrated power has numerous displays, for example, economic, financial, military, and industrial, </w:t>
      </w:r>
      <w:r w:rsidR="001F54D5">
        <w:rPr>
          <w:rFonts w:ascii="Arial" w:hAnsi="Arial" w:cs="Arial"/>
        </w:rPr>
        <w:t>recognising</w:t>
      </w:r>
      <w:r w:rsidRPr="00F91EAB">
        <w:rPr>
          <w:rFonts w:ascii="Arial" w:hAnsi="Arial" w:cs="Arial"/>
        </w:rPr>
        <w:t xml:space="preserve"> political power is not the only power within society. Those with social power are identified to exhibit prestige, </w:t>
      </w:r>
      <w:r w:rsidRPr="00F91EAB">
        <w:rPr>
          <w:rFonts w:ascii="Arial" w:hAnsi="Arial" w:cs="Arial"/>
        </w:rPr>
        <w:lastRenderedPageBreak/>
        <w:t>influence, competence, knowledge, dominance, and authority (Bierstedt, 1950). In addition, Tobore (2023) states the importance of power in group functioning, encouraging cooperation, and ensuring order, and expressed the desire most individuals have to possess greater autonomy over their lives. Furthermore, Mills (1958) states authority is the justified power of the voluntary obedient, and manipulation is the power which is held unbeknown to those who are powerless. Nevertheless, Jürgen Habermas argued the neutralisation of power imbalance as fundamental for ethical discourse, and to ensure everyone is provided with equal opportunit</w:t>
      </w:r>
      <w:r w:rsidR="001F54D5">
        <w:rPr>
          <w:rFonts w:ascii="Arial" w:hAnsi="Arial" w:cs="Arial"/>
        </w:rPr>
        <w:t>ies</w:t>
      </w:r>
      <w:r w:rsidRPr="00F91EAB">
        <w:rPr>
          <w:rFonts w:ascii="Arial" w:hAnsi="Arial" w:cs="Arial"/>
        </w:rPr>
        <w:t xml:space="preserve"> (Christensen, 2023). However, Beerling (1955) states the absence of a utopian perspective on the role of power, which in relation to the twenty-first century, acknowledges the growing power and control technology possesses on individuals’ livelihoods, one example of the unknown consequences of innovation.</w:t>
      </w:r>
    </w:p>
    <w:p w14:paraId="484E2490" w14:textId="6AA40935" w:rsidR="00F91EAB" w:rsidRPr="00F91EAB" w:rsidRDefault="00F91EAB" w:rsidP="00F91EAB">
      <w:pPr>
        <w:spacing w:line="360" w:lineRule="auto"/>
        <w:jc w:val="both"/>
        <w:rPr>
          <w:rFonts w:ascii="Arial" w:hAnsi="Arial" w:cs="Arial"/>
        </w:rPr>
      </w:pPr>
      <w:r w:rsidRPr="00F91EAB">
        <w:rPr>
          <w:rFonts w:ascii="Arial" w:hAnsi="Arial" w:cs="Arial"/>
        </w:rPr>
        <w:t>Furthermore, Edward Ross addressed social control as when individual behaviour is regulated through strategies, while social coordination involves the adjustment of harmonious societal actions to ensure social order is achieved (Chriss, 2022). However, Stanley Cohen, who expressed the extensive definitions of social control provides a phrase to explain every approach conformity is induced in humans (Chriss, 2022). Transparency and accountability are significant discussions in relation to governance, as democratic societies require powers in government to be honest and accountable for their actions and decisions (Tomaz, 2024). Moss (2022) stated with the increase in autoethnography, the process of understanding how personal experiences relate with cultural phenomena, in social research, provides an insight into the subjective narrative of the person and how beliefs are reflected in societal norms. Power and control are significant concepts throughout society, as interwoven ideals and expectations are prevalent in the twenty-first century, affecting various areas of individuals' livelihoods. Therefore, while power and control are viewed primarily from the perspective of the government, individual power to reinforce stereotypes and generational standards on menstruation should be acknowledged as equally influential in discouraging the reproduction of menstrual inequality.</w:t>
      </w:r>
    </w:p>
    <w:p w14:paraId="78DD7D81" w14:textId="77777777" w:rsidR="00F91EAB" w:rsidRPr="00F91EAB" w:rsidRDefault="00F91EAB" w:rsidP="00F91EAB">
      <w:pPr>
        <w:spacing w:line="360" w:lineRule="auto"/>
        <w:jc w:val="both"/>
        <w:rPr>
          <w:rFonts w:ascii="Arial" w:hAnsi="Arial" w:cs="Arial"/>
        </w:rPr>
      </w:pPr>
      <w:r w:rsidRPr="00F91EAB">
        <w:rPr>
          <w:rFonts w:ascii="Arial" w:hAnsi="Arial" w:cs="Arial"/>
        </w:rPr>
        <w:t> </w:t>
      </w:r>
    </w:p>
    <w:p w14:paraId="6424ABDB" w14:textId="621252AA" w:rsidR="00F91EAB" w:rsidRPr="00F91EAB" w:rsidRDefault="00F91EAB" w:rsidP="00F91EAB">
      <w:pPr>
        <w:spacing w:line="360" w:lineRule="auto"/>
        <w:jc w:val="both"/>
        <w:rPr>
          <w:rFonts w:ascii="Arial" w:hAnsi="Arial" w:cs="Arial"/>
        </w:rPr>
      </w:pPr>
      <w:r w:rsidRPr="00F91EAB">
        <w:rPr>
          <w:rFonts w:ascii="Arial" w:hAnsi="Arial" w:cs="Arial"/>
        </w:rPr>
        <w:t xml:space="preserve">Menstrual health management is the ability to access quality absorbent products, sanitation facilities, educational information, healthcare services throughout the </w:t>
      </w:r>
      <w:r w:rsidRPr="00F91EAB">
        <w:rPr>
          <w:rFonts w:ascii="Arial" w:hAnsi="Arial" w:cs="Arial"/>
        </w:rPr>
        <w:lastRenderedPageBreak/>
        <w:t xml:space="preserve">duration of </w:t>
      </w:r>
      <w:r w:rsidR="001F54D5">
        <w:rPr>
          <w:rFonts w:ascii="Arial" w:hAnsi="Arial" w:cs="Arial"/>
        </w:rPr>
        <w:t>a menstrual cycle</w:t>
      </w:r>
      <w:r w:rsidRPr="00F91EAB">
        <w:rPr>
          <w:rFonts w:ascii="Arial" w:hAnsi="Arial" w:cs="Arial"/>
        </w:rPr>
        <w:t xml:space="preserve"> (Rossouw and Ross, 2021; Alhelou </w:t>
      </w:r>
      <w:r w:rsidRPr="00F91EAB">
        <w:rPr>
          <w:rFonts w:ascii="Arial" w:hAnsi="Arial" w:cs="Arial"/>
          <w:i/>
          <w:iCs/>
        </w:rPr>
        <w:t>et al.,</w:t>
      </w:r>
      <w:r w:rsidRPr="00F91EAB">
        <w:rPr>
          <w:rFonts w:ascii="Arial" w:hAnsi="Arial" w:cs="Arial"/>
        </w:rPr>
        <w:t xml:space="preserve"> 2022). Without these basic needs met, menstrual inequality develops worldwide, which poses negative consequences for people who menstruate when individuals with and in power disregard or shame the global health issue this inequality creates. UN Women (2025) state millions of people who menstruate cannot afford menstrual products due to the high monthly expense, as in some countries the essential products are taxed as luxury items. Menstrual products have become a capitalist endeavour, as some businesses disregard innovative and safe menstrual products in favour of profit and protecting the company in a stigmatised industry (Werner, Punzi, and Turkenburg, 2023). Procter &amp; Gamble, who own Always and Tampax, are current global leaders in menstrual products (Rowe, 2020) and are committed to creating innovative and customer driven products which use new technology to ensure customer satisfaction (Andrișan and Modreanu, 2022), which established a brand ethos around social responsibility (Sommer </w:t>
      </w:r>
      <w:r w:rsidRPr="00F91EAB">
        <w:rPr>
          <w:rFonts w:ascii="Arial" w:hAnsi="Arial" w:cs="Arial"/>
          <w:i/>
          <w:iCs/>
        </w:rPr>
        <w:t>et al.,</w:t>
      </w:r>
      <w:r w:rsidRPr="00F91EAB">
        <w:rPr>
          <w:rFonts w:ascii="Arial" w:hAnsi="Arial" w:cs="Arial"/>
        </w:rPr>
        <w:t xml:space="preserve"> 2015; Procter &amp; Gamble, 2025). Procter &amp; Gamble have aimed </w:t>
      </w:r>
      <w:r w:rsidR="009D41CE">
        <w:rPr>
          <w:rFonts w:ascii="Arial" w:hAnsi="Arial" w:cs="Arial"/>
        </w:rPr>
        <w:t>to provide</w:t>
      </w:r>
      <w:r w:rsidRPr="00F91EAB">
        <w:rPr>
          <w:rFonts w:ascii="Arial" w:hAnsi="Arial" w:cs="Arial"/>
        </w:rPr>
        <w:t xml:space="preserve"> menstrual health</w:t>
      </w:r>
      <w:r w:rsidR="009D41CE">
        <w:rPr>
          <w:rFonts w:ascii="Arial" w:hAnsi="Arial" w:cs="Arial"/>
        </w:rPr>
        <w:t xml:space="preserve"> education</w:t>
      </w:r>
      <w:r w:rsidRPr="00F91EAB">
        <w:rPr>
          <w:rFonts w:ascii="Arial" w:hAnsi="Arial" w:cs="Arial"/>
        </w:rPr>
        <w:t>, and with Tampax, the brand sought to educate on the stigma against internal menstrual products and ideas of virginity and femininity, as they wished to meet customers’ needs (Røstvik, 2022). This indicates the awareness of the power of their platform to provide essential education and encourage designated menstruation practices.</w:t>
      </w:r>
    </w:p>
    <w:p w14:paraId="6DE1E345" w14:textId="24AFABA6" w:rsidR="00F91EAB" w:rsidRPr="00F91EAB" w:rsidRDefault="00F91EAB" w:rsidP="00F91EAB">
      <w:pPr>
        <w:spacing w:line="360" w:lineRule="auto"/>
        <w:jc w:val="both"/>
        <w:rPr>
          <w:rFonts w:ascii="Arial" w:hAnsi="Arial" w:cs="Arial"/>
        </w:rPr>
      </w:pPr>
      <w:r w:rsidRPr="00F91EAB">
        <w:rPr>
          <w:rFonts w:ascii="Arial" w:hAnsi="Arial" w:cs="Arial"/>
        </w:rPr>
        <w:t xml:space="preserve">Nevertheless, the adverts on menstrual products created by Procter &amp; Gamble reinforce menstrual products as the solution to menstruation, because it conceals the blood and stops people who menstruate from embarrassment (Rowe, 2020). In addition, demonstrating the absorbency of menstrual products with blue liquid illustrates the media censorship on displaying red liquid as a symbolism of blood (Rowe, 2020; Akhtar and Dihingia, 2025), however, some brands have started to change towards showing red liquid (Røstvik, 2022). Through the colour concealment of menstrual blood, to ensure viewers are not uncomfortable, the historic and current symbolism of blood associated with valour (Khorsand </w:t>
      </w:r>
      <w:r w:rsidRPr="00F91EAB">
        <w:rPr>
          <w:rFonts w:ascii="Arial" w:hAnsi="Arial" w:cs="Arial"/>
          <w:i/>
          <w:iCs/>
        </w:rPr>
        <w:t>et al.,</w:t>
      </w:r>
      <w:r w:rsidRPr="00F91EAB">
        <w:rPr>
          <w:rFonts w:ascii="Arial" w:hAnsi="Arial" w:cs="Arial"/>
        </w:rPr>
        <w:t xml:space="preserve"> 2023) is disregarded, as businesses are creating a distinction between worthy and shameful blood. Therefore, businesses who supply menstrual products should recognise the power and control over their customers and create an ethos of social responsibility, with the aim to address the cause of menstrual inequality. However, further research is needed into </w:t>
      </w:r>
      <w:r w:rsidRPr="00F91EAB">
        <w:rPr>
          <w:rFonts w:ascii="Arial" w:hAnsi="Arial" w:cs="Arial"/>
        </w:rPr>
        <w:lastRenderedPageBreak/>
        <w:t>the intricacies of production and campaigning businesses, such as Procter &amp; Gamble, participate in.</w:t>
      </w:r>
    </w:p>
    <w:p w14:paraId="0DD8D1CB" w14:textId="77777777" w:rsidR="00F91EAB" w:rsidRPr="00F91EAB" w:rsidRDefault="00F91EAB" w:rsidP="00F91EAB">
      <w:pPr>
        <w:spacing w:line="360" w:lineRule="auto"/>
        <w:jc w:val="both"/>
        <w:rPr>
          <w:rFonts w:ascii="Arial" w:hAnsi="Arial" w:cs="Arial"/>
        </w:rPr>
      </w:pPr>
      <w:r w:rsidRPr="00F91EAB">
        <w:rPr>
          <w:rFonts w:ascii="Arial" w:hAnsi="Arial" w:cs="Arial"/>
        </w:rPr>
        <w:t xml:space="preserve">Sharra Vostral identified technologies of passing which argues the aim of menstrual products is to conceal and permit people who menstruate to present themselves as non-menstruating (Olson </w:t>
      </w:r>
      <w:r w:rsidRPr="00F91EAB">
        <w:rPr>
          <w:rFonts w:ascii="Arial" w:hAnsi="Arial" w:cs="Arial"/>
          <w:i/>
          <w:iCs/>
        </w:rPr>
        <w:t>et al.,</w:t>
      </w:r>
      <w:r w:rsidRPr="00F91EAB">
        <w:rPr>
          <w:rFonts w:ascii="Arial" w:hAnsi="Arial" w:cs="Arial"/>
        </w:rPr>
        <w:t xml:space="preserve"> 2022), which Røstvik (2022) reasons aids to stigmatise and destigmatise menstruation. Gramsci’s Hegemony states the popularisation of the ruling class and leadership ideals, opinions, and beliefs on led groups (Bates, 1975), which reflects businesses power over the media narrative of menstruation and the influence this has on the population. There is an understanding that society and individuals might treat people who menstruate differently if aware of their menstrual cycle, due to the dominant influence of harmful and misadvised opinions on menstruation. This illustrates the historical ideals and expectations of the perfect woman, as although these standards are unachievable, and presenting oneself in the manner which is acceptable to society highlights conformity to menstrual taboo, defiant behaviour would have unknown consequences on the individual’s reputation and future opportunities.</w:t>
      </w:r>
    </w:p>
    <w:p w14:paraId="51F518CF" w14:textId="77777777" w:rsidR="00F91EAB" w:rsidRPr="00F91EAB" w:rsidRDefault="00F91EAB" w:rsidP="00F91EAB">
      <w:pPr>
        <w:spacing w:line="360" w:lineRule="auto"/>
        <w:jc w:val="both"/>
        <w:rPr>
          <w:rFonts w:ascii="Arial" w:hAnsi="Arial" w:cs="Arial"/>
        </w:rPr>
      </w:pPr>
      <w:r w:rsidRPr="00F91EAB">
        <w:rPr>
          <w:rFonts w:ascii="Arial" w:hAnsi="Arial" w:cs="Arial"/>
        </w:rPr>
        <w:t xml:space="preserve">Medicine is an androcentric construct, as male bodies are believed to be the standard, causing a medical bias because women’s bodies were dismissed for decades (Cleghorn, 2022; Graham, 2023). The prejudiced beliefs and misunderstood menstrual symptoms caused women to be subjected to hysteria diagnosis and classified as witches, because women have never had the respect as a reliable narrator of their bodies (Fingerson, 2012; Cleghorn, 2022; Bennethum, 2024). In addition, reproductive health is medicalised within different cultures to various points, and through this process, people who menstruate lose power over their bodies, as medical professionals are considered experts (Fingerson, 2012; Begeny, Grossman, and Ryan, 2022). For example, tampons can cause toxic shock syndrome, a rare life-threatening condition which is caused by infection (NHS, 2023), and due to the stigmatised and gendered technology, customers can become patients and require urgent medical attention (Vostral, 2025), illustrating the loss of power and control over decisions on types of menstrual products and potential health risks for necessary items. Nevertheless, innovative menstrual products are becoming available in the twenty-first century, as the Flex Reusable Disc by Laura Schulte Wang presents an internal menstrual product which is supported by the pubic bone, not suction, and aims </w:t>
      </w:r>
      <w:r w:rsidRPr="00F91EAB">
        <w:rPr>
          <w:rFonts w:ascii="Arial" w:hAnsi="Arial" w:cs="Arial"/>
        </w:rPr>
        <w:lastRenderedPageBreak/>
        <w:t xml:space="preserve">to be an eco-friendly, body-friendly product (Greer </w:t>
      </w:r>
      <w:r w:rsidRPr="00F91EAB">
        <w:rPr>
          <w:rFonts w:ascii="Arial" w:hAnsi="Arial" w:cs="Arial"/>
          <w:i/>
          <w:iCs/>
        </w:rPr>
        <w:t>et al.,</w:t>
      </w:r>
      <w:r w:rsidRPr="00F91EAB">
        <w:rPr>
          <w:rFonts w:ascii="Arial" w:hAnsi="Arial" w:cs="Arial"/>
        </w:rPr>
        <w:t xml:space="preserve"> 2024). The retained power not to research reproductive health shows the absence of empathy and willingness to change what has been considered standard for generations. However, with the awareness of menstruation increasing and government policies enforced, the aim of menstrual equity could be achieved, if generational stigma and taboo is overcome.</w:t>
      </w:r>
    </w:p>
    <w:p w14:paraId="42C5A2A7" w14:textId="726F0994" w:rsidR="00F91EAB" w:rsidRPr="00F91EAB" w:rsidRDefault="00F91EAB" w:rsidP="00F91EAB">
      <w:pPr>
        <w:spacing w:line="360" w:lineRule="auto"/>
        <w:jc w:val="both"/>
        <w:rPr>
          <w:rFonts w:ascii="Arial" w:hAnsi="Arial" w:cs="Arial"/>
        </w:rPr>
      </w:pPr>
      <w:r w:rsidRPr="00F91EAB">
        <w:rPr>
          <w:rFonts w:ascii="Arial" w:hAnsi="Arial" w:cs="Arial"/>
        </w:rPr>
        <w:t xml:space="preserve">Furthermore, Sophia Jex-Blake expressed preventable suffering arose due to girls and women fear of discussing their intimate concerns with a man, so therefore, if people who menstruate were viewed as human first, empathetic understanding could replace misconceptions that has continuously woven into the inequality of female shame and male superiority (Cleghorn, 2022). The reluctance to discuss menstruation, as some believe it to be a gender specific issue, hinders the research and innovation for effective products and treatments for people who menstruate, which increases the disparities between available gender health information (Gomez, 2012). In addition, Holowka (2022) stated people with endometriosis experience mistreatment due to medical discrimination and traditional sexist ideals about reproductive pain, highlighting the misconceptions within medicine. In support, Cleghorn (2022) addressed the treatment of people who menstruate in the twenty-first century is likely to be related to emotional or psychological reasons compared to a biological or physiological cause, due to ingrained historical beliefs. The dominant power influence of men in healthcare, indicates the reluctance of people who menstruate to access these services, and, instead, take initiative to complete online research. Nevertheless, the Women’s Health Plan in Wales and Scotland aim to address gender inequality and intersectionality of menstrual health, through a detailed long-term plan which provides support and information for people who </w:t>
      </w:r>
      <w:r w:rsidR="00E312AA" w:rsidRPr="00F91EAB">
        <w:rPr>
          <w:rFonts w:ascii="Arial" w:hAnsi="Arial" w:cs="Arial"/>
        </w:rPr>
        <w:t>menstruate</w:t>
      </w:r>
      <w:r w:rsidR="00E312AA">
        <w:rPr>
          <w:rFonts w:ascii="Arial" w:hAnsi="Arial" w:cs="Arial"/>
        </w:rPr>
        <w:t xml:space="preserve"> and</w:t>
      </w:r>
      <w:r w:rsidRPr="00F91EAB">
        <w:rPr>
          <w:rFonts w:ascii="Arial" w:hAnsi="Arial" w:cs="Arial"/>
        </w:rPr>
        <w:t xml:space="preserve"> analyses the healthcare available for menstrual disorders (Scottish Government, 2021; NHS Wales, 2024). Therefore, solutions to menstrual inequality should not be confined to traditional biomedical explanations (Gomez, 2012; Parthasarathy, 2022) but address the cause of the problem and the interwoven perceptions and practices which aid the stigma and shame.</w:t>
      </w:r>
    </w:p>
    <w:p w14:paraId="32FDB843" w14:textId="391B8A2F" w:rsidR="00F91EAB" w:rsidRPr="00F91EAB" w:rsidRDefault="00F91EAB" w:rsidP="00F91EAB">
      <w:pPr>
        <w:spacing w:line="360" w:lineRule="auto"/>
        <w:jc w:val="both"/>
        <w:rPr>
          <w:rFonts w:ascii="Arial" w:hAnsi="Arial" w:cs="Arial"/>
        </w:rPr>
      </w:pPr>
      <w:r w:rsidRPr="00F91EAB">
        <w:rPr>
          <w:rFonts w:ascii="Arial" w:hAnsi="Arial" w:cs="Arial"/>
        </w:rPr>
        <w:t xml:space="preserve">Menstruation is a natural reproductive occurrence, but the shame, concealment, and invisible societal expectations of menstruation establish an unwillingness to create structures and policies of support (Johnson, 2019). Establishing a society with the belief and acceptance of negative menstrual connotations has significant influence on </w:t>
      </w:r>
      <w:r w:rsidRPr="00F91EAB">
        <w:rPr>
          <w:rFonts w:ascii="Arial" w:hAnsi="Arial" w:cs="Arial"/>
        </w:rPr>
        <w:lastRenderedPageBreak/>
        <w:t xml:space="preserve">the participation of people who menstruate in public and social life, health, education, and economic opportunities (Olson </w:t>
      </w:r>
      <w:r w:rsidRPr="00F91EAB">
        <w:rPr>
          <w:rFonts w:ascii="Arial" w:hAnsi="Arial" w:cs="Arial"/>
          <w:i/>
          <w:iCs/>
        </w:rPr>
        <w:t>et al.,</w:t>
      </w:r>
      <w:r w:rsidRPr="00F91EAB">
        <w:rPr>
          <w:rFonts w:ascii="Arial" w:hAnsi="Arial" w:cs="Arial"/>
        </w:rPr>
        <w:t xml:space="preserve"> 2022). Menstrual stigma creates long-term, persisting misogynist stereotypes, which portray people who menstruate as less capable, because of recognised acceptable and unacceptable physiological standards established from past generations (Olson </w:t>
      </w:r>
      <w:r w:rsidRPr="00F91EAB">
        <w:rPr>
          <w:rFonts w:ascii="Arial" w:hAnsi="Arial" w:cs="Arial"/>
          <w:i/>
          <w:iCs/>
        </w:rPr>
        <w:t>et al.,</w:t>
      </w:r>
      <w:r w:rsidRPr="00F91EAB">
        <w:rPr>
          <w:rFonts w:ascii="Arial" w:hAnsi="Arial" w:cs="Arial"/>
        </w:rPr>
        <w:t xml:space="preserve"> 2022; Graham, 2023). Michel Foucault’s </w:t>
      </w:r>
      <w:r w:rsidR="00E312AA">
        <w:rPr>
          <w:rFonts w:ascii="Arial" w:hAnsi="Arial" w:cs="Arial"/>
        </w:rPr>
        <w:t>b</w:t>
      </w:r>
      <w:r w:rsidRPr="00F91EAB">
        <w:rPr>
          <w:rFonts w:ascii="Arial" w:hAnsi="Arial" w:cs="Arial"/>
        </w:rPr>
        <w:t xml:space="preserve">iopower states that because humans are biological and alive, omnipresent political and power influences control the population through health (Sarıgöl, 2022). This recognises the visible and invisible control on people who menstruate, for example, distribution of harmful menstrual products and not educating people on the health risks. In addition, Joseph R. Gusfield explained the importance of perceived alterability of an issue, which contributes to a collective cognitive perception that influences if the issue will receive the status of recognition (Sommer </w:t>
      </w:r>
      <w:r w:rsidRPr="00F91EAB">
        <w:rPr>
          <w:rFonts w:ascii="Arial" w:hAnsi="Arial" w:cs="Arial"/>
          <w:i/>
          <w:iCs/>
        </w:rPr>
        <w:t>et al.,</w:t>
      </w:r>
      <w:r w:rsidRPr="00F91EAB">
        <w:rPr>
          <w:rFonts w:ascii="Arial" w:hAnsi="Arial" w:cs="Arial"/>
        </w:rPr>
        <w:t xml:space="preserve"> 2015). This theory emphasises that if menstrual inequality is perceived as changeable, then there is a significantly higher chance of individuals in power discussing and constructing informed proposals to end this issue. Therefore, through increasing awareness and government practices to reduce menstrual inequality, the reproduction of this inequality onto the next generation does seem reduced, but the efficacy of these policies cannot be reflected on yet.</w:t>
      </w:r>
    </w:p>
    <w:p w14:paraId="4A92A2C7" w14:textId="5742C3B3" w:rsidR="00F91EAB" w:rsidRPr="00F91EAB" w:rsidRDefault="00F91EAB" w:rsidP="00F91EAB">
      <w:pPr>
        <w:spacing w:line="360" w:lineRule="auto"/>
        <w:jc w:val="both"/>
        <w:rPr>
          <w:rFonts w:ascii="Arial" w:hAnsi="Arial" w:cs="Arial"/>
        </w:rPr>
      </w:pPr>
      <w:r w:rsidRPr="00F91EAB">
        <w:rPr>
          <w:rFonts w:ascii="Arial" w:hAnsi="Arial" w:cs="Arial"/>
        </w:rPr>
        <w:t xml:space="preserve">Education on menstruation to all genders can foster understanding and empathy, and into adulthood, with males and people who identify as male in positions of power, it can support the awareness of menstrual inequality (In Kind Direct, 2024). In support, Barrie Throne found children use differences in their anatomy and bodies to tease and bother different genders (Fingerson, 2012), which can progress into acceptable social behaviours towards women and people who menstruate in adulthood if education is not </w:t>
      </w:r>
      <w:r w:rsidR="00366EA5">
        <w:rPr>
          <w:rFonts w:ascii="Arial" w:hAnsi="Arial" w:cs="Arial"/>
        </w:rPr>
        <w:t>instructed</w:t>
      </w:r>
      <w:r w:rsidR="00366EA5" w:rsidRPr="00F91EAB">
        <w:rPr>
          <w:rFonts w:ascii="Arial" w:hAnsi="Arial" w:cs="Arial"/>
        </w:rPr>
        <w:t xml:space="preserve"> </w:t>
      </w:r>
      <w:r w:rsidRPr="00F91EAB">
        <w:rPr>
          <w:rFonts w:ascii="Arial" w:hAnsi="Arial" w:cs="Arial"/>
        </w:rPr>
        <w:t xml:space="preserve">on the normality of reproduction. Amaya, Marcatilli, and Bhavaraju (2020) and Gao </w:t>
      </w:r>
      <w:r w:rsidRPr="00F91EAB">
        <w:rPr>
          <w:rFonts w:ascii="Arial" w:hAnsi="Arial" w:cs="Arial"/>
          <w:i/>
          <w:iCs/>
        </w:rPr>
        <w:t>et al.</w:t>
      </w:r>
      <w:r w:rsidRPr="00F91EAB">
        <w:rPr>
          <w:rFonts w:ascii="Arial" w:hAnsi="Arial" w:cs="Arial"/>
        </w:rPr>
        <w:t xml:space="preserve"> (2025) state comprehensive menstrual and reproductive health education is needed before menarche, the first menstrual cycle, as to convey to all students the greater gender norms in society, before internalised perceptions and beliefs of menstruation are formed. In addition, education can allow people who menstruate to develop body literacy in understanding how menstruation is influenced by more than menstrual cycles, as contraceptive use, pregnancy, childbirth, abortion, and miscarriage can affect menstruation (Amaya, Marcatilli, and Bhavaraju, 2020; Herr, 2021). In understanding the whole menstrual influences, people who menstruate </w:t>
      </w:r>
      <w:r w:rsidRPr="00F91EAB">
        <w:rPr>
          <w:rFonts w:ascii="Arial" w:hAnsi="Arial" w:cs="Arial"/>
        </w:rPr>
        <w:lastRenderedPageBreak/>
        <w:t>can have better health outcomes (Amaya, Marcatilli, and Bhavaraju, 2020), because accurate and medical advice is provided so individuals can have volition over their own bodies and decisions. Pallathadka, Pallathadka, and Devi (2022) and Røstvik (2022) state the difficulty in dismantling gender stereotypes and encouraged the enlightenment of younger people in changing the next generation attitudes and perceptions of menstruation, acknowledging education as an essential component in achieving this outcome.</w:t>
      </w:r>
    </w:p>
    <w:p w14:paraId="767B8E39" w14:textId="77777777" w:rsidR="00F91EAB" w:rsidRPr="00F91EAB" w:rsidRDefault="00F91EAB" w:rsidP="00F91EAB">
      <w:pPr>
        <w:spacing w:line="360" w:lineRule="auto"/>
        <w:jc w:val="both"/>
        <w:rPr>
          <w:rFonts w:ascii="Arial" w:hAnsi="Arial" w:cs="Arial"/>
        </w:rPr>
      </w:pPr>
      <w:r w:rsidRPr="00F91EAB">
        <w:rPr>
          <w:rFonts w:ascii="Arial" w:hAnsi="Arial" w:cs="Arial"/>
        </w:rPr>
        <w:t>The Curriculum for Wales aims to contest misinformation and promote student wellbeing (Welsh Government, 2024), through understanding and teaching the importance of ethical society and human rights practices (Welsh Government, 2022a). In addition, the Health and Wellbeing curriculum states students are expected to develop self-insight into their behaviour towards others and the consequences of actions, while recognising the social influences which might shape their attitudes and actions (Welsh Government, 2022b). Nevertheless, Estyn (2021) reported the Curriculum for Wales Relationship and Sexuality Education Code is unspecific in what constitutes as mandatory lessons on menstrual health, as the guidance does not acknowledge if one lesson is sufficient to reflect the requirements of the curriculum. Therefore, the power and control the Welsh Government has on the education students receive on their bodies should be considered as a cause of menstrual inequality. However, the Curriculum for Wales is subjected to practitioners’ interpretation, showing how individual opinions on reproductive health can alter between each teacher without standardised practices.</w:t>
      </w:r>
    </w:p>
    <w:p w14:paraId="7D0C0A0E" w14:textId="7B88AF0E" w:rsidR="00F91EAB" w:rsidRPr="00F91EAB" w:rsidRDefault="00F91EAB" w:rsidP="00F91EAB">
      <w:pPr>
        <w:spacing w:line="360" w:lineRule="auto"/>
        <w:jc w:val="both"/>
        <w:rPr>
          <w:rFonts w:ascii="Arial" w:hAnsi="Arial" w:cs="Arial"/>
        </w:rPr>
      </w:pPr>
      <w:r w:rsidRPr="00F91EAB">
        <w:rPr>
          <w:rFonts w:ascii="Arial" w:hAnsi="Arial" w:cs="Arial"/>
        </w:rPr>
        <w:t xml:space="preserve">Furthermore, In Kind Direct (2024) stated missed education and work due to menstruation can equate to one and a half years absent from school and career opportunities, which King (2024) addressed was overshadowed by societal gender inequalities and media covered government policies, a misrepresentation of the cause of menstrual absenteeism and failing to addressing the interwoven origins. In addition, while there are government funded schemes and legislative policies in the UK which provide menstrual products in schools, Rawat </w:t>
      </w:r>
      <w:r w:rsidRPr="00F91EAB">
        <w:rPr>
          <w:rFonts w:ascii="Arial" w:hAnsi="Arial" w:cs="Arial"/>
          <w:i/>
          <w:iCs/>
        </w:rPr>
        <w:t>et al.</w:t>
      </w:r>
      <w:r w:rsidRPr="00F91EAB">
        <w:rPr>
          <w:rFonts w:ascii="Arial" w:hAnsi="Arial" w:cs="Arial"/>
        </w:rPr>
        <w:t xml:space="preserve"> (2023) and In Kind Direct (2024) stated those who need menstrual products are often unable to find them or the items have not been restocked. In support, Rossouw and Ross (2021) expressed the planning and design of bathrooms rarely consider the needs of people who menstruate, as historic beliefs about managing menstruation in an unnoticeable </w:t>
      </w:r>
      <w:r w:rsidRPr="00F91EAB">
        <w:rPr>
          <w:rFonts w:ascii="Arial" w:hAnsi="Arial" w:cs="Arial"/>
        </w:rPr>
        <w:lastRenderedPageBreak/>
        <w:t xml:space="preserve">manner persists. Therefore, providing education on menstruation and stereotypes within society is significant in resolving this inequality, </w:t>
      </w:r>
      <w:r w:rsidR="005307FC">
        <w:rPr>
          <w:rFonts w:ascii="Arial" w:hAnsi="Arial" w:cs="Arial"/>
        </w:rPr>
        <w:t xml:space="preserve">and </w:t>
      </w:r>
      <w:r w:rsidRPr="00F91EAB">
        <w:rPr>
          <w:rFonts w:ascii="Arial" w:hAnsi="Arial" w:cs="Arial"/>
        </w:rPr>
        <w:t>the whole school, from bathrooms to teacher’s attitudes, must represent this commitment to achieving menstrual equity.</w:t>
      </w:r>
    </w:p>
    <w:p w14:paraId="51EAA3E9" w14:textId="77777777" w:rsidR="00F91EAB" w:rsidRPr="00F91EAB" w:rsidRDefault="00F91EAB" w:rsidP="00F91EAB">
      <w:pPr>
        <w:spacing w:line="360" w:lineRule="auto"/>
        <w:jc w:val="both"/>
        <w:rPr>
          <w:rFonts w:ascii="Arial" w:hAnsi="Arial" w:cs="Arial"/>
        </w:rPr>
      </w:pPr>
      <w:r w:rsidRPr="00F91EAB">
        <w:rPr>
          <w:rFonts w:ascii="Arial" w:hAnsi="Arial" w:cs="Arial"/>
        </w:rPr>
        <w:t xml:space="preserve">The emerging awareness of misinformation and inadequate menstrual health education in recent research and media continues to enlighten individuals in power to the global health issue of menstrual inequality prevalent worldwide (Sommer </w:t>
      </w:r>
      <w:r w:rsidRPr="00F91EAB">
        <w:rPr>
          <w:rFonts w:ascii="Arial" w:hAnsi="Arial" w:cs="Arial"/>
          <w:i/>
          <w:iCs/>
        </w:rPr>
        <w:t>et al.,</w:t>
      </w:r>
      <w:r w:rsidRPr="00F91EAB">
        <w:rPr>
          <w:rFonts w:ascii="Arial" w:hAnsi="Arial" w:cs="Arial"/>
        </w:rPr>
        <w:t xml:space="preserve"> 2015; Tomlinson, 2024). The reliance of social media as an educational tool presents an uncertainty of whether people are accurately informed through online posts or if non-evidence-based advice is shared, addressing an awareness everyone should have on the misinformation in the media (Adler </w:t>
      </w:r>
      <w:r w:rsidRPr="00F91EAB">
        <w:rPr>
          <w:rFonts w:ascii="Arial" w:hAnsi="Arial" w:cs="Arial"/>
          <w:i/>
          <w:iCs/>
        </w:rPr>
        <w:t>et al.,</w:t>
      </w:r>
      <w:r w:rsidRPr="00F91EAB">
        <w:rPr>
          <w:rFonts w:ascii="Arial" w:hAnsi="Arial" w:cs="Arial"/>
        </w:rPr>
        <w:t xml:space="preserve"> 2024). Nevertheless, there are online platforms which provide people who menstruate with social support and acceptance and can benefit adolescents, as social media continues to be an influencing presence (Davies </w:t>
      </w:r>
      <w:r w:rsidRPr="00F91EAB">
        <w:rPr>
          <w:rFonts w:ascii="Arial" w:hAnsi="Arial" w:cs="Arial"/>
          <w:i/>
          <w:iCs/>
        </w:rPr>
        <w:t>et al.,</w:t>
      </w:r>
      <w:r w:rsidRPr="00F91EAB">
        <w:rPr>
          <w:rFonts w:ascii="Arial" w:hAnsi="Arial" w:cs="Arial"/>
        </w:rPr>
        <w:t xml:space="preserve"> 2022). In support, Holowka (2022) stated people with endometriosis have shown positive feedback to online social groups as it provides understanding and reassurance around menstrual disorders, which agrees with Metzler </w:t>
      </w:r>
      <w:r w:rsidRPr="00F91EAB">
        <w:rPr>
          <w:rFonts w:ascii="Arial" w:hAnsi="Arial" w:cs="Arial"/>
          <w:i/>
          <w:iCs/>
        </w:rPr>
        <w:t>et al.</w:t>
      </w:r>
      <w:r w:rsidRPr="00F91EAB">
        <w:rPr>
          <w:rFonts w:ascii="Arial" w:hAnsi="Arial" w:cs="Arial"/>
        </w:rPr>
        <w:t xml:space="preserve"> (2022) addressing how social media can be used to receive menstrual disease management and mental health support.</w:t>
      </w:r>
      <w:r w:rsidRPr="00F91EAB">
        <w:rPr>
          <w:rFonts w:ascii="Arial" w:hAnsi="Arial" w:cs="Arial"/>
          <w:b/>
          <w:bCs/>
        </w:rPr>
        <w:t xml:space="preserve"> </w:t>
      </w:r>
      <w:r w:rsidRPr="00F91EAB">
        <w:rPr>
          <w:rFonts w:ascii="Arial" w:hAnsi="Arial" w:cs="Arial"/>
        </w:rPr>
        <w:t xml:space="preserve">In addition, Davies </w:t>
      </w:r>
      <w:r w:rsidRPr="00F91EAB">
        <w:rPr>
          <w:rFonts w:ascii="Arial" w:hAnsi="Arial" w:cs="Arial"/>
          <w:i/>
          <w:iCs/>
        </w:rPr>
        <w:t>et al.</w:t>
      </w:r>
      <w:r w:rsidRPr="00F91EAB">
        <w:rPr>
          <w:rFonts w:ascii="Arial" w:hAnsi="Arial" w:cs="Arial"/>
        </w:rPr>
        <w:t xml:space="preserve"> (2022) found younger people are more likely to use social media to openly discuss menstrual issues or concerns, but the main discourse presented on the platform revealed negative expectations and opinions of menstruation, reinforcing menstrual anxiety and discomfort. The importance of understanding how to assess and filter online information can support people in ensuring source credibility, as the internet has become a primary resource to support individuals worldwide with health decisions (Metzler </w:t>
      </w:r>
      <w:r w:rsidRPr="00F91EAB">
        <w:rPr>
          <w:rFonts w:ascii="Arial" w:hAnsi="Arial" w:cs="Arial"/>
          <w:i/>
          <w:iCs/>
        </w:rPr>
        <w:t>et al.,</w:t>
      </w:r>
      <w:r w:rsidRPr="00F91EAB">
        <w:rPr>
          <w:rFonts w:ascii="Arial" w:hAnsi="Arial" w:cs="Arial"/>
        </w:rPr>
        <w:t xml:space="preserve"> 2022). Therefore, increasing the presence of digital literacy in education can support the next generation in recognising the reliability and credibility of dominant media narratives, allowing people to regain control over the influence of technology in the twenty-first century.</w:t>
      </w:r>
    </w:p>
    <w:p w14:paraId="319EFFFB" w14:textId="035ABF66" w:rsidR="00F91EAB" w:rsidRPr="00F91EAB" w:rsidRDefault="00F91EAB" w:rsidP="00F91EAB">
      <w:pPr>
        <w:spacing w:line="360" w:lineRule="auto"/>
        <w:jc w:val="both"/>
        <w:rPr>
          <w:rFonts w:ascii="Arial" w:hAnsi="Arial" w:cs="Arial"/>
        </w:rPr>
      </w:pPr>
      <w:r w:rsidRPr="00F91EAB">
        <w:rPr>
          <w:rFonts w:ascii="Arial" w:hAnsi="Arial" w:cs="Arial"/>
        </w:rPr>
        <w:t xml:space="preserve">The online memes about people who menstruate can reinforce harmful stereotypes, as ones which illustrate varying emotions during a menstrual cycle convey the mockery of menstrual hormones and emotions, silencing discussions on mental health issues and menstrual disorders such as premenstrual dysphoric disorder (Tomlinson, 2021). Foucault (1975) argued the constant policing of members of society, called the </w:t>
      </w:r>
      <w:r w:rsidRPr="00F91EAB">
        <w:rPr>
          <w:rFonts w:ascii="Arial" w:hAnsi="Arial" w:cs="Arial"/>
        </w:rPr>
        <w:lastRenderedPageBreak/>
        <w:t xml:space="preserve">panopticon, relates to the self-surveillance and concealment people who menstruate experience during their periods (Tomlinson, 2021). In 2015, Rupi Kaur posted on Instagram a photo of her blood stained sheets and trousers, and this image was removed from the platform for violating community guidelines (Johnson, 2019), showing the restrictions and surveillance on </w:t>
      </w:r>
      <w:r w:rsidR="00CF46AF">
        <w:rPr>
          <w:rFonts w:ascii="Arial" w:hAnsi="Arial" w:cs="Arial"/>
        </w:rPr>
        <w:t xml:space="preserve">the bodies of </w:t>
      </w:r>
      <w:r w:rsidRPr="00F91EAB">
        <w:rPr>
          <w:rFonts w:ascii="Arial" w:hAnsi="Arial" w:cs="Arial"/>
        </w:rPr>
        <w:t>people who menstruate. However, dominant media could be hiding or ignoring certain menstrual information, so it is important for people to research widely (De Benedictis, 2022).</w:t>
      </w:r>
      <w:r w:rsidRPr="00F91EAB">
        <w:rPr>
          <w:rFonts w:ascii="Arial" w:hAnsi="Arial" w:cs="Arial"/>
          <w:b/>
          <w:bCs/>
        </w:rPr>
        <w:t xml:space="preserve"> </w:t>
      </w:r>
      <w:r w:rsidRPr="00F91EAB">
        <w:rPr>
          <w:rFonts w:ascii="Arial" w:hAnsi="Arial" w:cs="Arial"/>
        </w:rPr>
        <w:t>In addition, Julia Kristeva (1980) and Annie Leclerc (1974) address the patriarchal ideologies which influence menstrual discussions that engender women to negative views about their bodies (Tomlinson, 2021). Furthermore, normalisation is an ideology which encourages individuals to openly and honestly discuss menstruation, and</w:t>
      </w:r>
      <w:r w:rsidR="003B2DD9">
        <w:rPr>
          <w:rFonts w:ascii="Arial" w:hAnsi="Arial" w:cs="Arial"/>
        </w:rPr>
        <w:t xml:space="preserve"> recognises</w:t>
      </w:r>
      <w:r w:rsidRPr="00F91EAB">
        <w:rPr>
          <w:rFonts w:ascii="Arial" w:hAnsi="Arial" w:cs="Arial"/>
        </w:rPr>
        <w:t xml:space="preserve"> social media is </w:t>
      </w:r>
      <w:r w:rsidR="003B2DD9" w:rsidRPr="00F91EAB">
        <w:rPr>
          <w:rFonts w:ascii="Arial" w:hAnsi="Arial" w:cs="Arial"/>
        </w:rPr>
        <w:t>influential</w:t>
      </w:r>
      <w:r w:rsidRPr="00F91EAB">
        <w:rPr>
          <w:rFonts w:ascii="Arial" w:hAnsi="Arial" w:cs="Arial"/>
        </w:rPr>
        <w:t xml:space="preserve"> in encouraging people to express unashamed feelings and experiences (Tomlinson, 2021). While the humour of menstruation should not be silenced as it provides relief and companionship to some people who menstruate, it is important to acknowledge when this information becomes disrespectful, and media platforms should improve their guidelines to safeguard everyone worldwide from reproduced negative stereotypes.</w:t>
      </w:r>
    </w:p>
    <w:p w14:paraId="3BCF0DF6" w14:textId="77777777" w:rsidR="00F91EAB" w:rsidRPr="00F91EAB" w:rsidRDefault="00F91EAB" w:rsidP="00F91EAB">
      <w:pPr>
        <w:spacing w:line="360" w:lineRule="auto"/>
        <w:jc w:val="both"/>
        <w:rPr>
          <w:rFonts w:ascii="Arial" w:hAnsi="Arial" w:cs="Arial"/>
        </w:rPr>
      </w:pPr>
      <w:r w:rsidRPr="00F91EAB">
        <w:rPr>
          <w:rFonts w:ascii="Arial" w:hAnsi="Arial" w:cs="Arial"/>
        </w:rPr>
        <w:t>The Handmaid’s Tale by Margaret Atwood (1985) resembles and amplifies the dehumanisation and objectification of fertile women in Gilead and correlates with the representation of women’s bodies in Western culture, both biomedical and sociocultural (Bracken, 2023). Rhyne (2019) states Foucault argued the body as something which may be used, subjected, and transformed, which compared to The Handmaid’s Tale, as the presentation of the body as a dystopic symbol of control and power illustrates the prevalent themes of women’s bodies reduced to reproduction and social status. In research and policies which continue to publish on menstrual health, people who menstruate should not be reduced to their reproductive organs, as overcoming menstrual inequality cannot be accomplished without recognising the causes, interwoven ideologies about women which persist throughout generations, and viewing people who menstruate as human beings first.</w:t>
      </w:r>
    </w:p>
    <w:p w14:paraId="11575EAD" w14:textId="1731DB0C" w:rsidR="00F91EAB" w:rsidRPr="00F91EAB" w:rsidRDefault="00F91EAB" w:rsidP="00F91EAB">
      <w:pPr>
        <w:spacing w:line="360" w:lineRule="auto"/>
        <w:jc w:val="both"/>
        <w:rPr>
          <w:rFonts w:ascii="Arial" w:hAnsi="Arial" w:cs="Arial"/>
        </w:rPr>
      </w:pPr>
      <w:r w:rsidRPr="00F91EAB">
        <w:rPr>
          <w:rFonts w:ascii="Arial" w:hAnsi="Arial" w:cs="Arial"/>
        </w:rPr>
        <w:t xml:space="preserve">The United States of America has acquired worldwide influential power, from legislative policies to cultural norms, and each state has significant potential in transforming the expectations and ideals regarding menstruation. In the United States of America, sex and reproductive health education is decided by individual states </w:t>
      </w:r>
      <w:r w:rsidRPr="00F91EAB">
        <w:rPr>
          <w:rFonts w:ascii="Arial" w:hAnsi="Arial" w:cs="Arial"/>
        </w:rPr>
        <w:lastRenderedPageBreak/>
        <w:t xml:space="preserve">(Olson </w:t>
      </w:r>
      <w:r w:rsidRPr="00F91EAB">
        <w:rPr>
          <w:rFonts w:ascii="Arial" w:hAnsi="Arial" w:cs="Arial"/>
          <w:i/>
          <w:iCs/>
        </w:rPr>
        <w:t>et al.,</w:t>
      </w:r>
      <w:r w:rsidRPr="00F91EAB">
        <w:rPr>
          <w:rFonts w:ascii="Arial" w:hAnsi="Arial" w:cs="Arial"/>
        </w:rPr>
        <w:t xml:space="preserve"> 2022), therefore, there is no standardised education or expectation on how menstrual health should be addressed, which demonstrates the power and control state government officials retain over teaching. President Donald Trump, during the 2016 Republican Candidate for President Debate, criticized moderator Megyn Kelly when asked </w:t>
      </w:r>
      <w:r w:rsidR="00CF46AF">
        <w:rPr>
          <w:rFonts w:ascii="Arial" w:hAnsi="Arial" w:cs="Arial"/>
        </w:rPr>
        <w:t>to</w:t>
      </w:r>
      <w:r w:rsidRPr="00F91EAB">
        <w:rPr>
          <w:rFonts w:ascii="Arial" w:hAnsi="Arial" w:cs="Arial"/>
        </w:rPr>
        <w:t xml:space="preserve"> comment on previous sexist remarks by implying she was acting unprofessional because she was on her period (Johnson, 2019). Soft power is the ability to control and obtain preferable outcomes with attraction (Nye, 2023), as a country’s political and cultural values can indirectly impact on international beliefs and policies, causing unintended and unforeseen influences (Jansson, 2025). American culture demonstrates the international and intended consequences of soft power, because the widespread appeal of popular Western values and products has permeated various countries' communication style and decision-making (Nye, 1990). Furthermore, Bandura’s Bobo Doll experiment (1961) demonstrated the influence of adult behaviour on children, showing without guidance and support, people might not develop the awareness (Galanaki and Malafantis, 2022) needed to understand the responsibility for moral and ethical behaviour</w:t>
      </w:r>
      <w:r w:rsidR="00CF46AF">
        <w:rPr>
          <w:rFonts w:ascii="Arial" w:hAnsi="Arial" w:cs="Arial"/>
        </w:rPr>
        <w:t xml:space="preserve"> towards</w:t>
      </w:r>
      <w:r w:rsidRPr="00F91EAB">
        <w:rPr>
          <w:rFonts w:ascii="Arial" w:hAnsi="Arial" w:cs="Arial"/>
        </w:rPr>
        <w:t xml:space="preserve"> people who menstruate, as a reflection of human rights, due to the worldwide narrative of immoral stereotypes and opinions. Therefore, individuals with significant power and influence on the future of countries sometimes are not contested, as the position of authority regards the individuals as more knowledgeable and educated. To overcome menstrual inequality, the continued awareness of political influence and authoritative figures should be acknowledged, and people should understand the potential harm of waiting for the next administration to enforce effective changes.</w:t>
      </w:r>
    </w:p>
    <w:p w14:paraId="5FD7D130" w14:textId="50521871" w:rsidR="00F91EAB" w:rsidRPr="00F91EAB" w:rsidRDefault="00F91EAB" w:rsidP="00F91EAB">
      <w:pPr>
        <w:spacing w:line="360" w:lineRule="auto"/>
        <w:jc w:val="both"/>
        <w:rPr>
          <w:rFonts w:ascii="Arial" w:hAnsi="Arial" w:cs="Arial"/>
        </w:rPr>
      </w:pPr>
      <w:r w:rsidRPr="00F91EAB">
        <w:rPr>
          <w:rFonts w:ascii="Arial" w:hAnsi="Arial" w:cs="Arial"/>
        </w:rPr>
        <w:t xml:space="preserve">Roe v. Wade (1973) recognised abortion decisions as part of the fourteenth amendment, which protected citizens right to privacy (Cleghorn, 2022), but in June 2022, the Supreme Court overturned this ruling stating abortion was not considered a constitutional right (Kaplan, 2022). In response, South Carolina has introduced Bill 323, the Unborn Child Protection Act, in February 2025, which states women who receive an abortion, or anyone who helps them procure one, could be sentenced </w:t>
      </w:r>
      <w:r w:rsidR="00CF46AF">
        <w:rPr>
          <w:rFonts w:ascii="Arial" w:hAnsi="Arial" w:cs="Arial"/>
        </w:rPr>
        <w:t xml:space="preserve">to </w:t>
      </w:r>
      <w:r w:rsidRPr="00F91EAB">
        <w:rPr>
          <w:rFonts w:ascii="Arial" w:hAnsi="Arial" w:cs="Arial"/>
        </w:rPr>
        <w:t xml:space="preserve">thirty years in prison (South Carolina General Assembly, 2025). In addition, all abortions would be banned, except for when the woman’s life is at risk, and providing information on abortions would become illegal (South Carolina General Assembly, 2025). This Bill has not been ratified or passed into law, and awareness is being shared </w:t>
      </w:r>
      <w:r w:rsidRPr="00F91EAB">
        <w:rPr>
          <w:rFonts w:ascii="Arial" w:hAnsi="Arial" w:cs="Arial"/>
        </w:rPr>
        <w:lastRenderedPageBreak/>
        <w:t>about the lasting implications to women’s and reproductive rights. Understanding the global ramifications of enacting this Bill into law presents the precipice of menstrual rights and gender equity. In contrast, Menstrual Equity for All Act 2025, introduced by representative Grace Meng, aims to address period poverty and promote menstrual equity, through the provision of free menstrual products in public spaces (Library of Congress, 2025). In comparison to Bill 323, this Act has not been passed into law or received presidential approval. Therefore, these opposing legislations demonstrate the political divide on reproductive rights in the United States of America, showing the unpredictable and conflicted narrative this country is projecting on what should be considered acceptable in the twenty-first century.</w:t>
      </w:r>
    </w:p>
    <w:p w14:paraId="7580FD12" w14:textId="77777777" w:rsidR="00F91EAB" w:rsidRPr="00F91EAB" w:rsidRDefault="00F91EAB" w:rsidP="00F91EAB">
      <w:pPr>
        <w:spacing w:line="360" w:lineRule="auto"/>
        <w:jc w:val="both"/>
        <w:rPr>
          <w:rFonts w:ascii="Arial" w:hAnsi="Arial" w:cs="Arial"/>
        </w:rPr>
      </w:pPr>
      <w:r w:rsidRPr="00F91EAB">
        <w:rPr>
          <w:rFonts w:ascii="Arial" w:hAnsi="Arial" w:cs="Arial"/>
        </w:rPr>
        <w:t> </w:t>
      </w:r>
    </w:p>
    <w:p w14:paraId="7079852F" w14:textId="77777777" w:rsidR="00F91EAB" w:rsidRPr="00F91EAB" w:rsidRDefault="00F91EAB" w:rsidP="00F91EAB">
      <w:pPr>
        <w:spacing w:line="360" w:lineRule="auto"/>
        <w:jc w:val="both"/>
        <w:rPr>
          <w:rFonts w:ascii="Arial" w:hAnsi="Arial" w:cs="Arial"/>
        </w:rPr>
      </w:pPr>
      <w:r w:rsidRPr="00F91EAB">
        <w:rPr>
          <w:rFonts w:ascii="Arial" w:hAnsi="Arial" w:cs="Arial"/>
        </w:rPr>
        <w:t>To conclude, menstrual inequality is influenced by power and control which is reproduced throughout generations causing misinformation and distortion of reproductive health. This inequality should be resolved to protect the livelihoods of people who menstruate, from designing bathrooms suitable for changing menstrual products and creating government policies which benefit people who menstruate, to providing medically accurate information in education and media. There are various power and control authorities which aid the continuation of menstrual inequality, so further research is needed to uncover and adequately present how these interwoven practices and attitudes can be reformed to create an inclusive global narrative of menstruation. </w:t>
      </w:r>
    </w:p>
    <w:p w14:paraId="430028D1" w14:textId="782AA287" w:rsidR="006A55AD" w:rsidRDefault="006A55AD">
      <w:pPr>
        <w:rPr>
          <w:rFonts w:ascii="Arial" w:hAnsi="Arial" w:cs="Arial"/>
        </w:rPr>
      </w:pPr>
      <w:r>
        <w:rPr>
          <w:rFonts w:ascii="Arial" w:hAnsi="Arial" w:cs="Arial"/>
        </w:rPr>
        <w:br w:type="page"/>
      </w:r>
    </w:p>
    <w:p w14:paraId="16AA159F" w14:textId="04EBB942" w:rsidR="006A55AD" w:rsidRPr="006A55AD" w:rsidRDefault="006A55AD" w:rsidP="00DB4443">
      <w:pPr>
        <w:spacing w:line="360" w:lineRule="auto"/>
        <w:jc w:val="both"/>
        <w:rPr>
          <w:rFonts w:ascii="Arial" w:hAnsi="Arial" w:cs="Arial"/>
          <w:b/>
          <w:bCs/>
        </w:rPr>
      </w:pPr>
      <w:r w:rsidRPr="006A55AD">
        <w:rPr>
          <w:rFonts w:ascii="Arial" w:hAnsi="Arial" w:cs="Arial"/>
          <w:b/>
          <w:bCs/>
        </w:rPr>
        <w:lastRenderedPageBreak/>
        <w:t>Reference list</w:t>
      </w:r>
    </w:p>
    <w:p w14:paraId="245CE360"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Adler, H., Lewis, M., Ng, C.H.M., Brooks, C., Leonardi, M., Mikocka-Walus, A., Bush, D., Semprini, A., Wilkinson-Tomey, J., Condous, G., </w:t>
      </w:r>
      <w:proofErr w:type="spellStart"/>
      <w:r w:rsidRPr="006A55AD">
        <w:rPr>
          <w:rFonts w:ascii="Arial" w:hAnsi="Arial" w:cs="Arial"/>
        </w:rPr>
        <w:t>Patravali</w:t>
      </w:r>
      <w:proofErr w:type="spellEnd"/>
      <w:r w:rsidRPr="006A55AD">
        <w:rPr>
          <w:rFonts w:ascii="Arial" w:hAnsi="Arial" w:cs="Arial"/>
        </w:rPr>
        <w:t xml:space="preserve">, N., Abbott, J. and Armour, M. (2024) ‘Social Media, Endometriosis, and Evidence-Based Information: An Analysis of Instagram Content’, </w:t>
      </w:r>
      <w:r w:rsidRPr="006A55AD">
        <w:rPr>
          <w:rFonts w:ascii="Arial" w:hAnsi="Arial" w:cs="Arial"/>
          <w:i/>
          <w:iCs/>
        </w:rPr>
        <w:t>Healthcare</w:t>
      </w:r>
      <w:r w:rsidRPr="006A55AD">
        <w:rPr>
          <w:rFonts w:ascii="Arial" w:hAnsi="Arial" w:cs="Arial"/>
        </w:rPr>
        <w:t>, 12(1). Available at: https://doi.org/10.3390/healthcare12010121 </w:t>
      </w:r>
    </w:p>
    <w:p w14:paraId="1A8BAFD2"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Akhtar, N.F. and Dihingia, P. (2025) ‘Representation of the Female Body in the Advertisements of Menstrual Products’, </w:t>
      </w:r>
      <w:r w:rsidRPr="006A55AD">
        <w:rPr>
          <w:rFonts w:ascii="Arial" w:hAnsi="Arial" w:cs="Arial"/>
          <w:i/>
          <w:iCs/>
        </w:rPr>
        <w:t>IIS University Journal of Art</w:t>
      </w:r>
      <w:r w:rsidRPr="006A55AD">
        <w:rPr>
          <w:rFonts w:ascii="Arial" w:hAnsi="Arial" w:cs="Arial"/>
        </w:rPr>
        <w:t>s, 14(1), pp. 223-229. Available at: https://iisjoa.org/sites/default/files/iisjoa/march2025/19th%20Paper.pdf (Accessed: 19 November 2025). </w:t>
      </w:r>
    </w:p>
    <w:p w14:paraId="7BE4CBE0"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Alhelou, N., Kavattur, P.S., Olson, M.M., Rountree, L. and Winkler, I.T. (2022) ‘Menstruation, Myopia, and Marginalization: Advancing Menstrual Policies to "Keep Girls in School" at the Risk of Exacerbating Inequalities’, </w:t>
      </w:r>
      <w:r w:rsidRPr="006A55AD">
        <w:rPr>
          <w:rFonts w:ascii="Arial" w:hAnsi="Arial" w:cs="Arial"/>
          <w:i/>
          <w:iCs/>
        </w:rPr>
        <w:t>Health and Human Rights,</w:t>
      </w:r>
      <w:r w:rsidRPr="006A55AD">
        <w:rPr>
          <w:rFonts w:ascii="Arial" w:hAnsi="Arial" w:cs="Arial"/>
        </w:rPr>
        <w:t xml:space="preserve"> 24(2), pp. 13-28. Available at: https://pmc.ncbi.nlm.nih.gov/articles/PMC9790947/ (Accessed: 17 November 2025). </w:t>
      </w:r>
    </w:p>
    <w:p w14:paraId="136E403F"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Amaya, L., Marcatilli, J. and Bhavaraju, N. (2020) </w:t>
      </w:r>
      <w:r w:rsidRPr="006A55AD">
        <w:rPr>
          <w:rFonts w:ascii="Arial" w:hAnsi="Arial" w:cs="Arial"/>
          <w:i/>
          <w:iCs/>
        </w:rPr>
        <w:t xml:space="preserve">Advancing Gender Equity by Improving Menstrual Health. </w:t>
      </w:r>
      <w:r w:rsidRPr="006A55AD">
        <w:rPr>
          <w:rFonts w:ascii="Arial" w:hAnsi="Arial" w:cs="Arial"/>
        </w:rPr>
        <w:t>Available at: https://news.issuelab.org/resources/36554/36554.pdf (Accessed: 17 November 2025). </w:t>
      </w:r>
    </w:p>
    <w:p w14:paraId="07A36BB6"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Andrișan, G. and Modreanu, A. (2022) ‘Achieving Business Success in the Fourth Industrial Revolution: The Case of Procter &amp; Gamble’, </w:t>
      </w:r>
      <w:r w:rsidRPr="006A55AD">
        <w:rPr>
          <w:rFonts w:ascii="Arial" w:hAnsi="Arial" w:cs="Arial"/>
          <w:i/>
          <w:iCs/>
        </w:rPr>
        <w:t>Ovidius University Annals, Economic Sciences Series</w:t>
      </w:r>
      <w:r w:rsidRPr="006A55AD">
        <w:rPr>
          <w:rFonts w:ascii="Arial" w:hAnsi="Arial" w:cs="Arial"/>
        </w:rPr>
        <w:t>, 22(1), pp. 482-490. Available at: https://www.stec.univ-ovidius.ro/html/anale/RO/2022-2/Section%204/1.pdf (Accessed: 13 November 2025). </w:t>
      </w:r>
    </w:p>
    <w:p w14:paraId="2367C8C9"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Bagala, L., Mahon, T., Muralidharan, A. and Wilson, E. (2023) ‘There can be no gender equality without menstrual justice’, </w:t>
      </w:r>
      <w:r w:rsidRPr="006A55AD">
        <w:rPr>
          <w:rFonts w:ascii="Arial" w:hAnsi="Arial" w:cs="Arial"/>
          <w:i/>
          <w:iCs/>
        </w:rPr>
        <w:t>BMJ</w:t>
      </w:r>
      <w:r w:rsidRPr="006A55AD">
        <w:rPr>
          <w:rFonts w:ascii="Arial" w:hAnsi="Arial" w:cs="Arial"/>
        </w:rPr>
        <w:t>, 382. Available at: https://www.bmj.com/content/382/bmj.p2079 (Accessed: 14 November 2025). </w:t>
      </w:r>
    </w:p>
    <w:p w14:paraId="5F8E8C2D"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Bates, T.R. (1975) ‘Gramsci and the Theory of Hegemony’, </w:t>
      </w:r>
      <w:r w:rsidRPr="006A55AD">
        <w:rPr>
          <w:rFonts w:ascii="Arial" w:hAnsi="Arial" w:cs="Arial"/>
          <w:i/>
          <w:iCs/>
        </w:rPr>
        <w:t>Journal of the History of Ideas</w:t>
      </w:r>
      <w:r w:rsidRPr="006A55AD">
        <w:rPr>
          <w:rFonts w:ascii="Arial" w:hAnsi="Arial" w:cs="Arial"/>
        </w:rPr>
        <w:t>, 36(2), pp. 351-366. Available at: https://doi.org/10.2307/2708933 </w:t>
      </w:r>
    </w:p>
    <w:p w14:paraId="7AA48D49" w14:textId="2AA97D33" w:rsidR="006A55AD" w:rsidRPr="006A55AD" w:rsidRDefault="006A55AD" w:rsidP="006A55AD">
      <w:pPr>
        <w:spacing w:line="360" w:lineRule="auto"/>
        <w:ind w:hanging="284"/>
        <w:rPr>
          <w:rFonts w:ascii="Arial" w:hAnsi="Arial" w:cs="Arial"/>
        </w:rPr>
      </w:pPr>
      <w:r w:rsidRPr="006A55AD">
        <w:rPr>
          <w:rFonts w:ascii="Arial" w:hAnsi="Arial" w:cs="Arial"/>
        </w:rPr>
        <w:lastRenderedPageBreak/>
        <w:t xml:space="preserve">Beerling, R.F. (1955) ‘Power and Human Nature’, </w:t>
      </w:r>
      <w:r w:rsidRPr="006A55AD">
        <w:rPr>
          <w:rFonts w:ascii="Arial" w:hAnsi="Arial" w:cs="Arial"/>
          <w:i/>
          <w:iCs/>
        </w:rPr>
        <w:t>Philosophy and Phenomenological Research</w:t>
      </w:r>
      <w:r w:rsidRPr="006A55AD">
        <w:rPr>
          <w:rFonts w:ascii="Arial" w:hAnsi="Arial" w:cs="Arial"/>
        </w:rPr>
        <w:t xml:space="preserve">, 16(2), </w:t>
      </w:r>
      <w:r w:rsidR="00700E34">
        <w:rPr>
          <w:rFonts w:ascii="Arial" w:hAnsi="Arial" w:cs="Arial"/>
        </w:rPr>
        <w:t>pp</w:t>
      </w:r>
      <w:r w:rsidRPr="006A55AD">
        <w:rPr>
          <w:rFonts w:ascii="Arial" w:hAnsi="Arial" w:cs="Arial"/>
        </w:rPr>
        <w:t>. 214-222. Available at: https://doi.org/10.2307/2103774 </w:t>
      </w:r>
    </w:p>
    <w:p w14:paraId="15CD1BCA" w14:textId="77777777" w:rsidR="006A55AD" w:rsidRPr="006A55AD" w:rsidRDefault="006A55AD" w:rsidP="006A55AD">
      <w:pPr>
        <w:spacing w:line="360" w:lineRule="auto"/>
        <w:ind w:hanging="284"/>
        <w:rPr>
          <w:rFonts w:ascii="Arial" w:hAnsi="Arial" w:cs="Arial"/>
        </w:rPr>
      </w:pPr>
      <w:r w:rsidRPr="006A55AD">
        <w:rPr>
          <w:rFonts w:ascii="Arial" w:hAnsi="Arial" w:cs="Arial"/>
        </w:rPr>
        <w:t>Begeny, C.T., Grossman, R.C. and Ryan, M.K. (2022) ‘Overestimating women’s representation in medicine: a survey of medical professionals’ estimates and their(un)willingness to support gender equality initiatives’,</w:t>
      </w:r>
      <w:r w:rsidRPr="006A55AD">
        <w:rPr>
          <w:rFonts w:ascii="Arial" w:hAnsi="Arial" w:cs="Arial"/>
          <w:i/>
          <w:iCs/>
        </w:rPr>
        <w:t xml:space="preserve"> BMJ Open</w:t>
      </w:r>
      <w:r w:rsidRPr="006A55AD">
        <w:rPr>
          <w:rFonts w:ascii="Arial" w:hAnsi="Arial" w:cs="Arial"/>
        </w:rPr>
        <w:t>, 12(3). Available at: https://bmjopen.bmj.com/content/12/3/e054769.info (Accessed: 16 November 2025). </w:t>
      </w:r>
    </w:p>
    <w:p w14:paraId="78AFC801"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Bennethum, A. (2024) ‘Silent Cycles: Unveiling 19th-Century Perspectives on Menstruation, Women's Agency, and Societal Transformations’, </w:t>
      </w:r>
      <w:r w:rsidRPr="006A55AD">
        <w:rPr>
          <w:rFonts w:ascii="Arial" w:hAnsi="Arial" w:cs="Arial"/>
          <w:i/>
          <w:iCs/>
        </w:rPr>
        <w:t>Campus Research Day: Humanities</w:t>
      </w:r>
      <w:r w:rsidRPr="006A55AD">
        <w:rPr>
          <w:rFonts w:ascii="Arial" w:hAnsi="Arial" w:cs="Arial"/>
        </w:rPr>
        <w:t>, 4. Available at: https://knowledge.e.southern.edu/crd/2024/Humanities/4/ (Accessed: 12 November 2025). </w:t>
      </w:r>
    </w:p>
    <w:p w14:paraId="0A98D457"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Bierstedt, R. (1950) ‘An Analysis of Social Power’, </w:t>
      </w:r>
      <w:r w:rsidRPr="006A55AD">
        <w:rPr>
          <w:rFonts w:ascii="Arial" w:hAnsi="Arial" w:cs="Arial"/>
          <w:i/>
          <w:iCs/>
        </w:rPr>
        <w:t>American Sociological Review</w:t>
      </w:r>
      <w:r w:rsidRPr="006A55AD">
        <w:rPr>
          <w:rFonts w:ascii="Arial" w:hAnsi="Arial" w:cs="Arial"/>
        </w:rPr>
        <w:t>, 15(5), pp. 730-739. Available at: https://doi.org/10.2307/2086605 </w:t>
      </w:r>
    </w:p>
    <w:p w14:paraId="2416B864"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Bracken, R.C. (2023) ‘More than Merely "Two-legged Wombs": Lessons on Metaphor and Body Politics from Atwood's The Handmaiden's Tale (1985)’, </w:t>
      </w:r>
      <w:proofErr w:type="spellStart"/>
      <w:r w:rsidRPr="006A55AD">
        <w:rPr>
          <w:rFonts w:ascii="Arial" w:hAnsi="Arial" w:cs="Arial"/>
          <w:i/>
          <w:iCs/>
        </w:rPr>
        <w:t>ConLawNOW</w:t>
      </w:r>
      <w:proofErr w:type="spellEnd"/>
      <w:r w:rsidRPr="006A55AD">
        <w:rPr>
          <w:rFonts w:ascii="Arial" w:hAnsi="Arial" w:cs="Arial"/>
        </w:rPr>
        <w:t>, 15(1), pp. 115-131. Available at: https://ideaexchange.uakron.edu/conlawnow/vol15/iss1/7/ (Accessed: 16 November 2025). </w:t>
      </w:r>
    </w:p>
    <w:p w14:paraId="16ACA34E"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Chriss, J.J. (2022) </w:t>
      </w:r>
      <w:r w:rsidRPr="006A55AD">
        <w:rPr>
          <w:rFonts w:ascii="Arial" w:hAnsi="Arial" w:cs="Arial"/>
          <w:i/>
          <w:iCs/>
        </w:rPr>
        <w:t xml:space="preserve">Social Control. </w:t>
      </w:r>
      <w:r w:rsidRPr="006A55AD">
        <w:rPr>
          <w:rFonts w:ascii="Arial" w:hAnsi="Arial" w:cs="Arial"/>
        </w:rPr>
        <w:t>3rd edn. Polity Press. </w:t>
      </w:r>
    </w:p>
    <w:p w14:paraId="7801AC0B"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Christensen, G. (2023) ‘Three concepts of power: Foucault, Bourdieu, and Habermas’, </w:t>
      </w:r>
      <w:r w:rsidRPr="006A55AD">
        <w:rPr>
          <w:rFonts w:ascii="Arial" w:hAnsi="Arial" w:cs="Arial"/>
          <w:i/>
          <w:iCs/>
        </w:rPr>
        <w:t>Power and Education</w:t>
      </w:r>
      <w:r w:rsidRPr="006A55AD">
        <w:rPr>
          <w:rFonts w:ascii="Arial" w:hAnsi="Arial" w:cs="Arial"/>
        </w:rPr>
        <w:t>, 16(2), pp. 182-195. Available at: https://doi.org/10.1177/17577438231187129 </w:t>
      </w:r>
    </w:p>
    <w:p w14:paraId="7332117D" w14:textId="77777777" w:rsidR="006A55AD" w:rsidRPr="006A55AD" w:rsidRDefault="006A55AD" w:rsidP="006A55AD">
      <w:pPr>
        <w:spacing w:line="360" w:lineRule="auto"/>
        <w:ind w:hanging="284"/>
        <w:rPr>
          <w:rFonts w:ascii="Arial" w:hAnsi="Arial" w:cs="Arial"/>
        </w:rPr>
      </w:pPr>
      <w:r w:rsidRPr="006A55AD">
        <w:rPr>
          <w:rFonts w:ascii="Arial" w:hAnsi="Arial" w:cs="Arial"/>
        </w:rPr>
        <w:t>Cleghorn, E. (2022) Unwell Women: A Journey Through Medicine and Myth in a Man-Made World. 2nd edn. London: Weidenfeld and Nicolson.</w:t>
      </w:r>
    </w:p>
    <w:p w14:paraId="62D5CD09"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Davies, S.H., Langer, M.D., Klein, A., Gonzalez-Hernadez, G. and </w:t>
      </w:r>
      <w:proofErr w:type="spellStart"/>
      <w:r w:rsidRPr="006A55AD">
        <w:rPr>
          <w:rFonts w:ascii="Arial" w:hAnsi="Arial" w:cs="Arial"/>
        </w:rPr>
        <w:t>Downshen</w:t>
      </w:r>
      <w:proofErr w:type="spellEnd"/>
      <w:r w:rsidRPr="006A55AD">
        <w:rPr>
          <w:rFonts w:ascii="Arial" w:hAnsi="Arial" w:cs="Arial"/>
        </w:rPr>
        <w:t xml:space="preserve">, N. (2022) ‘Adolescent Perceptions of Menstruation on Twitter: Opportunities for Advocacy and Education’, </w:t>
      </w:r>
      <w:r w:rsidRPr="006A55AD">
        <w:rPr>
          <w:rFonts w:ascii="Arial" w:hAnsi="Arial" w:cs="Arial"/>
          <w:i/>
          <w:iCs/>
        </w:rPr>
        <w:t>Journal of Adolescent Health</w:t>
      </w:r>
      <w:r w:rsidRPr="006A55AD">
        <w:rPr>
          <w:rFonts w:ascii="Arial" w:hAnsi="Arial" w:cs="Arial"/>
        </w:rPr>
        <w:t>, 71(1), pp. 94-104. Available at: https://doi.org/10.1016/j.jadohealth.2022.01.224</w:t>
      </w:r>
    </w:p>
    <w:p w14:paraId="3F27D060" w14:textId="77777777" w:rsidR="006A55AD" w:rsidRPr="006A55AD" w:rsidRDefault="006A55AD" w:rsidP="006A55AD">
      <w:pPr>
        <w:spacing w:line="360" w:lineRule="auto"/>
        <w:ind w:hanging="284"/>
        <w:rPr>
          <w:rFonts w:ascii="Arial" w:hAnsi="Arial" w:cs="Arial"/>
        </w:rPr>
      </w:pPr>
      <w:r w:rsidRPr="006A55AD">
        <w:rPr>
          <w:rFonts w:ascii="Arial" w:hAnsi="Arial" w:cs="Arial"/>
        </w:rPr>
        <w:lastRenderedPageBreak/>
        <w:t xml:space="preserve">De Benedictis, S. (2022) ‘Periods of austerity: The emergence of ‘period poverty’ in the UK news media’, </w:t>
      </w:r>
      <w:r w:rsidRPr="006A55AD">
        <w:rPr>
          <w:rFonts w:ascii="Arial" w:hAnsi="Arial" w:cs="Arial"/>
          <w:i/>
          <w:iCs/>
        </w:rPr>
        <w:t>European Journal of Cultural Studies</w:t>
      </w:r>
      <w:r w:rsidRPr="006A55AD">
        <w:rPr>
          <w:rFonts w:ascii="Arial" w:hAnsi="Arial" w:cs="Arial"/>
        </w:rPr>
        <w:t>, 26(6), pp. 880-896. Available at: https://doi.org/10.1177/13675494221133131 </w:t>
      </w:r>
    </w:p>
    <w:p w14:paraId="7571C13F" w14:textId="77777777" w:rsidR="006A55AD" w:rsidRPr="006A55AD" w:rsidRDefault="006A55AD" w:rsidP="006A55AD">
      <w:pPr>
        <w:spacing w:line="360" w:lineRule="auto"/>
        <w:ind w:hanging="284"/>
        <w:rPr>
          <w:rFonts w:ascii="Arial" w:hAnsi="Arial" w:cs="Arial"/>
        </w:rPr>
      </w:pPr>
      <w:r w:rsidRPr="006A55AD">
        <w:rPr>
          <w:rFonts w:ascii="Arial" w:hAnsi="Arial" w:cs="Arial"/>
        </w:rPr>
        <w:t>Estyn (2021) Curriculum for Wales guidance and code for Relationships and Sexuality Education (RSE). Available at: https://www.estyn.gov.wales/system/files/2021-11/Curriculum%20for%20Wales%20guidance%20and%20code%20for%20Relationships%20and%20Sexuality%20Education%20%28RSE%29.pdf (Accessed: 19 November 2025).</w:t>
      </w:r>
    </w:p>
    <w:p w14:paraId="280F8DF1"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Fingerson, L. (2012) </w:t>
      </w:r>
      <w:r w:rsidRPr="006A55AD">
        <w:rPr>
          <w:rFonts w:ascii="Arial" w:hAnsi="Arial" w:cs="Arial"/>
          <w:i/>
          <w:iCs/>
        </w:rPr>
        <w:t>Girls in Power: Gender, Body, and Menstruation in Adolescence</w:t>
      </w:r>
      <w:r w:rsidRPr="006A55AD">
        <w:rPr>
          <w:rFonts w:ascii="Arial" w:hAnsi="Arial" w:cs="Arial"/>
        </w:rPr>
        <w:t>. State University of New York Press. </w:t>
      </w:r>
    </w:p>
    <w:p w14:paraId="77C51A5C"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Galanaki, E. and Malafantis, K.D. (2022) ‘Albert Bandura's experiments on aggression modeling in children: A psychoanalytic critique’, </w:t>
      </w:r>
      <w:r w:rsidRPr="006A55AD">
        <w:rPr>
          <w:rFonts w:ascii="Arial" w:hAnsi="Arial" w:cs="Arial"/>
          <w:i/>
          <w:iCs/>
        </w:rPr>
        <w:t>Frontiers in Psychology,</w:t>
      </w:r>
      <w:r w:rsidRPr="006A55AD">
        <w:rPr>
          <w:rFonts w:ascii="Arial" w:hAnsi="Arial" w:cs="Arial"/>
        </w:rPr>
        <w:t xml:space="preserve"> 13. Available at: https://doi.org/10.3389/fpsyg.2022.988877 </w:t>
      </w:r>
    </w:p>
    <w:p w14:paraId="5F912405"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Gao, Y., Wang, J., He, M., Jiang, R., Du, Y. and Chen, Q. (2025) ‘Menarche education and emotional preparedness: A cross-sectional survey study of Chinese adolescent girls’, </w:t>
      </w:r>
      <w:proofErr w:type="spellStart"/>
      <w:r w:rsidRPr="006A55AD">
        <w:rPr>
          <w:rFonts w:ascii="Arial" w:hAnsi="Arial" w:cs="Arial"/>
          <w:i/>
          <w:iCs/>
        </w:rPr>
        <w:t>Heliyon</w:t>
      </w:r>
      <w:proofErr w:type="spellEnd"/>
      <w:r w:rsidRPr="006A55AD">
        <w:rPr>
          <w:rFonts w:ascii="Arial" w:hAnsi="Arial" w:cs="Arial"/>
        </w:rPr>
        <w:t>, 11(4). Available at: https://www.cell.com/heliyon/fulltext/S2405-8440(25)01285-X (Accessed: 11 November 2025). </w:t>
      </w:r>
    </w:p>
    <w:p w14:paraId="5E1FC388"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Gomez, P.I., Pardo, Y.Y., Hernandez, H.P., Jimenez, S.P. and Pardo, J.C. (2012) ‘Menstruation in history’, </w:t>
      </w:r>
      <w:proofErr w:type="spellStart"/>
      <w:r w:rsidRPr="006A55AD">
        <w:rPr>
          <w:rFonts w:ascii="Arial" w:hAnsi="Arial" w:cs="Arial"/>
          <w:i/>
          <w:iCs/>
        </w:rPr>
        <w:t>Investigación</w:t>
      </w:r>
      <w:proofErr w:type="spellEnd"/>
      <w:r w:rsidRPr="006A55AD">
        <w:rPr>
          <w:rFonts w:ascii="Arial" w:hAnsi="Arial" w:cs="Arial"/>
          <w:i/>
          <w:iCs/>
        </w:rPr>
        <w:t xml:space="preserve"> y </w:t>
      </w:r>
      <w:proofErr w:type="spellStart"/>
      <w:r w:rsidRPr="006A55AD">
        <w:rPr>
          <w:rFonts w:ascii="Arial" w:hAnsi="Arial" w:cs="Arial"/>
          <w:i/>
          <w:iCs/>
        </w:rPr>
        <w:t>Educación</w:t>
      </w:r>
      <w:proofErr w:type="spellEnd"/>
      <w:r w:rsidRPr="006A55AD">
        <w:rPr>
          <w:rFonts w:ascii="Arial" w:hAnsi="Arial" w:cs="Arial"/>
          <w:i/>
          <w:iCs/>
        </w:rPr>
        <w:t xml:space="preserve"> en </w:t>
      </w:r>
      <w:proofErr w:type="spellStart"/>
      <w:r w:rsidRPr="006A55AD">
        <w:rPr>
          <w:rFonts w:ascii="Arial" w:hAnsi="Arial" w:cs="Arial"/>
          <w:i/>
          <w:iCs/>
        </w:rPr>
        <w:t>Enfermería</w:t>
      </w:r>
      <w:proofErr w:type="spellEnd"/>
      <w:r w:rsidRPr="006A55AD">
        <w:rPr>
          <w:rFonts w:ascii="Arial" w:hAnsi="Arial" w:cs="Arial"/>
        </w:rPr>
        <w:t>, 30(3). Available at: https://doi.org/10.17533/udea.iee.11459</w:t>
      </w:r>
    </w:p>
    <w:p w14:paraId="039D31F2" w14:textId="77777777" w:rsidR="006A55AD" w:rsidRPr="006A55AD" w:rsidRDefault="006A55AD" w:rsidP="006A55AD">
      <w:pPr>
        <w:spacing w:line="360" w:lineRule="auto"/>
        <w:ind w:hanging="284"/>
        <w:rPr>
          <w:rFonts w:ascii="Arial" w:hAnsi="Arial" w:cs="Arial"/>
        </w:rPr>
      </w:pPr>
      <w:r w:rsidRPr="006A55AD">
        <w:rPr>
          <w:rFonts w:ascii="Arial" w:hAnsi="Arial" w:cs="Arial"/>
        </w:rPr>
        <w:t>Graham, S. (2023) Rebel Bodies. Dublin: Green Tree.</w:t>
      </w:r>
    </w:p>
    <w:p w14:paraId="4091B5DB"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Greer, B., Maciolek, M., Williams, L., Idowu-Kunlere, T. and Bullough, A. (2024) ‘Menstrual Health and Women’s Leadership: Flex Co. Global Expansion by Entrepreneur, Lauren Schulte Wang’, </w:t>
      </w:r>
      <w:r w:rsidRPr="006A55AD">
        <w:rPr>
          <w:rFonts w:ascii="Arial" w:hAnsi="Arial" w:cs="Arial"/>
          <w:i/>
          <w:iCs/>
        </w:rPr>
        <w:t>Women’s Leadership Initiative, Lerner College of Business &amp; Economics, University of Delaware.</w:t>
      </w:r>
      <w:r w:rsidRPr="006A55AD">
        <w:rPr>
          <w:rFonts w:ascii="Arial" w:hAnsi="Arial" w:cs="Arial"/>
        </w:rPr>
        <w:t xml:space="preserve"> Available at: https://udspace.udel.edu/items/4b5a48bf-68d4-40a2-85d9-bdd77fe3546a (Accessed: 17 November 2025). </w:t>
      </w:r>
    </w:p>
    <w:p w14:paraId="30FA5B17"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Heilman, M.E., Caleo, S. and Manzi, F. (2024) ‘Women at Work: Pathways from Gender Stereotypes to Gender Bias and Discrimination’, </w:t>
      </w:r>
      <w:r w:rsidRPr="006A55AD">
        <w:rPr>
          <w:rFonts w:ascii="Arial" w:hAnsi="Arial" w:cs="Arial"/>
          <w:i/>
          <w:iCs/>
        </w:rPr>
        <w:t xml:space="preserve">Annual Review of Organizational </w:t>
      </w:r>
      <w:r w:rsidRPr="006A55AD">
        <w:rPr>
          <w:rFonts w:ascii="Arial" w:hAnsi="Arial" w:cs="Arial"/>
          <w:i/>
          <w:iCs/>
        </w:rPr>
        <w:lastRenderedPageBreak/>
        <w:t>Psychology and Organizational Behavior</w:t>
      </w:r>
      <w:r w:rsidRPr="006A55AD">
        <w:rPr>
          <w:rFonts w:ascii="Arial" w:hAnsi="Arial" w:cs="Arial"/>
        </w:rPr>
        <w:t>, 11, pp. 165-192. Available at: https://doi.org/10.1146/annurev-orgpsych-110721-034105 </w:t>
      </w:r>
    </w:p>
    <w:p w14:paraId="0F85549B" w14:textId="77777777" w:rsidR="006A55AD" w:rsidRPr="006A55AD" w:rsidRDefault="006A55AD" w:rsidP="006A55AD">
      <w:pPr>
        <w:spacing w:line="360" w:lineRule="auto"/>
        <w:ind w:hanging="284"/>
        <w:rPr>
          <w:rFonts w:ascii="Arial" w:hAnsi="Arial" w:cs="Arial"/>
        </w:rPr>
      </w:pPr>
      <w:r w:rsidRPr="006A55AD">
        <w:rPr>
          <w:rFonts w:ascii="Arial" w:hAnsi="Arial" w:cs="Arial"/>
        </w:rPr>
        <w:t>Herr, O. (2021) Inclusive menstrual health education is essential for equality. Available at: https://www.britishscienceassociation.org/blog/inclusive-menstrual-health-education-is-essential-for-equality (Accessed: 12 November 2025).</w:t>
      </w:r>
    </w:p>
    <w:p w14:paraId="090B6A38"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Holowka, E.M. (2022) ‘Mediating Pain: Navigating Endometriosis on Social Media’, </w:t>
      </w:r>
      <w:r w:rsidRPr="006A55AD">
        <w:rPr>
          <w:rFonts w:ascii="Arial" w:hAnsi="Arial" w:cs="Arial"/>
          <w:i/>
          <w:iCs/>
        </w:rPr>
        <w:t>Frontiers in Pain Research</w:t>
      </w:r>
      <w:r w:rsidRPr="006A55AD">
        <w:rPr>
          <w:rFonts w:ascii="Arial" w:hAnsi="Arial" w:cs="Arial"/>
        </w:rPr>
        <w:t>, 3. Available at: https://doi.org/10.3389/fpain.2022.889990 </w:t>
      </w:r>
    </w:p>
    <w:p w14:paraId="15F6AAC2"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In Kind Direct (2024) </w:t>
      </w:r>
      <w:r w:rsidRPr="006A55AD">
        <w:rPr>
          <w:rFonts w:ascii="Arial" w:hAnsi="Arial" w:cs="Arial"/>
          <w:i/>
          <w:iCs/>
        </w:rPr>
        <w:t>The State of Period Equality in the UK: Breaking Cycles of Exclusion</w:t>
      </w:r>
      <w:r w:rsidRPr="006A55AD">
        <w:rPr>
          <w:rFonts w:ascii="Arial" w:hAnsi="Arial" w:cs="Arial"/>
        </w:rPr>
        <w:t>. Available at: https://www.inkinddirect.org/wp-content/uploads/2024/02/The-State-of-Period-Equity-in-the-UK-Feb-2024.pdf (Accessed: 16 November 2025). </w:t>
      </w:r>
    </w:p>
    <w:p w14:paraId="330181BC"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Jansson, P. (2025) ‘The potential of soft power: commentary on “ the origins and evolution of soft power”’, </w:t>
      </w:r>
      <w:r w:rsidRPr="006A55AD">
        <w:rPr>
          <w:rFonts w:ascii="Arial" w:hAnsi="Arial" w:cs="Arial"/>
          <w:i/>
          <w:iCs/>
        </w:rPr>
        <w:t>Journal of Political Power</w:t>
      </w:r>
      <w:r w:rsidRPr="006A55AD">
        <w:rPr>
          <w:rFonts w:ascii="Arial" w:hAnsi="Arial" w:cs="Arial"/>
        </w:rPr>
        <w:t>, pp. 1-3. Available at: https://doi.org/10.1080/2158379X.2025.2583138 </w:t>
      </w:r>
    </w:p>
    <w:p w14:paraId="5BDAD80C"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Johnson, M.E. (2019) ‘Menstrual Justice’, </w:t>
      </w:r>
      <w:r w:rsidRPr="006A55AD">
        <w:rPr>
          <w:rFonts w:ascii="Arial" w:hAnsi="Arial" w:cs="Arial"/>
          <w:i/>
          <w:iCs/>
        </w:rPr>
        <w:t>UC Davis Law Review</w:t>
      </w:r>
      <w:r w:rsidRPr="006A55AD">
        <w:rPr>
          <w:rFonts w:ascii="Arial" w:hAnsi="Arial" w:cs="Arial"/>
        </w:rPr>
        <w:t>, 53(1), pp. 1-80. Available at: https://scholarworks.law.ubalt.edu/all_fac/1089/ (Accessed: 14 November 2025). </w:t>
      </w:r>
    </w:p>
    <w:p w14:paraId="759F1A86" w14:textId="77777777" w:rsidR="006A55AD" w:rsidRPr="006A55AD" w:rsidRDefault="006A55AD" w:rsidP="006A55AD">
      <w:pPr>
        <w:spacing w:line="360" w:lineRule="auto"/>
        <w:ind w:hanging="284"/>
        <w:rPr>
          <w:rFonts w:ascii="Arial" w:hAnsi="Arial" w:cs="Arial"/>
        </w:rPr>
      </w:pPr>
      <w:r w:rsidRPr="006A55AD">
        <w:rPr>
          <w:rFonts w:ascii="Arial" w:hAnsi="Arial" w:cs="Arial"/>
        </w:rPr>
        <w:t>Kaplan, L. (2022) ‘The overturn of Roe v. Wade: Reproductive health in the post-Roe era’,</w:t>
      </w:r>
      <w:r w:rsidRPr="006A55AD">
        <w:rPr>
          <w:rFonts w:ascii="Arial" w:hAnsi="Arial" w:cs="Arial"/>
          <w:i/>
          <w:iCs/>
        </w:rPr>
        <w:t xml:space="preserve"> The Nurse Practitioner,</w:t>
      </w:r>
      <w:r w:rsidRPr="006A55AD">
        <w:rPr>
          <w:rFonts w:ascii="Arial" w:hAnsi="Arial" w:cs="Arial"/>
        </w:rPr>
        <w:t xml:space="preserve"> 47(10), pp. 5-8. Available at: https://journals.lww.com/tnpj/citation/2022/10000/the_overturn_of_roe_v__wade__reproductive_health.2.aspx (Accessed: 18 November 2025). </w:t>
      </w:r>
    </w:p>
    <w:p w14:paraId="73C98289" w14:textId="77777777" w:rsidR="006A55AD" w:rsidRPr="006A55AD" w:rsidRDefault="006A55AD" w:rsidP="006A55AD">
      <w:pPr>
        <w:spacing w:line="360" w:lineRule="auto"/>
        <w:ind w:hanging="284"/>
        <w:rPr>
          <w:rFonts w:ascii="Arial" w:hAnsi="Arial" w:cs="Arial"/>
        </w:rPr>
      </w:pPr>
      <w:r w:rsidRPr="006A55AD">
        <w:rPr>
          <w:rFonts w:ascii="Arial" w:hAnsi="Arial" w:cs="Arial"/>
        </w:rPr>
        <w:t>Khorsand, P., Dada, S., Jung, L., Law, S., Patil, P., Wangari, M.C., Omrani, O.E. and van Daalen, K. (2023) ‘A planetary health perspective on menstruation: menstrual equity and climate action’, The Lancet Planetary Health, 7(5), pp. 347-349. Available at: https://www.thelancet.com/journals/lanplh/article/PIIS2542-5196(23)00081-5/fulltext (Accessed: 12 November 2025). </w:t>
      </w:r>
    </w:p>
    <w:p w14:paraId="14A1A55A"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King, S. (2024) ‘Why current menstrual policies do not work’, </w:t>
      </w:r>
      <w:r w:rsidRPr="006A55AD">
        <w:rPr>
          <w:rFonts w:ascii="Arial" w:hAnsi="Arial" w:cs="Arial"/>
          <w:i/>
          <w:iCs/>
        </w:rPr>
        <w:t>Nature Human Behaviour,</w:t>
      </w:r>
      <w:r w:rsidRPr="006A55AD">
        <w:rPr>
          <w:rFonts w:ascii="Arial" w:hAnsi="Arial" w:cs="Arial"/>
        </w:rPr>
        <w:t xml:space="preserve"> 8, pp. 2072-2073. Available at: https://doi.org/10.1038/s41562-024-01996-4 </w:t>
      </w:r>
    </w:p>
    <w:p w14:paraId="1851309C" w14:textId="77777777" w:rsidR="006A55AD" w:rsidRPr="006A55AD" w:rsidRDefault="006A55AD" w:rsidP="006A55AD">
      <w:pPr>
        <w:spacing w:line="360" w:lineRule="auto"/>
        <w:ind w:hanging="284"/>
        <w:rPr>
          <w:rFonts w:ascii="Arial" w:hAnsi="Arial" w:cs="Arial"/>
        </w:rPr>
      </w:pPr>
      <w:r w:rsidRPr="006A55AD">
        <w:rPr>
          <w:rFonts w:ascii="Arial" w:hAnsi="Arial" w:cs="Arial"/>
        </w:rPr>
        <w:lastRenderedPageBreak/>
        <w:t xml:space="preserve">Library of Congress (2025) </w:t>
      </w:r>
      <w:r w:rsidRPr="006A55AD">
        <w:rPr>
          <w:rFonts w:ascii="Arial" w:hAnsi="Arial" w:cs="Arial"/>
          <w:i/>
          <w:iCs/>
        </w:rPr>
        <w:t>H.R.3644 - Menstrual Equity For All Act of 2025.</w:t>
      </w:r>
      <w:r w:rsidRPr="006A55AD">
        <w:rPr>
          <w:rFonts w:ascii="Arial" w:hAnsi="Arial" w:cs="Arial"/>
        </w:rPr>
        <w:t xml:space="preserve"> Available at: https://www.congress.gov/bill/119th-congress/house-bill/3644/text/ih (Accessed: 16 November 2025). </w:t>
      </w:r>
    </w:p>
    <w:p w14:paraId="7DC28C03"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Metzler, J.M., </w:t>
      </w:r>
      <w:proofErr w:type="spellStart"/>
      <w:r w:rsidRPr="006A55AD">
        <w:rPr>
          <w:rFonts w:ascii="Arial" w:hAnsi="Arial" w:cs="Arial"/>
        </w:rPr>
        <w:t>Kalaitzopoulos</w:t>
      </w:r>
      <w:proofErr w:type="spellEnd"/>
      <w:r w:rsidRPr="006A55AD">
        <w:rPr>
          <w:rFonts w:ascii="Arial" w:hAnsi="Arial" w:cs="Arial"/>
        </w:rPr>
        <w:t xml:space="preserve">, D.R., Burla, L., Schaer, G. and </w:t>
      </w:r>
      <w:proofErr w:type="spellStart"/>
      <w:r w:rsidRPr="006A55AD">
        <w:rPr>
          <w:rFonts w:ascii="Arial" w:hAnsi="Arial" w:cs="Arial"/>
        </w:rPr>
        <w:t>Imesh</w:t>
      </w:r>
      <w:proofErr w:type="spellEnd"/>
      <w:r w:rsidRPr="006A55AD">
        <w:rPr>
          <w:rFonts w:ascii="Arial" w:hAnsi="Arial" w:cs="Arial"/>
        </w:rPr>
        <w:t xml:space="preserve">, P. (2022) ‘Examining the Influence on Perceptions of Endometriosis via Analysis of Social Media Posts: Cross-sectional Study’, </w:t>
      </w:r>
      <w:r w:rsidRPr="006A55AD">
        <w:rPr>
          <w:rFonts w:ascii="Arial" w:hAnsi="Arial" w:cs="Arial"/>
          <w:i/>
          <w:iCs/>
        </w:rPr>
        <w:t>JMIR Publications</w:t>
      </w:r>
      <w:r w:rsidRPr="006A55AD">
        <w:rPr>
          <w:rFonts w:ascii="Arial" w:hAnsi="Arial" w:cs="Arial"/>
        </w:rPr>
        <w:t>, 6(3). Available at: https://formative.jmir.org/2022/3/e31135 (Accessed: 16 November 2025). </w:t>
      </w:r>
    </w:p>
    <w:p w14:paraId="2B8249E6"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Mills, C.W. (1958) ‘The Structure of Power in American Society’, </w:t>
      </w:r>
      <w:r w:rsidRPr="006A55AD">
        <w:rPr>
          <w:rFonts w:ascii="Arial" w:hAnsi="Arial" w:cs="Arial"/>
          <w:i/>
          <w:iCs/>
        </w:rPr>
        <w:t>The British Journal of Sociology</w:t>
      </w:r>
      <w:r w:rsidRPr="006A55AD">
        <w:rPr>
          <w:rFonts w:ascii="Arial" w:hAnsi="Arial" w:cs="Arial"/>
        </w:rPr>
        <w:t>, 9(1), pp. 29-41. Available at: https://doi.org/10.2307/587620 </w:t>
      </w:r>
    </w:p>
    <w:p w14:paraId="4059CB4E"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Moss, R.E. (2022) ‘“Let Him Walk with You”: Telling Stories About Fifteenth-Century Men, and the Women they Left Behind’, </w:t>
      </w:r>
      <w:r w:rsidRPr="006A55AD">
        <w:rPr>
          <w:rFonts w:ascii="Arial" w:hAnsi="Arial" w:cs="Arial"/>
          <w:i/>
          <w:iCs/>
        </w:rPr>
        <w:t>Medieval Feminist Forum: A Journal of Gender and Sexuality</w:t>
      </w:r>
      <w:r w:rsidRPr="006A55AD">
        <w:rPr>
          <w:rFonts w:ascii="Arial" w:hAnsi="Arial" w:cs="Arial"/>
        </w:rPr>
        <w:t>, 58(1), pp. 128-145. Available at: https://scholarworks.wmich.edu/mff/vol58/iss1/9/?fbclid=IwAR3j4YO3ryb59tIj2WOyb2eXazo5rws6pJ9N-w9fxjMNnzR9T53kyZ9KOKY (Accessed: 17 November 2025). </w:t>
      </w:r>
    </w:p>
    <w:p w14:paraId="4FD94581"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NHS (2023) </w:t>
      </w:r>
      <w:r w:rsidRPr="006A55AD">
        <w:rPr>
          <w:rFonts w:ascii="Arial" w:hAnsi="Arial" w:cs="Arial"/>
          <w:i/>
          <w:iCs/>
        </w:rPr>
        <w:t>Toxic shock syndrome.</w:t>
      </w:r>
      <w:r w:rsidRPr="006A55AD">
        <w:rPr>
          <w:rFonts w:ascii="Arial" w:hAnsi="Arial" w:cs="Arial"/>
        </w:rPr>
        <w:t xml:space="preserve"> Available at: https://www.nhs.uk/conditions/toxic-shock-syndrome/ (Accessed: 16 November 2025). </w:t>
      </w:r>
    </w:p>
    <w:p w14:paraId="5D4C3B5B"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NHS Wales (2024) </w:t>
      </w:r>
      <w:r w:rsidRPr="006A55AD">
        <w:rPr>
          <w:rFonts w:ascii="Arial" w:hAnsi="Arial" w:cs="Arial"/>
          <w:i/>
          <w:iCs/>
        </w:rPr>
        <w:t>Women’s Health Plan for Wales.</w:t>
      </w:r>
      <w:r w:rsidRPr="006A55AD">
        <w:rPr>
          <w:rFonts w:ascii="Arial" w:hAnsi="Arial" w:cs="Arial"/>
        </w:rPr>
        <w:t xml:space="preserve"> Available at: https://www.nhs.wales/womens-health/womens-health-plan-for-wales/ (Accessed: 16 November 2025). </w:t>
      </w:r>
    </w:p>
    <w:p w14:paraId="508DF590"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Nye, J.S. (1990) ‘Soft Power’, </w:t>
      </w:r>
      <w:r w:rsidRPr="006A55AD">
        <w:rPr>
          <w:rFonts w:ascii="Arial" w:hAnsi="Arial" w:cs="Arial"/>
          <w:i/>
          <w:iCs/>
        </w:rPr>
        <w:t>Foreign Policy</w:t>
      </w:r>
      <w:r w:rsidRPr="006A55AD">
        <w:rPr>
          <w:rFonts w:ascii="Arial" w:hAnsi="Arial" w:cs="Arial"/>
        </w:rPr>
        <w:t>, 80, pp. 153-171. Available at: https://doi.org/10.1177/02673231241270994 </w:t>
      </w:r>
    </w:p>
    <w:p w14:paraId="7112778A"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Nye, J.S. (2023) </w:t>
      </w:r>
      <w:r w:rsidRPr="006A55AD">
        <w:rPr>
          <w:rFonts w:ascii="Arial" w:hAnsi="Arial" w:cs="Arial"/>
          <w:i/>
          <w:iCs/>
        </w:rPr>
        <w:t>Soft Power and Great-Power Competition: Shifting Sands in the Balance of Power Between the United States and China.</w:t>
      </w:r>
      <w:r w:rsidRPr="006A55AD">
        <w:rPr>
          <w:rFonts w:ascii="Arial" w:hAnsi="Arial" w:cs="Arial"/>
        </w:rPr>
        <w:t xml:space="preserve"> Springer Singapore. </w:t>
      </w:r>
    </w:p>
    <w:p w14:paraId="6C80EE5A"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Olson, M.M., Alhelou, N., Kavattur, P.S., Rountree, L. and Winkler, I.T. (2022) ‘The persistent power of stigma: A critical review of policy initiatives to break the menstrual silence and advance menstrual literacy’, </w:t>
      </w:r>
      <w:r w:rsidRPr="006A55AD">
        <w:rPr>
          <w:rFonts w:ascii="Arial" w:hAnsi="Arial" w:cs="Arial"/>
          <w:i/>
          <w:iCs/>
        </w:rPr>
        <w:t>PLoS Global Public Health</w:t>
      </w:r>
      <w:r w:rsidRPr="006A55AD">
        <w:rPr>
          <w:rFonts w:ascii="Arial" w:hAnsi="Arial" w:cs="Arial"/>
        </w:rPr>
        <w:t>. Available at: https://doi.org/10.1371/journal.pgph.0000070 </w:t>
      </w:r>
    </w:p>
    <w:p w14:paraId="2944F167"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Pallathadka, L.K., Pallathadka, H. and Devi, S.K. (2022) ‘A Review of Gender in the 21st Century: Fighting Dangerous Stereotypes’, </w:t>
      </w:r>
      <w:r w:rsidRPr="006A55AD">
        <w:rPr>
          <w:rFonts w:ascii="Arial" w:hAnsi="Arial" w:cs="Arial"/>
          <w:i/>
          <w:iCs/>
        </w:rPr>
        <w:t xml:space="preserve">Integrated Journal for Research in </w:t>
      </w:r>
      <w:r w:rsidRPr="006A55AD">
        <w:rPr>
          <w:rFonts w:ascii="Arial" w:hAnsi="Arial" w:cs="Arial"/>
          <w:i/>
          <w:iCs/>
        </w:rPr>
        <w:lastRenderedPageBreak/>
        <w:t>Arts and Humanities</w:t>
      </w:r>
      <w:r w:rsidRPr="006A55AD">
        <w:rPr>
          <w:rFonts w:ascii="Arial" w:hAnsi="Arial" w:cs="Arial"/>
        </w:rPr>
        <w:t>, 2(5), pp. 209-216. Available at: https://doi.org/10.55544/ijrah.2.5.32 </w:t>
      </w:r>
    </w:p>
    <w:p w14:paraId="54EDB5E3"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Parthasarathy, S. (2022) ‘How sanitary pads came to save the world: Knowing inclusive innovation through science and the marketplace’, </w:t>
      </w:r>
      <w:r w:rsidRPr="006A55AD">
        <w:rPr>
          <w:rFonts w:ascii="Arial" w:hAnsi="Arial" w:cs="Arial"/>
          <w:i/>
          <w:iCs/>
        </w:rPr>
        <w:t>Social Studies of Science</w:t>
      </w:r>
      <w:r w:rsidRPr="006A55AD">
        <w:rPr>
          <w:rFonts w:ascii="Arial" w:hAnsi="Arial" w:cs="Arial"/>
        </w:rPr>
        <w:t>, 52(5), pp. 637-663. Available at: https://doi.org/10.1177/03063127221122457 </w:t>
      </w:r>
    </w:p>
    <w:p w14:paraId="3E67AB85"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Pascoe, C. (2007) ‘Silence and the History of Menstruation’, </w:t>
      </w:r>
      <w:r w:rsidRPr="006A55AD">
        <w:rPr>
          <w:rFonts w:ascii="Arial" w:hAnsi="Arial" w:cs="Arial"/>
          <w:i/>
          <w:iCs/>
        </w:rPr>
        <w:t>The Oral History Association of Australia Journal</w:t>
      </w:r>
      <w:r w:rsidRPr="006A55AD">
        <w:rPr>
          <w:rFonts w:ascii="Arial" w:hAnsi="Arial" w:cs="Arial"/>
        </w:rPr>
        <w:t>, 29, pp. 28-33. Available at: https://search.informit.org/doi/pdf/10.3316/informit.106009641292055?download=true (Accessed: 16 November 2025). </w:t>
      </w:r>
    </w:p>
    <w:p w14:paraId="2A2BCFEE"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Procter &amp; Gamble (2025) </w:t>
      </w:r>
      <w:r w:rsidRPr="006A55AD">
        <w:rPr>
          <w:rFonts w:ascii="Arial" w:hAnsi="Arial" w:cs="Arial"/>
          <w:i/>
          <w:iCs/>
        </w:rPr>
        <w:t>P&amp;G purpose, values and principles.</w:t>
      </w:r>
      <w:r w:rsidRPr="006A55AD">
        <w:rPr>
          <w:rFonts w:ascii="Arial" w:hAnsi="Arial" w:cs="Arial"/>
        </w:rPr>
        <w:t xml:space="preserve"> Available at: https://us.pg.com/policies-and-practices/purpose-values-and-principles/ (Accessed: 18 November 2025). </w:t>
      </w:r>
    </w:p>
    <w:p w14:paraId="6DD4A34B"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Rawat, M., </w:t>
      </w:r>
      <w:proofErr w:type="spellStart"/>
      <w:r w:rsidRPr="006A55AD">
        <w:rPr>
          <w:rFonts w:ascii="Arial" w:hAnsi="Arial" w:cs="Arial"/>
        </w:rPr>
        <w:t>Novorita</w:t>
      </w:r>
      <w:proofErr w:type="spellEnd"/>
      <w:r w:rsidRPr="006A55AD">
        <w:rPr>
          <w:rFonts w:ascii="Arial" w:hAnsi="Arial" w:cs="Arial"/>
        </w:rPr>
        <w:t xml:space="preserve">, A., Frank, J., Burgett, S., Cromer, R., Ruple, A. and DeMaria, A.L. (2023) ‘“Sometimes I just forget them”: capturing experiences of women about free menstrual products in a U.S. based public university campus’, </w:t>
      </w:r>
      <w:r w:rsidRPr="006A55AD">
        <w:rPr>
          <w:rFonts w:ascii="Arial" w:hAnsi="Arial" w:cs="Arial"/>
          <w:i/>
          <w:iCs/>
        </w:rPr>
        <w:t>BMC Women’s Health</w:t>
      </w:r>
      <w:r w:rsidRPr="006A55AD">
        <w:rPr>
          <w:rFonts w:ascii="Arial" w:hAnsi="Arial" w:cs="Arial"/>
        </w:rPr>
        <w:t>, 23 (July) article 351. Available at: https://doi.org/10.1186/s12905-023-02457-2 </w:t>
      </w:r>
    </w:p>
    <w:p w14:paraId="1189592D"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Rhyne, M. (2019) </w:t>
      </w:r>
      <w:r w:rsidRPr="006A55AD">
        <w:rPr>
          <w:rFonts w:ascii="Arial" w:hAnsi="Arial" w:cs="Arial"/>
          <w:i/>
          <w:iCs/>
        </w:rPr>
        <w:t>Under His Eye: Gendered Power/Body Relationships in The Handmaid’s Tale.</w:t>
      </w:r>
      <w:r w:rsidRPr="006A55AD">
        <w:rPr>
          <w:rFonts w:ascii="Arial" w:hAnsi="Arial" w:cs="Arial"/>
        </w:rPr>
        <w:t xml:space="preserve"> Senior Paper. University of North Carolina. Available at: https://libres.uncg.edu/ir/unca/f/M_Rhyne_Body.pdf (Accessed: 14 November 2025). </w:t>
      </w:r>
    </w:p>
    <w:p w14:paraId="5D2EE099"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Rossouw, L. and Ross, H. (2021) ‘Understanding Period Poverty: Socio-Economic Inequalities in Menstrual Hygiene Management in Eight Low- and Middle-Income Countries’, </w:t>
      </w:r>
      <w:r w:rsidRPr="006A55AD">
        <w:rPr>
          <w:rFonts w:ascii="Arial" w:hAnsi="Arial" w:cs="Arial"/>
          <w:i/>
          <w:iCs/>
        </w:rPr>
        <w:t>International Journal of Environmental Research and Public Health</w:t>
      </w:r>
      <w:r w:rsidRPr="006A55AD">
        <w:rPr>
          <w:rFonts w:ascii="Arial" w:hAnsi="Arial" w:cs="Arial"/>
        </w:rPr>
        <w:t>, 18(5). Available at: https://doi.org/10.3390/ijerph18052571 </w:t>
      </w:r>
    </w:p>
    <w:p w14:paraId="6A6B31D5"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Røstvik, C.M. (2022) </w:t>
      </w:r>
      <w:r w:rsidRPr="006A55AD">
        <w:rPr>
          <w:rFonts w:ascii="Arial" w:hAnsi="Arial" w:cs="Arial"/>
          <w:i/>
          <w:iCs/>
        </w:rPr>
        <w:t>Cash Flow: The Business of Menstruation.</w:t>
      </w:r>
      <w:r w:rsidRPr="006A55AD">
        <w:rPr>
          <w:rFonts w:ascii="Arial" w:hAnsi="Arial" w:cs="Arial"/>
        </w:rPr>
        <w:t xml:space="preserve"> UCL Press. </w:t>
      </w:r>
    </w:p>
    <w:p w14:paraId="2D63B9EE"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Rowe, A. (2024) </w:t>
      </w:r>
      <w:r w:rsidRPr="006A55AD">
        <w:rPr>
          <w:rFonts w:ascii="Arial" w:hAnsi="Arial" w:cs="Arial"/>
          <w:i/>
          <w:iCs/>
        </w:rPr>
        <w:t>Period propaganda: The narrative of concealment and embarrassment in Proctor &amp; Gamble ads in Ireland.</w:t>
      </w:r>
      <w:r w:rsidRPr="006A55AD">
        <w:rPr>
          <w:rFonts w:ascii="Arial" w:hAnsi="Arial" w:cs="Arial"/>
        </w:rPr>
        <w:t xml:space="preserve"> Undergraduate dissertation. Institute of Art Design and Technology, Dun Laoghaire. Available at: https://illustro-iadt.figshare.com/articles/thesis/Period_propaganda_The_narrative_of_concealment</w:t>
      </w:r>
      <w:r w:rsidRPr="006A55AD">
        <w:rPr>
          <w:rFonts w:ascii="Arial" w:hAnsi="Arial" w:cs="Arial"/>
        </w:rPr>
        <w:lastRenderedPageBreak/>
        <w:t>_and_embarrassment_in_Proctor_Gamble_ads_in_Ireland/25206743?file=44510900 (Accessed: 13 November 2025). </w:t>
      </w:r>
    </w:p>
    <w:p w14:paraId="65E0BB79" w14:textId="77777777" w:rsidR="006A55AD" w:rsidRPr="006A55AD" w:rsidRDefault="006A55AD" w:rsidP="006A55AD">
      <w:pPr>
        <w:spacing w:line="360" w:lineRule="auto"/>
        <w:ind w:hanging="284"/>
        <w:rPr>
          <w:rFonts w:ascii="Arial" w:hAnsi="Arial" w:cs="Arial"/>
        </w:rPr>
      </w:pPr>
      <w:hyperlink r:id="rId10" w:history="1">
        <w:r w:rsidRPr="006A55AD">
          <w:rPr>
            <w:rStyle w:val="Hyperlink"/>
            <w:rFonts w:ascii="Arial" w:hAnsi="Arial" w:cs="Arial"/>
            <w:color w:val="auto"/>
            <w:u w:val="none"/>
          </w:rPr>
          <w:t>Sarıgöl</w:t>
        </w:r>
      </w:hyperlink>
      <w:r w:rsidRPr="006A55AD">
        <w:rPr>
          <w:rFonts w:ascii="Arial" w:hAnsi="Arial" w:cs="Arial"/>
        </w:rPr>
        <w:t xml:space="preserve">, P. (2022) ‘FOUCAULT, SEXUALITY AND BIOPOLITICS: A CONCEPTUAL ANALYSIS’, </w:t>
      </w:r>
      <w:hyperlink r:id="rId11" w:history="1">
        <w:r w:rsidRPr="006A55AD">
          <w:rPr>
            <w:rStyle w:val="Hyperlink"/>
            <w:rFonts w:ascii="Arial" w:hAnsi="Arial" w:cs="Arial"/>
            <w:i/>
            <w:iCs/>
            <w:color w:val="auto"/>
            <w:u w:val="none"/>
          </w:rPr>
          <w:t>Dokuz Eylul University The Journal of Graduate School of Social Sciences</w:t>
        </w:r>
      </w:hyperlink>
      <w:r w:rsidRPr="006A55AD">
        <w:rPr>
          <w:rFonts w:ascii="Arial" w:hAnsi="Arial" w:cs="Arial"/>
        </w:rPr>
        <w:t>, 24(1), pp. 245-259. Available at: https://doi.org/10.16953/deusosbil.1010762 </w:t>
      </w:r>
    </w:p>
    <w:p w14:paraId="7984ECE4" w14:textId="2773C404" w:rsidR="006A55AD" w:rsidRPr="006A55AD" w:rsidRDefault="006A55AD" w:rsidP="006A55AD">
      <w:pPr>
        <w:spacing w:line="360" w:lineRule="auto"/>
        <w:ind w:hanging="284"/>
        <w:rPr>
          <w:rFonts w:ascii="Arial" w:hAnsi="Arial" w:cs="Arial"/>
        </w:rPr>
      </w:pPr>
      <w:r w:rsidRPr="006A55AD">
        <w:rPr>
          <w:rFonts w:ascii="Arial" w:hAnsi="Arial" w:cs="Arial"/>
        </w:rPr>
        <w:t>Scottish Government (2021) Women’s Health Plan: A plan for 2021-2024. Available at: https://www.gov.scot/publications/womens-health-plan/documents/ (Accessed:</w:t>
      </w:r>
      <w:r w:rsidR="00841FB0">
        <w:rPr>
          <w:rFonts w:ascii="Arial" w:hAnsi="Arial" w:cs="Arial"/>
        </w:rPr>
        <w:t xml:space="preserve"> </w:t>
      </w:r>
      <w:r w:rsidRPr="006A55AD">
        <w:rPr>
          <w:rFonts w:ascii="Arial" w:hAnsi="Arial" w:cs="Arial"/>
        </w:rPr>
        <w:t>12 November 2025). </w:t>
      </w:r>
    </w:p>
    <w:p w14:paraId="7B80E228"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Sommer, M., Hirsch, J.S., Nathanson, C. and Parker, R.G. (2015) ‘Comfortably, Safely, and Without Shame: Defining Menstrual Hygiene Management as a Public Health Issue’, </w:t>
      </w:r>
      <w:r w:rsidRPr="006A55AD">
        <w:rPr>
          <w:rFonts w:ascii="Arial" w:hAnsi="Arial" w:cs="Arial"/>
          <w:i/>
          <w:iCs/>
        </w:rPr>
        <w:t>American Journal of Public Health Association</w:t>
      </w:r>
      <w:r w:rsidRPr="006A55AD">
        <w:rPr>
          <w:rFonts w:ascii="Arial" w:hAnsi="Arial" w:cs="Arial"/>
        </w:rPr>
        <w:t>, 105(7), pp. 1302-1311. Available at: https://doi.org/10.2105/AJPH.2014.302525 </w:t>
      </w:r>
    </w:p>
    <w:p w14:paraId="1A711823"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South Carolina General Assembly (2025) </w:t>
      </w:r>
      <w:r w:rsidRPr="006A55AD">
        <w:rPr>
          <w:rFonts w:ascii="Arial" w:hAnsi="Arial" w:cs="Arial"/>
          <w:i/>
          <w:iCs/>
        </w:rPr>
        <w:t>Bill 323: Unborn Child Protection Act</w:t>
      </w:r>
      <w:r w:rsidRPr="006A55AD">
        <w:rPr>
          <w:rFonts w:ascii="Arial" w:hAnsi="Arial" w:cs="Arial"/>
        </w:rPr>
        <w:t>. Available at: https://www.scstatehouse.gov/sess126_2025-2026/bills/323.htm (Accessed: 17 November 2025). </w:t>
      </w:r>
    </w:p>
    <w:p w14:paraId="7FB7B713"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Tobore, T.O. (2023) ‘On power and its corrupting effects: the effects of power on human behavior and the limits of accountability systems’, </w:t>
      </w:r>
      <w:r w:rsidRPr="006A55AD">
        <w:rPr>
          <w:rFonts w:ascii="Arial" w:hAnsi="Arial" w:cs="Arial"/>
          <w:i/>
          <w:iCs/>
        </w:rPr>
        <w:t>Communicative &amp; Integrative Biology</w:t>
      </w:r>
      <w:r w:rsidRPr="006A55AD">
        <w:rPr>
          <w:rFonts w:ascii="Arial" w:hAnsi="Arial" w:cs="Arial"/>
        </w:rPr>
        <w:t>, 16(1). Available at: https://doi.org/10.1080/19420889.2023.2246793 </w:t>
      </w:r>
    </w:p>
    <w:p w14:paraId="45F7553B" w14:textId="77777777" w:rsidR="006A55AD" w:rsidRPr="006A55AD" w:rsidRDefault="006A55AD" w:rsidP="006A55AD">
      <w:pPr>
        <w:spacing w:line="360" w:lineRule="auto"/>
        <w:ind w:hanging="284"/>
        <w:rPr>
          <w:rFonts w:ascii="Arial" w:hAnsi="Arial" w:cs="Arial"/>
        </w:rPr>
      </w:pPr>
      <w:r w:rsidRPr="006A55AD">
        <w:rPr>
          <w:rFonts w:ascii="Arial" w:hAnsi="Arial" w:cs="Arial"/>
        </w:rPr>
        <w:t>Tomaz, T. (2024) ‘Media ownership and control in Europe: A multidimensional approach’,</w:t>
      </w:r>
      <w:r w:rsidRPr="006A55AD">
        <w:rPr>
          <w:rFonts w:ascii="Arial" w:hAnsi="Arial" w:cs="Arial"/>
          <w:i/>
          <w:iCs/>
        </w:rPr>
        <w:t xml:space="preserve"> European Journal of Communication</w:t>
      </w:r>
      <w:r w:rsidRPr="006A55AD">
        <w:rPr>
          <w:rFonts w:ascii="Arial" w:hAnsi="Arial" w:cs="Arial"/>
        </w:rPr>
        <w:t>, 39(5), pp. 498-511. Available at: https://doi.org/10.1177/02673231241270994</w:t>
      </w:r>
    </w:p>
    <w:p w14:paraId="3C8D7FB1"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Tomlinson, M.K. (2021) ‘Moody and monstrous menstruators: the Semiotics of the menstrual meme on social media’, </w:t>
      </w:r>
      <w:r w:rsidRPr="006A55AD">
        <w:rPr>
          <w:rFonts w:ascii="Arial" w:hAnsi="Arial" w:cs="Arial"/>
          <w:i/>
          <w:iCs/>
        </w:rPr>
        <w:t>Social Semiotics</w:t>
      </w:r>
      <w:r w:rsidRPr="006A55AD">
        <w:rPr>
          <w:rFonts w:ascii="Arial" w:hAnsi="Arial" w:cs="Arial"/>
        </w:rPr>
        <w:t>, 31(3), pp. 421-439. Available at: https://doi.org/10.1080/10350330.2021.1930858 </w:t>
      </w:r>
    </w:p>
    <w:p w14:paraId="1B68792D"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Tomlinson, M.K. (2024) ‘The Demands of the Menstrual Movement: Stigma, Misinformation, and Social Inequalities’, in </w:t>
      </w:r>
      <w:r w:rsidRPr="006A55AD">
        <w:rPr>
          <w:rFonts w:ascii="Arial" w:hAnsi="Arial" w:cs="Arial"/>
          <w:i/>
          <w:iCs/>
        </w:rPr>
        <w:t>The Menstrual Movement in the Media. Palgrave Studies in Communication for Social Change</w:t>
      </w:r>
      <w:r w:rsidRPr="006A55AD">
        <w:rPr>
          <w:rFonts w:ascii="Arial" w:hAnsi="Arial" w:cs="Arial"/>
        </w:rPr>
        <w:t>. Palgrave Macmillan, Cham, pp. 69-113. </w:t>
      </w:r>
    </w:p>
    <w:p w14:paraId="11FD7EF4" w14:textId="77777777" w:rsidR="006A55AD" w:rsidRPr="006A55AD" w:rsidRDefault="006A55AD" w:rsidP="006A55AD">
      <w:pPr>
        <w:spacing w:line="360" w:lineRule="auto"/>
        <w:ind w:hanging="284"/>
        <w:rPr>
          <w:rFonts w:ascii="Arial" w:hAnsi="Arial" w:cs="Arial"/>
        </w:rPr>
      </w:pPr>
      <w:r w:rsidRPr="006A55AD">
        <w:rPr>
          <w:rFonts w:ascii="Arial" w:hAnsi="Arial" w:cs="Arial"/>
        </w:rPr>
        <w:lastRenderedPageBreak/>
        <w:t xml:space="preserve">UN Women (2025) </w:t>
      </w:r>
      <w:r w:rsidRPr="006A55AD">
        <w:rPr>
          <w:rFonts w:ascii="Arial" w:hAnsi="Arial" w:cs="Arial"/>
          <w:i/>
          <w:iCs/>
        </w:rPr>
        <w:t xml:space="preserve">Period Poverty – why millions of girls and women cannot afford their periods. </w:t>
      </w:r>
      <w:r w:rsidRPr="006A55AD">
        <w:rPr>
          <w:rFonts w:ascii="Arial" w:hAnsi="Arial" w:cs="Arial"/>
        </w:rPr>
        <w:t>Available at: https://www.unwomen.org/en/articles/explainer/period-poverty-why-millions-of-girls-and-women-cannot-afford-their-periods (Accessed: 20 November 2025). </w:t>
      </w:r>
    </w:p>
    <w:p w14:paraId="44FC14AE"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Vostral, S. (2025) ‘Tampons, technology, and toxic shock syndrome: From consumer to patient to informant’, in R. Elder and T. Schlich (eds) </w:t>
      </w:r>
      <w:r w:rsidRPr="006A55AD">
        <w:rPr>
          <w:rFonts w:ascii="Arial" w:hAnsi="Arial" w:cs="Arial"/>
          <w:i/>
          <w:iCs/>
        </w:rPr>
        <w:t>Technology, health, and the patient consumer in the twentieth century.</w:t>
      </w:r>
      <w:r w:rsidRPr="006A55AD">
        <w:rPr>
          <w:rFonts w:ascii="Arial" w:hAnsi="Arial" w:cs="Arial"/>
        </w:rPr>
        <w:t xml:space="preserve"> Manchester University Press. pp. 111-136. Available at: https://doi.org/10.7765/9781526171153.00012 </w:t>
      </w:r>
    </w:p>
    <w:p w14:paraId="15B24057" w14:textId="77777777" w:rsidR="006A55AD" w:rsidRPr="006A55AD" w:rsidRDefault="006A55AD" w:rsidP="006A55AD">
      <w:pPr>
        <w:spacing w:line="360" w:lineRule="auto"/>
        <w:ind w:hanging="284"/>
        <w:rPr>
          <w:rFonts w:ascii="Arial" w:hAnsi="Arial" w:cs="Arial"/>
        </w:rPr>
      </w:pPr>
      <w:r w:rsidRPr="006A55AD">
        <w:rPr>
          <w:rFonts w:ascii="Arial" w:hAnsi="Arial" w:cs="Arial"/>
        </w:rPr>
        <w:t>Welsh Government (2022a) Developing a vision for curriculum design. Available at: https://hwb.gov.wales/curriculum-for-wales/designing-your-curriculum/developing-a-vision-for-curriculum-design/ (Accessed: 18 November 2025).</w:t>
      </w:r>
    </w:p>
    <w:p w14:paraId="725AF702" w14:textId="77777777" w:rsidR="006A55AD" w:rsidRPr="006A55AD" w:rsidRDefault="006A55AD" w:rsidP="006A55AD">
      <w:pPr>
        <w:spacing w:line="360" w:lineRule="auto"/>
        <w:ind w:hanging="284"/>
        <w:rPr>
          <w:rFonts w:ascii="Arial" w:hAnsi="Arial" w:cs="Arial"/>
        </w:rPr>
      </w:pPr>
      <w:r w:rsidRPr="006A55AD">
        <w:rPr>
          <w:rFonts w:ascii="Arial" w:hAnsi="Arial" w:cs="Arial"/>
        </w:rPr>
        <w:t>Welsh Government (2022b) Health and Well-being: Statement of what matters. Available at: https://hwb.gov.wales/curriculum-for-wales/health-and-well-being/statements-of-what-matters/ (Accessed: 18 November 2025).</w:t>
      </w:r>
    </w:p>
    <w:p w14:paraId="26C30AC7" w14:textId="1F338A86" w:rsidR="006A55AD" w:rsidRPr="006A55AD" w:rsidRDefault="006A55AD" w:rsidP="006A55AD">
      <w:pPr>
        <w:spacing w:line="360" w:lineRule="auto"/>
        <w:ind w:hanging="284"/>
        <w:rPr>
          <w:rFonts w:ascii="Arial" w:hAnsi="Arial" w:cs="Arial"/>
        </w:rPr>
      </w:pPr>
      <w:r w:rsidRPr="006A55AD">
        <w:rPr>
          <w:rFonts w:ascii="Arial" w:hAnsi="Arial" w:cs="Arial"/>
        </w:rPr>
        <w:t>Welsh Government (2024) Introduction to Curriculum for Wales guidance. Available at: https://hwb.gov.wales/curriculum-for-wales/introduction-to-curriculum-for-wales-guidance/ (Accessed: 19 November 2025).</w:t>
      </w:r>
    </w:p>
    <w:p w14:paraId="2381424C" w14:textId="77777777" w:rsidR="006A55AD" w:rsidRPr="006A55AD" w:rsidRDefault="006A55AD" w:rsidP="006A55AD">
      <w:pPr>
        <w:spacing w:line="360" w:lineRule="auto"/>
        <w:ind w:hanging="284"/>
        <w:rPr>
          <w:rFonts w:ascii="Arial" w:hAnsi="Arial" w:cs="Arial"/>
        </w:rPr>
      </w:pPr>
      <w:r w:rsidRPr="006A55AD">
        <w:rPr>
          <w:rFonts w:ascii="Arial" w:hAnsi="Arial" w:cs="Arial"/>
        </w:rPr>
        <w:t xml:space="preserve">Werner, M.D., Punzi, M.C. and Turkenburg, A.J.K. (2023) ‘Period Power: Organizational Stigma, Multimodality, and Social Entrepreneurship in the Menstrual Products Industry’, </w:t>
      </w:r>
      <w:r w:rsidRPr="006A55AD">
        <w:rPr>
          <w:rFonts w:ascii="Arial" w:hAnsi="Arial" w:cs="Arial"/>
          <w:i/>
          <w:iCs/>
        </w:rPr>
        <w:t xml:space="preserve">Journal of Management Studies, </w:t>
      </w:r>
      <w:r w:rsidRPr="006A55AD">
        <w:rPr>
          <w:rFonts w:ascii="Arial" w:hAnsi="Arial" w:cs="Arial"/>
        </w:rPr>
        <w:t>61(5), pp. 2137-2180. Available at: https://doi.org/10.1111/joms.12974 </w:t>
      </w:r>
    </w:p>
    <w:p w14:paraId="38FEA8F5" w14:textId="77777777" w:rsidR="006A55AD" w:rsidRPr="00DB4443" w:rsidRDefault="006A55AD" w:rsidP="00DB4443">
      <w:pPr>
        <w:spacing w:line="360" w:lineRule="auto"/>
        <w:jc w:val="both"/>
        <w:rPr>
          <w:rFonts w:ascii="Arial" w:hAnsi="Arial" w:cs="Arial"/>
        </w:rPr>
      </w:pPr>
    </w:p>
    <w:p w14:paraId="5A04BDFB" w14:textId="77777777" w:rsidR="00BA15BA" w:rsidRDefault="00BA15BA" w:rsidP="00DB4443">
      <w:pPr>
        <w:jc w:val="both"/>
        <w:rPr>
          <w:rFonts w:ascii="Calibri" w:hAnsi="Calibri" w:cs="Calibri"/>
          <w:sz w:val="22"/>
          <w:szCs w:val="22"/>
        </w:rPr>
      </w:pPr>
    </w:p>
    <w:p w14:paraId="2D11780A" w14:textId="77777777" w:rsidR="00BA15BA" w:rsidRDefault="00BA15BA" w:rsidP="005779FF">
      <w:pPr>
        <w:rPr>
          <w:rFonts w:ascii="Calibri" w:hAnsi="Calibri" w:cs="Calibri"/>
          <w:sz w:val="22"/>
          <w:szCs w:val="22"/>
        </w:rPr>
      </w:pPr>
    </w:p>
    <w:p w14:paraId="5E56B499" w14:textId="77777777" w:rsidR="00BA15BA" w:rsidRDefault="00BA15BA" w:rsidP="005779FF">
      <w:pPr>
        <w:rPr>
          <w:rFonts w:ascii="Calibri" w:hAnsi="Calibri" w:cs="Calibri"/>
          <w:sz w:val="22"/>
          <w:szCs w:val="22"/>
        </w:rPr>
      </w:pPr>
    </w:p>
    <w:p w14:paraId="33E082F8" w14:textId="77777777" w:rsidR="00151E95" w:rsidRDefault="00151E95" w:rsidP="005779FF">
      <w:pPr>
        <w:rPr>
          <w:rFonts w:ascii="Calibri" w:hAnsi="Calibri" w:cs="Calibri"/>
          <w:color w:val="00B050"/>
          <w:sz w:val="22"/>
          <w:szCs w:val="22"/>
        </w:rPr>
      </w:pPr>
    </w:p>
    <w:p w14:paraId="6D41A851" w14:textId="11C462A5" w:rsidR="00151E95" w:rsidRPr="005779FF" w:rsidRDefault="00151E95" w:rsidP="005779FF">
      <w:pPr>
        <w:rPr>
          <w:rFonts w:ascii="Calibri" w:hAnsi="Calibri" w:cs="Calibri"/>
          <w:color w:val="00B050"/>
          <w:sz w:val="22"/>
          <w:szCs w:val="22"/>
        </w:rPr>
      </w:pPr>
    </w:p>
    <w:sectPr w:rsidR="00151E95" w:rsidRPr="005779FF">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B3E228" w14:textId="77777777" w:rsidR="00C54B2B" w:rsidRDefault="00C54B2B" w:rsidP="00DB4443">
      <w:pPr>
        <w:spacing w:after="0" w:line="240" w:lineRule="auto"/>
      </w:pPr>
      <w:r>
        <w:separator/>
      </w:r>
    </w:p>
  </w:endnote>
  <w:endnote w:type="continuationSeparator" w:id="0">
    <w:p w14:paraId="05471C91" w14:textId="77777777" w:rsidR="00C54B2B" w:rsidRDefault="00C54B2B" w:rsidP="00DB4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758760"/>
      <w:docPartObj>
        <w:docPartGallery w:val="Page Numbers (Bottom of Page)"/>
        <w:docPartUnique/>
      </w:docPartObj>
    </w:sdtPr>
    <w:sdtEndPr>
      <w:rPr>
        <w:noProof/>
      </w:rPr>
    </w:sdtEndPr>
    <w:sdtContent>
      <w:p w14:paraId="783B5D51" w14:textId="253857E6" w:rsidR="00DB4443" w:rsidRDefault="00DB4443">
        <w:pPr>
          <w:pStyle w:val="Footer"/>
          <w:jc w:val="right"/>
        </w:pPr>
        <w:r w:rsidRPr="00DB4443">
          <w:rPr>
            <w:rFonts w:ascii="Arial" w:hAnsi="Arial" w:cs="Arial"/>
          </w:rPr>
          <w:fldChar w:fldCharType="begin"/>
        </w:r>
        <w:r w:rsidRPr="00DB4443">
          <w:rPr>
            <w:rFonts w:ascii="Arial" w:hAnsi="Arial" w:cs="Arial"/>
          </w:rPr>
          <w:instrText xml:space="preserve"> PAGE   \* MERGEFORMAT </w:instrText>
        </w:r>
        <w:r w:rsidRPr="00DB4443">
          <w:rPr>
            <w:rFonts w:ascii="Arial" w:hAnsi="Arial" w:cs="Arial"/>
          </w:rPr>
          <w:fldChar w:fldCharType="separate"/>
        </w:r>
        <w:r w:rsidRPr="00DB4443">
          <w:rPr>
            <w:rFonts w:ascii="Arial" w:hAnsi="Arial" w:cs="Arial"/>
            <w:noProof/>
          </w:rPr>
          <w:t>2</w:t>
        </w:r>
        <w:r w:rsidRPr="00DB4443">
          <w:rPr>
            <w:rFonts w:ascii="Arial" w:hAnsi="Arial" w:cs="Arial"/>
            <w:noProof/>
          </w:rPr>
          <w:fldChar w:fldCharType="end"/>
        </w:r>
      </w:p>
    </w:sdtContent>
  </w:sdt>
  <w:p w14:paraId="05B66647" w14:textId="77777777" w:rsidR="00DB4443" w:rsidRDefault="00DB44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AB4CF4" w14:textId="77777777" w:rsidR="00C54B2B" w:rsidRDefault="00C54B2B" w:rsidP="00DB4443">
      <w:pPr>
        <w:spacing w:after="0" w:line="240" w:lineRule="auto"/>
      </w:pPr>
      <w:r>
        <w:separator/>
      </w:r>
    </w:p>
  </w:footnote>
  <w:footnote w:type="continuationSeparator" w:id="0">
    <w:p w14:paraId="7DE0229A" w14:textId="77777777" w:rsidR="00C54B2B" w:rsidRDefault="00C54B2B" w:rsidP="00DB44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DA968B" w14:textId="1E2872A4" w:rsidR="00DB4443" w:rsidRPr="008C361F" w:rsidRDefault="00DB4443">
    <w:pPr>
      <w:pStyle w:val="Header"/>
      <w:rPr>
        <w:rFonts w:ascii="Arial" w:hAnsi="Arial" w:cs="Arial"/>
      </w:rPr>
    </w:pPr>
    <w:r w:rsidRPr="008C361F">
      <w:rPr>
        <w:rFonts w:ascii="Arial" w:hAnsi="Arial" w:cs="Arial"/>
      </w:rPr>
      <w:t>2200299</w:t>
    </w:r>
    <w:r w:rsidRPr="008C361F">
      <w:rPr>
        <w:rFonts w:ascii="Arial" w:hAnsi="Arial" w:cs="Arial"/>
      </w:rPr>
      <w:ptab w:relativeTo="margin" w:alignment="center" w:leader="none"/>
    </w:r>
    <w:r w:rsidR="00A9660F" w:rsidRPr="008C361F">
      <w:rPr>
        <w:rFonts w:ascii="Calibri" w:hAnsi="Calibri" w:cs="Calibri"/>
        <w:sz w:val="22"/>
        <w:szCs w:val="22"/>
      </w:rPr>
      <w:t xml:space="preserve"> </w:t>
    </w:r>
    <w:r w:rsidR="00A9660F" w:rsidRPr="008C361F">
      <w:rPr>
        <w:rFonts w:ascii="Arial" w:hAnsi="Arial" w:cs="Arial"/>
      </w:rPr>
      <w:t>ECED7009</w:t>
    </w:r>
    <w:r w:rsidRPr="008C361F">
      <w:rPr>
        <w:rFonts w:ascii="Arial" w:hAnsi="Arial" w:cs="Arial"/>
      </w:rPr>
      <w:ptab w:relativeTo="margin" w:alignment="right" w:leader="none"/>
    </w:r>
    <w:r w:rsidR="008C361F" w:rsidRPr="008C361F">
      <w:rPr>
        <w:rFonts w:ascii="Arial" w:hAnsi="Arial" w:cs="Arial"/>
      </w:rPr>
      <w:t>3,8</w:t>
    </w:r>
    <w:r w:rsidR="00A30818">
      <w:rPr>
        <w:rFonts w:ascii="Arial" w:hAnsi="Arial" w:cs="Arial"/>
      </w:rPr>
      <w:t>78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B17952"/>
    <w:multiLevelType w:val="hybridMultilevel"/>
    <w:tmpl w:val="80083F50"/>
    <w:lvl w:ilvl="0" w:tplc="64488D9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B33274"/>
    <w:multiLevelType w:val="hybridMultilevel"/>
    <w:tmpl w:val="E190FFF2"/>
    <w:lvl w:ilvl="0" w:tplc="BA62F3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A20469"/>
    <w:multiLevelType w:val="hybridMultilevel"/>
    <w:tmpl w:val="30A23CBC"/>
    <w:lvl w:ilvl="0" w:tplc="AD4E003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D35CFA"/>
    <w:multiLevelType w:val="hybridMultilevel"/>
    <w:tmpl w:val="BDCE262C"/>
    <w:lvl w:ilvl="0" w:tplc="123CE4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27531F"/>
    <w:multiLevelType w:val="hybridMultilevel"/>
    <w:tmpl w:val="C4B27D88"/>
    <w:lvl w:ilvl="0" w:tplc="5C1861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8C2A19"/>
    <w:multiLevelType w:val="hybridMultilevel"/>
    <w:tmpl w:val="9F8403CA"/>
    <w:lvl w:ilvl="0" w:tplc="09AA013C">
      <w:numFmt w:val="bullet"/>
      <w:lvlText w:val=""/>
      <w:lvlJc w:val="left"/>
      <w:pPr>
        <w:ind w:left="720" w:hanging="360"/>
      </w:pPr>
      <w:rPr>
        <w:rFonts w:ascii="Wingdings" w:eastAsiaTheme="minorHAnsi" w:hAnsi="Wingdings" w:cs="Calibri" w:hint="default"/>
        <w:color w:val="00B05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B0246AF"/>
    <w:multiLevelType w:val="hybridMultilevel"/>
    <w:tmpl w:val="28FA7F12"/>
    <w:lvl w:ilvl="0" w:tplc="D0222A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0E607A"/>
    <w:multiLevelType w:val="hybridMultilevel"/>
    <w:tmpl w:val="00147DFA"/>
    <w:lvl w:ilvl="0" w:tplc="EF761A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242C43"/>
    <w:multiLevelType w:val="hybridMultilevel"/>
    <w:tmpl w:val="2E5E21D0"/>
    <w:lvl w:ilvl="0" w:tplc="0F0484E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94386F"/>
    <w:multiLevelType w:val="hybridMultilevel"/>
    <w:tmpl w:val="F57A0F62"/>
    <w:lvl w:ilvl="0" w:tplc="38AEDE0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65660B"/>
    <w:multiLevelType w:val="hybridMultilevel"/>
    <w:tmpl w:val="43CEA260"/>
    <w:lvl w:ilvl="0" w:tplc="A7B2DB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D197EC8"/>
    <w:multiLevelType w:val="hybridMultilevel"/>
    <w:tmpl w:val="9D764200"/>
    <w:lvl w:ilvl="0" w:tplc="250463F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E863CBB"/>
    <w:multiLevelType w:val="hybridMultilevel"/>
    <w:tmpl w:val="4FC81144"/>
    <w:lvl w:ilvl="0" w:tplc="1416DEA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70198586">
    <w:abstractNumId w:val="11"/>
  </w:num>
  <w:num w:numId="2" w16cid:durableId="1876579099">
    <w:abstractNumId w:val="6"/>
  </w:num>
  <w:num w:numId="3" w16cid:durableId="113138518">
    <w:abstractNumId w:val="4"/>
  </w:num>
  <w:num w:numId="4" w16cid:durableId="1937248790">
    <w:abstractNumId w:val="8"/>
  </w:num>
  <w:num w:numId="5" w16cid:durableId="1909925518">
    <w:abstractNumId w:val="10"/>
  </w:num>
  <w:num w:numId="6" w16cid:durableId="606233444">
    <w:abstractNumId w:val="0"/>
  </w:num>
  <w:num w:numId="7" w16cid:durableId="93789778">
    <w:abstractNumId w:val="2"/>
  </w:num>
  <w:num w:numId="8" w16cid:durableId="1101679007">
    <w:abstractNumId w:val="12"/>
  </w:num>
  <w:num w:numId="9" w16cid:durableId="25370422">
    <w:abstractNumId w:val="5"/>
  </w:num>
  <w:num w:numId="10" w16cid:durableId="676152250">
    <w:abstractNumId w:val="7"/>
  </w:num>
  <w:num w:numId="11" w16cid:durableId="1076783158">
    <w:abstractNumId w:val="9"/>
  </w:num>
  <w:num w:numId="12" w16cid:durableId="1633752572">
    <w:abstractNumId w:val="3"/>
  </w:num>
  <w:num w:numId="13" w16cid:durableId="8586176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786"/>
    <w:rsid w:val="000014DA"/>
    <w:rsid w:val="00001B62"/>
    <w:rsid w:val="00002B7B"/>
    <w:rsid w:val="00004E1C"/>
    <w:rsid w:val="00005A45"/>
    <w:rsid w:val="00007F21"/>
    <w:rsid w:val="00011D68"/>
    <w:rsid w:val="000135CC"/>
    <w:rsid w:val="00014DD0"/>
    <w:rsid w:val="00017228"/>
    <w:rsid w:val="000250DC"/>
    <w:rsid w:val="00025AFD"/>
    <w:rsid w:val="00030762"/>
    <w:rsid w:val="000350DA"/>
    <w:rsid w:val="0003615A"/>
    <w:rsid w:val="00036F59"/>
    <w:rsid w:val="00040822"/>
    <w:rsid w:val="000423CC"/>
    <w:rsid w:val="000444BB"/>
    <w:rsid w:val="00044D18"/>
    <w:rsid w:val="000518A7"/>
    <w:rsid w:val="000546F5"/>
    <w:rsid w:val="00054826"/>
    <w:rsid w:val="00055403"/>
    <w:rsid w:val="0005721A"/>
    <w:rsid w:val="00064FDB"/>
    <w:rsid w:val="00065712"/>
    <w:rsid w:val="00067646"/>
    <w:rsid w:val="000733F8"/>
    <w:rsid w:val="00077683"/>
    <w:rsid w:val="00080412"/>
    <w:rsid w:val="00084ED0"/>
    <w:rsid w:val="0009048F"/>
    <w:rsid w:val="00094929"/>
    <w:rsid w:val="00095261"/>
    <w:rsid w:val="00097565"/>
    <w:rsid w:val="000A28B4"/>
    <w:rsid w:val="000B1AC4"/>
    <w:rsid w:val="000B255D"/>
    <w:rsid w:val="000B5759"/>
    <w:rsid w:val="000B64DC"/>
    <w:rsid w:val="000C1707"/>
    <w:rsid w:val="000C38A4"/>
    <w:rsid w:val="000C3C0E"/>
    <w:rsid w:val="000C3EB4"/>
    <w:rsid w:val="000C5E41"/>
    <w:rsid w:val="000D25A5"/>
    <w:rsid w:val="000D31F0"/>
    <w:rsid w:val="000D5032"/>
    <w:rsid w:val="000D67AB"/>
    <w:rsid w:val="000E0C2B"/>
    <w:rsid w:val="000E5182"/>
    <w:rsid w:val="000E5208"/>
    <w:rsid w:val="000E6E73"/>
    <w:rsid w:val="000E7BFF"/>
    <w:rsid w:val="000F14CA"/>
    <w:rsid w:val="000F1CA3"/>
    <w:rsid w:val="000F229D"/>
    <w:rsid w:val="000F2C8D"/>
    <w:rsid w:val="000F4D91"/>
    <w:rsid w:val="000F7AD7"/>
    <w:rsid w:val="00100682"/>
    <w:rsid w:val="001025F8"/>
    <w:rsid w:val="00106409"/>
    <w:rsid w:val="001102B3"/>
    <w:rsid w:val="00110837"/>
    <w:rsid w:val="00110FAC"/>
    <w:rsid w:val="001128AD"/>
    <w:rsid w:val="001136BE"/>
    <w:rsid w:val="00115F65"/>
    <w:rsid w:val="00116156"/>
    <w:rsid w:val="00120B85"/>
    <w:rsid w:val="001219D5"/>
    <w:rsid w:val="001245F6"/>
    <w:rsid w:val="00125582"/>
    <w:rsid w:val="00125BBA"/>
    <w:rsid w:val="00130E13"/>
    <w:rsid w:val="00133A03"/>
    <w:rsid w:val="00135563"/>
    <w:rsid w:val="00136300"/>
    <w:rsid w:val="00136E28"/>
    <w:rsid w:val="00143161"/>
    <w:rsid w:val="00143D7F"/>
    <w:rsid w:val="00146345"/>
    <w:rsid w:val="001476B5"/>
    <w:rsid w:val="00150426"/>
    <w:rsid w:val="00150EF8"/>
    <w:rsid w:val="00151E95"/>
    <w:rsid w:val="001526E2"/>
    <w:rsid w:val="00152B04"/>
    <w:rsid w:val="001544E8"/>
    <w:rsid w:val="0016459A"/>
    <w:rsid w:val="00166C0F"/>
    <w:rsid w:val="00170841"/>
    <w:rsid w:val="00172293"/>
    <w:rsid w:val="00174149"/>
    <w:rsid w:val="001748DF"/>
    <w:rsid w:val="00180525"/>
    <w:rsid w:val="001813B1"/>
    <w:rsid w:val="00181D42"/>
    <w:rsid w:val="00182287"/>
    <w:rsid w:val="001823C4"/>
    <w:rsid w:val="0018396D"/>
    <w:rsid w:val="00185A15"/>
    <w:rsid w:val="00186565"/>
    <w:rsid w:val="0018756D"/>
    <w:rsid w:val="0019400A"/>
    <w:rsid w:val="00194733"/>
    <w:rsid w:val="001A173E"/>
    <w:rsid w:val="001A3600"/>
    <w:rsid w:val="001A785E"/>
    <w:rsid w:val="001B0890"/>
    <w:rsid w:val="001B1598"/>
    <w:rsid w:val="001B42E7"/>
    <w:rsid w:val="001B5E78"/>
    <w:rsid w:val="001B62C5"/>
    <w:rsid w:val="001C1655"/>
    <w:rsid w:val="001D1927"/>
    <w:rsid w:val="001D451C"/>
    <w:rsid w:val="001D6ABE"/>
    <w:rsid w:val="001D7998"/>
    <w:rsid w:val="001E0578"/>
    <w:rsid w:val="001E0751"/>
    <w:rsid w:val="001E4F47"/>
    <w:rsid w:val="001E77F3"/>
    <w:rsid w:val="001F0360"/>
    <w:rsid w:val="001F1B30"/>
    <w:rsid w:val="001F3F12"/>
    <w:rsid w:val="001F4DAD"/>
    <w:rsid w:val="001F5173"/>
    <w:rsid w:val="001F54D5"/>
    <w:rsid w:val="001F6B7D"/>
    <w:rsid w:val="0020341E"/>
    <w:rsid w:val="00204E8B"/>
    <w:rsid w:val="00205BD7"/>
    <w:rsid w:val="00207670"/>
    <w:rsid w:val="00210963"/>
    <w:rsid w:val="00212370"/>
    <w:rsid w:val="00215274"/>
    <w:rsid w:val="002157FD"/>
    <w:rsid w:val="00215E61"/>
    <w:rsid w:val="00236750"/>
    <w:rsid w:val="0023789B"/>
    <w:rsid w:val="0024235B"/>
    <w:rsid w:val="00244647"/>
    <w:rsid w:val="002450E7"/>
    <w:rsid w:val="00245839"/>
    <w:rsid w:val="0024619C"/>
    <w:rsid w:val="00246DC0"/>
    <w:rsid w:val="002473A4"/>
    <w:rsid w:val="00247D2A"/>
    <w:rsid w:val="00251090"/>
    <w:rsid w:val="002523C2"/>
    <w:rsid w:val="00254B93"/>
    <w:rsid w:val="00256A12"/>
    <w:rsid w:val="00261F51"/>
    <w:rsid w:val="00263BA9"/>
    <w:rsid w:val="002647A9"/>
    <w:rsid w:val="00265BC9"/>
    <w:rsid w:val="00265BE4"/>
    <w:rsid w:val="002676D1"/>
    <w:rsid w:val="00267E51"/>
    <w:rsid w:val="00270602"/>
    <w:rsid w:val="0027242B"/>
    <w:rsid w:val="002739EA"/>
    <w:rsid w:val="00275D8D"/>
    <w:rsid w:val="00276026"/>
    <w:rsid w:val="00277373"/>
    <w:rsid w:val="002801A7"/>
    <w:rsid w:val="0028052C"/>
    <w:rsid w:val="002815F7"/>
    <w:rsid w:val="00281FDD"/>
    <w:rsid w:val="002905D7"/>
    <w:rsid w:val="0029144C"/>
    <w:rsid w:val="002928A0"/>
    <w:rsid w:val="00293ABE"/>
    <w:rsid w:val="00295472"/>
    <w:rsid w:val="002A2D2A"/>
    <w:rsid w:val="002A2D80"/>
    <w:rsid w:val="002A3DDB"/>
    <w:rsid w:val="002A45D2"/>
    <w:rsid w:val="002A46D1"/>
    <w:rsid w:val="002A64A1"/>
    <w:rsid w:val="002A71AD"/>
    <w:rsid w:val="002A76F8"/>
    <w:rsid w:val="002B17AD"/>
    <w:rsid w:val="002B41CA"/>
    <w:rsid w:val="002B5306"/>
    <w:rsid w:val="002B54E6"/>
    <w:rsid w:val="002B65CE"/>
    <w:rsid w:val="002C0255"/>
    <w:rsid w:val="002C05C2"/>
    <w:rsid w:val="002C0BAA"/>
    <w:rsid w:val="002C18F9"/>
    <w:rsid w:val="002C6CAB"/>
    <w:rsid w:val="002D0BA7"/>
    <w:rsid w:val="002D1E31"/>
    <w:rsid w:val="002D2BCF"/>
    <w:rsid w:val="002D5726"/>
    <w:rsid w:val="002D7BA0"/>
    <w:rsid w:val="002E26B5"/>
    <w:rsid w:val="002E2A70"/>
    <w:rsid w:val="002E3672"/>
    <w:rsid w:val="002E36BC"/>
    <w:rsid w:val="002E7CD9"/>
    <w:rsid w:val="002F2829"/>
    <w:rsid w:val="002F3CCA"/>
    <w:rsid w:val="002F5B80"/>
    <w:rsid w:val="002F6051"/>
    <w:rsid w:val="002F60A4"/>
    <w:rsid w:val="002F6685"/>
    <w:rsid w:val="003027F3"/>
    <w:rsid w:val="00302891"/>
    <w:rsid w:val="0030427B"/>
    <w:rsid w:val="003065F1"/>
    <w:rsid w:val="00311BA7"/>
    <w:rsid w:val="00312723"/>
    <w:rsid w:val="003128FA"/>
    <w:rsid w:val="003140C6"/>
    <w:rsid w:val="00314832"/>
    <w:rsid w:val="00322BE7"/>
    <w:rsid w:val="00322C1E"/>
    <w:rsid w:val="00323861"/>
    <w:rsid w:val="003243E0"/>
    <w:rsid w:val="0032796B"/>
    <w:rsid w:val="00327E61"/>
    <w:rsid w:val="00332F9A"/>
    <w:rsid w:val="003372A2"/>
    <w:rsid w:val="00340242"/>
    <w:rsid w:val="0034093D"/>
    <w:rsid w:val="00343E9A"/>
    <w:rsid w:val="003456DA"/>
    <w:rsid w:val="00350911"/>
    <w:rsid w:val="00350FE9"/>
    <w:rsid w:val="003516EA"/>
    <w:rsid w:val="00355B3A"/>
    <w:rsid w:val="003568BF"/>
    <w:rsid w:val="00357691"/>
    <w:rsid w:val="00362326"/>
    <w:rsid w:val="00362704"/>
    <w:rsid w:val="00362913"/>
    <w:rsid w:val="00366EA5"/>
    <w:rsid w:val="00370682"/>
    <w:rsid w:val="0037135D"/>
    <w:rsid w:val="00372404"/>
    <w:rsid w:val="003731ED"/>
    <w:rsid w:val="003731EE"/>
    <w:rsid w:val="00374E30"/>
    <w:rsid w:val="003760A3"/>
    <w:rsid w:val="00376602"/>
    <w:rsid w:val="00381AC5"/>
    <w:rsid w:val="00385493"/>
    <w:rsid w:val="00390DC6"/>
    <w:rsid w:val="003915B9"/>
    <w:rsid w:val="00391F3B"/>
    <w:rsid w:val="00391F60"/>
    <w:rsid w:val="003926A0"/>
    <w:rsid w:val="00394535"/>
    <w:rsid w:val="003959B9"/>
    <w:rsid w:val="00396890"/>
    <w:rsid w:val="003A1121"/>
    <w:rsid w:val="003B02A5"/>
    <w:rsid w:val="003B06C6"/>
    <w:rsid w:val="003B0D99"/>
    <w:rsid w:val="003B2DD9"/>
    <w:rsid w:val="003B73A6"/>
    <w:rsid w:val="003C13A1"/>
    <w:rsid w:val="003C2DBA"/>
    <w:rsid w:val="003C3EEC"/>
    <w:rsid w:val="003C41D9"/>
    <w:rsid w:val="003C482C"/>
    <w:rsid w:val="003C6391"/>
    <w:rsid w:val="003D172C"/>
    <w:rsid w:val="003D36B4"/>
    <w:rsid w:val="003D4BB0"/>
    <w:rsid w:val="003E2070"/>
    <w:rsid w:val="003E235D"/>
    <w:rsid w:val="003E3AA2"/>
    <w:rsid w:val="003E3B22"/>
    <w:rsid w:val="003E7021"/>
    <w:rsid w:val="003F0A73"/>
    <w:rsid w:val="003F170A"/>
    <w:rsid w:val="003F2BE5"/>
    <w:rsid w:val="003F3487"/>
    <w:rsid w:val="003F4457"/>
    <w:rsid w:val="003F71C8"/>
    <w:rsid w:val="004037A4"/>
    <w:rsid w:val="0040575E"/>
    <w:rsid w:val="00405EF6"/>
    <w:rsid w:val="004064CD"/>
    <w:rsid w:val="00407994"/>
    <w:rsid w:val="004111D0"/>
    <w:rsid w:val="00412C77"/>
    <w:rsid w:val="004143A2"/>
    <w:rsid w:val="00414A2F"/>
    <w:rsid w:val="00415B44"/>
    <w:rsid w:val="0041653A"/>
    <w:rsid w:val="00416587"/>
    <w:rsid w:val="004165D3"/>
    <w:rsid w:val="00416DC4"/>
    <w:rsid w:val="00421220"/>
    <w:rsid w:val="004218DE"/>
    <w:rsid w:val="004220D0"/>
    <w:rsid w:val="00423AC3"/>
    <w:rsid w:val="00424CFB"/>
    <w:rsid w:val="00427D5F"/>
    <w:rsid w:val="0043145D"/>
    <w:rsid w:val="00437C7A"/>
    <w:rsid w:val="00443052"/>
    <w:rsid w:val="00443F4A"/>
    <w:rsid w:val="00452803"/>
    <w:rsid w:val="004531CD"/>
    <w:rsid w:val="004532D8"/>
    <w:rsid w:val="004533E0"/>
    <w:rsid w:val="00454697"/>
    <w:rsid w:val="00455AA0"/>
    <w:rsid w:val="004568B5"/>
    <w:rsid w:val="00457510"/>
    <w:rsid w:val="00466109"/>
    <w:rsid w:val="00466FCC"/>
    <w:rsid w:val="004674C0"/>
    <w:rsid w:val="0047145A"/>
    <w:rsid w:val="0047231E"/>
    <w:rsid w:val="00472D85"/>
    <w:rsid w:val="00473310"/>
    <w:rsid w:val="00474769"/>
    <w:rsid w:val="004753A1"/>
    <w:rsid w:val="00476911"/>
    <w:rsid w:val="00477221"/>
    <w:rsid w:val="004773A3"/>
    <w:rsid w:val="00484282"/>
    <w:rsid w:val="00486C87"/>
    <w:rsid w:val="00487AA6"/>
    <w:rsid w:val="0049220B"/>
    <w:rsid w:val="00494EA0"/>
    <w:rsid w:val="00495D63"/>
    <w:rsid w:val="004974B4"/>
    <w:rsid w:val="004A5C9F"/>
    <w:rsid w:val="004A6D02"/>
    <w:rsid w:val="004B0529"/>
    <w:rsid w:val="004B138C"/>
    <w:rsid w:val="004B4D6B"/>
    <w:rsid w:val="004B4FA3"/>
    <w:rsid w:val="004B72AB"/>
    <w:rsid w:val="004C2351"/>
    <w:rsid w:val="004C2AFB"/>
    <w:rsid w:val="004C34B1"/>
    <w:rsid w:val="004C5336"/>
    <w:rsid w:val="004C6C0B"/>
    <w:rsid w:val="004C7C54"/>
    <w:rsid w:val="004D0B9C"/>
    <w:rsid w:val="004D51A6"/>
    <w:rsid w:val="004D5726"/>
    <w:rsid w:val="004D6D5F"/>
    <w:rsid w:val="004E1068"/>
    <w:rsid w:val="004E2DC8"/>
    <w:rsid w:val="004E5806"/>
    <w:rsid w:val="004F06B0"/>
    <w:rsid w:val="004F1541"/>
    <w:rsid w:val="004F3082"/>
    <w:rsid w:val="004F32FE"/>
    <w:rsid w:val="004F49CD"/>
    <w:rsid w:val="004F6E47"/>
    <w:rsid w:val="004F782E"/>
    <w:rsid w:val="00502F18"/>
    <w:rsid w:val="005059C0"/>
    <w:rsid w:val="005101B6"/>
    <w:rsid w:val="00513C64"/>
    <w:rsid w:val="00514EF8"/>
    <w:rsid w:val="00517723"/>
    <w:rsid w:val="00522637"/>
    <w:rsid w:val="00524285"/>
    <w:rsid w:val="005307FC"/>
    <w:rsid w:val="00531E56"/>
    <w:rsid w:val="00533180"/>
    <w:rsid w:val="00533488"/>
    <w:rsid w:val="0053349E"/>
    <w:rsid w:val="00533F6D"/>
    <w:rsid w:val="005349F3"/>
    <w:rsid w:val="005352BD"/>
    <w:rsid w:val="00537142"/>
    <w:rsid w:val="00537226"/>
    <w:rsid w:val="00541E52"/>
    <w:rsid w:val="0054413E"/>
    <w:rsid w:val="0054543D"/>
    <w:rsid w:val="00551820"/>
    <w:rsid w:val="00552BC0"/>
    <w:rsid w:val="00555CBD"/>
    <w:rsid w:val="0056116D"/>
    <w:rsid w:val="00563C64"/>
    <w:rsid w:val="00563E7B"/>
    <w:rsid w:val="005644E8"/>
    <w:rsid w:val="00565AFC"/>
    <w:rsid w:val="00565E72"/>
    <w:rsid w:val="00566476"/>
    <w:rsid w:val="00566DAB"/>
    <w:rsid w:val="00567B2F"/>
    <w:rsid w:val="0057059D"/>
    <w:rsid w:val="00571A47"/>
    <w:rsid w:val="005739EF"/>
    <w:rsid w:val="005779FF"/>
    <w:rsid w:val="00581FD8"/>
    <w:rsid w:val="00582966"/>
    <w:rsid w:val="005835D9"/>
    <w:rsid w:val="00584557"/>
    <w:rsid w:val="00584E47"/>
    <w:rsid w:val="005862C3"/>
    <w:rsid w:val="00586C15"/>
    <w:rsid w:val="00592DD7"/>
    <w:rsid w:val="005944B9"/>
    <w:rsid w:val="00595B4C"/>
    <w:rsid w:val="005A0B94"/>
    <w:rsid w:val="005A0DD6"/>
    <w:rsid w:val="005A0F59"/>
    <w:rsid w:val="005C250D"/>
    <w:rsid w:val="005C6718"/>
    <w:rsid w:val="005D3249"/>
    <w:rsid w:val="005D36DA"/>
    <w:rsid w:val="005D37C9"/>
    <w:rsid w:val="005D47F6"/>
    <w:rsid w:val="005D63A4"/>
    <w:rsid w:val="005D65DB"/>
    <w:rsid w:val="005D773B"/>
    <w:rsid w:val="005E3A21"/>
    <w:rsid w:val="005E4003"/>
    <w:rsid w:val="005E47AB"/>
    <w:rsid w:val="005E6034"/>
    <w:rsid w:val="005E70AB"/>
    <w:rsid w:val="005F0210"/>
    <w:rsid w:val="005F2CF4"/>
    <w:rsid w:val="005F4BCB"/>
    <w:rsid w:val="005F534F"/>
    <w:rsid w:val="005F6887"/>
    <w:rsid w:val="006014DE"/>
    <w:rsid w:val="006022A2"/>
    <w:rsid w:val="00602508"/>
    <w:rsid w:val="00603A83"/>
    <w:rsid w:val="006067AC"/>
    <w:rsid w:val="006076E1"/>
    <w:rsid w:val="006100C7"/>
    <w:rsid w:val="0061053D"/>
    <w:rsid w:val="00611862"/>
    <w:rsid w:val="006122C7"/>
    <w:rsid w:val="00612532"/>
    <w:rsid w:val="00614A2E"/>
    <w:rsid w:val="0061665F"/>
    <w:rsid w:val="00617F0C"/>
    <w:rsid w:val="0062153A"/>
    <w:rsid w:val="00624A74"/>
    <w:rsid w:val="006251F9"/>
    <w:rsid w:val="00625275"/>
    <w:rsid w:val="006254B6"/>
    <w:rsid w:val="0062554A"/>
    <w:rsid w:val="00630608"/>
    <w:rsid w:val="0063155F"/>
    <w:rsid w:val="006358FF"/>
    <w:rsid w:val="00636D68"/>
    <w:rsid w:val="00637B83"/>
    <w:rsid w:val="00637DE6"/>
    <w:rsid w:val="0064102E"/>
    <w:rsid w:val="00643B69"/>
    <w:rsid w:val="00645DAA"/>
    <w:rsid w:val="0064736A"/>
    <w:rsid w:val="00647C6A"/>
    <w:rsid w:val="006536E5"/>
    <w:rsid w:val="00653894"/>
    <w:rsid w:val="0065411E"/>
    <w:rsid w:val="0065417C"/>
    <w:rsid w:val="0065426D"/>
    <w:rsid w:val="00654486"/>
    <w:rsid w:val="00654A91"/>
    <w:rsid w:val="00656FE3"/>
    <w:rsid w:val="00660109"/>
    <w:rsid w:val="0066578E"/>
    <w:rsid w:val="00665BF2"/>
    <w:rsid w:val="00666BE9"/>
    <w:rsid w:val="006720C2"/>
    <w:rsid w:val="00674347"/>
    <w:rsid w:val="00676577"/>
    <w:rsid w:val="006775C4"/>
    <w:rsid w:val="006807E9"/>
    <w:rsid w:val="006826A3"/>
    <w:rsid w:val="00682C8D"/>
    <w:rsid w:val="0068308E"/>
    <w:rsid w:val="0068460C"/>
    <w:rsid w:val="0068647E"/>
    <w:rsid w:val="0068693E"/>
    <w:rsid w:val="00687C3B"/>
    <w:rsid w:val="006949BC"/>
    <w:rsid w:val="00696590"/>
    <w:rsid w:val="00697D61"/>
    <w:rsid w:val="006A014F"/>
    <w:rsid w:val="006A1D93"/>
    <w:rsid w:val="006A21DD"/>
    <w:rsid w:val="006A2EA9"/>
    <w:rsid w:val="006A4797"/>
    <w:rsid w:val="006A4CF8"/>
    <w:rsid w:val="006A55AD"/>
    <w:rsid w:val="006A64ED"/>
    <w:rsid w:val="006A6F24"/>
    <w:rsid w:val="006B0091"/>
    <w:rsid w:val="006B17D5"/>
    <w:rsid w:val="006B40D7"/>
    <w:rsid w:val="006B6A07"/>
    <w:rsid w:val="006C093B"/>
    <w:rsid w:val="006C18F4"/>
    <w:rsid w:val="006C3E4F"/>
    <w:rsid w:val="006C3E9C"/>
    <w:rsid w:val="006C4002"/>
    <w:rsid w:val="006C724C"/>
    <w:rsid w:val="006D2053"/>
    <w:rsid w:val="006D6B26"/>
    <w:rsid w:val="006E23F6"/>
    <w:rsid w:val="006E3303"/>
    <w:rsid w:val="006E443C"/>
    <w:rsid w:val="006E71F9"/>
    <w:rsid w:val="006F07A8"/>
    <w:rsid w:val="006F3046"/>
    <w:rsid w:val="006F5A3C"/>
    <w:rsid w:val="006F6C6D"/>
    <w:rsid w:val="006F7A2B"/>
    <w:rsid w:val="00700E34"/>
    <w:rsid w:val="00701301"/>
    <w:rsid w:val="007028EF"/>
    <w:rsid w:val="00710CE5"/>
    <w:rsid w:val="00713EF8"/>
    <w:rsid w:val="0071543A"/>
    <w:rsid w:val="0071691D"/>
    <w:rsid w:val="00716F99"/>
    <w:rsid w:val="00717481"/>
    <w:rsid w:val="0072172A"/>
    <w:rsid w:val="00721CCC"/>
    <w:rsid w:val="00723136"/>
    <w:rsid w:val="0072763A"/>
    <w:rsid w:val="0072764A"/>
    <w:rsid w:val="00727F5A"/>
    <w:rsid w:val="0073260F"/>
    <w:rsid w:val="007356D3"/>
    <w:rsid w:val="00742177"/>
    <w:rsid w:val="00744A50"/>
    <w:rsid w:val="00747525"/>
    <w:rsid w:val="00751754"/>
    <w:rsid w:val="00751C16"/>
    <w:rsid w:val="00751E6E"/>
    <w:rsid w:val="00752437"/>
    <w:rsid w:val="0075325F"/>
    <w:rsid w:val="007532F5"/>
    <w:rsid w:val="00755AF1"/>
    <w:rsid w:val="00755B19"/>
    <w:rsid w:val="0076052C"/>
    <w:rsid w:val="007615FD"/>
    <w:rsid w:val="00762611"/>
    <w:rsid w:val="00762AF9"/>
    <w:rsid w:val="00767832"/>
    <w:rsid w:val="007710F7"/>
    <w:rsid w:val="00773987"/>
    <w:rsid w:val="007740F9"/>
    <w:rsid w:val="00777451"/>
    <w:rsid w:val="007805FC"/>
    <w:rsid w:val="007819D6"/>
    <w:rsid w:val="00782556"/>
    <w:rsid w:val="00784372"/>
    <w:rsid w:val="0078440E"/>
    <w:rsid w:val="00786A66"/>
    <w:rsid w:val="00790EA9"/>
    <w:rsid w:val="00793CC0"/>
    <w:rsid w:val="00793D3F"/>
    <w:rsid w:val="00794168"/>
    <w:rsid w:val="007941C4"/>
    <w:rsid w:val="007951C1"/>
    <w:rsid w:val="007959AA"/>
    <w:rsid w:val="00795B16"/>
    <w:rsid w:val="00796FA2"/>
    <w:rsid w:val="007A21C1"/>
    <w:rsid w:val="007A6FC6"/>
    <w:rsid w:val="007A7F18"/>
    <w:rsid w:val="007B164A"/>
    <w:rsid w:val="007B16F2"/>
    <w:rsid w:val="007B52B4"/>
    <w:rsid w:val="007C7685"/>
    <w:rsid w:val="007D0024"/>
    <w:rsid w:val="007D11E1"/>
    <w:rsid w:val="007D28A5"/>
    <w:rsid w:val="007D67CF"/>
    <w:rsid w:val="007D67DD"/>
    <w:rsid w:val="007E23E9"/>
    <w:rsid w:val="007E26DE"/>
    <w:rsid w:val="007E3F11"/>
    <w:rsid w:val="007F0EC9"/>
    <w:rsid w:val="007F1E5B"/>
    <w:rsid w:val="007F4023"/>
    <w:rsid w:val="007F51F2"/>
    <w:rsid w:val="007F6192"/>
    <w:rsid w:val="007F6290"/>
    <w:rsid w:val="007F7BD8"/>
    <w:rsid w:val="00800197"/>
    <w:rsid w:val="00801290"/>
    <w:rsid w:val="008019D5"/>
    <w:rsid w:val="00803BC0"/>
    <w:rsid w:val="00803D10"/>
    <w:rsid w:val="008042B6"/>
    <w:rsid w:val="00805463"/>
    <w:rsid w:val="00806337"/>
    <w:rsid w:val="008065D4"/>
    <w:rsid w:val="0081103D"/>
    <w:rsid w:val="00811907"/>
    <w:rsid w:val="008119B8"/>
    <w:rsid w:val="00812E3D"/>
    <w:rsid w:val="0081410D"/>
    <w:rsid w:val="00817A75"/>
    <w:rsid w:val="00821A7D"/>
    <w:rsid w:val="00823063"/>
    <w:rsid w:val="008255BD"/>
    <w:rsid w:val="008261E8"/>
    <w:rsid w:val="00830A6A"/>
    <w:rsid w:val="00831158"/>
    <w:rsid w:val="008315AD"/>
    <w:rsid w:val="00833038"/>
    <w:rsid w:val="00833569"/>
    <w:rsid w:val="008340B4"/>
    <w:rsid w:val="008347D4"/>
    <w:rsid w:val="00834BAA"/>
    <w:rsid w:val="00836DD6"/>
    <w:rsid w:val="008406A1"/>
    <w:rsid w:val="008407FC"/>
    <w:rsid w:val="00841FB0"/>
    <w:rsid w:val="00843569"/>
    <w:rsid w:val="008439D4"/>
    <w:rsid w:val="008464A0"/>
    <w:rsid w:val="0085042A"/>
    <w:rsid w:val="0085262B"/>
    <w:rsid w:val="00852B6A"/>
    <w:rsid w:val="008530DA"/>
    <w:rsid w:val="00853AB8"/>
    <w:rsid w:val="00853F29"/>
    <w:rsid w:val="00856F7C"/>
    <w:rsid w:val="008601B8"/>
    <w:rsid w:val="0086559D"/>
    <w:rsid w:val="00866EDA"/>
    <w:rsid w:val="00873270"/>
    <w:rsid w:val="00874473"/>
    <w:rsid w:val="00876010"/>
    <w:rsid w:val="00876A3D"/>
    <w:rsid w:val="008806A0"/>
    <w:rsid w:val="00884FD2"/>
    <w:rsid w:val="008903B5"/>
    <w:rsid w:val="00891C2B"/>
    <w:rsid w:val="008954EB"/>
    <w:rsid w:val="008A0412"/>
    <w:rsid w:val="008A1EB9"/>
    <w:rsid w:val="008A22FF"/>
    <w:rsid w:val="008A474E"/>
    <w:rsid w:val="008A4D13"/>
    <w:rsid w:val="008A6329"/>
    <w:rsid w:val="008B0389"/>
    <w:rsid w:val="008B50A4"/>
    <w:rsid w:val="008B54AD"/>
    <w:rsid w:val="008B6AB4"/>
    <w:rsid w:val="008B6F83"/>
    <w:rsid w:val="008B77B7"/>
    <w:rsid w:val="008B7AD5"/>
    <w:rsid w:val="008C361F"/>
    <w:rsid w:val="008C5114"/>
    <w:rsid w:val="008C5CFB"/>
    <w:rsid w:val="008D1DBB"/>
    <w:rsid w:val="008D64D5"/>
    <w:rsid w:val="008E1F5A"/>
    <w:rsid w:val="008E3183"/>
    <w:rsid w:val="008E3899"/>
    <w:rsid w:val="008E3D06"/>
    <w:rsid w:val="008F0D6E"/>
    <w:rsid w:val="008F183B"/>
    <w:rsid w:val="008F32E5"/>
    <w:rsid w:val="008F6738"/>
    <w:rsid w:val="008F7839"/>
    <w:rsid w:val="009119D3"/>
    <w:rsid w:val="00912034"/>
    <w:rsid w:val="00912733"/>
    <w:rsid w:val="009139F8"/>
    <w:rsid w:val="009147E8"/>
    <w:rsid w:val="00914D5B"/>
    <w:rsid w:val="0091640F"/>
    <w:rsid w:val="00916B60"/>
    <w:rsid w:val="00916F90"/>
    <w:rsid w:val="00917469"/>
    <w:rsid w:val="00921AC3"/>
    <w:rsid w:val="00922BFA"/>
    <w:rsid w:val="009243B7"/>
    <w:rsid w:val="009251CD"/>
    <w:rsid w:val="00926A5A"/>
    <w:rsid w:val="009275A0"/>
    <w:rsid w:val="009300CB"/>
    <w:rsid w:val="009324EB"/>
    <w:rsid w:val="009348CF"/>
    <w:rsid w:val="00940FB3"/>
    <w:rsid w:val="00941802"/>
    <w:rsid w:val="0094349A"/>
    <w:rsid w:val="00944F99"/>
    <w:rsid w:val="00951D6E"/>
    <w:rsid w:val="009576B0"/>
    <w:rsid w:val="009605A2"/>
    <w:rsid w:val="00964E28"/>
    <w:rsid w:val="0096597C"/>
    <w:rsid w:val="00965C62"/>
    <w:rsid w:val="00966328"/>
    <w:rsid w:val="00971EC2"/>
    <w:rsid w:val="009726D8"/>
    <w:rsid w:val="009736C6"/>
    <w:rsid w:val="009744D5"/>
    <w:rsid w:val="00975158"/>
    <w:rsid w:val="0097654E"/>
    <w:rsid w:val="00976A49"/>
    <w:rsid w:val="00982B96"/>
    <w:rsid w:val="00983524"/>
    <w:rsid w:val="00986BC6"/>
    <w:rsid w:val="009874A5"/>
    <w:rsid w:val="00987A05"/>
    <w:rsid w:val="00990B7B"/>
    <w:rsid w:val="009917A6"/>
    <w:rsid w:val="009957AE"/>
    <w:rsid w:val="009A29C2"/>
    <w:rsid w:val="009A2A23"/>
    <w:rsid w:val="009A4B7E"/>
    <w:rsid w:val="009A55ED"/>
    <w:rsid w:val="009B3C4E"/>
    <w:rsid w:val="009B3F84"/>
    <w:rsid w:val="009B7CE0"/>
    <w:rsid w:val="009C0663"/>
    <w:rsid w:val="009C2D87"/>
    <w:rsid w:val="009C5F65"/>
    <w:rsid w:val="009D05DC"/>
    <w:rsid w:val="009D14E4"/>
    <w:rsid w:val="009D1A66"/>
    <w:rsid w:val="009D41CE"/>
    <w:rsid w:val="009D629A"/>
    <w:rsid w:val="009D7686"/>
    <w:rsid w:val="009E239F"/>
    <w:rsid w:val="009E29F6"/>
    <w:rsid w:val="009E5AD3"/>
    <w:rsid w:val="009F4CA1"/>
    <w:rsid w:val="009F4DB1"/>
    <w:rsid w:val="009F770F"/>
    <w:rsid w:val="00A065D2"/>
    <w:rsid w:val="00A07889"/>
    <w:rsid w:val="00A07A11"/>
    <w:rsid w:val="00A07B53"/>
    <w:rsid w:val="00A113AC"/>
    <w:rsid w:val="00A124B6"/>
    <w:rsid w:val="00A13852"/>
    <w:rsid w:val="00A159C7"/>
    <w:rsid w:val="00A15AE7"/>
    <w:rsid w:val="00A20E4F"/>
    <w:rsid w:val="00A2449B"/>
    <w:rsid w:val="00A26162"/>
    <w:rsid w:val="00A27969"/>
    <w:rsid w:val="00A30263"/>
    <w:rsid w:val="00A30818"/>
    <w:rsid w:val="00A308F9"/>
    <w:rsid w:val="00A31E49"/>
    <w:rsid w:val="00A32DE0"/>
    <w:rsid w:val="00A333AE"/>
    <w:rsid w:val="00A36BDF"/>
    <w:rsid w:val="00A37525"/>
    <w:rsid w:val="00A37DBF"/>
    <w:rsid w:val="00A446DE"/>
    <w:rsid w:val="00A45A10"/>
    <w:rsid w:val="00A46008"/>
    <w:rsid w:val="00A5053B"/>
    <w:rsid w:val="00A50818"/>
    <w:rsid w:val="00A52BE4"/>
    <w:rsid w:val="00A564FB"/>
    <w:rsid w:val="00A630CE"/>
    <w:rsid w:val="00A649FC"/>
    <w:rsid w:val="00A65757"/>
    <w:rsid w:val="00A65FC1"/>
    <w:rsid w:val="00A66B3F"/>
    <w:rsid w:val="00A70401"/>
    <w:rsid w:val="00A83BCB"/>
    <w:rsid w:val="00A878DC"/>
    <w:rsid w:val="00A920F4"/>
    <w:rsid w:val="00A92C2B"/>
    <w:rsid w:val="00A94124"/>
    <w:rsid w:val="00A94489"/>
    <w:rsid w:val="00A9660F"/>
    <w:rsid w:val="00A969CC"/>
    <w:rsid w:val="00AA1109"/>
    <w:rsid w:val="00AA1A20"/>
    <w:rsid w:val="00AA2035"/>
    <w:rsid w:val="00AA240F"/>
    <w:rsid w:val="00AA4830"/>
    <w:rsid w:val="00AA7990"/>
    <w:rsid w:val="00AB017A"/>
    <w:rsid w:val="00AB1133"/>
    <w:rsid w:val="00AB2F6D"/>
    <w:rsid w:val="00AB2FCA"/>
    <w:rsid w:val="00AB4AE1"/>
    <w:rsid w:val="00AB5378"/>
    <w:rsid w:val="00AB6295"/>
    <w:rsid w:val="00AB6AA5"/>
    <w:rsid w:val="00AB6FDB"/>
    <w:rsid w:val="00AB76CA"/>
    <w:rsid w:val="00AC1307"/>
    <w:rsid w:val="00AC1D04"/>
    <w:rsid w:val="00AC251F"/>
    <w:rsid w:val="00AC3A8B"/>
    <w:rsid w:val="00AC3F3C"/>
    <w:rsid w:val="00AD00AC"/>
    <w:rsid w:val="00AD2502"/>
    <w:rsid w:val="00AD77D6"/>
    <w:rsid w:val="00AE3679"/>
    <w:rsid w:val="00AE3CC2"/>
    <w:rsid w:val="00AF0642"/>
    <w:rsid w:val="00AF064A"/>
    <w:rsid w:val="00AF22B6"/>
    <w:rsid w:val="00AF31D5"/>
    <w:rsid w:val="00B00247"/>
    <w:rsid w:val="00B02FAC"/>
    <w:rsid w:val="00B03C55"/>
    <w:rsid w:val="00B05937"/>
    <w:rsid w:val="00B067F8"/>
    <w:rsid w:val="00B07C82"/>
    <w:rsid w:val="00B108FD"/>
    <w:rsid w:val="00B12543"/>
    <w:rsid w:val="00B169E8"/>
    <w:rsid w:val="00B20716"/>
    <w:rsid w:val="00B238D4"/>
    <w:rsid w:val="00B24F27"/>
    <w:rsid w:val="00B30814"/>
    <w:rsid w:val="00B30C7E"/>
    <w:rsid w:val="00B31CEF"/>
    <w:rsid w:val="00B35684"/>
    <w:rsid w:val="00B36A0D"/>
    <w:rsid w:val="00B37778"/>
    <w:rsid w:val="00B47229"/>
    <w:rsid w:val="00B50FFD"/>
    <w:rsid w:val="00B51446"/>
    <w:rsid w:val="00B526D2"/>
    <w:rsid w:val="00B52C6D"/>
    <w:rsid w:val="00B56B8F"/>
    <w:rsid w:val="00B60C9C"/>
    <w:rsid w:val="00B63A1D"/>
    <w:rsid w:val="00B63ED9"/>
    <w:rsid w:val="00B64558"/>
    <w:rsid w:val="00B64D20"/>
    <w:rsid w:val="00B658AD"/>
    <w:rsid w:val="00B70C86"/>
    <w:rsid w:val="00B710D7"/>
    <w:rsid w:val="00B758ED"/>
    <w:rsid w:val="00B75965"/>
    <w:rsid w:val="00B80428"/>
    <w:rsid w:val="00B8393F"/>
    <w:rsid w:val="00B85A88"/>
    <w:rsid w:val="00B86787"/>
    <w:rsid w:val="00B9026A"/>
    <w:rsid w:val="00B93945"/>
    <w:rsid w:val="00BA15BA"/>
    <w:rsid w:val="00BA2491"/>
    <w:rsid w:val="00BA38BD"/>
    <w:rsid w:val="00BA51F0"/>
    <w:rsid w:val="00BA73BA"/>
    <w:rsid w:val="00BB12FF"/>
    <w:rsid w:val="00BB19F3"/>
    <w:rsid w:val="00BB221B"/>
    <w:rsid w:val="00BB5D8E"/>
    <w:rsid w:val="00BB6335"/>
    <w:rsid w:val="00BB7BA8"/>
    <w:rsid w:val="00BC0B54"/>
    <w:rsid w:val="00BC2F77"/>
    <w:rsid w:val="00BC5597"/>
    <w:rsid w:val="00BC7CFA"/>
    <w:rsid w:val="00BD13AE"/>
    <w:rsid w:val="00BD246C"/>
    <w:rsid w:val="00BD3F17"/>
    <w:rsid w:val="00BD419B"/>
    <w:rsid w:val="00BD6BB1"/>
    <w:rsid w:val="00BE2514"/>
    <w:rsid w:val="00BE34F1"/>
    <w:rsid w:val="00BE41B3"/>
    <w:rsid w:val="00BE6827"/>
    <w:rsid w:val="00BE7092"/>
    <w:rsid w:val="00BF0287"/>
    <w:rsid w:val="00BF0751"/>
    <w:rsid w:val="00BF09C3"/>
    <w:rsid w:val="00BF4E33"/>
    <w:rsid w:val="00BF4FC9"/>
    <w:rsid w:val="00BF79E1"/>
    <w:rsid w:val="00C0313F"/>
    <w:rsid w:val="00C04A65"/>
    <w:rsid w:val="00C04F7E"/>
    <w:rsid w:val="00C07AA8"/>
    <w:rsid w:val="00C10E9D"/>
    <w:rsid w:val="00C111F5"/>
    <w:rsid w:val="00C15329"/>
    <w:rsid w:val="00C16C67"/>
    <w:rsid w:val="00C27CED"/>
    <w:rsid w:val="00C301DE"/>
    <w:rsid w:val="00C33F49"/>
    <w:rsid w:val="00C34412"/>
    <w:rsid w:val="00C34966"/>
    <w:rsid w:val="00C43759"/>
    <w:rsid w:val="00C4402D"/>
    <w:rsid w:val="00C448DA"/>
    <w:rsid w:val="00C45F5B"/>
    <w:rsid w:val="00C473A0"/>
    <w:rsid w:val="00C52A6B"/>
    <w:rsid w:val="00C52FC5"/>
    <w:rsid w:val="00C53D3E"/>
    <w:rsid w:val="00C54B2B"/>
    <w:rsid w:val="00C555EA"/>
    <w:rsid w:val="00C55AFC"/>
    <w:rsid w:val="00C561D4"/>
    <w:rsid w:val="00C564FE"/>
    <w:rsid w:val="00C57189"/>
    <w:rsid w:val="00C57487"/>
    <w:rsid w:val="00C57BE9"/>
    <w:rsid w:val="00C619C5"/>
    <w:rsid w:val="00C6425B"/>
    <w:rsid w:val="00C64D03"/>
    <w:rsid w:val="00C64D58"/>
    <w:rsid w:val="00C70796"/>
    <w:rsid w:val="00C71019"/>
    <w:rsid w:val="00C730FC"/>
    <w:rsid w:val="00C7426C"/>
    <w:rsid w:val="00C74668"/>
    <w:rsid w:val="00C757DB"/>
    <w:rsid w:val="00C76746"/>
    <w:rsid w:val="00C80EDE"/>
    <w:rsid w:val="00C8106E"/>
    <w:rsid w:val="00C82778"/>
    <w:rsid w:val="00C91B3D"/>
    <w:rsid w:val="00C91CE8"/>
    <w:rsid w:val="00C92C45"/>
    <w:rsid w:val="00C9695C"/>
    <w:rsid w:val="00CA0DFF"/>
    <w:rsid w:val="00CA10CC"/>
    <w:rsid w:val="00CA2E0A"/>
    <w:rsid w:val="00CA3122"/>
    <w:rsid w:val="00CA39BB"/>
    <w:rsid w:val="00CA502C"/>
    <w:rsid w:val="00CA797E"/>
    <w:rsid w:val="00CA7E8B"/>
    <w:rsid w:val="00CA7EE1"/>
    <w:rsid w:val="00CB16AB"/>
    <w:rsid w:val="00CB4882"/>
    <w:rsid w:val="00CB49DB"/>
    <w:rsid w:val="00CB4BC2"/>
    <w:rsid w:val="00CB4E75"/>
    <w:rsid w:val="00CC0689"/>
    <w:rsid w:val="00CC235A"/>
    <w:rsid w:val="00CC30AC"/>
    <w:rsid w:val="00CC7030"/>
    <w:rsid w:val="00CC75B1"/>
    <w:rsid w:val="00CC7C4B"/>
    <w:rsid w:val="00CD019B"/>
    <w:rsid w:val="00CD0B92"/>
    <w:rsid w:val="00CD21B7"/>
    <w:rsid w:val="00CD551F"/>
    <w:rsid w:val="00CE0CF9"/>
    <w:rsid w:val="00CE170C"/>
    <w:rsid w:val="00CE187B"/>
    <w:rsid w:val="00CE2E02"/>
    <w:rsid w:val="00CE2F78"/>
    <w:rsid w:val="00CE6B49"/>
    <w:rsid w:val="00CF0909"/>
    <w:rsid w:val="00CF2817"/>
    <w:rsid w:val="00CF36C8"/>
    <w:rsid w:val="00CF46AF"/>
    <w:rsid w:val="00CF5581"/>
    <w:rsid w:val="00CF6685"/>
    <w:rsid w:val="00D038CC"/>
    <w:rsid w:val="00D11612"/>
    <w:rsid w:val="00D13D52"/>
    <w:rsid w:val="00D14E63"/>
    <w:rsid w:val="00D16E27"/>
    <w:rsid w:val="00D23359"/>
    <w:rsid w:val="00D26679"/>
    <w:rsid w:val="00D300DA"/>
    <w:rsid w:val="00D30AB3"/>
    <w:rsid w:val="00D31073"/>
    <w:rsid w:val="00D318B9"/>
    <w:rsid w:val="00D32141"/>
    <w:rsid w:val="00D35786"/>
    <w:rsid w:val="00D37486"/>
    <w:rsid w:val="00D40C8A"/>
    <w:rsid w:val="00D44E68"/>
    <w:rsid w:val="00D45353"/>
    <w:rsid w:val="00D51459"/>
    <w:rsid w:val="00D57E31"/>
    <w:rsid w:val="00D61053"/>
    <w:rsid w:val="00D61E28"/>
    <w:rsid w:val="00D63D0B"/>
    <w:rsid w:val="00D659E3"/>
    <w:rsid w:val="00D6775B"/>
    <w:rsid w:val="00D67B30"/>
    <w:rsid w:val="00D67C59"/>
    <w:rsid w:val="00D75FBD"/>
    <w:rsid w:val="00D7683E"/>
    <w:rsid w:val="00D76AE2"/>
    <w:rsid w:val="00D81251"/>
    <w:rsid w:val="00D84635"/>
    <w:rsid w:val="00D84B05"/>
    <w:rsid w:val="00D86E18"/>
    <w:rsid w:val="00D87538"/>
    <w:rsid w:val="00D87F60"/>
    <w:rsid w:val="00D90CCC"/>
    <w:rsid w:val="00D91E21"/>
    <w:rsid w:val="00D92F14"/>
    <w:rsid w:val="00D93787"/>
    <w:rsid w:val="00D95B6E"/>
    <w:rsid w:val="00D9642F"/>
    <w:rsid w:val="00D9654B"/>
    <w:rsid w:val="00DA16B8"/>
    <w:rsid w:val="00DA4D44"/>
    <w:rsid w:val="00DB1607"/>
    <w:rsid w:val="00DB4443"/>
    <w:rsid w:val="00DB53BA"/>
    <w:rsid w:val="00DB65D4"/>
    <w:rsid w:val="00DC0E88"/>
    <w:rsid w:val="00DC2F7C"/>
    <w:rsid w:val="00DC43AA"/>
    <w:rsid w:val="00DC46E9"/>
    <w:rsid w:val="00DD0FC8"/>
    <w:rsid w:val="00DD1191"/>
    <w:rsid w:val="00DD178F"/>
    <w:rsid w:val="00DD205C"/>
    <w:rsid w:val="00DD2C1C"/>
    <w:rsid w:val="00DD5D54"/>
    <w:rsid w:val="00DE1790"/>
    <w:rsid w:val="00DE3BC2"/>
    <w:rsid w:val="00DE5160"/>
    <w:rsid w:val="00DF0091"/>
    <w:rsid w:val="00DF11B7"/>
    <w:rsid w:val="00DF20D7"/>
    <w:rsid w:val="00DF271F"/>
    <w:rsid w:val="00DF6945"/>
    <w:rsid w:val="00E0145E"/>
    <w:rsid w:val="00E03A48"/>
    <w:rsid w:val="00E0459C"/>
    <w:rsid w:val="00E076A2"/>
    <w:rsid w:val="00E10472"/>
    <w:rsid w:val="00E11FEB"/>
    <w:rsid w:val="00E13140"/>
    <w:rsid w:val="00E179C9"/>
    <w:rsid w:val="00E23AA5"/>
    <w:rsid w:val="00E254D5"/>
    <w:rsid w:val="00E25966"/>
    <w:rsid w:val="00E3006E"/>
    <w:rsid w:val="00E312AA"/>
    <w:rsid w:val="00E34747"/>
    <w:rsid w:val="00E35611"/>
    <w:rsid w:val="00E35B0A"/>
    <w:rsid w:val="00E35BB4"/>
    <w:rsid w:val="00E4366F"/>
    <w:rsid w:val="00E4520A"/>
    <w:rsid w:val="00E45ACA"/>
    <w:rsid w:val="00E460B2"/>
    <w:rsid w:val="00E522F4"/>
    <w:rsid w:val="00E545BC"/>
    <w:rsid w:val="00E55558"/>
    <w:rsid w:val="00E55604"/>
    <w:rsid w:val="00E559E8"/>
    <w:rsid w:val="00E56A60"/>
    <w:rsid w:val="00E57E69"/>
    <w:rsid w:val="00E57FDA"/>
    <w:rsid w:val="00E604C3"/>
    <w:rsid w:val="00E64A79"/>
    <w:rsid w:val="00E64DB1"/>
    <w:rsid w:val="00E67B36"/>
    <w:rsid w:val="00E7081A"/>
    <w:rsid w:val="00E72019"/>
    <w:rsid w:val="00E82740"/>
    <w:rsid w:val="00E84AC9"/>
    <w:rsid w:val="00E85716"/>
    <w:rsid w:val="00E86914"/>
    <w:rsid w:val="00E8695E"/>
    <w:rsid w:val="00E90849"/>
    <w:rsid w:val="00E94680"/>
    <w:rsid w:val="00E94A34"/>
    <w:rsid w:val="00E94BBD"/>
    <w:rsid w:val="00E95408"/>
    <w:rsid w:val="00E95A4B"/>
    <w:rsid w:val="00E95AC5"/>
    <w:rsid w:val="00E979E1"/>
    <w:rsid w:val="00EA190E"/>
    <w:rsid w:val="00EA3813"/>
    <w:rsid w:val="00EA4160"/>
    <w:rsid w:val="00EA4A96"/>
    <w:rsid w:val="00EA555C"/>
    <w:rsid w:val="00EA6677"/>
    <w:rsid w:val="00EB160F"/>
    <w:rsid w:val="00EB2B1E"/>
    <w:rsid w:val="00EB72FA"/>
    <w:rsid w:val="00EB7983"/>
    <w:rsid w:val="00EC0A09"/>
    <w:rsid w:val="00EC109D"/>
    <w:rsid w:val="00EC206C"/>
    <w:rsid w:val="00EC2CC4"/>
    <w:rsid w:val="00EC5EC9"/>
    <w:rsid w:val="00EC7807"/>
    <w:rsid w:val="00ED0349"/>
    <w:rsid w:val="00ED31A6"/>
    <w:rsid w:val="00ED48B9"/>
    <w:rsid w:val="00ED4C9C"/>
    <w:rsid w:val="00EE32A4"/>
    <w:rsid w:val="00EE3450"/>
    <w:rsid w:val="00EE3A61"/>
    <w:rsid w:val="00EE3AD4"/>
    <w:rsid w:val="00EE3E57"/>
    <w:rsid w:val="00EE3F54"/>
    <w:rsid w:val="00EE4154"/>
    <w:rsid w:val="00EF0D3F"/>
    <w:rsid w:val="00EF103F"/>
    <w:rsid w:val="00EF1F83"/>
    <w:rsid w:val="00EF232F"/>
    <w:rsid w:val="00EF233A"/>
    <w:rsid w:val="00EF2E08"/>
    <w:rsid w:val="00EF589B"/>
    <w:rsid w:val="00EF5C8E"/>
    <w:rsid w:val="00EF6E79"/>
    <w:rsid w:val="00F01027"/>
    <w:rsid w:val="00F04312"/>
    <w:rsid w:val="00F07A72"/>
    <w:rsid w:val="00F07CDA"/>
    <w:rsid w:val="00F103C2"/>
    <w:rsid w:val="00F10757"/>
    <w:rsid w:val="00F11164"/>
    <w:rsid w:val="00F1169D"/>
    <w:rsid w:val="00F148D9"/>
    <w:rsid w:val="00F22FC6"/>
    <w:rsid w:val="00F25A3B"/>
    <w:rsid w:val="00F26FDD"/>
    <w:rsid w:val="00F302F1"/>
    <w:rsid w:val="00F32D16"/>
    <w:rsid w:val="00F32DC8"/>
    <w:rsid w:val="00F36B3F"/>
    <w:rsid w:val="00F37128"/>
    <w:rsid w:val="00F45015"/>
    <w:rsid w:val="00F471E1"/>
    <w:rsid w:val="00F50682"/>
    <w:rsid w:val="00F5103B"/>
    <w:rsid w:val="00F5272A"/>
    <w:rsid w:val="00F611A6"/>
    <w:rsid w:val="00F61A91"/>
    <w:rsid w:val="00F62FEE"/>
    <w:rsid w:val="00F63125"/>
    <w:rsid w:val="00F67BF5"/>
    <w:rsid w:val="00F72F36"/>
    <w:rsid w:val="00F73A84"/>
    <w:rsid w:val="00F776E4"/>
    <w:rsid w:val="00F8158C"/>
    <w:rsid w:val="00F816F3"/>
    <w:rsid w:val="00F81C92"/>
    <w:rsid w:val="00F825C4"/>
    <w:rsid w:val="00F840C9"/>
    <w:rsid w:val="00F849FB"/>
    <w:rsid w:val="00F84B99"/>
    <w:rsid w:val="00F85E23"/>
    <w:rsid w:val="00F86ABE"/>
    <w:rsid w:val="00F87B48"/>
    <w:rsid w:val="00F90BB1"/>
    <w:rsid w:val="00F9149A"/>
    <w:rsid w:val="00F9166E"/>
    <w:rsid w:val="00F91CD0"/>
    <w:rsid w:val="00F91E81"/>
    <w:rsid w:val="00F91EAB"/>
    <w:rsid w:val="00F91EED"/>
    <w:rsid w:val="00F92803"/>
    <w:rsid w:val="00F966B2"/>
    <w:rsid w:val="00F97174"/>
    <w:rsid w:val="00FA1BF6"/>
    <w:rsid w:val="00FA3183"/>
    <w:rsid w:val="00FA7339"/>
    <w:rsid w:val="00FB4096"/>
    <w:rsid w:val="00FB4F7A"/>
    <w:rsid w:val="00FB5509"/>
    <w:rsid w:val="00FB601D"/>
    <w:rsid w:val="00FC0A7B"/>
    <w:rsid w:val="00FC126E"/>
    <w:rsid w:val="00FC1811"/>
    <w:rsid w:val="00FC2B29"/>
    <w:rsid w:val="00FC4D56"/>
    <w:rsid w:val="00FC72F7"/>
    <w:rsid w:val="00FC745E"/>
    <w:rsid w:val="00FC750C"/>
    <w:rsid w:val="00FD16A7"/>
    <w:rsid w:val="00FD3731"/>
    <w:rsid w:val="00FD48ED"/>
    <w:rsid w:val="00FD5E03"/>
    <w:rsid w:val="00FD5F5D"/>
    <w:rsid w:val="00FD7DB7"/>
    <w:rsid w:val="00FE2C25"/>
    <w:rsid w:val="00FE37C6"/>
    <w:rsid w:val="00FE524E"/>
    <w:rsid w:val="00FE7709"/>
    <w:rsid w:val="00FF037D"/>
    <w:rsid w:val="00FF3539"/>
    <w:rsid w:val="00FF5843"/>
    <w:rsid w:val="00FF7227"/>
    <w:rsid w:val="00FF7DD7"/>
    <w:rsid w:val="00FF7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758D10"/>
  <w15:chartTrackingRefBased/>
  <w15:docId w15:val="{058D04CD-2992-4412-B5A2-DF9149345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HAnsi"/>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578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3578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3578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3578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3578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3578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3578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3578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3578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78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3578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3578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3578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3578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3578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3578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3578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35786"/>
    <w:rPr>
      <w:rFonts w:eastAsiaTheme="majorEastAsia" w:cstheme="majorBidi"/>
      <w:color w:val="272727" w:themeColor="text1" w:themeTint="D8"/>
    </w:rPr>
  </w:style>
  <w:style w:type="paragraph" w:styleId="Title">
    <w:name w:val="Title"/>
    <w:basedOn w:val="Normal"/>
    <w:next w:val="Normal"/>
    <w:link w:val="TitleChar"/>
    <w:uiPriority w:val="10"/>
    <w:qFormat/>
    <w:rsid w:val="00D357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3578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3578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3578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35786"/>
    <w:pPr>
      <w:spacing w:before="160"/>
      <w:jc w:val="center"/>
    </w:pPr>
    <w:rPr>
      <w:i/>
      <w:iCs/>
      <w:color w:val="404040" w:themeColor="text1" w:themeTint="BF"/>
    </w:rPr>
  </w:style>
  <w:style w:type="character" w:customStyle="1" w:styleId="QuoteChar">
    <w:name w:val="Quote Char"/>
    <w:basedOn w:val="DefaultParagraphFont"/>
    <w:link w:val="Quote"/>
    <w:uiPriority w:val="29"/>
    <w:rsid w:val="00D35786"/>
    <w:rPr>
      <w:i/>
      <w:iCs/>
      <w:color w:val="404040" w:themeColor="text1" w:themeTint="BF"/>
    </w:rPr>
  </w:style>
  <w:style w:type="paragraph" w:styleId="ListParagraph">
    <w:name w:val="List Paragraph"/>
    <w:basedOn w:val="Normal"/>
    <w:uiPriority w:val="34"/>
    <w:qFormat/>
    <w:rsid w:val="00D35786"/>
    <w:pPr>
      <w:ind w:left="720"/>
      <w:contextualSpacing/>
    </w:pPr>
  </w:style>
  <w:style w:type="character" w:styleId="IntenseEmphasis">
    <w:name w:val="Intense Emphasis"/>
    <w:basedOn w:val="DefaultParagraphFont"/>
    <w:uiPriority w:val="21"/>
    <w:qFormat/>
    <w:rsid w:val="00D35786"/>
    <w:rPr>
      <w:i/>
      <w:iCs/>
      <w:color w:val="0F4761" w:themeColor="accent1" w:themeShade="BF"/>
    </w:rPr>
  </w:style>
  <w:style w:type="paragraph" w:styleId="IntenseQuote">
    <w:name w:val="Intense Quote"/>
    <w:basedOn w:val="Normal"/>
    <w:next w:val="Normal"/>
    <w:link w:val="IntenseQuoteChar"/>
    <w:uiPriority w:val="30"/>
    <w:qFormat/>
    <w:rsid w:val="00D3578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35786"/>
    <w:rPr>
      <w:i/>
      <w:iCs/>
      <w:color w:val="0F4761" w:themeColor="accent1" w:themeShade="BF"/>
    </w:rPr>
  </w:style>
  <w:style w:type="character" w:styleId="IntenseReference">
    <w:name w:val="Intense Reference"/>
    <w:basedOn w:val="DefaultParagraphFont"/>
    <w:uiPriority w:val="32"/>
    <w:qFormat/>
    <w:rsid w:val="00D35786"/>
    <w:rPr>
      <w:b/>
      <w:bCs/>
      <w:smallCaps/>
      <w:color w:val="0F4761" w:themeColor="accent1" w:themeShade="BF"/>
      <w:spacing w:val="5"/>
    </w:rPr>
  </w:style>
  <w:style w:type="character" w:styleId="Hyperlink">
    <w:name w:val="Hyperlink"/>
    <w:basedOn w:val="DefaultParagraphFont"/>
    <w:uiPriority w:val="99"/>
    <w:unhideWhenUsed/>
    <w:rsid w:val="00C473A0"/>
    <w:rPr>
      <w:color w:val="467886" w:themeColor="hyperlink"/>
      <w:u w:val="single"/>
    </w:rPr>
  </w:style>
  <w:style w:type="character" w:styleId="UnresolvedMention">
    <w:name w:val="Unresolved Mention"/>
    <w:basedOn w:val="DefaultParagraphFont"/>
    <w:uiPriority w:val="99"/>
    <w:semiHidden/>
    <w:unhideWhenUsed/>
    <w:rsid w:val="00C473A0"/>
    <w:rPr>
      <w:color w:val="605E5C"/>
      <w:shd w:val="clear" w:color="auto" w:fill="E1DFDD"/>
    </w:rPr>
  </w:style>
  <w:style w:type="character" w:styleId="FollowedHyperlink">
    <w:name w:val="FollowedHyperlink"/>
    <w:basedOn w:val="DefaultParagraphFont"/>
    <w:uiPriority w:val="99"/>
    <w:semiHidden/>
    <w:unhideWhenUsed/>
    <w:rsid w:val="00B70C86"/>
    <w:rPr>
      <w:color w:val="96607D" w:themeColor="followedHyperlink"/>
      <w:u w:val="single"/>
    </w:rPr>
  </w:style>
  <w:style w:type="paragraph" w:styleId="Header">
    <w:name w:val="header"/>
    <w:basedOn w:val="Normal"/>
    <w:link w:val="HeaderChar"/>
    <w:uiPriority w:val="99"/>
    <w:unhideWhenUsed/>
    <w:rsid w:val="00DB44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4443"/>
  </w:style>
  <w:style w:type="paragraph" w:styleId="Footer">
    <w:name w:val="footer"/>
    <w:basedOn w:val="Normal"/>
    <w:link w:val="FooterChar"/>
    <w:uiPriority w:val="99"/>
    <w:unhideWhenUsed/>
    <w:rsid w:val="00DB44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44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ergipark.org.tr/en/pub/deusosbil"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dergipark.org.tr/en/pub/@psarigol"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00ca45506cccf54d6e18661a01dc9b9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46402a7383293b84c7da501b6d422a7b"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FA1CDFD-ADAA-49A3-B2EF-C900A3A5E72F}">
  <ds:schemaRefs>
    <ds:schemaRef ds:uri="http://schemas.microsoft.com/sharepoint/v3/contenttype/forms"/>
  </ds:schemaRefs>
</ds:datastoreItem>
</file>

<file path=customXml/itemProps2.xml><?xml version="1.0" encoding="utf-8"?>
<ds:datastoreItem xmlns:ds="http://schemas.openxmlformats.org/officeDocument/2006/customXml" ds:itemID="{F431D5A5-B2A9-45F5-BE55-B762893461A7}">
  <ds:schemaRefs>
    <ds:schemaRef ds:uri="http://schemas.microsoft.com/office/2006/metadata/properties"/>
    <ds:schemaRef ds:uri="http://schemas.microsoft.com/office/infopath/2007/PartnerControls"/>
    <ds:schemaRef ds:uri="4055ddc6-ee7b-4b5b-b8fb-52871646f80e"/>
  </ds:schemaRefs>
</ds:datastoreItem>
</file>

<file path=customXml/itemProps3.xml><?xml version="1.0" encoding="utf-8"?>
<ds:datastoreItem xmlns:ds="http://schemas.openxmlformats.org/officeDocument/2006/customXml" ds:itemID="{D2749E35-1AF6-4BBE-B024-F13B36BE59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20</Pages>
  <Words>6399</Words>
  <Characters>36476</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Libby Eve Casey (2200299)</dc:creator>
  <cp:keywords/>
  <dc:description/>
  <cp:lastModifiedBy>Libby Casey</cp:lastModifiedBy>
  <cp:revision>4</cp:revision>
  <dcterms:created xsi:type="dcterms:W3CDTF">2025-11-23T20:57:00Z</dcterms:created>
  <dcterms:modified xsi:type="dcterms:W3CDTF">2025-11-23T21:01:00Z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