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6BB6EF8" w14:textId="6F1AA7E2" w:rsidR="005A791E" w:rsidRPr="005A791E" w:rsidRDefault="005A791E" w:rsidP="00EB3E6E">
      <w:pPr>
        <w:jc w:val="center"/>
        <w:rPr>
          <w:b/>
          <w:bCs/>
          <w:sz w:val="96"/>
          <w:szCs w:val="96"/>
          <w:u w:val="single"/>
        </w:rPr>
      </w:pPr>
      <w:r w:rsidRPr="005A791E">
        <w:rPr>
          <w:b/>
          <w:bCs/>
          <w:sz w:val="96"/>
          <w:szCs w:val="96"/>
          <w:u w:val="single"/>
        </w:rPr>
        <w:t>Saira Azam</w:t>
      </w:r>
    </w:p>
    <w:p w14:paraId="6DB67BD8" w14:textId="07DC60F4" w:rsidR="005A791E" w:rsidRPr="005A791E" w:rsidRDefault="005A791E" w:rsidP="00EB3E6E">
      <w:pPr>
        <w:jc w:val="center"/>
        <w:rPr>
          <w:b/>
          <w:bCs/>
          <w:sz w:val="96"/>
          <w:szCs w:val="96"/>
          <w:u w:val="single"/>
        </w:rPr>
      </w:pPr>
      <w:r w:rsidRPr="005A791E">
        <w:rPr>
          <w:b/>
          <w:bCs/>
          <w:sz w:val="96"/>
          <w:szCs w:val="96"/>
          <w:u w:val="single"/>
        </w:rPr>
        <w:t>2515555</w:t>
      </w:r>
    </w:p>
    <w:p w14:paraId="52876715" w14:textId="77777777" w:rsidR="005A791E" w:rsidRDefault="005A791E" w:rsidP="005A791E">
      <w:pPr>
        <w:jc w:val="center"/>
        <w:rPr>
          <w:b/>
          <w:bCs/>
          <w:sz w:val="96"/>
          <w:szCs w:val="96"/>
          <w:u w:val="single"/>
        </w:rPr>
      </w:pPr>
      <w:r w:rsidRPr="005A791E">
        <w:rPr>
          <w:b/>
          <w:bCs/>
          <w:sz w:val="96"/>
          <w:szCs w:val="96"/>
          <w:u w:val="single"/>
        </w:rPr>
        <w:t>LCHS4010</w:t>
      </w:r>
    </w:p>
    <w:p w14:paraId="12951D53" w14:textId="7E5B13E6" w:rsidR="00B83AAF" w:rsidRPr="005A791E" w:rsidRDefault="00B83AAF" w:rsidP="005A791E">
      <w:pPr>
        <w:jc w:val="center"/>
        <w:rPr>
          <w:b/>
          <w:bCs/>
          <w:sz w:val="96"/>
          <w:szCs w:val="96"/>
          <w:u w:val="single"/>
        </w:rPr>
      </w:pPr>
      <w:r>
        <w:rPr>
          <w:b/>
          <w:bCs/>
          <w:sz w:val="96"/>
          <w:szCs w:val="96"/>
          <w:u w:val="single"/>
        </w:rPr>
        <w:t>Alice Clayton</w:t>
      </w:r>
    </w:p>
    <w:p w14:paraId="35532A38" w14:textId="2587FDA1" w:rsidR="005A791E" w:rsidRDefault="005A791E" w:rsidP="00EB3E6E">
      <w:pPr>
        <w:jc w:val="center"/>
        <w:rPr>
          <w:b/>
          <w:bCs/>
          <w:u w:val="single"/>
        </w:rPr>
      </w:pPr>
    </w:p>
    <w:p w14:paraId="4A722A85" w14:textId="77777777" w:rsidR="005A791E" w:rsidRDefault="005A791E" w:rsidP="00EB3E6E">
      <w:pPr>
        <w:jc w:val="center"/>
        <w:rPr>
          <w:b/>
          <w:bCs/>
          <w:u w:val="single"/>
        </w:rPr>
      </w:pPr>
    </w:p>
    <w:p w14:paraId="43F44043" w14:textId="77777777" w:rsidR="005A791E" w:rsidRDefault="005A791E">
      <w:pPr>
        <w:rPr>
          <w:b/>
          <w:bCs/>
          <w:u w:val="single"/>
        </w:rPr>
      </w:pPr>
      <w:r>
        <w:rPr>
          <w:b/>
          <w:bCs/>
          <w:u w:val="single"/>
        </w:rPr>
        <w:br w:type="page"/>
      </w:r>
    </w:p>
    <w:p w14:paraId="49431F32" w14:textId="026DA8E0" w:rsidR="00EB3E6E" w:rsidRPr="00EB3E6E" w:rsidRDefault="00EB3E6E" w:rsidP="00EB3E6E">
      <w:pPr>
        <w:jc w:val="center"/>
        <w:rPr>
          <w:b/>
          <w:bCs/>
          <w:u w:val="single"/>
        </w:rPr>
      </w:pPr>
      <w:r w:rsidRPr="00EB3E6E">
        <w:rPr>
          <w:b/>
          <w:bCs/>
          <w:u w:val="single"/>
        </w:rPr>
        <w:lastRenderedPageBreak/>
        <w:t>The Impact of Social Media on Mental Health in Adolescence</w:t>
      </w:r>
    </w:p>
    <w:p w14:paraId="375C4401" w14:textId="77777777" w:rsidR="00EB3E6E" w:rsidRDefault="00EB3E6E" w:rsidP="00EB3E6E">
      <w:r>
        <w:t xml:space="preserve">Adolescence represents a critical developmental window characterized by rapid biological, social, and psychological transitions. In the contemporary digital era, this phase is increasingly mediated by social media platforms, with data indicating that nearly 95% of teenagers utilize platforms such as Instagram, TikTok, and Snapchat daily (Pew Research </w:t>
      </w:r>
      <w:proofErr w:type="spellStart"/>
      <w:r>
        <w:t>Center</w:t>
      </w:r>
      <w:proofErr w:type="spellEnd"/>
      <w:r>
        <w:t xml:space="preserve">, 2023). While these digital spaces offer unprecedented opportunities for peer connectivity and self-expression, their pervasive integration into daily life has sparked intense academic debate regarding their consequences on youth well-being. Emerging empirical literature increasingly links heavy screen time to adverse psychological outcomes, including elevated rates of anxiety, depressive symptomology, and sleep disruption (Twenge, 2019). Conversely, digital platforms can also mitigate loneliness by fostering supportive subcultures for marginalized youth. To comprehensively evaluate these divergent impacts, psychological frameworks must be employed to </w:t>
      </w:r>
      <w:proofErr w:type="spellStart"/>
      <w:r>
        <w:t>analyze</w:t>
      </w:r>
      <w:proofErr w:type="spellEnd"/>
      <w:r>
        <w:t xml:space="preserve"> how digital interactions influence developmental trajectories. Accordingly, this essay will critically examine the impact of social media on adolescent mental health by applying two foundational theories: Erik Erikson’s Psychosocial Theory and Albert Bandura’s Social Learning Theory. Through these lenses, both the internal identity conflicts and the external </w:t>
      </w:r>
      <w:proofErr w:type="spellStart"/>
      <w:r>
        <w:t>behavioral</w:t>
      </w:r>
      <w:proofErr w:type="spellEnd"/>
      <w:r>
        <w:t xml:space="preserve"> </w:t>
      </w:r>
      <w:proofErr w:type="spellStart"/>
      <w:r>
        <w:t>modeling</w:t>
      </w:r>
      <w:proofErr w:type="spellEnd"/>
      <w:r>
        <w:t xml:space="preserve"> mechanisms inherent to the digital landscape will be systematically </w:t>
      </w:r>
      <w:proofErr w:type="spellStart"/>
      <w:r>
        <w:t>analyzed</w:t>
      </w:r>
      <w:proofErr w:type="spellEnd"/>
      <w:r>
        <w:t xml:space="preserve"> and evaluated.</w:t>
      </w:r>
    </w:p>
    <w:p w14:paraId="234D6662" w14:textId="77777777" w:rsidR="00EB3E6E" w:rsidRDefault="00EB3E6E" w:rsidP="00EB3E6E">
      <w:r>
        <w:t>Erik Erikson’s Psychosocial Theory posits that human development progresses through eight distinct, sequential stages, each defined by a core psychosocial crisis that must be resolved to achieve healthy psychological functioning (Erikson, 1968). Adolescence is governed by the fifth stage of development: Identity versus Role Confusion. During this period, individuals experience an intense developmental drive to answer the fundamental question, "Who am I?" This involves integrating personal values, beliefs, occupational goals, and social roles into a coherent, stable sense of self. According to Erikson (1968), a successful resolution of this crisis yields the virtue of fidelity, which manifests as an ability to maintain personal consistency and loyalty to one's values despite societal pressures. Conversely, failure to navigate this stage results in role confusion, characterized by a fragmented, unstable sense of self, directionlessness, and heightened vulnerability to external influences. Crucially, Erikson emphasized the necessity of a psychosocial moratorium—a prolonged period of unstructured experimentation where adolescents can test various social roles, identities, and peer affiliations without immediate adult consequences before committing to a permanent adult identity.</w:t>
      </w:r>
    </w:p>
    <w:p w14:paraId="6B5D70B3" w14:textId="77777777" w:rsidR="00EB3E6E" w:rsidRDefault="00EB3E6E" w:rsidP="00EB3E6E">
      <w:r>
        <w:t>When applied to the digital ecosystem, Erikson’s framework reveals that social media functions as a highly accelerated, virtual psychosocial moratorium. On the beneficial side, platforms provide teenagers with unique, low-risk spaces to experiment with different facets of their identity, discover like-minded subcultures, and receive immediate peer validation, which can significantly bolster self-esteem and belongingness (Allen et al., 2014). For instance, an adolescent exploring creative arts or navigating minority identities can find affirmative digital communities that may be absent in their immediate physical environment. However, the structural architecture of modern social media also poses profound disadvantages that frequently exacerbate role confusion. Digital platforms incentivize the curation of highly idealized, artificial personas designed to maximize quantifiable metrics such as "likes," views, and comments. This constant external validation loop can disrupt internal identity formation, causing adolescents to tie their self-worth entirely to superficial peer feedback (Valkenburg and Peter, 2011). When an individual's digital persona diverges radically from their authentic self, it induces severe role confusion and psychological fragmentation. Chronic exposure to peer-vetted, digitally modified imagery often triggers severe body dissatisfaction and identity anxiety, as teenagers struggle to reconcile their physical realities with their curated online identities (Twenge, 2019).</w:t>
      </w:r>
    </w:p>
    <w:p w14:paraId="7AB97E95" w14:textId="77777777" w:rsidR="00EB3E6E" w:rsidRDefault="00EB3E6E" w:rsidP="00EB3E6E">
      <w:r>
        <w:lastRenderedPageBreak/>
        <w:t>A primary strength of Erikson’s theory is its exceptional developmental relevance; it explicitly pinpoints identity exploration as the central preoccupation of the teenage years, providing an intuitive framework for understanding why adolescents are naturally drawn to highly social, interactive digital spaces. It successfully bridges internal psychological development with external social environments. However, a significant limitation is that the theory was formulated long before the digital age, meaning it fails to account for the permanent, inescapable nature of modern digital footprints. Erikson's concept of a "moratorium" assumed that youthful experimentation was transient and private; today, an adolescent's identity trials, errors, and social missteps are permanently archived online, potentially hindering the healthy resolution of role confusion. Furthermore, critics argue that the theory is overly descriptive and lacks empirical measurability, making it difficult to quantify how specific digital metrics directly cause distinct identity crises.</w:t>
      </w:r>
    </w:p>
    <w:p w14:paraId="02595FED" w14:textId="77777777" w:rsidR="00EB3E6E" w:rsidRDefault="00EB3E6E" w:rsidP="00EB3E6E">
      <w:r>
        <w:t xml:space="preserve">Albert Bandura’s Social Learning Theory asserts that human </w:t>
      </w:r>
      <w:proofErr w:type="spellStart"/>
      <w:r>
        <w:t>behavior</w:t>
      </w:r>
      <w:proofErr w:type="spellEnd"/>
      <w:r>
        <w:t xml:space="preserve"> is largely acquired through the observation, imitation, and </w:t>
      </w:r>
      <w:proofErr w:type="spellStart"/>
      <w:r>
        <w:t>modeling</w:t>
      </w:r>
      <w:proofErr w:type="spellEnd"/>
      <w:r>
        <w:t xml:space="preserve"> of others within a social context (Bandura, 1977). Moving beyond basic </w:t>
      </w:r>
      <w:proofErr w:type="spellStart"/>
      <w:r>
        <w:t>behaviorist</w:t>
      </w:r>
      <w:proofErr w:type="spellEnd"/>
      <w:r>
        <w:t xml:space="preserve"> models of direct reinforcement, Bandura demonstrated that individuals </w:t>
      </w:r>
      <w:proofErr w:type="gramStart"/>
      <w:r>
        <w:t>can</w:t>
      </w:r>
      <w:proofErr w:type="gramEnd"/>
      <w:r>
        <w:t xml:space="preserve"> learn novel </w:t>
      </w:r>
      <w:proofErr w:type="spellStart"/>
      <w:r>
        <w:t>behavioral</w:t>
      </w:r>
      <w:proofErr w:type="spellEnd"/>
      <w:r>
        <w:t xml:space="preserve"> patterns vicariously. This process of observational learning is governed by four cognitive sub-functions: attention (ensuring the </w:t>
      </w:r>
      <w:proofErr w:type="spellStart"/>
      <w:r>
        <w:t>behavior</w:t>
      </w:r>
      <w:proofErr w:type="spellEnd"/>
      <w:r>
        <w:t xml:space="preserve"> is noticed), retention (coding the </w:t>
      </w:r>
      <w:proofErr w:type="spellStart"/>
      <w:r>
        <w:t>behavior</w:t>
      </w:r>
      <w:proofErr w:type="spellEnd"/>
      <w:r>
        <w:t xml:space="preserve"> into memory), reproduction (the physical or social capacity to perform the </w:t>
      </w:r>
      <w:proofErr w:type="spellStart"/>
      <w:r>
        <w:t>behavior</w:t>
      </w:r>
      <w:proofErr w:type="spellEnd"/>
      <w:r>
        <w:t xml:space="preserve">), and motivation. Motivation is heavily driven by vicarious reinforcement, which occurs when an observer witnesses a model being rewarded or punished for a specific action. If a model is rewarded, the observer is significantly more likely to imitate the </w:t>
      </w:r>
      <w:proofErr w:type="spellStart"/>
      <w:r>
        <w:t>behavior</w:t>
      </w:r>
      <w:proofErr w:type="spellEnd"/>
      <w:r>
        <w:t xml:space="preserve">. Bandura also emphasized the concept of self-efficacy, defined as an individual’s belief in their own capability to execute </w:t>
      </w:r>
      <w:proofErr w:type="spellStart"/>
      <w:r>
        <w:t>behaviors</w:t>
      </w:r>
      <w:proofErr w:type="spellEnd"/>
      <w:r>
        <w:t xml:space="preserve"> necessary to produce specific developmental attainments (Bandura, 1997).</w:t>
      </w:r>
    </w:p>
    <w:p w14:paraId="39C1C0F1" w14:textId="77777777" w:rsidR="00EB3E6E" w:rsidRDefault="00EB3E6E" w:rsidP="00EB3E6E">
      <w:r>
        <w:t xml:space="preserve">Bandura’s theory offers an exceptionally clear lens for </w:t>
      </w:r>
      <w:proofErr w:type="spellStart"/>
      <w:r>
        <w:t>analyzing</w:t>
      </w:r>
      <w:proofErr w:type="spellEnd"/>
      <w:r>
        <w:t xml:space="preserve"> how social media algorithms and influencer cultures dictate adolescent </w:t>
      </w:r>
      <w:proofErr w:type="spellStart"/>
      <w:r>
        <w:t>behavioral</w:t>
      </w:r>
      <w:proofErr w:type="spellEnd"/>
      <w:r>
        <w:t xml:space="preserve"> patterns and subsequent mental health outcomes. In terms of benefits, social media can serve as a powerful conduit for positive </w:t>
      </w:r>
      <w:proofErr w:type="spellStart"/>
      <w:r>
        <w:t>modeling</w:t>
      </w:r>
      <w:proofErr w:type="spellEnd"/>
      <w:r>
        <w:t xml:space="preserve">. Adolescents who observe peers or digital creators openly discussing mental health struggles, practicing healthy coping strategies, or engaging in physical fitness can develop heightened self-efficacy regarding their own well-being (Naslund et al., 2016). Witnessing a digital model receive widespread social praise (vicarious reinforcement) for vulnerability can motivate struggling teenagers to seek professional psychological help. Conversely, the mechanics of observational learning on social media frequently generate detrimental mental health consequences. Digital platforms expose adolescents to thousands of highly influential models—ranging from celebrity influencers to popular peers—who are consistently rewarded with millions of followers and social prestige for displaying unrealistic body standards or affluent lifestyles. According to Bandura's model, teenagers pay close attention to and retain these images, subsequently attempting to replicate them. When adolescents try to reproduce these unattainable standards and inevitably fail, their perceived self-efficacy plummets, frequently precipitating symptoms of depression and anxiety (Tiger and </w:t>
      </w:r>
      <w:proofErr w:type="spellStart"/>
      <w:r>
        <w:t>Kircaburun</w:t>
      </w:r>
      <w:proofErr w:type="spellEnd"/>
      <w:r>
        <w:t>, 2018).</w:t>
      </w:r>
    </w:p>
    <w:p w14:paraId="5913C015" w14:textId="77777777" w:rsidR="00EB3E6E" w:rsidRDefault="00EB3E6E" w:rsidP="00EB3E6E">
      <w:r>
        <w:t xml:space="preserve">The primary strength of Bandura’s Social Learning Theory lies in its robust empirical foundation and its high external validity within digital environments. Unlike more abstract developmental frameworks, observational learning can be directly tested and measured, clearly demonstrating a causal link between the consumption of specific online media models and subsequent </w:t>
      </w:r>
      <w:proofErr w:type="spellStart"/>
      <w:r>
        <w:t>behavioral</w:t>
      </w:r>
      <w:proofErr w:type="spellEnd"/>
      <w:r>
        <w:t xml:space="preserve"> changes in youth. Nonetheless, a notable limitation of Bandura’s framework is its relative underestimation of internal biological, genetic, and deeply rooted emotional factors. The theory approaches the adolescent as a highly malleable processor of environmental stimuli, occasionally overlooking why two teenagers exposed to the exact same online model might experience vastly </w:t>
      </w:r>
      <w:r>
        <w:lastRenderedPageBreak/>
        <w:t>different mental health outcomes due to preexisting vulnerabilities or differing family dynamics. Additionally, it minimizes the role of active, individual agency in interpreting digital media messages.</w:t>
      </w:r>
    </w:p>
    <w:p w14:paraId="17AAD202" w14:textId="77777777" w:rsidR="00EB3E6E" w:rsidRDefault="00EB3E6E" w:rsidP="00EB3E6E">
      <w:r>
        <w:t xml:space="preserve">This essay has critically </w:t>
      </w:r>
      <w:proofErr w:type="spellStart"/>
      <w:r>
        <w:t>analyzed</w:t>
      </w:r>
      <w:proofErr w:type="spellEnd"/>
      <w:r>
        <w:t xml:space="preserve"> the multifaceted impact of social media on adolescent mental health through the psychological frameworks of Erik Erikson and Albert Bandura. Erikson’s theory successfully highlights how digital spaces serve as an expansive, yet risky virtual moratorium where the pursuit of peer validation can either facilitate healthy identity formation or induce severe role confusion. Meanwhile, Bandura’s theory provides an empirical foundation explaining how digital models dictate </w:t>
      </w:r>
      <w:proofErr w:type="spellStart"/>
      <w:r>
        <w:t>behavioral</w:t>
      </w:r>
      <w:proofErr w:type="spellEnd"/>
      <w:r>
        <w:t xml:space="preserve"> trends through observational learning, demonstrating that the vicarious reinforcement of unrealistic lifestyles significantly damages adolescent self-efficacy and well-being. Ultimately, both frameworks reveal that social media is neither inherently toxic nor universally beneficial; rather, its impact is contingent upon how digital interactions intersect with adolescent developmental vulnerabilities. While Bandura's theory offers superior empirical utility for mapping </w:t>
      </w:r>
      <w:proofErr w:type="spellStart"/>
      <w:r>
        <w:t>behavioral</w:t>
      </w:r>
      <w:proofErr w:type="spellEnd"/>
      <w:r>
        <w:t xml:space="preserve"> imitation, integrating both theories yields the most comprehensive understanding. By combining Erikson's focus on internal identity conflicts with Bandura's emphasis on external </w:t>
      </w:r>
      <w:proofErr w:type="spellStart"/>
      <w:r>
        <w:t>behavioral</w:t>
      </w:r>
      <w:proofErr w:type="spellEnd"/>
      <w:r>
        <w:t xml:space="preserve"> </w:t>
      </w:r>
      <w:proofErr w:type="spellStart"/>
      <w:r>
        <w:t>modeling</w:t>
      </w:r>
      <w:proofErr w:type="spellEnd"/>
      <w:r>
        <w:t>, researchers and educators can better design holistic digital literacy interventions that safeguard youth mental health in an increasingly interconnected world.</w:t>
      </w:r>
    </w:p>
    <w:p w14:paraId="3C1C0864" w14:textId="0FFEA0DB" w:rsidR="00EB3E6E" w:rsidRDefault="00EB3E6E" w:rsidP="00EB3E6E">
      <w:pPr>
        <w:pStyle w:val="ListParagraph"/>
        <w:numPr>
          <w:ilvl w:val="0"/>
          <w:numId w:val="2"/>
        </w:numPr>
      </w:pPr>
      <w:r>
        <w:t>Allen, K.A., Ryan, T., Gray, D.L., McInerney, D.M. and Waters, L. (2014) 'Social media use and social connectedness in adolescents: The role of belongingness', *Educational Psychology Review*, 26(1), pp. 18-31.</w:t>
      </w:r>
    </w:p>
    <w:p w14:paraId="1A7AC404" w14:textId="145E429C" w:rsidR="00EB3E6E" w:rsidRDefault="00EB3E6E" w:rsidP="00EB3E6E">
      <w:pPr>
        <w:pStyle w:val="ListParagraph"/>
        <w:numPr>
          <w:ilvl w:val="0"/>
          <w:numId w:val="2"/>
        </w:numPr>
      </w:pPr>
      <w:r>
        <w:t>Bandura, A. (1977) *Social learning theory*. Englewood Cliffs, NJ: Prentice-Hall.</w:t>
      </w:r>
    </w:p>
    <w:p w14:paraId="72BE7F34" w14:textId="286FE61D" w:rsidR="00EB3E6E" w:rsidRDefault="00EB3E6E" w:rsidP="00EB3E6E">
      <w:pPr>
        <w:pStyle w:val="ListParagraph"/>
        <w:numPr>
          <w:ilvl w:val="0"/>
          <w:numId w:val="2"/>
        </w:numPr>
      </w:pPr>
      <w:r>
        <w:t>Bandura, A. (1997) *Self-efficacy: The exercise of control*. New York: W.H. Freeman and Company.</w:t>
      </w:r>
    </w:p>
    <w:p w14:paraId="1122DF1C" w14:textId="6E8ACAA4" w:rsidR="00EB3E6E" w:rsidRDefault="00EB3E6E" w:rsidP="00EB3E6E">
      <w:pPr>
        <w:pStyle w:val="ListParagraph"/>
        <w:numPr>
          <w:ilvl w:val="0"/>
          <w:numId w:val="2"/>
        </w:numPr>
      </w:pPr>
      <w:r>
        <w:t>Erikson, E.H. (1968) *Identity: youth and crisis*. New York: W. W. Norton &amp; Company.</w:t>
      </w:r>
    </w:p>
    <w:p w14:paraId="01D5FA56" w14:textId="16B62B07" w:rsidR="00EB3E6E" w:rsidRDefault="00EB3E6E" w:rsidP="00EB3E6E">
      <w:pPr>
        <w:pStyle w:val="ListParagraph"/>
        <w:numPr>
          <w:ilvl w:val="0"/>
          <w:numId w:val="2"/>
        </w:numPr>
      </w:pPr>
      <w:r>
        <w:t>Naslund, J.A., Aschbrenner, K.A., Marsch, L.A. and Bartels, S.J. (2016) 'The role of social media in mental health', *Current Opinion in Psychiatry*, 29(4), pp. 242-247.</w:t>
      </w:r>
    </w:p>
    <w:p w14:paraId="08F15B76" w14:textId="5C56B5A8" w:rsidR="00EB3E6E" w:rsidRDefault="00EB3E6E" w:rsidP="00EB3E6E">
      <w:pPr>
        <w:pStyle w:val="ListParagraph"/>
        <w:numPr>
          <w:ilvl w:val="0"/>
          <w:numId w:val="2"/>
        </w:numPr>
      </w:pPr>
      <w:r>
        <w:t xml:space="preserve">Pew Research </w:t>
      </w:r>
      <w:proofErr w:type="spellStart"/>
      <w:r>
        <w:t>Center</w:t>
      </w:r>
      <w:proofErr w:type="spellEnd"/>
      <w:r>
        <w:t xml:space="preserve"> (2023) *Teens, social media and technology 2023*. Available at: https://www.pewresearch.org/internet/2023/12/11/teens-social-media-and-technology-2023/ (Accessed: 20 July 2026).</w:t>
      </w:r>
    </w:p>
    <w:p w14:paraId="2E4E6369" w14:textId="08BDD729" w:rsidR="00EB3E6E" w:rsidRDefault="00EB3E6E" w:rsidP="00EB3E6E">
      <w:pPr>
        <w:pStyle w:val="ListParagraph"/>
        <w:numPr>
          <w:ilvl w:val="0"/>
          <w:numId w:val="2"/>
        </w:numPr>
      </w:pPr>
      <w:r>
        <w:t xml:space="preserve">Tiger, I. and </w:t>
      </w:r>
      <w:proofErr w:type="spellStart"/>
      <w:r>
        <w:t>Kircaburun</w:t>
      </w:r>
      <w:proofErr w:type="spellEnd"/>
      <w:r>
        <w:t>, K. (2018) 'Social media addiction, body image dissatisfaction, and depressive symptoms in adolescents', *Journal of Rational-Emotive &amp; Cognitive-</w:t>
      </w:r>
      <w:proofErr w:type="spellStart"/>
      <w:r>
        <w:t>Behavior</w:t>
      </w:r>
      <w:proofErr w:type="spellEnd"/>
      <w:r>
        <w:t xml:space="preserve"> Therapy*, 36(3), pp. 224-238.</w:t>
      </w:r>
    </w:p>
    <w:p w14:paraId="10487DB1" w14:textId="7EE8F1C9" w:rsidR="00EB3E6E" w:rsidRDefault="00EB3E6E" w:rsidP="00EB3E6E">
      <w:pPr>
        <w:pStyle w:val="ListParagraph"/>
        <w:numPr>
          <w:ilvl w:val="0"/>
          <w:numId w:val="2"/>
        </w:numPr>
      </w:pPr>
      <w:r>
        <w:t>Twenge, J.M. (2019) 'More time on technology, less happiness?', *World Psychiatry*, 18(2), pp. 185-186.</w:t>
      </w:r>
    </w:p>
    <w:p w14:paraId="698B3698" w14:textId="41A19004" w:rsidR="008A0149" w:rsidRDefault="00EB3E6E" w:rsidP="00EB3E6E">
      <w:pPr>
        <w:pStyle w:val="ListParagraph"/>
        <w:numPr>
          <w:ilvl w:val="0"/>
          <w:numId w:val="2"/>
        </w:numPr>
      </w:pPr>
      <w:r>
        <w:t>Valkenburg, P.M. and Peter, J. (2011) 'Online communication among adolescents: An integrated model of its social causes and consequences', *Journal of Adolescent Health*, 48(2), pp. 121-127.</w:t>
      </w:r>
    </w:p>
    <w:sectPr w:rsidR="008A014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6DE2499"/>
    <w:multiLevelType w:val="hybridMultilevel"/>
    <w:tmpl w:val="51B4CE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7081BE2"/>
    <w:multiLevelType w:val="hybridMultilevel"/>
    <w:tmpl w:val="3C3E86B0"/>
    <w:lvl w:ilvl="0" w:tplc="B9580C6E">
      <w:numFmt w:val="bullet"/>
      <w:lvlText w:val=""/>
      <w:lvlJc w:val="left"/>
      <w:pPr>
        <w:ind w:left="408" w:hanging="360"/>
      </w:pPr>
      <w:rPr>
        <w:rFonts w:ascii="Symbol" w:eastAsiaTheme="minorHAnsi" w:hAnsi="Symbol" w:cstheme="minorBidi" w:hint="default"/>
      </w:rPr>
    </w:lvl>
    <w:lvl w:ilvl="1" w:tplc="08090003" w:tentative="1">
      <w:start w:val="1"/>
      <w:numFmt w:val="bullet"/>
      <w:lvlText w:val="o"/>
      <w:lvlJc w:val="left"/>
      <w:pPr>
        <w:ind w:left="1128" w:hanging="360"/>
      </w:pPr>
      <w:rPr>
        <w:rFonts w:ascii="Courier New" w:hAnsi="Courier New" w:cs="Courier New" w:hint="default"/>
      </w:rPr>
    </w:lvl>
    <w:lvl w:ilvl="2" w:tplc="08090005" w:tentative="1">
      <w:start w:val="1"/>
      <w:numFmt w:val="bullet"/>
      <w:lvlText w:val=""/>
      <w:lvlJc w:val="left"/>
      <w:pPr>
        <w:ind w:left="1848" w:hanging="360"/>
      </w:pPr>
      <w:rPr>
        <w:rFonts w:ascii="Wingdings" w:hAnsi="Wingdings" w:hint="default"/>
      </w:rPr>
    </w:lvl>
    <w:lvl w:ilvl="3" w:tplc="08090001" w:tentative="1">
      <w:start w:val="1"/>
      <w:numFmt w:val="bullet"/>
      <w:lvlText w:val=""/>
      <w:lvlJc w:val="left"/>
      <w:pPr>
        <w:ind w:left="2568" w:hanging="360"/>
      </w:pPr>
      <w:rPr>
        <w:rFonts w:ascii="Symbol" w:hAnsi="Symbol" w:hint="default"/>
      </w:rPr>
    </w:lvl>
    <w:lvl w:ilvl="4" w:tplc="08090003" w:tentative="1">
      <w:start w:val="1"/>
      <w:numFmt w:val="bullet"/>
      <w:lvlText w:val="o"/>
      <w:lvlJc w:val="left"/>
      <w:pPr>
        <w:ind w:left="3288" w:hanging="360"/>
      </w:pPr>
      <w:rPr>
        <w:rFonts w:ascii="Courier New" w:hAnsi="Courier New" w:cs="Courier New" w:hint="default"/>
      </w:rPr>
    </w:lvl>
    <w:lvl w:ilvl="5" w:tplc="08090005" w:tentative="1">
      <w:start w:val="1"/>
      <w:numFmt w:val="bullet"/>
      <w:lvlText w:val=""/>
      <w:lvlJc w:val="left"/>
      <w:pPr>
        <w:ind w:left="4008" w:hanging="360"/>
      </w:pPr>
      <w:rPr>
        <w:rFonts w:ascii="Wingdings" w:hAnsi="Wingdings" w:hint="default"/>
      </w:rPr>
    </w:lvl>
    <w:lvl w:ilvl="6" w:tplc="08090001" w:tentative="1">
      <w:start w:val="1"/>
      <w:numFmt w:val="bullet"/>
      <w:lvlText w:val=""/>
      <w:lvlJc w:val="left"/>
      <w:pPr>
        <w:ind w:left="4728" w:hanging="360"/>
      </w:pPr>
      <w:rPr>
        <w:rFonts w:ascii="Symbol" w:hAnsi="Symbol" w:hint="default"/>
      </w:rPr>
    </w:lvl>
    <w:lvl w:ilvl="7" w:tplc="08090003" w:tentative="1">
      <w:start w:val="1"/>
      <w:numFmt w:val="bullet"/>
      <w:lvlText w:val="o"/>
      <w:lvlJc w:val="left"/>
      <w:pPr>
        <w:ind w:left="5448" w:hanging="360"/>
      </w:pPr>
      <w:rPr>
        <w:rFonts w:ascii="Courier New" w:hAnsi="Courier New" w:cs="Courier New" w:hint="default"/>
      </w:rPr>
    </w:lvl>
    <w:lvl w:ilvl="8" w:tplc="08090005" w:tentative="1">
      <w:start w:val="1"/>
      <w:numFmt w:val="bullet"/>
      <w:lvlText w:val=""/>
      <w:lvlJc w:val="left"/>
      <w:pPr>
        <w:ind w:left="6168" w:hanging="360"/>
      </w:pPr>
      <w:rPr>
        <w:rFonts w:ascii="Wingdings" w:hAnsi="Wingdings" w:hint="default"/>
      </w:rPr>
    </w:lvl>
  </w:abstractNum>
  <w:num w:numId="1" w16cid:durableId="2027438430">
    <w:abstractNumId w:val="0"/>
  </w:num>
  <w:num w:numId="2" w16cid:durableId="44743647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B3E6E"/>
    <w:rsid w:val="003C3A55"/>
    <w:rsid w:val="005A791E"/>
    <w:rsid w:val="008A0149"/>
    <w:rsid w:val="008D6D36"/>
    <w:rsid w:val="00990FF6"/>
    <w:rsid w:val="009B6442"/>
    <w:rsid w:val="00AC190A"/>
    <w:rsid w:val="00B83AAF"/>
    <w:rsid w:val="00EB3E6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CB6AC98"/>
  <w15:chartTrackingRefBased/>
  <w15:docId w15:val="{279E3B79-853D-4E7E-9DF4-0B30411ABB8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B3E6E"/>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EB3E6E"/>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EB3E6E"/>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EB3E6E"/>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EB3E6E"/>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EB3E6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B3E6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B3E6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B3E6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B3E6E"/>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EB3E6E"/>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EB3E6E"/>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EB3E6E"/>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EB3E6E"/>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EB3E6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B3E6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B3E6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B3E6E"/>
    <w:rPr>
      <w:rFonts w:eastAsiaTheme="majorEastAsia" w:cstheme="majorBidi"/>
      <w:color w:val="272727" w:themeColor="text1" w:themeTint="D8"/>
    </w:rPr>
  </w:style>
  <w:style w:type="paragraph" w:styleId="Title">
    <w:name w:val="Title"/>
    <w:basedOn w:val="Normal"/>
    <w:next w:val="Normal"/>
    <w:link w:val="TitleChar"/>
    <w:uiPriority w:val="10"/>
    <w:qFormat/>
    <w:rsid w:val="00EB3E6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B3E6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B3E6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B3E6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B3E6E"/>
    <w:pPr>
      <w:spacing w:before="160"/>
      <w:jc w:val="center"/>
    </w:pPr>
    <w:rPr>
      <w:i/>
      <w:iCs/>
      <w:color w:val="404040" w:themeColor="text1" w:themeTint="BF"/>
    </w:rPr>
  </w:style>
  <w:style w:type="character" w:customStyle="1" w:styleId="QuoteChar">
    <w:name w:val="Quote Char"/>
    <w:basedOn w:val="DefaultParagraphFont"/>
    <w:link w:val="Quote"/>
    <w:uiPriority w:val="29"/>
    <w:rsid w:val="00EB3E6E"/>
    <w:rPr>
      <w:i/>
      <w:iCs/>
      <w:color w:val="404040" w:themeColor="text1" w:themeTint="BF"/>
    </w:rPr>
  </w:style>
  <w:style w:type="paragraph" w:styleId="ListParagraph">
    <w:name w:val="List Paragraph"/>
    <w:basedOn w:val="Normal"/>
    <w:uiPriority w:val="34"/>
    <w:qFormat/>
    <w:rsid w:val="00EB3E6E"/>
    <w:pPr>
      <w:ind w:left="720"/>
      <w:contextualSpacing/>
    </w:pPr>
  </w:style>
  <w:style w:type="character" w:styleId="IntenseEmphasis">
    <w:name w:val="Intense Emphasis"/>
    <w:basedOn w:val="DefaultParagraphFont"/>
    <w:uiPriority w:val="21"/>
    <w:qFormat/>
    <w:rsid w:val="00EB3E6E"/>
    <w:rPr>
      <w:i/>
      <w:iCs/>
      <w:color w:val="2F5496" w:themeColor="accent1" w:themeShade="BF"/>
    </w:rPr>
  </w:style>
  <w:style w:type="paragraph" w:styleId="IntenseQuote">
    <w:name w:val="Intense Quote"/>
    <w:basedOn w:val="Normal"/>
    <w:next w:val="Normal"/>
    <w:link w:val="IntenseQuoteChar"/>
    <w:uiPriority w:val="30"/>
    <w:qFormat/>
    <w:rsid w:val="00EB3E6E"/>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EB3E6E"/>
    <w:rPr>
      <w:i/>
      <w:iCs/>
      <w:color w:val="2F5496" w:themeColor="accent1" w:themeShade="BF"/>
    </w:rPr>
  </w:style>
  <w:style w:type="character" w:styleId="IntenseReference">
    <w:name w:val="Intense Reference"/>
    <w:basedOn w:val="DefaultParagraphFont"/>
    <w:uiPriority w:val="32"/>
    <w:qFormat/>
    <w:rsid w:val="00EB3E6E"/>
    <w:rPr>
      <w:b/>
      <w:bCs/>
      <w:smallCaps/>
      <w:color w:val="2F5496"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01C71B9-66C6-41B5-BBCA-CFB3CD434C9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4</Pages>
  <Words>1742</Words>
  <Characters>9931</Characters>
  <Application>Microsoft Office Word</Application>
  <DocSecurity>0</DocSecurity>
  <Lines>82</Lines>
  <Paragraphs>23</Paragraphs>
  <ScaleCrop>false</ScaleCrop>
  <Company/>
  <LinksUpToDate>false</LinksUpToDate>
  <CharactersWithSpaces>11650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Saira Azam (2515555)</dc:creator>
  <cp:keywords/>
  <dc:description/>
  <cp:lastModifiedBy>Saira Azam (2515555)</cp:lastModifiedBy>
  <cp:revision>2</cp:revision>
  <dcterms:created xsi:type="dcterms:W3CDTF">2026-07-20T20:44:00Z</dcterms:created>
  <dcterms:modified xsi:type="dcterms:W3CDTF">2026-07-20T20:44:00Z</dcterms:modified>
</cp:coreProperties>
</file>