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7E17AD" w14:textId="2AF60401" w:rsidR="00B952A8" w:rsidRDefault="00430121" w:rsidP="00430121">
      <w:pPr>
        <w:jc w:val="left"/>
        <w:rPr>
          <w:b/>
          <w:bCs/>
          <w:sz w:val="40"/>
          <w:szCs w:val="36"/>
        </w:rPr>
      </w:pPr>
      <w:r w:rsidRPr="007A7282">
        <w:rPr>
          <w:noProof/>
          <w:sz w:val="18"/>
          <w:szCs w:val="18"/>
        </w:rPr>
        <w:drawing>
          <wp:inline distT="0" distB="0" distL="0" distR="0" wp14:anchorId="3B046AE9" wp14:editId="55078EBA">
            <wp:extent cx="1962150" cy="851737"/>
            <wp:effectExtent l="0" t="0" r="0" b="5715"/>
            <wp:docPr id="1081488163" name="Picture 108148816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488163" name="Picture 1081488163" descr="A close up of a sig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1975213" cy="857407"/>
                    </a:xfrm>
                    <a:prstGeom prst="rect">
                      <a:avLst/>
                    </a:prstGeom>
                  </pic:spPr>
                </pic:pic>
              </a:graphicData>
            </a:graphic>
          </wp:inline>
        </w:drawing>
      </w:r>
    </w:p>
    <w:p w14:paraId="235F413C" w14:textId="77777777" w:rsidR="00B952A8" w:rsidRDefault="00B952A8" w:rsidP="00B952A8">
      <w:pPr>
        <w:jc w:val="center"/>
        <w:rPr>
          <w:b/>
          <w:bCs/>
          <w:sz w:val="40"/>
          <w:szCs w:val="36"/>
        </w:rPr>
      </w:pPr>
    </w:p>
    <w:p w14:paraId="20CAA2A3" w14:textId="77777777" w:rsidR="00A5183D" w:rsidRDefault="00A5183D" w:rsidP="00430121">
      <w:pPr>
        <w:jc w:val="center"/>
        <w:rPr>
          <w:b/>
          <w:bCs/>
          <w:sz w:val="40"/>
          <w:szCs w:val="36"/>
        </w:rPr>
      </w:pPr>
    </w:p>
    <w:p w14:paraId="30CC6D56" w14:textId="77777777" w:rsidR="00A5183D" w:rsidRDefault="00A5183D" w:rsidP="00430121">
      <w:pPr>
        <w:jc w:val="center"/>
        <w:rPr>
          <w:b/>
          <w:bCs/>
          <w:sz w:val="40"/>
          <w:szCs w:val="36"/>
        </w:rPr>
      </w:pPr>
    </w:p>
    <w:p w14:paraId="5F9DAE38" w14:textId="18CDF8BF" w:rsidR="00430121" w:rsidRDefault="00B952A8" w:rsidP="00430121">
      <w:pPr>
        <w:jc w:val="center"/>
        <w:rPr>
          <w:b/>
          <w:bCs/>
          <w:sz w:val="32"/>
          <w:szCs w:val="32"/>
        </w:rPr>
      </w:pPr>
      <w:r w:rsidRPr="00405B29">
        <w:rPr>
          <w:b/>
          <w:bCs/>
          <w:sz w:val="32"/>
          <w:szCs w:val="32"/>
        </w:rPr>
        <w:t>Financial Management for the Hotel Industry</w:t>
      </w:r>
    </w:p>
    <w:p w14:paraId="3D1169B5" w14:textId="02BE072B" w:rsidR="003B164E" w:rsidRPr="00405B29" w:rsidRDefault="003B164E" w:rsidP="00430121">
      <w:pPr>
        <w:jc w:val="center"/>
        <w:rPr>
          <w:b/>
          <w:bCs/>
          <w:sz w:val="32"/>
          <w:szCs w:val="32"/>
        </w:rPr>
      </w:pPr>
      <w:r w:rsidRPr="003B164E">
        <w:rPr>
          <w:b/>
          <w:bCs/>
          <w:sz w:val="32"/>
          <w:szCs w:val="32"/>
        </w:rPr>
        <w:t>Student name: Sebastian Garbaty</w:t>
      </w:r>
    </w:p>
    <w:p w14:paraId="15FB442C" w14:textId="2FF55307" w:rsidR="00C80A7F" w:rsidRPr="00405B29" w:rsidRDefault="00C80A7F" w:rsidP="00C80A7F">
      <w:pPr>
        <w:jc w:val="center"/>
        <w:rPr>
          <w:b/>
          <w:bCs/>
          <w:sz w:val="32"/>
          <w:szCs w:val="32"/>
          <w:lang w:val="en-GB"/>
        </w:rPr>
      </w:pPr>
      <w:r w:rsidRPr="00C80A7F">
        <w:rPr>
          <w:b/>
          <w:bCs/>
          <w:sz w:val="32"/>
          <w:szCs w:val="32"/>
          <w:lang w:val="en-GB"/>
        </w:rPr>
        <w:t>Student</w:t>
      </w:r>
      <w:r w:rsidR="000776C7">
        <w:rPr>
          <w:b/>
          <w:bCs/>
          <w:sz w:val="32"/>
          <w:szCs w:val="32"/>
          <w:lang w:val="en-GB"/>
        </w:rPr>
        <w:t xml:space="preserve"> ID</w:t>
      </w:r>
      <w:r w:rsidRPr="00C80A7F">
        <w:rPr>
          <w:b/>
          <w:bCs/>
          <w:sz w:val="32"/>
          <w:szCs w:val="32"/>
          <w:lang w:val="en-GB"/>
        </w:rPr>
        <w:t xml:space="preserve"> Number: 2211131</w:t>
      </w:r>
    </w:p>
    <w:p w14:paraId="75E3DC33" w14:textId="2A7B93CF" w:rsidR="00405B29" w:rsidRPr="00405B29" w:rsidRDefault="00405B29" w:rsidP="00405B29">
      <w:pPr>
        <w:jc w:val="center"/>
        <w:rPr>
          <w:b/>
          <w:bCs/>
          <w:sz w:val="32"/>
          <w:szCs w:val="32"/>
          <w:lang w:val="en-GB"/>
        </w:rPr>
      </w:pPr>
      <w:r w:rsidRPr="00405B29">
        <w:rPr>
          <w:b/>
          <w:bCs/>
          <w:sz w:val="32"/>
          <w:szCs w:val="32"/>
          <w:lang w:val="en-GB"/>
        </w:rPr>
        <w:t xml:space="preserve">Module code: </w:t>
      </w:r>
      <w:r w:rsidR="00D04521">
        <w:rPr>
          <w:b/>
          <w:bCs/>
          <w:sz w:val="32"/>
          <w:szCs w:val="32"/>
          <w:lang w:val="en-GB"/>
        </w:rPr>
        <w:t>BMIH5007</w:t>
      </w:r>
    </w:p>
    <w:p w14:paraId="6C795274" w14:textId="1C48792C" w:rsidR="00430121" w:rsidRPr="00405B29" w:rsidRDefault="00430121" w:rsidP="00405B29">
      <w:pPr>
        <w:spacing w:after="238" w:line="480" w:lineRule="auto"/>
        <w:ind w:right="125"/>
        <w:jc w:val="center"/>
        <w:rPr>
          <w:rFonts w:ascii="Arial" w:hAnsi="Arial"/>
          <w:b/>
          <w:bCs/>
          <w:color w:val="000000" w:themeColor="text1"/>
          <w:sz w:val="32"/>
          <w:szCs w:val="32"/>
          <w:lang w:val="en-GB"/>
        </w:rPr>
      </w:pPr>
      <w:r w:rsidRPr="00405B29">
        <w:rPr>
          <w:rFonts w:ascii="Arial" w:hAnsi="Arial"/>
          <w:b/>
          <w:bCs/>
          <w:color w:val="000000" w:themeColor="text1"/>
          <w:sz w:val="32"/>
          <w:szCs w:val="32"/>
        </w:rPr>
        <w:t xml:space="preserve">Lecturer: </w:t>
      </w:r>
      <w:r w:rsidRPr="00405B29">
        <w:rPr>
          <w:rFonts w:ascii="Arial" w:hAnsi="Arial"/>
          <w:b/>
          <w:bCs/>
          <w:color w:val="000000" w:themeColor="text1"/>
          <w:sz w:val="32"/>
          <w:szCs w:val="32"/>
          <w:lang w:val="en-GB"/>
        </w:rPr>
        <w:t>Jaliya De Silva</w:t>
      </w:r>
    </w:p>
    <w:p w14:paraId="6548288C" w14:textId="77777777" w:rsidR="00430121" w:rsidRPr="00430121" w:rsidRDefault="00430121" w:rsidP="00430121">
      <w:pPr>
        <w:spacing w:after="238" w:line="480" w:lineRule="auto"/>
        <w:ind w:left="10" w:right="125" w:hanging="10"/>
        <w:jc w:val="center"/>
        <w:rPr>
          <w:rFonts w:ascii="Arial" w:hAnsi="Arial"/>
          <w:b/>
          <w:bCs/>
          <w:color w:val="000000" w:themeColor="text1"/>
          <w:sz w:val="32"/>
          <w:szCs w:val="32"/>
          <w:lang w:val="en-GB"/>
        </w:rPr>
      </w:pPr>
    </w:p>
    <w:p w14:paraId="3F317B3A" w14:textId="055D2647" w:rsidR="00430121" w:rsidRPr="00840CCE" w:rsidRDefault="00430121" w:rsidP="00430121">
      <w:pPr>
        <w:spacing w:after="238" w:line="480" w:lineRule="auto"/>
        <w:ind w:left="10" w:right="125" w:hanging="10"/>
        <w:jc w:val="center"/>
        <w:rPr>
          <w:rFonts w:ascii="Arial" w:hAnsi="Arial"/>
          <w:color w:val="000000" w:themeColor="text1"/>
          <w:sz w:val="32"/>
          <w:szCs w:val="32"/>
        </w:rPr>
      </w:pPr>
    </w:p>
    <w:p w14:paraId="49EA4967" w14:textId="24760B56" w:rsidR="00B952A8" w:rsidRDefault="00B952A8" w:rsidP="00430121">
      <w:pPr>
        <w:jc w:val="center"/>
        <w:rPr>
          <w:b/>
          <w:bCs/>
          <w:sz w:val="40"/>
          <w:szCs w:val="36"/>
        </w:rPr>
      </w:pPr>
      <w:r>
        <w:rPr>
          <w:b/>
          <w:bCs/>
          <w:sz w:val="40"/>
          <w:szCs w:val="36"/>
        </w:rPr>
        <w:br w:type="page"/>
      </w:r>
    </w:p>
    <w:sdt>
      <w:sdtPr>
        <w:rPr>
          <w:rFonts w:ascii="Times New Roman" w:eastAsia="Arial" w:hAnsi="Times New Roman" w:cs="Arial"/>
          <w:b/>
          <w:bCs/>
          <w:color w:val="auto"/>
          <w:sz w:val="24"/>
          <w:szCs w:val="22"/>
          <w:lang w:val="en"/>
        </w:rPr>
        <w:id w:val="-799154730"/>
        <w:docPartObj>
          <w:docPartGallery w:val="Table of Contents"/>
          <w:docPartUnique/>
        </w:docPartObj>
      </w:sdtPr>
      <w:sdtEndPr>
        <w:rPr>
          <w:noProof/>
        </w:rPr>
      </w:sdtEndPr>
      <w:sdtContent>
        <w:p w14:paraId="3C0ECDBC" w14:textId="77777777" w:rsidR="00B952A8" w:rsidRPr="00C4206D" w:rsidRDefault="00B952A8" w:rsidP="00B952A8">
          <w:pPr>
            <w:pStyle w:val="TOCHeading"/>
            <w:spacing w:after="240"/>
            <w:rPr>
              <w:b/>
              <w:bCs/>
            </w:rPr>
          </w:pPr>
          <w:r w:rsidRPr="00C4206D">
            <w:rPr>
              <w:b/>
              <w:bCs/>
            </w:rPr>
            <w:t>Table of Contents</w:t>
          </w:r>
        </w:p>
        <w:p w14:paraId="1EF76C8E" w14:textId="77777777" w:rsidR="00B952A8" w:rsidRDefault="00B952A8" w:rsidP="00B952A8">
          <w:pPr>
            <w:pStyle w:val="TOC1"/>
            <w:tabs>
              <w:tab w:val="left" w:pos="440"/>
              <w:tab w:val="right" w:leader="dot" w:pos="9016"/>
            </w:tabs>
            <w:rPr>
              <w:noProof/>
            </w:rPr>
          </w:pPr>
          <w:r>
            <w:fldChar w:fldCharType="begin"/>
          </w:r>
          <w:r>
            <w:instrText xml:space="preserve"> TOC \o "1-3" \h \z \u </w:instrText>
          </w:r>
          <w:r>
            <w:fldChar w:fldCharType="separate"/>
          </w:r>
          <w:hyperlink w:anchor="_Toc158901307" w:history="1">
            <w:r w:rsidRPr="00272CAD">
              <w:rPr>
                <w:rStyle w:val="Hyperlink"/>
                <w:noProof/>
              </w:rPr>
              <w:t>1.</w:t>
            </w:r>
            <w:r>
              <w:rPr>
                <w:noProof/>
              </w:rPr>
              <w:tab/>
            </w:r>
            <w:r w:rsidRPr="00272CAD">
              <w:rPr>
                <w:rStyle w:val="Hyperlink"/>
                <w:noProof/>
              </w:rPr>
              <w:t>Introduction</w:t>
            </w:r>
            <w:r>
              <w:rPr>
                <w:noProof/>
                <w:webHidden/>
              </w:rPr>
              <w:tab/>
            </w:r>
            <w:r>
              <w:rPr>
                <w:noProof/>
                <w:webHidden/>
              </w:rPr>
              <w:fldChar w:fldCharType="begin"/>
            </w:r>
            <w:r>
              <w:rPr>
                <w:noProof/>
                <w:webHidden/>
              </w:rPr>
              <w:instrText xml:space="preserve"> PAGEREF _Toc158901307 \h </w:instrText>
            </w:r>
            <w:r>
              <w:rPr>
                <w:noProof/>
                <w:webHidden/>
              </w:rPr>
            </w:r>
            <w:r>
              <w:rPr>
                <w:noProof/>
                <w:webHidden/>
              </w:rPr>
              <w:fldChar w:fldCharType="separate"/>
            </w:r>
            <w:r>
              <w:rPr>
                <w:noProof/>
                <w:webHidden/>
              </w:rPr>
              <w:t>3</w:t>
            </w:r>
            <w:r>
              <w:rPr>
                <w:noProof/>
                <w:webHidden/>
              </w:rPr>
              <w:fldChar w:fldCharType="end"/>
            </w:r>
          </w:hyperlink>
        </w:p>
        <w:p w14:paraId="150C5376" w14:textId="77777777" w:rsidR="00B952A8" w:rsidRDefault="00EB200B" w:rsidP="00B952A8">
          <w:pPr>
            <w:pStyle w:val="TOC1"/>
            <w:tabs>
              <w:tab w:val="left" w:pos="440"/>
              <w:tab w:val="right" w:leader="dot" w:pos="9016"/>
            </w:tabs>
            <w:rPr>
              <w:noProof/>
            </w:rPr>
          </w:pPr>
          <w:hyperlink w:anchor="_Toc158901308" w:history="1">
            <w:r w:rsidR="00B952A8" w:rsidRPr="00272CAD">
              <w:rPr>
                <w:rStyle w:val="Hyperlink"/>
                <w:noProof/>
              </w:rPr>
              <w:t>2.</w:t>
            </w:r>
            <w:r w:rsidR="00B952A8">
              <w:rPr>
                <w:noProof/>
              </w:rPr>
              <w:tab/>
            </w:r>
            <w:r w:rsidR="00B952A8" w:rsidRPr="00272CAD">
              <w:rPr>
                <w:rStyle w:val="Hyperlink"/>
                <w:noProof/>
              </w:rPr>
              <w:t>Analysing the financial performance</w:t>
            </w:r>
            <w:r w:rsidR="00B952A8">
              <w:rPr>
                <w:noProof/>
                <w:webHidden/>
              </w:rPr>
              <w:tab/>
            </w:r>
            <w:r w:rsidR="00B952A8">
              <w:rPr>
                <w:noProof/>
                <w:webHidden/>
              </w:rPr>
              <w:fldChar w:fldCharType="begin"/>
            </w:r>
            <w:r w:rsidR="00B952A8">
              <w:rPr>
                <w:noProof/>
                <w:webHidden/>
              </w:rPr>
              <w:instrText xml:space="preserve"> PAGEREF _Toc158901308 \h </w:instrText>
            </w:r>
            <w:r w:rsidR="00B952A8">
              <w:rPr>
                <w:noProof/>
                <w:webHidden/>
              </w:rPr>
            </w:r>
            <w:r w:rsidR="00B952A8">
              <w:rPr>
                <w:noProof/>
                <w:webHidden/>
              </w:rPr>
              <w:fldChar w:fldCharType="separate"/>
            </w:r>
            <w:r w:rsidR="00B952A8">
              <w:rPr>
                <w:noProof/>
                <w:webHidden/>
              </w:rPr>
              <w:t>4</w:t>
            </w:r>
            <w:r w:rsidR="00B952A8">
              <w:rPr>
                <w:noProof/>
                <w:webHidden/>
              </w:rPr>
              <w:fldChar w:fldCharType="end"/>
            </w:r>
          </w:hyperlink>
        </w:p>
        <w:p w14:paraId="14EAA179" w14:textId="77777777" w:rsidR="00B952A8" w:rsidRDefault="00EB200B" w:rsidP="00B952A8">
          <w:pPr>
            <w:pStyle w:val="TOC1"/>
            <w:tabs>
              <w:tab w:val="left" w:pos="440"/>
              <w:tab w:val="right" w:leader="dot" w:pos="9016"/>
            </w:tabs>
            <w:rPr>
              <w:noProof/>
            </w:rPr>
          </w:pPr>
          <w:hyperlink w:anchor="_Toc158901309" w:history="1">
            <w:r w:rsidR="00B952A8" w:rsidRPr="00272CAD">
              <w:rPr>
                <w:rStyle w:val="Hyperlink"/>
                <w:noProof/>
              </w:rPr>
              <w:t>3.</w:t>
            </w:r>
            <w:r w:rsidR="00B952A8">
              <w:rPr>
                <w:noProof/>
              </w:rPr>
              <w:tab/>
            </w:r>
            <w:r w:rsidR="00B952A8" w:rsidRPr="00272CAD">
              <w:rPr>
                <w:rStyle w:val="Hyperlink"/>
                <w:noProof/>
              </w:rPr>
              <w:t>Key reasons for the decline in profitability</w:t>
            </w:r>
            <w:r w:rsidR="00B952A8">
              <w:rPr>
                <w:noProof/>
                <w:webHidden/>
              </w:rPr>
              <w:tab/>
            </w:r>
            <w:r w:rsidR="00B952A8">
              <w:rPr>
                <w:noProof/>
                <w:webHidden/>
              </w:rPr>
              <w:fldChar w:fldCharType="begin"/>
            </w:r>
            <w:r w:rsidR="00B952A8">
              <w:rPr>
                <w:noProof/>
                <w:webHidden/>
              </w:rPr>
              <w:instrText xml:space="preserve"> PAGEREF _Toc158901309 \h </w:instrText>
            </w:r>
            <w:r w:rsidR="00B952A8">
              <w:rPr>
                <w:noProof/>
                <w:webHidden/>
              </w:rPr>
            </w:r>
            <w:r w:rsidR="00B952A8">
              <w:rPr>
                <w:noProof/>
                <w:webHidden/>
              </w:rPr>
              <w:fldChar w:fldCharType="separate"/>
            </w:r>
            <w:r w:rsidR="00B952A8">
              <w:rPr>
                <w:noProof/>
                <w:webHidden/>
              </w:rPr>
              <w:t>8</w:t>
            </w:r>
            <w:r w:rsidR="00B952A8">
              <w:rPr>
                <w:noProof/>
                <w:webHidden/>
              </w:rPr>
              <w:fldChar w:fldCharType="end"/>
            </w:r>
          </w:hyperlink>
        </w:p>
        <w:p w14:paraId="08415D00" w14:textId="77777777" w:rsidR="00B952A8" w:rsidRDefault="00EB200B" w:rsidP="00B952A8">
          <w:pPr>
            <w:pStyle w:val="TOC1"/>
            <w:tabs>
              <w:tab w:val="left" w:pos="440"/>
              <w:tab w:val="right" w:leader="dot" w:pos="9016"/>
            </w:tabs>
            <w:rPr>
              <w:noProof/>
            </w:rPr>
          </w:pPr>
          <w:hyperlink w:anchor="_Toc158901310" w:history="1">
            <w:r w:rsidR="00B952A8" w:rsidRPr="00272CAD">
              <w:rPr>
                <w:rStyle w:val="Hyperlink"/>
                <w:noProof/>
              </w:rPr>
              <w:t>4.</w:t>
            </w:r>
            <w:r w:rsidR="00B952A8">
              <w:rPr>
                <w:noProof/>
              </w:rPr>
              <w:tab/>
            </w:r>
            <w:r w:rsidR="00B952A8" w:rsidRPr="00272CAD">
              <w:rPr>
                <w:rStyle w:val="Hyperlink"/>
                <w:noProof/>
              </w:rPr>
              <w:t>A comprehensive turnaround strategy</w:t>
            </w:r>
            <w:r w:rsidR="00B952A8">
              <w:rPr>
                <w:noProof/>
                <w:webHidden/>
              </w:rPr>
              <w:tab/>
            </w:r>
            <w:r w:rsidR="00B952A8">
              <w:rPr>
                <w:noProof/>
                <w:webHidden/>
              </w:rPr>
              <w:fldChar w:fldCharType="begin"/>
            </w:r>
            <w:r w:rsidR="00B952A8">
              <w:rPr>
                <w:noProof/>
                <w:webHidden/>
              </w:rPr>
              <w:instrText xml:space="preserve"> PAGEREF _Toc158901310 \h </w:instrText>
            </w:r>
            <w:r w:rsidR="00B952A8">
              <w:rPr>
                <w:noProof/>
                <w:webHidden/>
              </w:rPr>
            </w:r>
            <w:r w:rsidR="00B952A8">
              <w:rPr>
                <w:noProof/>
                <w:webHidden/>
              </w:rPr>
              <w:fldChar w:fldCharType="separate"/>
            </w:r>
            <w:r w:rsidR="00B952A8">
              <w:rPr>
                <w:noProof/>
                <w:webHidden/>
              </w:rPr>
              <w:t>9</w:t>
            </w:r>
            <w:r w:rsidR="00B952A8">
              <w:rPr>
                <w:noProof/>
                <w:webHidden/>
              </w:rPr>
              <w:fldChar w:fldCharType="end"/>
            </w:r>
          </w:hyperlink>
        </w:p>
        <w:p w14:paraId="4E998BC3" w14:textId="77777777" w:rsidR="00B952A8" w:rsidRDefault="00EB200B" w:rsidP="00B952A8">
          <w:pPr>
            <w:pStyle w:val="TOC1"/>
            <w:tabs>
              <w:tab w:val="left" w:pos="440"/>
              <w:tab w:val="right" w:leader="dot" w:pos="9016"/>
            </w:tabs>
            <w:rPr>
              <w:noProof/>
            </w:rPr>
          </w:pPr>
          <w:hyperlink w:anchor="_Toc158901311" w:history="1">
            <w:r w:rsidR="00B952A8" w:rsidRPr="00272CAD">
              <w:rPr>
                <w:rStyle w:val="Hyperlink"/>
                <w:noProof/>
              </w:rPr>
              <w:t>5.</w:t>
            </w:r>
            <w:r w:rsidR="00B952A8">
              <w:rPr>
                <w:noProof/>
              </w:rPr>
              <w:tab/>
            </w:r>
            <w:r w:rsidR="00B952A8" w:rsidRPr="00272CAD">
              <w:rPr>
                <w:rStyle w:val="Hyperlink"/>
                <w:noProof/>
              </w:rPr>
              <w:t>Conclusion</w:t>
            </w:r>
            <w:r w:rsidR="00B952A8">
              <w:rPr>
                <w:noProof/>
                <w:webHidden/>
              </w:rPr>
              <w:tab/>
            </w:r>
            <w:r w:rsidR="00B952A8">
              <w:rPr>
                <w:noProof/>
                <w:webHidden/>
              </w:rPr>
              <w:fldChar w:fldCharType="begin"/>
            </w:r>
            <w:r w:rsidR="00B952A8">
              <w:rPr>
                <w:noProof/>
                <w:webHidden/>
              </w:rPr>
              <w:instrText xml:space="preserve"> PAGEREF _Toc158901311 \h </w:instrText>
            </w:r>
            <w:r w:rsidR="00B952A8">
              <w:rPr>
                <w:noProof/>
                <w:webHidden/>
              </w:rPr>
            </w:r>
            <w:r w:rsidR="00B952A8">
              <w:rPr>
                <w:noProof/>
                <w:webHidden/>
              </w:rPr>
              <w:fldChar w:fldCharType="separate"/>
            </w:r>
            <w:r w:rsidR="00B952A8">
              <w:rPr>
                <w:noProof/>
                <w:webHidden/>
              </w:rPr>
              <w:t>10</w:t>
            </w:r>
            <w:r w:rsidR="00B952A8">
              <w:rPr>
                <w:noProof/>
                <w:webHidden/>
              </w:rPr>
              <w:fldChar w:fldCharType="end"/>
            </w:r>
          </w:hyperlink>
        </w:p>
        <w:p w14:paraId="73938B9B" w14:textId="77777777" w:rsidR="00B952A8" w:rsidRDefault="00EB200B" w:rsidP="00B952A8">
          <w:pPr>
            <w:pStyle w:val="TOC1"/>
            <w:tabs>
              <w:tab w:val="right" w:leader="dot" w:pos="9016"/>
            </w:tabs>
            <w:rPr>
              <w:noProof/>
            </w:rPr>
          </w:pPr>
          <w:hyperlink w:anchor="_Toc158901312" w:history="1">
            <w:r w:rsidR="00B952A8" w:rsidRPr="00272CAD">
              <w:rPr>
                <w:rStyle w:val="Hyperlink"/>
                <w:noProof/>
              </w:rPr>
              <w:t>References</w:t>
            </w:r>
            <w:r w:rsidR="00B952A8">
              <w:rPr>
                <w:noProof/>
                <w:webHidden/>
              </w:rPr>
              <w:tab/>
            </w:r>
            <w:r w:rsidR="00B952A8">
              <w:rPr>
                <w:noProof/>
                <w:webHidden/>
              </w:rPr>
              <w:fldChar w:fldCharType="begin"/>
            </w:r>
            <w:r w:rsidR="00B952A8">
              <w:rPr>
                <w:noProof/>
                <w:webHidden/>
              </w:rPr>
              <w:instrText xml:space="preserve"> PAGEREF _Toc158901312 \h </w:instrText>
            </w:r>
            <w:r w:rsidR="00B952A8">
              <w:rPr>
                <w:noProof/>
                <w:webHidden/>
              </w:rPr>
            </w:r>
            <w:r w:rsidR="00B952A8">
              <w:rPr>
                <w:noProof/>
                <w:webHidden/>
              </w:rPr>
              <w:fldChar w:fldCharType="separate"/>
            </w:r>
            <w:r w:rsidR="00B952A8">
              <w:rPr>
                <w:noProof/>
                <w:webHidden/>
              </w:rPr>
              <w:t>11</w:t>
            </w:r>
            <w:r w:rsidR="00B952A8">
              <w:rPr>
                <w:noProof/>
                <w:webHidden/>
              </w:rPr>
              <w:fldChar w:fldCharType="end"/>
            </w:r>
          </w:hyperlink>
        </w:p>
        <w:p w14:paraId="7E5FBC5B" w14:textId="77777777" w:rsidR="00B952A8" w:rsidRDefault="00B952A8" w:rsidP="00B952A8">
          <w:r>
            <w:rPr>
              <w:b/>
              <w:bCs/>
              <w:noProof/>
            </w:rPr>
            <w:fldChar w:fldCharType="end"/>
          </w:r>
        </w:p>
      </w:sdtContent>
    </w:sdt>
    <w:p w14:paraId="39C9E36C" w14:textId="77777777" w:rsidR="00B952A8" w:rsidRDefault="00B952A8" w:rsidP="00B952A8">
      <w:r>
        <w:br w:type="page"/>
      </w:r>
    </w:p>
    <w:p w14:paraId="11268386" w14:textId="77777777" w:rsidR="00B952A8" w:rsidRDefault="00B952A8" w:rsidP="00B952A8">
      <w:pPr>
        <w:pStyle w:val="Heading1"/>
        <w:numPr>
          <w:ilvl w:val="0"/>
          <w:numId w:val="1"/>
        </w:numPr>
      </w:pPr>
      <w:bookmarkStart w:id="0" w:name="_Toc158901307"/>
      <w:r>
        <w:t>Introduction</w:t>
      </w:r>
      <w:bookmarkEnd w:id="0"/>
    </w:p>
    <w:p w14:paraId="0D9064A1" w14:textId="2867BD9F" w:rsidR="00B952A8" w:rsidRDefault="00B952A8" w:rsidP="00B952A8">
      <w:r>
        <w:t xml:space="preserve">Financial management is one kind of business activity that is concerned with planning, raising funds, controlling, managing, administering, and the procurement of funds utilized in the business </w:t>
      </w:r>
      <w:r w:rsidRPr="00C4206D">
        <w:t>(</w:t>
      </w:r>
      <w:proofErr w:type="spellStart"/>
      <w:r w:rsidRPr="00C4206D">
        <w:t>Atrill</w:t>
      </w:r>
      <w:proofErr w:type="spellEnd"/>
      <w:r w:rsidRPr="00C4206D">
        <w:t xml:space="preserve"> &amp; McLaney, 2021)</w:t>
      </w:r>
      <w:r>
        <w:t xml:space="preserve">. This report will explore the financial management of a lodge, namely the Seacrest, that has several facilities including a restaurant, bar, and so on. In the coastline area, it provides its guests with a place of relaxation and luxurious items. This report will analyze the recent financial performance of this lodge which has been experiencing complexities in this field. Likewise, the revenue was in the decline significantly and for this, the lodge will need to adopt a comprehensive turnaround strategy considering the future viability of the business. This report will </w:t>
      </w:r>
      <w:proofErr w:type="gramStart"/>
      <w:r>
        <w:t>indulge in</w:t>
      </w:r>
      <w:proofErr w:type="gramEnd"/>
      <w:r>
        <w:t xml:space="preserve"> analyzing the financial performance considering three consecutive financial periods. Then, the key reasons behind such decline in profitability as well as a comprehensive turnaround strategy will be developed that will aim to revitalize the lodge’s financial health and restore its brand value. In this case, different activities of financial management will be considered. For instance, planning and budgeting will be envisaged. Besides, allocation of funds, accounting concepts, reporting, and monitoring will be considered following the overall requirements of the Seacrest Lodge’s case study and requirement. </w:t>
      </w:r>
      <w:r>
        <w:br w:type="page"/>
      </w:r>
    </w:p>
    <w:p w14:paraId="777129C2" w14:textId="3780D8E6" w:rsidR="00B952A8" w:rsidRDefault="00B952A8" w:rsidP="00B952A8">
      <w:pPr>
        <w:pStyle w:val="Heading1"/>
        <w:numPr>
          <w:ilvl w:val="0"/>
          <w:numId w:val="1"/>
        </w:numPr>
      </w:pPr>
      <w:bookmarkStart w:id="1" w:name="_Toc158901308"/>
      <w:r>
        <w:t>Analyzing the financial performance</w:t>
      </w:r>
      <w:bookmarkEnd w:id="1"/>
      <w:r>
        <w:t xml:space="preserve">  </w:t>
      </w:r>
    </w:p>
    <w:p w14:paraId="4B5BFD4C" w14:textId="77777777" w:rsidR="00B952A8" w:rsidRDefault="00B952A8" w:rsidP="00B952A8">
      <w:r>
        <w:t xml:space="preserve">Financial performance is one kind of subjective measure that estimates how well a business can utilize assets from its primary mode of business as well as generate revenues. When it comes to financial performance analysis, a business’s statement needs to be analyzed efficiently which requires the process of analyzing a company’s financial statement to adopt an appropriate decision for the business </w:t>
      </w:r>
      <w:r w:rsidRPr="00C4206D">
        <w:t>(Powell, 2023)</w:t>
      </w:r>
      <w:r>
        <w:t>. In this case, different forms of analysis are going to be assessed that will uphold the overall financial performance of the Seacrest Lodge. Such as:</w:t>
      </w:r>
    </w:p>
    <w:p w14:paraId="23113656" w14:textId="77777777" w:rsidR="00B952A8" w:rsidRPr="00C46426" w:rsidRDefault="00B952A8" w:rsidP="00B952A8">
      <w:pPr>
        <w:rPr>
          <w:b/>
          <w:bCs/>
        </w:rPr>
      </w:pPr>
      <w:r w:rsidRPr="00C46426">
        <w:rPr>
          <w:b/>
          <w:bCs/>
        </w:rPr>
        <w:t>Horizontal analysis</w:t>
      </w:r>
    </w:p>
    <w:p w14:paraId="665E4008" w14:textId="5E5E2911" w:rsidR="00B952A8" w:rsidRDefault="00B952A8" w:rsidP="00B952A8">
      <w:r>
        <w:t xml:space="preserve">This sort of analysis requires financial terms and numerical values found in the financial statement of the business over different financial periods and for this, the changes need to be identified first that can present the overall financial scenario of the business </w:t>
      </w:r>
      <w:r w:rsidRPr="00C4206D">
        <w:t>(Scott, 2021)</w:t>
      </w:r>
      <w:r>
        <w:t>. That is why the changes over the periods of different items found in the financial statement of the Seacrest Lodge are going to be depicted in a line chart. It looks like this:</w:t>
      </w:r>
    </w:p>
    <w:p w14:paraId="48CB54FD" w14:textId="77777777" w:rsidR="00B952A8" w:rsidRDefault="00B952A8" w:rsidP="00B952A8">
      <w:r>
        <w:rPr>
          <w:noProof/>
        </w:rPr>
        <w:drawing>
          <wp:inline distT="0" distB="0" distL="0" distR="0" wp14:anchorId="2A5E6E1C" wp14:editId="03B2E9F7">
            <wp:extent cx="5686425" cy="2743200"/>
            <wp:effectExtent l="0" t="0" r="0" b="0"/>
            <wp:docPr id="1388799117" name="Chart 1">
              <a:extLst xmlns:a="http://schemas.openxmlformats.org/drawingml/2006/main">
                <a:ext uri="{FF2B5EF4-FFF2-40B4-BE49-F238E27FC236}">
                  <a16:creationId xmlns:a16="http://schemas.microsoft.com/office/drawing/2014/main" id="{858E02C1-3A76-DAF2-BD60-BC0854F40C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B883ED5" w14:textId="5AA5509B" w:rsidR="00B952A8" w:rsidRPr="00B66C75" w:rsidRDefault="00B952A8" w:rsidP="00B952A8">
      <w:pPr>
        <w:pStyle w:val="Caption"/>
        <w:jc w:val="center"/>
        <w:rPr>
          <w:b/>
          <w:bCs/>
          <w:sz w:val="24"/>
          <w:szCs w:val="24"/>
        </w:rPr>
      </w:pPr>
      <w:r w:rsidRPr="00B66C75">
        <w:rPr>
          <w:b/>
          <w:bCs/>
          <w:sz w:val="24"/>
          <w:szCs w:val="24"/>
        </w:rPr>
        <w:t xml:space="preserve">Figure </w:t>
      </w:r>
      <w:r w:rsidRPr="00B66C75">
        <w:rPr>
          <w:b/>
          <w:bCs/>
          <w:sz w:val="24"/>
          <w:szCs w:val="24"/>
        </w:rPr>
        <w:fldChar w:fldCharType="begin"/>
      </w:r>
      <w:r w:rsidRPr="00B66C75">
        <w:rPr>
          <w:b/>
          <w:bCs/>
          <w:sz w:val="24"/>
          <w:szCs w:val="24"/>
        </w:rPr>
        <w:instrText xml:space="preserve"> SEQ Figure \* ARABIC </w:instrText>
      </w:r>
      <w:r w:rsidRPr="00B66C75">
        <w:rPr>
          <w:b/>
          <w:bCs/>
          <w:sz w:val="24"/>
          <w:szCs w:val="24"/>
        </w:rPr>
        <w:fldChar w:fldCharType="separate"/>
      </w:r>
      <w:r w:rsidRPr="00B66C75">
        <w:rPr>
          <w:b/>
          <w:bCs/>
          <w:noProof/>
          <w:sz w:val="24"/>
          <w:szCs w:val="24"/>
        </w:rPr>
        <w:t>1</w:t>
      </w:r>
      <w:r w:rsidRPr="00B66C75">
        <w:rPr>
          <w:b/>
          <w:bCs/>
          <w:sz w:val="24"/>
          <w:szCs w:val="24"/>
        </w:rPr>
        <w:fldChar w:fldCharType="end"/>
      </w:r>
      <w:r w:rsidRPr="00B66C75">
        <w:rPr>
          <w:b/>
          <w:bCs/>
          <w:sz w:val="24"/>
          <w:szCs w:val="24"/>
        </w:rPr>
        <w:t xml:space="preserve">: Horizontal </w:t>
      </w:r>
      <w:r w:rsidR="00A5183D" w:rsidRPr="00B66C75">
        <w:rPr>
          <w:b/>
          <w:bCs/>
          <w:sz w:val="24"/>
          <w:szCs w:val="24"/>
        </w:rPr>
        <w:t>analysis.</w:t>
      </w:r>
    </w:p>
    <w:p w14:paraId="74DF51CF" w14:textId="77777777" w:rsidR="00B952A8" w:rsidRPr="00B66C75" w:rsidRDefault="00B952A8" w:rsidP="00B952A8">
      <w:pPr>
        <w:jc w:val="center"/>
        <w:rPr>
          <w:b/>
          <w:bCs/>
          <w:szCs w:val="24"/>
        </w:rPr>
      </w:pPr>
      <w:r w:rsidRPr="00B66C75">
        <w:rPr>
          <w:b/>
          <w:bCs/>
          <w:szCs w:val="24"/>
        </w:rPr>
        <w:t>Source:</w:t>
      </w:r>
      <w:r>
        <w:rPr>
          <w:b/>
          <w:bCs/>
          <w:szCs w:val="24"/>
        </w:rPr>
        <w:t xml:space="preserve"> Self-made</w:t>
      </w:r>
    </w:p>
    <w:p w14:paraId="365269A3" w14:textId="77777777" w:rsidR="00B952A8" w:rsidRDefault="00B952A8" w:rsidP="00B952A8">
      <w:r>
        <w:t xml:space="preserve">In this figure, it can be observed that revenues, net income, cash and cash equivalent, account receivables, and PPE fell significantly. In this field, these are the crucial components that indicate the company’s profitability or financial position. Among all, its net income, cash and cash equivalent assets, and accounts receivable emerged from the credit sales or suppliers have been decreasing significantly since 2020. The changes in revenue were negative and they are -8.3% and -13.6%; following these changes, the net income of the Seacrest Lodge changed by -50% and -200%. In this case, the rise of operating expenses is the main reason for these adverse effects, as operating expenses increased by 5.6% and 15.8% in 2022 and 2023 respectively. In the balance sheet, cash and cash equivalents experienced 12 times more negative changes in 2023 than in 2022. Though there was no change in PPE in 2022, this item decreased by 11.1% in 2023. Despite being decreased, expenses and liabilities of the Seacrest experienced positive changes that affected the overall performance of this Lodge in the hotel sector. </w:t>
      </w:r>
    </w:p>
    <w:p w14:paraId="12AB5A60" w14:textId="77777777" w:rsidR="00B952A8" w:rsidRPr="004E3374" w:rsidRDefault="00B952A8" w:rsidP="00B952A8">
      <w:pPr>
        <w:rPr>
          <w:b/>
          <w:bCs/>
        </w:rPr>
      </w:pPr>
      <w:r w:rsidRPr="004E3374">
        <w:rPr>
          <w:b/>
          <w:bCs/>
        </w:rPr>
        <w:t>Vertical analysis</w:t>
      </w:r>
    </w:p>
    <w:p w14:paraId="52B6C547" w14:textId="46E75DA6" w:rsidR="00B952A8" w:rsidRDefault="00B952A8" w:rsidP="00B952A8">
      <w:r>
        <w:t xml:space="preserve">This kind of analysis requires analyzing and comparing two or more of the same types of businesses belonging to the same industry over a specific financial period </w:t>
      </w:r>
      <w:r w:rsidRPr="00C4206D">
        <w:t>(Scott, 2021)</w:t>
      </w:r>
      <w:r>
        <w:t xml:space="preserve">. That means vertical analysis insists on comparing a company’s financial performance with another business in the same industry. </w:t>
      </w:r>
    </w:p>
    <w:p w14:paraId="48BB1BAB" w14:textId="77777777" w:rsidR="00B952A8" w:rsidRDefault="00B952A8" w:rsidP="00B952A8">
      <w:r>
        <w:rPr>
          <w:noProof/>
        </w:rPr>
        <w:drawing>
          <wp:inline distT="0" distB="0" distL="0" distR="0" wp14:anchorId="01C64848" wp14:editId="2ECF9154">
            <wp:extent cx="5694045" cy="3432175"/>
            <wp:effectExtent l="0" t="0" r="0" b="0"/>
            <wp:docPr id="1318066301" name="Picture 3"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066301" name="Picture 3" descr="A black background with a black square&#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94045" cy="3432175"/>
                    </a:xfrm>
                    <a:prstGeom prst="rect">
                      <a:avLst/>
                    </a:prstGeom>
                    <a:noFill/>
                  </pic:spPr>
                </pic:pic>
              </a:graphicData>
            </a:graphic>
          </wp:inline>
        </w:drawing>
      </w:r>
    </w:p>
    <w:p w14:paraId="4D215805" w14:textId="24B563E5" w:rsidR="00B952A8" w:rsidRDefault="00B952A8" w:rsidP="00B952A8">
      <w:r>
        <w:t xml:space="preserve">From the external analysis, the main competitor of the Seacrest Lodge in the market is the Wood Hotel Inn </w:t>
      </w:r>
      <w:r w:rsidRPr="001C2E5B">
        <w:t>(Working at Seacrest Group | Glassdoor 2024)</w:t>
      </w:r>
      <w:r>
        <w:t xml:space="preserve">. To compare their profit or loss condition as well as financial position, the most recent financial period is selected. In this case, the main components are highlighted in bold form. Likewise, the net income of the Seacrest Lodge is found negative, which was mainly a net loss for this, -150,000. On the other hand, Wood Hotel generated net income for itself in 2023 because it maintained operational expenses in proportion with the sales revenue. The total assets of Seacrest were quite high, though liability and equity indicate the same level. In comparison, the total assets of Wood Hotel Inn are less than the total assets of the Seacrest Lodge. Following its total liabilities and equity are also less than the Seacrest. As Seacrest’s total assets are worthier than Wood Hotel, its overall financial position is in a higher position. Due to the increase in operational expenses significantly, it experienced a net loss during 2023. </w:t>
      </w:r>
    </w:p>
    <w:p w14:paraId="133A9D0C" w14:textId="77777777" w:rsidR="00B952A8" w:rsidRPr="00C35F28" w:rsidRDefault="00B952A8" w:rsidP="00B952A8">
      <w:pPr>
        <w:rPr>
          <w:b/>
          <w:bCs/>
        </w:rPr>
      </w:pPr>
      <w:r w:rsidRPr="00C35F28">
        <w:rPr>
          <w:b/>
          <w:bCs/>
        </w:rPr>
        <w:t>Ratio analysis</w:t>
      </w:r>
    </w:p>
    <w:p w14:paraId="4AA7980C" w14:textId="77777777" w:rsidR="00B952A8" w:rsidRDefault="00B952A8" w:rsidP="00B952A8">
      <w:r>
        <w:t xml:space="preserve">This is one of the most prevalent analysis tools considered by all sorts of businesses while evaluating their financial performance over the period </w:t>
      </w:r>
      <w:r w:rsidRPr="00C4206D">
        <w:t>(Scott, 2021)</w:t>
      </w:r>
      <w:r>
        <w:t xml:space="preserve">. In this case, divergent kinds of ratios are considered that highlight different financial aspects of a business, like the Seacrest Lodge. For example, profitability ratio includes gross profit margin, operating profit margin, net income margin, and so on. </w:t>
      </w:r>
    </w:p>
    <w:p w14:paraId="1A80D12A" w14:textId="77777777" w:rsidR="00B952A8" w:rsidRDefault="00B952A8" w:rsidP="00B952A8">
      <w:r w:rsidRPr="00C35F28">
        <w:rPr>
          <w:noProof/>
        </w:rPr>
        <w:drawing>
          <wp:inline distT="0" distB="0" distL="0" distR="0" wp14:anchorId="6C070C92" wp14:editId="657A31B3">
            <wp:extent cx="5731510" cy="2162175"/>
            <wp:effectExtent l="0" t="0" r="0" b="0"/>
            <wp:docPr id="174619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162175"/>
                    </a:xfrm>
                    <a:prstGeom prst="rect">
                      <a:avLst/>
                    </a:prstGeom>
                    <a:noFill/>
                    <a:ln>
                      <a:noFill/>
                    </a:ln>
                  </pic:spPr>
                </pic:pic>
              </a:graphicData>
            </a:graphic>
          </wp:inline>
        </w:drawing>
      </w:r>
    </w:p>
    <w:p w14:paraId="5AE4F2B3" w14:textId="77777777" w:rsidR="00B952A8" w:rsidRDefault="00B952A8" w:rsidP="00B952A8">
      <w:r>
        <w:t>Considering the available financial data of the Seacrest Lodge in the financial statements, the profitability, liquidity, and leverage conditions of the business are going to be discussed. Such as:</w:t>
      </w:r>
    </w:p>
    <w:p w14:paraId="1C3FB0F2" w14:textId="2E603FD6" w:rsidR="00B952A8" w:rsidRDefault="00B952A8" w:rsidP="00B952A8">
      <w:r w:rsidRPr="002101AB">
        <w:rPr>
          <w:b/>
          <w:bCs/>
        </w:rPr>
        <w:t>Profitability:</w:t>
      </w:r>
      <w:r>
        <w:t xml:space="preserve"> The net profit margin is calculated by dividing net profit by sales </w:t>
      </w:r>
      <w:r w:rsidRPr="00C4206D">
        <w:t>(Wild et al., 2022)</w:t>
      </w:r>
      <w:r>
        <w:t xml:space="preserve">. In this case, 2021 was the best year for the Seacrest Lodge, as this resort generated a positive and higher profit margin which was 25%. However, this profit margin decreased significantly to 13.64% and it became negative, which was the worst net profit margin ever till now. Then, the return on assets was calculated by dividing the profit after tax by the total assets in which the ROA of the Seacrest Lodge has been deteriorating since 2022, as the ROA was 2 times less than the previous where it became negative in 2023. Similarly, return on equity is calculated by dividing profit after tax by the total equity of the business. In this field, it followed the same trend that was found in ROA, as 2023 was the worst year for this business. </w:t>
      </w:r>
    </w:p>
    <w:p w14:paraId="5273E750" w14:textId="77777777" w:rsidR="00B952A8" w:rsidRDefault="00B952A8" w:rsidP="00B952A8">
      <w:r w:rsidRPr="002101AB">
        <w:rPr>
          <w:b/>
          <w:bCs/>
        </w:rPr>
        <w:t>Liquidity:</w:t>
      </w:r>
      <w:r>
        <w:t xml:space="preserve"> This requires those ratios that help find the liquid status of the business </w:t>
      </w:r>
      <w:r w:rsidRPr="00C4206D">
        <w:t>(Winfield et al., 2021)</w:t>
      </w:r>
      <w:r>
        <w:t xml:space="preserve">. Considering the available data in the financial statements of the Seacrest Lodge, only the current ratio can be calculated. This current ratio was calculated by dividing the business’s current assets by the current liabilities. In this case, 2:1 is the ideal current ratio that a business needs to maintain. Considering this, the current ratio of the Seacrest Lodge was 5:1 in 2021 indicating a greater liquidity of the business. However, the decline over the financial periods, especially in 2023, experienced the worst situation ever, as its current ratio became 1:1. </w:t>
      </w:r>
    </w:p>
    <w:p w14:paraId="437DD921" w14:textId="56BF913D" w:rsidR="00B952A8" w:rsidRDefault="00B952A8" w:rsidP="00B952A8">
      <w:r w:rsidRPr="00986274">
        <w:rPr>
          <w:b/>
          <w:bCs/>
        </w:rPr>
        <w:t>Efficiency:</w:t>
      </w:r>
      <w:r>
        <w:t xml:space="preserve"> Some financial ratios are used for presenting a business’s efficiency in its overall business operation. For instance, receivable turnover and asset turnover are also prominent. In the case of the receivable turnover ratio, credit sales are divided by account receivables </w:t>
      </w:r>
      <w:r w:rsidRPr="00C4206D">
        <w:t>(</w:t>
      </w:r>
      <w:proofErr w:type="spellStart"/>
      <w:r w:rsidRPr="00C4206D">
        <w:t>Ruvins</w:t>
      </w:r>
      <w:proofErr w:type="spellEnd"/>
      <w:r w:rsidRPr="00C4206D">
        <w:t>, 2023)</w:t>
      </w:r>
      <w:r>
        <w:t xml:space="preserve">. In this case, this ratio has been increasing over the financial periods. A high account receivable turnover ratio indicates that credit management, especially the collections of businesses like the Seacrest Lodge, is efficient. Then, total asset turnover highlights the efficiency of a business’s assets, especially in the case of generating revenues or sales. In this case, it has been maintaining the same position indicating that the business has been generating the same level of revenues over its total assets. </w:t>
      </w:r>
    </w:p>
    <w:p w14:paraId="4DFFA480" w14:textId="77777777" w:rsidR="00B952A8" w:rsidRDefault="00B952A8" w:rsidP="00B952A8">
      <w:r w:rsidRPr="00986274">
        <w:rPr>
          <w:b/>
          <w:bCs/>
        </w:rPr>
        <w:t>Financial leverage:</w:t>
      </w:r>
      <w:r>
        <w:t xml:space="preserve"> In this case, the debt ratio has been calculated indicating the business’s level of debt relative to the assets of the business. A higher financial leverage ratio highlights that a business indulges in utilizing debt to finance its assets and operations </w:t>
      </w:r>
      <w:r w:rsidRPr="00C4206D">
        <w:t>(</w:t>
      </w:r>
      <w:proofErr w:type="spellStart"/>
      <w:r w:rsidRPr="00C4206D">
        <w:t>Atrill</w:t>
      </w:r>
      <w:proofErr w:type="spellEnd"/>
      <w:r w:rsidRPr="00C4206D">
        <w:t xml:space="preserve"> &amp; McLaney, 2021)</w:t>
      </w:r>
      <w:r>
        <w:t xml:space="preserve">. From the calculation, it is observed that the financial leverage of Seacrest has been increasing; that means the business has been raising the level of using the debt to finance the assets, as the volatility of the business has also been increasing. </w:t>
      </w:r>
      <w:r>
        <w:br w:type="page"/>
      </w:r>
    </w:p>
    <w:p w14:paraId="63569059" w14:textId="77777777" w:rsidR="00B952A8" w:rsidRDefault="00B952A8" w:rsidP="00B952A8">
      <w:pPr>
        <w:pStyle w:val="Heading1"/>
        <w:numPr>
          <w:ilvl w:val="0"/>
          <w:numId w:val="1"/>
        </w:numPr>
      </w:pPr>
      <w:bookmarkStart w:id="2" w:name="_Toc158901309"/>
      <w:r>
        <w:t>Key reasons for the decline in profitability</w:t>
      </w:r>
      <w:bookmarkEnd w:id="2"/>
    </w:p>
    <w:p w14:paraId="0AEC9BF9" w14:textId="77777777" w:rsidR="00B952A8" w:rsidRDefault="00B952A8" w:rsidP="00B952A8">
      <w:r>
        <w:t xml:space="preserve">From the analysis conducted in the previous section, it is found that the profitability of the Seacrest Lodge kept declining over the consecutive financial periods. Now, the reasons for this decline are going to be assessed. </w:t>
      </w:r>
    </w:p>
    <w:p w14:paraId="322859AD" w14:textId="77777777" w:rsidR="00B952A8" w:rsidRPr="00293400" w:rsidRDefault="00B952A8" w:rsidP="00B952A8">
      <w:r w:rsidRPr="00293400">
        <w:rPr>
          <w:b/>
          <w:bCs/>
        </w:rPr>
        <w:t xml:space="preserve">Increase of operational costs: </w:t>
      </w:r>
      <w:r>
        <w:t xml:space="preserve">In the horizontal analysis, it is found that the changes in operational costs have been increasing significantly that have a major effect on the net income of the business, as the hotel’s net income is found from the difference between net sales and operational costs </w:t>
      </w:r>
      <w:r w:rsidRPr="00C4206D">
        <w:t>(</w:t>
      </w:r>
      <w:proofErr w:type="spellStart"/>
      <w:r w:rsidRPr="00C4206D">
        <w:t>Atrill</w:t>
      </w:r>
      <w:proofErr w:type="spellEnd"/>
      <w:r w:rsidRPr="00C4206D">
        <w:t xml:space="preserve"> &amp; McLaney, 2021)</w:t>
      </w:r>
      <w:r>
        <w:t xml:space="preserve">. Though both sales revenue and operational costs have been increasing, operational costs increased at a higher margin than sales volume. That is why Seacrest experienced a net loss in 2023. </w:t>
      </w:r>
    </w:p>
    <w:p w14:paraId="510520DB" w14:textId="2899E4C9" w:rsidR="00B952A8" w:rsidRPr="003F1655" w:rsidRDefault="00B952A8" w:rsidP="00B952A8">
      <w:r>
        <w:rPr>
          <w:b/>
          <w:bCs/>
        </w:rPr>
        <w:t>A d</w:t>
      </w:r>
      <w:r w:rsidRPr="00293400">
        <w:rPr>
          <w:b/>
          <w:bCs/>
        </w:rPr>
        <w:t>ecline in account</w:t>
      </w:r>
      <w:r>
        <w:rPr>
          <w:b/>
          <w:bCs/>
        </w:rPr>
        <w:t>s</w:t>
      </w:r>
      <w:r w:rsidRPr="00293400">
        <w:rPr>
          <w:b/>
          <w:bCs/>
        </w:rPr>
        <w:t xml:space="preserve"> receivable: </w:t>
      </w:r>
      <w:r>
        <w:t xml:space="preserve">This decline means that credit sales also decrease. Account receivables are current assets that can be converted into cash inflow following the period. Though it is expected that the hotel would have retrieved cash payments for all its credit purchases, there was no potential effect of such a decline. In this field, more cash will enter the business from the customers paying off their credit accounts. Rather, net earnings became a net loss in 2023. </w:t>
      </w:r>
    </w:p>
    <w:p w14:paraId="4CCA57AF" w14:textId="77777777" w:rsidR="00B952A8" w:rsidRPr="00557DB5" w:rsidRDefault="00B952A8" w:rsidP="00B952A8">
      <w:r w:rsidRPr="00293400">
        <w:rPr>
          <w:b/>
          <w:bCs/>
        </w:rPr>
        <w:t xml:space="preserve">Decrease in </w:t>
      </w:r>
      <w:r>
        <w:rPr>
          <w:b/>
          <w:bCs/>
        </w:rPr>
        <w:t xml:space="preserve">the </w:t>
      </w:r>
      <w:r w:rsidRPr="00293400">
        <w:rPr>
          <w:b/>
          <w:bCs/>
        </w:rPr>
        <w:t>average room rate and occupancy rate:</w:t>
      </w:r>
      <w:r>
        <w:rPr>
          <w:b/>
          <w:bCs/>
        </w:rPr>
        <w:t xml:space="preserve"> </w:t>
      </w:r>
      <w:r>
        <w:t xml:space="preserve">It is the average room rate that is considered a financial metric highlighting the average price for each room in the hotel. Besides, it also provides a significant pricing strategy contributing significantly. So, the decline in the average room rate over the room is one of the major reasons for the adverse profitable situation of the business </w:t>
      </w:r>
      <w:r w:rsidRPr="00C4206D">
        <w:t>(Walker, 2021)</w:t>
      </w:r>
      <w:r>
        <w:t xml:space="preserve">. Then, the occupancy rate indicates the availability of rooms in a hotel, like the Seacrest Hotel. The decline in the percentage of occupancy rate of the Seacrest Lodge highlights that there was something wrong and for this, hotel rooms are not available. This may occur due to the choice of location, hotel service and its quality, local competition, customer segmentation, and market demand. </w:t>
      </w:r>
    </w:p>
    <w:p w14:paraId="0992C485" w14:textId="77777777" w:rsidR="00B952A8" w:rsidRDefault="00B952A8" w:rsidP="00B952A8">
      <w:pPr>
        <w:rPr>
          <w:b/>
          <w:bCs/>
        </w:rPr>
      </w:pPr>
      <w:r>
        <w:rPr>
          <w:b/>
          <w:bCs/>
        </w:rPr>
        <w:br w:type="page"/>
      </w:r>
    </w:p>
    <w:p w14:paraId="5E89E407" w14:textId="77777777" w:rsidR="00B952A8" w:rsidRDefault="00B952A8" w:rsidP="00B952A8">
      <w:pPr>
        <w:pStyle w:val="Heading1"/>
        <w:numPr>
          <w:ilvl w:val="0"/>
          <w:numId w:val="1"/>
        </w:numPr>
      </w:pPr>
      <w:bookmarkStart w:id="3" w:name="_Toc158901310"/>
      <w:r>
        <w:t>A comprehensive turnaround strategy</w:t>
      </w:r>
      <w:bookmarkEnd w:id="3"/>
      <w:r>
        <w:t xml:space="preserve"> </w:t>
      </w:r>
    </w:p>
    <w:p w14:paraId="6AFDC5D8" w14:textId="77777777" w:rsidR="00B952A8" w:rsidRDefault="00B952A8" w:rsidP="00B952A8">
      <w:r w:rsidRPr="008912D3">
        <w:t>This turn</w:t>
      </w:r>
      <w:r>
        <w:t xml:space="preserve">around strategy is considered when a business intends to overcome all complexities and revitalize the lodge’s financial health </w:t>
      </w:r>
      <w:r w:rsidRPr="00C4206D">
        <w:t>(Drake &amp; Fabozzi, 2012)</w:t>
      </w:r>
      <w:r>
        <w:t>. Considering the above analysis and exploration of key reasons behind such a situation, a comprehensive turnaround strategy is going to be represented below:</w:t>
      </w:r>
    </w:p>
    <w:p w14:paraId="249BDF7D" w14:textId="77777777" w:rsidR="00B952A8" w:rsidRDefault="00B952A8" w:rsidP="00B952A8">
      <w:r>
        <w:rPr>
          <w:noProof/>
        </w:rPr>
        <w:drawing>
          <wp:inline distT="0" distB="0" distL="0" distR="0" wp14:anchorId="1BD19930" wp14:editId="52EE9543">
            <wp:extent cx="5730875" cy="1743710"/>
            <wp:effectExtent l="0" t="0" r="0" b="0"/>
            <wp:docPr id="572012711" name="Picture 8" descr="A black grid with whit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012711" name="Picture 8" descr="A black grid with white square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1743710"/>
                    </a:xfrm>
                    <a:prstGeom prst="rect">
                      <a:avLst/>
                    </a:prstGeom>
                    <a:noFill/>
                  </pic:spPr>
                </pic:pic>
              </a:graphicData>
            </a:graphic>
          </wp:inline>
        </w:drawing>
      </w:r>
    </w:p>
    <w:p w14:paraId="0AD9872B" w14:textId="4A51CB77" w:rsidR="00B952A8" w:rsidRDefault="00B952A8" w:rsidP="00B952A8">
      <w:r>
        <w:t>Determining the growth of the average room and occupancy rate, total revenue and its growth has been forecasted. It is expected that such a determination will help to obtain a positive outcome in the field of the hotel’s profitability. From 2024 to 2027, its net profit margin will range from 60%-72.5%. So, the turnaround strategies to implement these issues are going to be presented below:</w:t>
      </w:r>
    </w:p>
    <w:p w14:paraId="56233E68" w14:textId="3686CCD9" w:rsidR="00B952A8" w:rsidRDefault="00B952A8" w:rsidP="00B952A8">
      <w:pPr>
        <w:pStyle w:val="ListParagraph"/>
        <w:numPr>
          <w:ilvl w:val="0"/>
          <w:numId w:val="2"/>
        </w:numPr>
        <w:contextualSpacing w:val="0"/>
      </w:pPr>
      <w:r>
        <w:t xml:space="preserve">The Seacrest Lodge should focus on developing the standards, quality, and efficiency of room service. Considering the market demand, modern technology and equipment should be added. </w:t>
      </w:r>
    </w:p>
    <w:p w14:paraId="211E080E" w14:textId="77777777" w:rsidR="00B952A8" w:rsidRDefault="00B952A8" w:rsidP="00B952A8">
      <w:pPr>
        <w:pStyle w:val="ListParagraph"/>
        <w:numPr>
          <w:ilvl w:val="0"/>
          <w:numId w:val="2"/>
        </w:numPr>
        <w:contextualSpacing w:val="0"/>
      </w:pPr>
      <w:r>
        <w:t xml:space="preserve">It should also follow the market trends and competitive pricing and strategies so that it can keep pace with the existing competition in the market. </w:t>
      </w:r>
      <w:r>
        <w:br w:type="page"/>
      </w:r>
    </w:p>
    <w:p w14:paraId="1827C69F" w14:textId="77777777" w:rsidR="00B952A8" w:rsidRDefault="00B952A8" w:rsidP="00B952A8">
      <w:pPr>
        <w:pStyle w:val="Heading1"/>
        <w:numPr>
          <w:ilvl w:val="0"/>
          <w:numId w:val="1"/>
        </w:numPr>
      </w:pPr>
      <w:bookmarkStart w:id="4" w:name="_Toc158901311"/>
      <w:r>
        <w:t>Conclusion</w:t>
      </w:r>
      <w:bookmarkEnd w:id="4"/>
    </w:p>
    <w:p w14:paraId="4348DBB0" w14:textId="77777777" w:rsidR="008662A3" w:rsidRDefault="00B952A8" w:rsidP="00B952A8">
      <w:r>
        <w:t xml:space="preserve">After all, it can be stated that the Seacrest Lodge’s profitability has been decreasing significantly. From the analysis, different financial analysis tools including horizontal, vertical, and ratio analyses, similar outcomes have been obtained. Then, key reasons include the increase in operational expenses, decline in account receivables, average room rate, and occupancy rate. Based on overall analysis and findings, turnaround strategies have been presented. </w:t>
      </w:r>
    </w:p>
    <w:p w14:paraId="48FB8AD1" w14:textId="5EE64744" w:rsidR="00B952A8" w:rsidRDefault="00B952A8" w:rsidP="00B952A8">
      <w:r>
        <w:br w:type="page"/>
      </w:r>
    </w:p>
    <w:p w14:paraId="75095195" w14:textId="77777777" w:rsidR="00B952A8" w:rsidRDefault="00B952A8" w:rsidP="00B952A8">
      <w:pPr>
        <w:pStyle w:val="Heading1"/>
      </w:pPr>
      <w:bookmarkStart w:id="5" w:name="_Toc158901312"/>
      <w:r>
        <w:t>References</w:t>
      </w:r>
      <w:bookmarkEnd w:id="5"/>
    </w:p>
    <w:p w14:paraId="018BC349" w14:textId="77777777" w:rsidR="00B952A8" w:rsidRDefault="00B952A8" w:rsidP="00B952A8">
      <w:pPr>
        <w:pStyle w:val="NormalWeb"/>
        <w:ind w:left="567" w:hanging="567"/>
      </w:pPr>
      <w:proofErr w:type="spellStart"/>
      <w:r>
        <w:t>Atrill</w:t>
      </w:r>
      <w:proofErr w:type="spellEnd"/>
      <w:r>
        <w:t xml:space="preserve">, P. and McLaney, E. (2021) </w:t>
      </w:r>
      <w:r>
        <w:rPr>
          <w:i/>
          <w:iCs/>
        </w:rPr>
        <w:t>Management accounting for decision makers</w:t>
      </w:r>
      <w:r>
        <w:t xml:space="preserve">. Harlow, England: Financial Times/Prentice Hall. </w:t>
      </w:r>
    </w:p>
    <w:p w14:paraId="69CF6843" w14:textId="77777777" w:rsidR="00B952A8" w:rsidRDefault="00B952A8" w:rsidP="00B952A8">
      <w:pPr>
        <w:pStyle w:val="NormalWeb"/>
        <w:ind w:left="567" w:hanging="567"/>
      </w:pPr>
      <w:r>
        <w:t xml:space="preserve">Drake, P.P. and Fabozzi, F.J. (2012) ‘Financial Ratio Analysis’, </w:t>
      </w:r>
      <w:r>
        <w:rPr>
          <w:i/>
          <w:iCs/>
        </w:rPr>
        <w:t>Encyclopedia of Financial Models</w:t>
      </w:r>
      <w:r>
        <w:t xml:space="preserve"> [Preprint]. doi:10.1002/9781118182635.efm0074. </w:t>
      </w:r>
    </w:p>
    <w:p w14:paraId="54DFBAA4" w14:textId="77777777" w:rsidR="00B952A8" w:rsidRDefault="00B952A8" w:rsidP="00B952A8">
      <w:pPr>
        <w:pStyle w:val="NormalWeb"/>
        <w:ind w:left="567" w:hanging="567"/>
      </w:pPr>
      <w:r>
        <w:t xml:space="preserve">Drury, C. and </w:t>
      </w:r>
      <w:proofErr w:type="spellStart"/>
      <w:r>
        <w:t>Tayles</w:t>
      </w:r>
      <w:proofErr w:type="spellEnd"/>
      <w:r>
        <w:t xml:space="preserve">, M. (2021) </w:t>
      </w:r>
      <w:r>
        <w:rPr>
          <w:i/>
          <w:iCs/>
        </w:rPr>
        <w:t>Management and cost accounting</w:t>
      </w:r>
      <w:r>
        <w:t xml:space="preserve">. 11th </w:t>
      </w:r>
      <w:proofErr w:type="spellStart"/>
      <w:r>
        <w:t>edn</w:t>
      </w:r>
      <w:proofErr w:type="spellEnd"/>
      <w:r>
        <w:t xml:space="preserve">. Andover: Cengage. </w:t>
      </w:r>
    </w:p>
    <w:p w14:paraId="260804E4" w14:textId="77777777" w:rsidR="00B952A8" w:rsidRDefault="00B952A8" w:rsidP="00B952A8">
      <w:pPr>
        <w:pStyle w:val="NormalWeb"/>
        <w:ind w:left="567" w:hanging="567"/>
      </w:pPr>
      <w:r>
        <w:t xml:space="preserve">Powell, S. (2023) </w:t>
      </w:r>
      <w:r>
        <w:rPr>
          <w:i/>
          <w:iCs/>
        </w:rPr>
        <w:t>Financial Analysis Fundamentals</w:t>
      </w:r>
      <w:r>
        <w:t xml:space="preserve">, </w:t>
      </w:r>
      <w:r>
        <w:rPr>
          <w:i/>
          <w:iCs/>
        </w:rPr>
        <w:t>Corporate Finance Institute</w:t>
      </w:r>
      <w:r>
        <w:t xml:space="preserve">. Available at: https://corporatefinanceinstitute.com/course/financial-analysis-fundamentals/ (Accessed: 15 February 2024). </w:t>
      </w:r>
    </w:p>
    <w:p w14:paraId="1CB0541B" w14:textId="77777777" w:rsidR="00B952A8" w:rsidRDefault="00B952A8" w:rsidP="00B952A8">
      <w:pPr>
        <w:pStyle w:val="NormalWeb"/>
        <w:ind w:left="567" w:hanging="567"/>
      </w:pPr>
      <w:proofErr w:type="spellStart"/>
      <w:r>
        <w:t>Ruvins</w:t>
      </w:r>
      <w:proofErr w:type="spellEnd"/>
      <w:r>
        <w:t xml:space="preserve">, E. (2023) </w:t>
      </w:r>
      <w:r>
        <w:rPr>
          <w:i/>
          <w:iCs/>
        </w:rPr>
        <w:t>Using financial statement analysis to maximize your profits</w:t>
      </w:r>
      <w:r>
        <w:t xml:space="preserve">, </w:t>
      </w:r>
      <w:r>
        <w:rPr>
          <w:i/>
          <w:iCs/>
        </w:rPr>
        <w:t>Dental Economics</w:t>
      </w:r>
      <w:r>
        <w:t xml:space="preserve">. Available at: https://www.dentaleconomics.com/money/article/14294878/dental-practice-accounting-using-financial-statement-analysis-to-maximize-your-profits (Accessed: 15 February 2024). </w:t>
      </w:r>
    </w:p>
    <w:p w14:paraId="339748E8" w14:textId="77777777" w:rsidR="00B952A8" w:rsidRDefault="00B952A8" w:rsidP="00B952A8">
      <w:pPr>
        <w:pStyle w:val="NormalWeb"/>
        <w:ind w:left="567" w:hanging="567"/>
      </w:pPr>
      <w:r>
        <w:t xml:space="preserve">Scott, P. (2021) ‘Ratio Analysis 2: Liquidity, working capital, and long-term financial stability’, </w:t>
      </w:r>
      <w:r>
        <w:rPr>
          <w:i/>
          <w:iCs/>
        </w:rPr>
        <w:t xml:space="preserve">Introduction </w:t>
      </w:r>
      <w:proofErr w:type="gramStart"/>
      <w:r>
        <w:rPr>
          <w:i/>
          <w:iCs/>
        </w:rPr>
        <w:t>To</w:t>
      </w:r>
      <w:proofErr w:type="gramEnd"/>
      <w:r>
        <w:rPr>
          <w:i/>
          <w:iCs/>
        </w:rPr>
        <w:t xml:space="preserve"> Accounting</w:t>
      </w:r>
      <w:r>
        <w:t xml:space="preserve"> [Preprint]. doi:10.1093/</w:t>
      </w:r>
      <w:proofErr w:type="spellStart"/>
      <w:r>
        <w:t>hebz</w:t>
      </w:r>
      <w:proofErr w:type="spellEnd"/>
      <w:r>
        <w:t xml:space="preserve">/9780198849964.003.0010. </w:t>
      </w:r>
    </w:p>
    <w:p w14:paraId="4DD4AF7E" w14:textId="77777777" w:rsidR="00B952A8" w:rsidRDefault="00B952A8" w:rsidP="00B952A8">
      <w:pPr>
        <w:pStyle w:val="NormalWeb"/>
        <w:ind w:left="567" w:hanging="567"/>
      </w:pPr>
      <w:r>
        <w:t xml:space="preserve">Tranter, K.A., Stuart-Hill, T. and Parker, J. (2014) </w:t>
      </w:r>
      <w:r>
        <w:rPr>
          <w:i/>
          <w:iCs/>
        </w:rPr>
        <w:t>An introduction to revenue management for the hospitality industry: Principles and practices for the real world</w:t>
      </w:r>
      <w:r>
        <w:t xml:space="preserve">. Harlow, Essex: Pearson Education Limited. </w:t>
      </w:r>
    </w:p>
    <w:p w14:paraId="735D4BFD" w14:textId="77777777" w:rsidR="00B952A8" w:rsidRDefault="00B952A8" w:rsidP="00B952A8">
      <w:pPr>
        <w:pStyle w:val="NormalWeb"/>
        <w:ind w:left="567" w:hanging="567"/>
      </w:pPr>
      <w:r>
        <w:t xml:space="preserve">Walker, J.R. (2021) </w:t>
      </w:r>
      <w:r>
        <w:rPr>
          <w:i/>
          <w:iCs/>
        </w:rPr>
        <w:t>Introduction to hospitality</w:t>
      </w:r>
      <w:r>
        <w:t xml:space="preserve">. Boston: Pearson. </w:t>
      </w:r>
    </w:p>
    <w:p w14:paraId="5D39133B" w14:textId="77777777" w:rsidR="00B952A8" w:rsidRDefault="00B952A8" w:rsidP="00B952A8">
      <w:pPr>
        <w:pStyle w:val="NormalWeb"/>
        <w:ind w:left="567" w:hanging="567"/>
      </w:pPr>
      <w:r>
        <w:t xml:space="preserve">Wild, J.J., Kwok, W. and Venkatesh, S. (2022) </w:t>
      </w:r>
      <w:r>
        <w:rPr>
          <w:i/>
          <w:iCs/>
        </w:rPr>
        <w:t>Fundamental accounting principles</w:t>
      </w:r>
      <w:r>
        <w:t>. New York, NY? McGraw-</w:t>
      </w:r>
      <w:proofErr w:type="spellStart"/>
      <w:r>
        <w:t>Hillm</w:t>
      </w:r>
      <w:proofErr w:type="spellEnd"/>
      <w:r>
        <w:t xml:space="preserve">. </w:t>
      </w:r>
    </w:p>
    <w:p w14:paraId="71A3B50B" w14:textId="77777777" w:rsidR="00B952A8" w:rsidRDefault="00B952A8" w:rsidP="00B952A8">
      <w:pPr>
        <w:pStyle w:val="NormalWeb"/>
        <w:ind w:left="567" w:hanging="567"/>
      </w:pPr>
      <w:r>
        <w:t xml:space="preserve">Winfield, J., Graham, M. and Miller, T. (2021) ‘Financial accounting in Context’, </w:t>
      </w:r>
      <w:r>
        <w:rPr>
          <w:i/>
          <w:iCs/>
        </w:rPr>
        <w:t>Understanding Financial Accounting</w:t>
      </w:r>
      <w:r>
        <w:t xml:space="preserve"> [Preprint]. doi:10.1093/</w:t>
      </w:r>
      <w:proofErr w:type="spellStart"/>
      <w:r>
        <w:t>hebz</w:t>
      </w:r>
      <w:proofErr w:type="spellEnd"/>
      <w:r>
        <w:t xml:space="preserve">/9780198847274.003.0001. </w:t>
      </w:r>
    </w:p>
    <w:p w14:paraId="30655571" w14:textId="77777777" w:rsidR="00B952A8" w:rsidRDefault="00B952A8" w:rsidP="00B952A8">
      <w:pPr>
        <w:pStyle w:val="NormalWeb"/>
        <w:ind w:left="567" w:hanging="567"/>
      </w:pPr>
      <w:r>
        <w:rPr>
          <w:i/>
          <w:iCs/>
        </w:rPr>
        <w:t>Working at Seacrest Group | Glassdoor</w:t>
      </w:r>
      <w:r>
        <w:t xml:space="preserve"> (2024) </w:t>
      </w:r>
      <w:r>
        <w:rPr>
          <w:i/>
          <w:iCs/>
        </w:rPr>
        <w:t>Glassdoor</w:t>
      </w:r>
      <w:r>
        <w:t xml:space="preserve">. Available at: https://www.glassdoor.com/Overview/Working-at-SeaCrest-Group-EI_IE1727861.11,25.htm (Accessed: 15 February 2024). </w:t>
      </w:r>
    </w:p>
    <w:p w14:paraId="3A8BA000" w14:textId="77777777" w:rsidR="00B952A8" w:rsidRPr="008912D3" w:rsidRDefault="00B952A8" w:rsidP="00B952A8"/>
    <w:p w14:paraId="1985F293" w14:textId="77777777" w:rsidR="004457D3" w:rsidRDefault="004457D3"/>
    <w:sectPr w:rsidR="004457D3" w:rsidSect="00C01995">
      <w:footerReference w:type="default" r:id="rId12"/>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A78FA9" w14:textId="77777777" w:rsidR="00C01995" w:rsidRDefault="00C01995">
      <w:pPr>
        <w:spacing w:line="240" w:lineRule="auto"/>
      </w:pPr>
      <w:r>
        <w:separator/>
      </w:r>
    </w:p>
  </w:endnote>
  <w:endnote w:type="continuationSeparator" w:id="0">
    <w:p w14:paraId="5E4EC048" w14:textId="77777777" w:rsidR="00C01995" w:rsidRDefault="00C019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759063"/>
      <w:docPartObj>
        <w:docPartGallery w:val="Page Numbers (Bottom of Page)"/>
        <w:docPartUnique/>
      </w:docPartObj>
    </w:sdtPr>
    <w:sdtEndPr>
      <w:rPr>
        <w:color w:val="7F7F7F" w:themeColor="background1" w:themeShade="7F"/>
        <w:spacing w:val="60"/>
      </w:rPr>
    </w:sdtEndPr>
    <w:sdtContent>
      <w:p w14:paraId="450F01B1" w14:textId="77777777" w:rsidR="008662A3" w:rsidRDefault="008662A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BC0C72E" w14:textId="77777777" w:rsidR="008662A3" w:rsidRDefault="008662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9792D9" w14:textId="77777777" w:rsidR="00C01995" w:rsidRDefault="00C01995">
      <w:pPr>
        <w:spacing w:line="240" w:lineRule="auto"/>
      </w:pPr>
      <w:r>
        <w:separator/>
      </w:r>
    </w:p>
  </w:footnote>
  <w:footnote w:type="continuationSeparator" w:id="0">
    <w:p w14:paraId="41706D8D" w14:textId="77777777" w:rsidR="00C01995" w:rsidRDefault="00C0199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08205D"/>
    <w:multiLevelType w:val="hybridMultilevel"/>
    <w:tmpl w:val="91B6853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357164CF"/>
    <w:multiLevelType w:val="hybridMultilevel"/>
    <w:tmpl w:val="CE56334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31262938">
    <w:abstractNumId w:val="1"/>
  </w:num>
  <w:num w:numId="2" w16cid:durableId="20830665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2A8"/>
    <w:rsid w:val="000776C7"/>
    <w:rsid w:val="003B164E"/>
    <w:rsid w:val="00405B29"/>
    <w:rsid w:val="00430121"/>
    <w:rsid w:val="004457D3"/>
    <w:rsid w:val="004D4079"/>
    <w:rsid w:val="0057212E"/>
    <w:rsid w:val="00661AD9"/>
    <w:rsid w:val="00726871"/>
    <w:rsid w:val="007E14BF"/>
    <w:rsid w:val="00865BE2"/>
    <w:rsid w:val="008662A3"/>
    <w:rsid w:val="00946552"/>
    <w:rsid w:val="009A173B"/>
    <w:rsid w:val="00A5183D"/>
    <w:rsid w:val="00B952A8"/>
    <w:rsid w:val="00C01995"/>
    <w:rsid w:val="00C80A7F"/>
    <w:rsid w:val="00D04521"/>
    <w:rsid w:val="00D069B5"/>
    <w:rsid w:val="00D24B37"/>
    <w:rsid w:val="00EB200B"/>
    <w:rsid w:val="00FE4C38"/>
    <w:rsid w:val="00FF49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52510E"/>
  <w15:chartTrackingRefBased/>
  <w15:docId w15:val="{87F4E3FB-06D4-415A-9560-8566643E2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52A8"/>
    <w:pPr>
      <w:spacing w:after="0" w:line="360" w:lineRule="auto"/>
      <w:jc w:val="both"/>
    </w:pPr>
    <w:rPr>
      <w:rFonts w:ascii="Times New Roman" w:eastAsia="Arial" w:hAnsi="Times New Roman" w:cs="Arial"/>
      <w:kern w:val="0"/>
      <w:sz w:val="24"/>
      <w:lang w:val="en" w:eastAsia="en-GB"/>
    </w:rPr>
  </w:style>
  <w:style w:type="paragraph" w:styleId="Heading1">
    <w:name w:val="heading 1"/>
    <w:basedOn w:val="Normal"/>
    <w:next w:val="Normal"/>
    <w:link w:val="Heading1Char"/>
    <w:uiPriority w:val="9"/>
    <w:qFormat/>
    <w:rsid w:val="00B952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52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52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52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52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52A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52A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52A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52A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52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52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52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52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52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52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52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52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52A8"/>
    <w:rPr>
      <w:rFonts w:eastAsiaTheme="majorEastAsia" w:cstheme="majorBidi"/>
      <w:color w:val="272727" w:themeColor="text1" w:themeTint="D8"/>
    </w:rPr>
  </w:style>
  <w:style w:type="paragraph" w:styleId="Title">
    <w:name w:val="Title"/>
    <w:basedOn w:val="Normal"/>
    <w:next w:val="Normal"/>
    <w:link w:val="TitleChar"/>
    <w:uiPriority w:val="10"/>
    <w:qFormat/>
    <w:rsid w:val="00B952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52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52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52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52A8"/>
    <w:pPr>
      <w:spacing w:before="160"/>
      <w:jc w:val="center"/>
    </w:pPr>
    <w:rPr>
      <w:i/>
      <w:iCs/>
      <w:color w:val="404040" w:themeColor="text1" w:themeTint="BF"/>
    </w:rPr>
  </w:style>
  <w:style w:type="character" w:customStyle="1" w:styleId="QuoteChar">
    <w:name w:val="Quote Char"/>
    <w:basedOn w:val="DefaultParagraphFont"/>
    <w:link w:val="Quote"/>
    <w:uiPriority w:val="29"/>
    <w:rsid w:val="00B952A8"/>
    <w:rPr>
      <w:i/>
      <w:iCs/>
      <w:color w:val="404040" w:themeColor="text1" w:themeTint="BF"/>
    </w:rPr>
  </w:style>
  <w:style w:type="paragraph" w:styleId="ListParagraph">
    <w:name w:val="List Paragraph"/>
    <w:basedOn w:val="Normal"/>
    <w:uiPriority w:val="1"/>
    <w:qFormat/>
    <w:rsid w:val="00B952A8"/>
    <w:pPr>
      <w:ind w:left="720"/>
      <w:contextualSpacing/>
    </w:pPr>
  </w:style>
  <w:style w:type="character" w:styleId="IntenseEmphasis">
    <w:name w:val="Intense Emphasis"/>
    <w:basedOn w:val="DefaultParagraphFont"/>
    <w:uiPriority w:val="21"/>
    <w:qFormat/>
    <w:rsid w:val="00B952A8"/>
    <w:rPr>
      <w:i/>
      <w:iCs/>
      <w:color w:val="0F4761" w:themeColor="accent1" w:themeShade="BF"/>
    </w:rPr>
  </w:style>
  <w:style w:type="paragraph" w:styleId="IntenseQuote">
    <w:name w:val="Intense Quote"/>
    <w:basedOn w:val="Normal"/>
    <w:next w:val="Normal"/>
    <w:link w:val="IntenseQuoteChar"/>
    <w:uiPriority w:val="30"/>
    <w:qFormat/>
    <w:rsid w:val="00B952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52A8"/>
    <w:rPr>
      <w:i/>
      <w:iCs/>
      <w:color w:val="0F4761" w:themeColor="accent1" w:themeShade="BF"/>
    </w:rPr>
  </w:style>
  <w:style w:type="character" w:styleId="IntenseReference">
    <w:name w:val="Intense Reference"/>
    <w:basedOn w:val="DefaultParagraphFont"/>
    <w:uiPriority w:val="32"/>
    <w:qFormat/>
    <w:rsid w:val="00B952A8"/>
    <w:rPr>
      <w:b/>
      <w:bCs/>
      <w:smallCaps/>
      <w:color w:val="0F4761" w:themeColor="accent1" w:themeShade="BF"/>
      <w:spacing w:val="5"/>
    </w:rPr>
  </w:style>
  <w:style w:type="paragraph" w:styleId="Footer">
    <w:name w:val="footer"/>
    <w:basedOn w:val="Normal"/>
    <w:link w:val="FooterChar"/>
    <w:uiPriority w:val="99"/>
    <w:unhideWhenUsed/>
    <w:rsid w:val="00B952A8"/>
    <w:pPr>
      <w:tabs>
        <w:tab w:val="center" w:pos="4680"/>
        <w:tab w:val="right" w:pos="9360"/>
      </w:tabs>
      <w:spacing w:line="240" w:lineRule="auto"/>
    </w:pPr>
  </w:style>
  <w:style w:type="character" w:customStyle="1" w:styleId="FooterChar">
    <w:name w:val="Footer Char"/>
    <w:basedOn w:val="DefaultParagraphFont"/>
    <w:link w:val="Footer"/>
    <w:uiPriority w:val="99"/>
    <w:rsid w:val="00B952A8"/>
    <w:rPr>
      <w:rFonts w:ascii="Times New Roman" w:eastAsia="Arial" w:hAnsi="Times New Roman" w:cs="Arial"/>
      <w:kern w:val="0"/>
      <w:sz w:val="24"/>
      <w:lang w:val="en" w:eastAsia="en-GB"/>
    </w:rPr>
  </w:style>
  <w:style w:type="paragraph" w:styleId="Caption">
    <w:name w:val="caption"/>
    <w:basedOn w:val="Normal"/>
    <w:next w:val="Normal"/>
    <w:uiPriority w:val="35"/>
    <w:unhideWhenUsed/>
    <w:qFormat/>
    <w:rsid w:val="00B952A8"/>
    <w:pPr>
      <w:spacing w:after="200" w:line="240" w:lineRule="auto"/>
    </w:pPr>
    <w:rPr>
      <w:i/>
      <w:iCs/>
      <w:color w:val="0E2841" w:themeColor="text2"/>
      <w:sz w:val="18"/>
      <w:szCs w:val="18"/>
    </w:rPr>
  </w:style>
  <w:style w:type="paragraph" w:styleId="NormalWeb">
    <w:name w:val="Normal (Web)"/>
    <w:basedOn w:val="Normal"/>
    <w:uiPriority w:val="99"/>
    <w:semiHidden/>
    <w:unhideWhenUsed/>
    <w:rsid w:val="00B952A8"/>
    <w:pPr>
      <w:spacing w:before="100" w:beforeAutospacing="1" w:after="100" w:afterAutospacing="1" w:line="240" w:lineRule="auto"/>
      <w:jc w:val="left"/>
    </w:pPr>
    <w:rPr>
      <w:rFonts w:eastAsia="Times New Roman" w:cs="Times New Roman"/>
      <w:szCs w:val="24"/>
      <w:lang w:val="en-US" w:eastAsia="en-US"/>
    </w:rPr>
  </w:style>
  <w:style w:type="paragraph" w:styleId="TOCHeading">
    <w:name w:val="TOC Heading"/>
    <w:basedOn w:val="Heading1"/>
    <w:next w:val="Normal"/>
    <w:uiPriority w:val="39"/>
    <w:unhideWhenUsed/>
    <w:qFormat/>
    <w:rsid w:val="00B952A8"/>
    <w:pPr>
      <w:spacing w:before="240" w:after="0"/>
      <w:outlineLvl w:val="9"/>
    </w:pPr>
    <w:rPr>
      <w:sz w:val="32"/>
      <w:szCs w:val="32"/>
      <w:lang w:val="en-US"/>
    </w:rPr>
  </w:style>
  <w:style w:type="paragraph" w:styleId="TOC1">
    <w:name w:val="toc 1"/>
    <w:basedOn w:val="Normal"/>
    <w:next w:val="Normal"/>
    <w:autoRedefine/>
    <w:uiPriority w:val="39"/>
    <w:unhideWhenUsed/>
    <w:rsid w:val="00B952A8"/>
    <w:pPr>
      <w:spacing w:after="100"/>
    </w:pPr>
  </w:style>
  <w:style w:type="character" w:styleId="Hyperlink">
    <w:name w:val="Hyperlink"/>
    <w:basedOn w:val="DefaultParagraphFont"/>
    <w:uiPriority w:val="99"/>
    <w:unhideWhenUsed/>
    <w:rsid w:val="00B952A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328096">
      <w:bodyDiv w:val="1"/>
      <w:marLeft w:val="0"/>
      <w:marRight w:val="0"/>
      <w:marTop w:val="0"/>
      <w:marBottom w:val="0"/>
      <w:divBdr>
        <w:top w:val="none" w:sz="0" w:space="0" w:color="auto"/>
        <w:left w:val="none" w:sz="0" w:space="0" w:color="auto"/>
        <w:bottom w:val="none" w:sz="0" w:space="0" w:color="auto"/>
        <w:right w:val="none" w:sz="0" w:space="0" w:color="auto"/>
      </w:divBdr>
    </w:div>
    <w:div w:id="395325186">
      <w:bodyDiv w:val="1"/>
      <w:marLeft w:val="0"/>
      <w:marRight w:val="0"/>
      <w:marTop w:val="0"/>
      <w:marBottom w:val="0"/>
      <w:divBdr>
        <w:top w:val="none" w:sz="0" w:space="0" w:color="auto"/>
        <w:left w:val="none" w:sz="0" w:space="0" w:color="auto"/>
        <w:bottom w:val="none" w:sz="0" w:space="0" w:color="auto"/>
        <w:right w:val="none" w:sz="0" w:space="0" w:color="auto"/>
      </w:divBdr>
    </w:div>
    <w:div w:id="1045445153">
      <w:bodyDiv w:val="1"/>
      <w:marLeft w:val="0"/>
      <w:marRight w:val="0"/>
      <w:marTop w:val="0"/>
      <w:marBottom w:val="0"/>
      <w:divBdr>
        <w:top w:val="none" w:sz="0" w:space="0" w:color="auto"/>
        <w:left w:val="none" w:sz="0" w:space="0" w:color="auto"/>
        <w:bottom w:val="none" w:sz="0" w:space="0" w:color="auto"/>
        <w:right w:val="none" w:sz="0" w:space="0" w:color="auto"/>
      </w:divBdr>
    </w:div>
    <w:div w:id="1083181808">
      <w:bodyDiv w:val="1"/>
      <w:marLeft w:val="0"/>
      <w:marRight w:val="0"/>
      <w:marTop w:val="0"/>
      <w:marBottom w:val="0"/>
      <w:divBdr>
        <w:top w:val="none" w:sz="0" w:space="0" w:color="auto"/>
        <w:left w:val="none" w:sz="0" w:space="0" w:color="auto"/>
        <w:bottom w:val="none" w:sz="0" w:space="0" w:color="auto"/>
        <w:right w:val="none" w:sz="0" w:space="0" w:color="auto"/>
      </w:divBdr>
    </w:div>
    <w:div w:id="1570194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emf"/><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200" b="1"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r>
              <a:rPr lang="en-US"/>
              <a:t>Horizontal analysis</a:t>
            </a:r>
          </a:p>
        </c:rich>
      </c:tx>
      <c:overlay val="0"/>
      <c:spPr>
        <a:noFill/>
        <a:ln>
          <a:noFill/>
        </a:ln>
        <a:effectLst/>
      </c:spPr>
      <c:txPr>
        <a:bodyPr rot="0" spcFirstLastPara="1" vertOverflow="ellipsis" vert="horz" wrap="square" anchor="ctr" anchorCtr="1"/>
        <a:lstStyle/>
        <a:p>
          <a:pPr>
            <a:defRPr sz="1200" b="1"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Sheet1!$K$55</c:f>
              <c:strCache>
                <c:ptCount val="1"/>
                <c:pt idx="0">
                  <c:v>2022</c:v>
                </c:pt>
              </c:strCache>
            </c:strRef>
          </c:tx>
          <c:spPr>
            <a:solidFill>
              <a:schemeClr val="accent1"/>
            </a:solidFill>
            <a:ln>
              <a:noFill/>
            </a:ln>
            <a:effectLst/>
          </c:spPr>
          <c:invertIfNegative val="0"/>
          <c:cat>
            <c:strRef>
              <c:f>Sheet1!$J$56:$J$63</c:f>
              <c:strCache>
                <c:ptCount val="8"/>
                <c:pt idx="0">
                  <c:v>Revenue</c:v>
                </c:pt>
                <c:pt idx="1">
                  <c:v>Operating expenses</c:v>
                </c:pt>
                <c:pt idx="2">
                  <c:v>Net income</c:v>
                </c:pt>
                <c:pt idx="3">
                  <c:v>Cash and equivalents</c:v>
                </c:pt>
                <c:pt idx="4">
                  <c:v>Accounts receivable</c:v>
                </c:pt>
                <c:pt idx="5">
                  <c:v>Property and equipment</c:v>
                </c:pt>
                <c:pt idx="6">
                  <c:v>Accounts payable</c:v>
                </c:pt>
                <c:pt idx="7">
                  <c:v>Long-term debt</c:v>
                </c:pt>
              </c:strCache>
            </c:strRef>
          </c:cat>
          <c:val>
            <c:numRef>
              <c:f>Sheet1!$K$56:$K$63</c:f>
              <c:numCache>
                <c:formatCode>0.0%</c:formatCode>
                <c:ptCount val="8"/>
                <c:pt idx="0">
                  <c:v>-8.3333333333333329E-2</c:v>
                </c:pt>
                <c:pt idx="1">
                  <c:v>5.5555555555555552E-2</c:v>
                </c:pt>
                <c:pt idx="2" formatCode="0%">
                  <c:v>-0.5</c:v>
                </c:pt>
                <c:pt idx="3" formatCode="0%">
                  <c:v>-0.25</c:v>
                </c:pt>
                <c:pt idx="4">
                  <c:v>-0.25</c:v>
                </c:pt>
                <c:pt idx="5">
                  <c:v>0</c:v>
                </c:pt>
                <c:pt idx="6">
                  <c:v>0.25</c:v>
                </c:pt>
                <c:pt idx="7" formatCode="General">
                  <c:v>0</c:v>
                </c:pt>
              </c:numCache>
            </c:numRef>
          </c:val>
          <c:extLst>
            <c:ext xmlns:c16="http://schemas.microsoft.com/office/drawing/2014/chart" uri="{C3380CC4-5D6E-409C-BE32-E72D297353CC}">
              <c16:uniqueId val="{00000000-60E0-4F84-AF1B-0C75420F4E5B}"/>
            </c:ext>
          </c:extLst>
        </c:ser>
        <c:ser>
          <c:idx val="1"/>
          <c:order val="1"/>
          <c:tx>
            <c:strRef>
              <c:f>Sheet1!$L$55</c:f>
              <c:strCache>
                <c:ptCount val="1"/>
                <c:pt idx="0">
                  <c:v>2023</c:v>
                </c:pt>
              </c:strCache>
            </c:strRef>
          </c:tx>
          <c:spPr>
            <a:solidFill>
              <a:srgbClr val="FF0000"/>
            </a:solidFill>
            <a:ln>
              <a:noFill/>
            </a:ln>
            <a:effectLst/>
          </c:spPr>
          <c:invertIfNegative val="0"/>
          <c:cat>
            <c:strRef>
              <c:f>Sheet1!$J$56:$J$63</c:f>
              <c:strCache>
                <c:ptCount val="8"/>
                <c:pt idx="0">
                  <c:v>Revenue</c:v>
                </c:pt>
                <c:pt idx="1">
                  <c:v>Operating expenses</c:v>
                </c:pt>
                <c:pt idx="2">
                  <c:v>Net income</c:v>
                </c:pt>
                <c:pt idx="3">
                  <c:v>Cash and equivalents</c:v>
                </c:pt>
                <c:pt idx="4">
                  <c:v>Accounts receivable</c:v>
                </c:pt>
                <c:pt idx="5">
                  <c:v>Property and equipment</c:v>
                </c:pt>
                <c:pt idx="6">
                  <c:v>Accounts payable</c:v>
                </c:pt>
                <c:pt idx="7">
                  <c:v>Long-term debt</c:v>
                </c:pt>
              </c:strCache>
            </c:strRef>
          </c:cat>
          <c:val>
            <c:numRef>
              <c:f>Sheet1!$L$56:$L$63</c:f>
              <c:numCache>
                <c:formatCode>0.0%</c:formatCode>
                <c:ptCount val="8"/>
                <c:pt idx="0">
                  <c:v>-0.13636363636363635</c:v>
                </c:pt>
                <c:pt idx="1">
                  <c:v>0.15789473684210525</c:v>
                </c:pt>
                <c:pt idx="2" formatCode="0%">
                  <c:v>-2</c:v>
                </c:pt>
                <c:pt idx="3" formatCode="0%">
                  <c:v>-3</c:v>
                </c:pt>
                <c:pt idx="4">
                  <c:v>-0.33333333333333331</c:v>
                </c:pt>
                <c:pt idx="5">
                  <c:v>-0.1111111111111111</c:v>
                </c:pt>
                <c:pt idx="6">
                  <c:v>0.2</c:v>
                </c:pt>
                <c:pt idx="7" formatCode="General">
                  <c:v>0</c:v>
                </c:pt>
              </c:numCache>
            </c:numRef>
          </c:val>
          <c:extLst>
            <c:ext xmlns:c16="http://schemas.microsoft.com/office/drawing/2014/chart" uri="{C3380CC4-5D6E-409C-BE32-E72D297353CC}">
              <c16:uniqueId val="{00000001-60E0-4F84-AF1B-0C75420F4E5B}"/>
            </c:ext>
          </c:extLst>
        </c:ser>
        <c:dLbls>
          <c:showLegendKey val="0"/>
          <c:showVal val="0"/>
          <c:showCatName val="0"/>
          <c:showSerName val="0"/>
          <c:showPercent val="0"/>
          <c:showBubbleSize val="0"/>
        </c:dLbls>
        <c:gapWidth val="219"/>
        <c:overlap val="-27"/>
        <c:axId val="423119640"/>
        <c:axId val="423118200"/>
      </c:barChart>
      <c:catAx>
        <c:axId val="4231196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423118200"/>
        <c:crosses val="autoZero"/>
        <c:auto val="1"/>
        <c:lblAlgn val="ctr"/>
        <c:lblOffset val="100"/>
        <c:noMultiLvlLbl val="0"/>
      </c:catAx>
      <c:valAx>
        <c:axId val="423118200"/>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10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4231196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0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000" b="1">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4</TotalTime>
  <Pages>11</Pages>
  <Words>2165</Words>
  <Characters>12230</Characters>
  <Application>Microsoft Office Word</Application>
  <DocSecurity>0</DocSecurity>
  <Lines>209</Lines>
  <Paragraphs>55</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Introduction</vt:lpstr>
      <vt:lpstr>Analyzing the financial performance  </vt:lpstr>
      <vt:lpstr>Key reasons for the decline in profitability</vt:lpstr>
      <vt:lpstr>A comprehensive turnaround strategy </vt:lpstr>
      <vt:lpstr>Conclusion</vt:lpstr>
      <vt:lpstr>References</vt:lpstr>
    </vt:vector>
  </TitlesOfParts>
  <Company/>
  <LinksUpToDate>false</LinksUpToDate>
  <CharactersWithSpaces>14372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Piotr Garbaty (2211131)</dc:creator>
  <cp:keywords/>
  <dc:description/>
  <cp:lastModifiedBy>Sebastian Piotr Garbaty (2211131)</cp:lastModifiedBy>
  <cp:revision>17</cp:revision>
  <dcterms:created xsi:type="dcterms:W3CDTF">2024-02-21T11:12:00Z</dcterms:created>
  <dcterms:modified xsi:type="dcterms:W3CDTF">2024-02-27T07:13:00Z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125cd82b-4a96-4693-a8b6-c9429547357e</vt:lpwstr>
  </property>
</Properties>
</file>