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D5076" w14:textId="19AEACB9"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eastAsia="it-IT"/>
          <w14:ligatures w14:val="none"/>
        </w:rPr>
      </w:pPr>
      <w:r w:rsidRPr="001F1808">
        <w:rPr>
          <w:rFonts w:ascii="Times New Roman" w:eastAsia="Times New Roman" w:hAnsi="Times New Roman" w:cs="Times New Roman"/>
          <w:color w:val="000000"/>
          <w:kern w:val="0"/>
          <w:lang w:eastAsia="it-IT"/>
          <w14:ligatures w14:val="none"/>
        </w:rPr>
        <w:t xml:space="preserve">Silvio Lisciandrelli: </w:t>
      </w:r>
      <w:r w:rsidR="00A06D65">
        <w:rPr>
          <w:rFonts w:ascii="Times New Roman" w:eastAsia="Times New Roman" w:hAnsi="Times New Roman" w:cs="Times New Roman"/>
          <w:color w:val="000000"/>
          <w:kern w:val="0"/>
          <w:lang w:eastAsia="it-IT"/>
          <w14:ligatures w14:val="none"/>
        </w:rPr>
        <w:t xml:space="preserve">ID </w:t>
      </w:r>
      <w:r w:rsidRPr="001F1808">
        <w:rPr>
          <w:rFonts w:ascii="Times New Roman" w:eastAsia="Times New Roman" w:hAnsi="Times New Roman" w:cs="Times New Roman"/>
          <w:color w:val="000000"/>
          <w:kern w:val="0"/>
          <w:lang w:eastAsia="it-IT"/>
          <w14:ligatures w14:val="none"/>
        </w:rPr>
        <w:t>2233468</w:t>
      </w:r>
    </w:p>
    <w:p w14:paraId="0764286B" w14:textId="39D58F7B" w:rsidR="001F1808" w:rsidRDefault="001F1808" w:rsidP="001F1808">
      <w:pPr>
        <w:spacing w:before="100" w:beforeAutospacing="1" w:after="100" w:afterAutospacing="1"/>
        <w:rPr>
          <w:rFonts w:ascii="Times New Roman" w:eastAsia="Times New Roman" w:hAnsi="Times New Roman" w:cs="Times New Roman"/>
          <w:color w:val="000000"/>
          <w:kern w:val="0"/>
          <w:lang w:eastAsia="it-IT"/>
          <w14:ligatures w14:val="none"/>
        </w:rPr>
      </w:pPr>
      <w:r w:rsidRPr="001F1808">
        <w:rPr>
          <w:rFonts w:ascii="Times New Roman" w:eastAsia="Times New Roman" w:hAnsi="Times New Roman" w:cs="Times New Roman"/>
          <w:color w:val="000000"/>
          <w:kern w:val="0"/>
          <w:lang w:eastAsia="it-IT"/>
          <w14:ligatures w14:val="none"/>
        </w:rPr>
        <w:t>Module: BMGM6001</w:t>
      </w:r>
    </w:p>
    <w:p w14:paraId="5E011A44" w14:textId="589545EB" w:rsidR="00A7047B" w:rsidRPr="001F1808" w:rsidRDefault="00145CDC" w:rsidP="001F1808">
      <w:pPr>
        <w:spacing w:before="100" w:beforeAutospacing="1" w:after="100" w:afterAutospacing="1"/>
        <w:rPr>
          <w:rFonts w:ascii="Times New Roman" w:eastAsia="Times New Roman" w:hAnsi="Times New Roman" w:cs="Times New Roman"/>
          <w:color w:val="000000"/>
          <w:kern w:val="0"/>
          <w:lang w:eastAsia="it-IT"/>
          <w14:ligatures w14:val="none"/>
        </w:rPr>
      </w:pPr>
      <w:r>
        <w:rPr>
          <w:rFonts w:ascii="Times New Roman" w:eastAsia="Times New Roman" w:hAnsi="Times New Roman" w:cs="Times New Roman"/>
          <w:color w:val="000000"/>
          <w:kern w:val="0"/>
          <w:lang w:eastAsia="it-IT"/>
          <w14:ligatures w14:val="none"/>
        </w:rPr>
        <w:t xml:space="preserve">Module Title: leading restaurant strategy </w:t>
      </w:r>
    </w:p>
    <w:p w14:paraId="229EC000" w14:textId="6E01CFCC"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eastAsia="it-IT"/>
          <w14:ligatures w14:val="none"/>
        </w:rPr>
      </w:pPr>
      <w:r w:rsidRPr="001F1808">
        <w:rPr>
          <w:rFonts w:ascii="Times New Roman" w:eastAsia="Times New Roman" w:hAnsi="Times New Roman" w:cs="Times New Roman"/>
          <w:color w:val="000000"/>
          <w:kern w:val="0"/>
          <w:lang w:eastAsia="it-IT"/>
          <w14:ligatures w14:val="none"/>
        </w:rPr>
        <w:t>Lecturer’s name: Jessica Newport</w:t>
      </w:r>
    </w:p>
    <w:p w14:paraId="2DA489C2"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37CA4C72"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3FFAE9F6"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2E31B07B"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12FA4696"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18546E0F"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29D99476"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6E701156" w14:textId="7A0EEE51"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1. Executive Summary</w:t>
      </w:r>
    </w:p>
    <w:p w14:paraId="5C560E58"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This business plan presents the proposal for an Italian-style wine bar in Swansea city centre, offering an authentic "aperitivo" experience. The establishment will feature a sophisticated yet inviting atmosphere, providing high-quality wines from global vineyards, paired with gourmet Italian food, including cold cuts, olives, bruschetta, and artisanal bread.</w:t>
      </w:r>
    </w:p>
    <w:p w14:paraId="6C713AC8"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Additionally, a self-service wine dispenser system will offer a unique and interactive approach to wine consumption: this plan highlights market demand, financial feasibility, and strategic direction to ensure a sustainable and profitable venture.</w:t>
      </w:r>
    </w:p>
    <w:p w14:paraId="3FE4EFF5"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58B57C26"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57BC900E"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2FED3B06"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1810DD3A"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5A45441B"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36807191"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03C34F97"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4A7AEBEA"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28B74B78"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464F0DFB"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3F27174C"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2804F5AC"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5898420A" w14:textId="59B5A19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Table of Contents</w:t>
      </w:r>
    </w:p>
    <w:p w14:paraId="642A5BA3" w14:textId="77777777" w:rsidR="001F1808" w:rsidRPr="001F1808" w:rsidRDefault="001F1808" w:rsidP="001F1808">
      <w:pPr>
        <w:numPr>
          <w:ilvl w:val="0"/>
          <w:numId w:val="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Executive Summary</w:t>
      </w:r>
    </w:p>
    <w:p w14:paraId="480A6C88" w14:textId="77777777" w:rsidR="001F1808" w:rsidRPr="001F1808" w:rsidRDefault="001F1808" w:rsidP="001F1808">
      <w:pPr>
        <w:numPr>
          <w:ilvl w:val="0"/>
          <w:numId w:val="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Business Overview</w:t>
      </w:r>
      <w:r w:rsidRPr="001F1808">
        <w:rPr>
          <w:rFonts w:ascii="Times New Roman" w:eastAsia="Times New Roman" w:hAnsi="Times New Roman" w:cs="Times New Roman"/>
          <w:color w:val="000000"/>
          <w:kern w:val="0"/>
          <w:lang w:val="it-GB" w:eastAsia="it-IT"/>
          <w14:ligatures w14:val="none"/>
        </w:rPr>
        <w:br/>
        <w:t>2.1 Business Concept</w:t>
      </w:r>
      <w:r w:rsidRPr="001F1808">
        <w:rPr>
          <w:rFonts w:ascii="Times New Roman" w:eastAsia="Times New Roman" w:hAnsi="Times New Roman" w:cs="Times New Roman"/>
          <w:color w:val="000000"/>
          <w:kern w:val="0"/>
          <w:lang w:val="it-GB" w:eastAsia="it-IT"/>
          <w14:ligatures w14:val="none"/>
        </w:rPr>
        <w:br/>
        <w:t>2.2 Mission and Vision Statements</w:t>
      </w:r>
      <w:r w:rsidRPr="001F1808">
        <w:rPr>
          <w:rFonts w:ascii="Times New Roman" w:eastAsia="Times New Roman" w:hAnsi="Times New Roman" w:cs="Times New Roman"/>
          <w:color w:val="000000"/>
          <w:kern w:val="0"/>
          <w:lang w:val="it-GB" w:eastAsia="it-IT"/>
          <w14:ligatures w14:val="none"/>
        </w:rPr>
        <w:br/>
        <w:t>2.3 Business Ethos and Brand Standard</w:t>
      </w:r>
    </w:p>
    <w:p w14:paraId="52F281F6" w14:textId="77777777" w:rsidR="001F1808" w:rsidRPr="001F1808" w:rsidRDefault="001F1808" w:rsidP="001F1808">
      <w:pPr>
        <w:numPr>
          <w:ilvl w:val="0"/>
          <w:numId w:val="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Market Research &amp; Industry Analysis</w:t>
      </w:r>
      <w:r w:rsidRPr="001F1808">
        <w:rPr>
          <w:rFonts w:ascii="Times New Roman" w:eastAsia="Times New Roman" w:hAnsi="Times New Roman" w:cs="Times New Roman"/>
          <w:color w:val="000000"/>
          <w:kern w:val="0"/>
          <w:lang w:val="it-GB" w:eastAsia="it-IT"/>
          <w14:ligatures w14:val="none"/>
        </w:rPr>
        <w:br/>
        <w:t>3.1 Industry Outlook</w:t>
      </w:r>
      <w:r w:rsidRPr="001F1808">
        <w:rPr>
          <w:rFonts w:ascii="Times New Roman" w:eastAsia="Times New Roman" w:hAnsi="Times New Roman" w:cs="Times New Roman"/>
          <w:color w:val="000000"/>
          <w:kern w:val="0"/>
          <w:lang w:val="it-GB" w:eastAsia="it-IT"/>
          <w14:ligatures w14:val="none"/>
        </w:rPr>
        <w:br/>
        <w:t>3.2 Target Market</w:t>
      </w:r>
      <w:r w:rsidRPr="001F1808">
        <w:rPr>
          <w:rFonts w:ascii="Times New Roman" w:eastAsia="Times New Roman" w:hAnsi="Times New Roman" w:cs="Times New Roman"/>
          <w:color w:val="000000"/>
          <w:kern w:val="0"/>
          <w:lang w:val="it-GB" w:eastAsia="it-IT"/>
          <w14:ligatures w14:val="none"/>
        </w:rPr>
        <w:br/>
        <w:t>3.3 Competitive Analysis</w:t>
      </w:r>
      <w:r w:rsidRPr="001F1808">
        <w:rPr>
          <w:rFonts w:ascii="Times New Roman" w:eastAsia="Times New Roman" w:hAnsi="Times New Roman" w:cs="Times New Roman"/>
          <w:color w:val="000000"/>
          <w:kern w:val="0"/>
          <w:lang w:val="it-GB" w:eastAsia="it-IT"/>
          <w14:ligatures w14:val="none"/>
        </w:rPr>
        <w:br/>
        <w:t>3.4 PESTLE Analysis</w:t>
      </w:r>
      <w:r w:rsidRPr="001F1808">
        <w:rPr>
          <w:rFonts w:ascii="Times New Roman" w:eastAsia="Times New Roman" w:hAnsi="Times New Roman" w:cs="Times New Roman"/>
          <w:color w:val="000000"/>
          <w:kern w:val="0"/>
          <w:lang w:val="it-GB" w:eastAsia="it-IT"/>
          <w14:ligatures w14:val="none"/>
        </w:rPr>
        <w:br/>
        <w:t>3.5 SWOT Analysis</w:t>
      </w:r>
    </w:p>
    <w:p w14:paraId="3C708B11" w14:textId="77777777" w:rsidR="001F1808" w:rsidRPr="001F1808" w:rsidRDefault="001F1808" w:rsidP="001F1808">
      <w:pPr>
        <w:numPr>
          <w:ilvl w:val="0"/>
          <w:numId w:val="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Organizational Framework</w:t>
      </w:r>
      <w:r w:rsidRPr="001F1808">
        <w:rPr>
          <w:rFonts w:ascii="Times New Roman" w:eastAsia="Times New Roman" w:hAnsi="Times New Roman" w:cs="Times New Roman"/>
          <w:color w:val="000000"/>
          <w:kern w:val="0"/>
          <w:lang w:val="it-GB" w:eastAsia="it-IT"/>
          <w14:ligatures w14:val="none"/>
        </w:rPr>
        <w:br/>
        <w:t>4.1 Leadership &amp; Management</w:t>
      </w:r>
    </w:p>
    <w:p w14:paraId="4493D6B4" w14:textId="77777777" w:rsidR="001F1808" w:rsidRPr="001F1808" w:rsidRDefault="001F1808" w:rsidP="001F1808">
      <w:pPr>
        <w:numPr>
          <w:ilvl w:val="0"/>
          <w:numId w:val="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Financial Plan</w:t>
      </w:r>
      <w:r w:rsidRPr="001F1808">
        <w:rPr>
          <w:rFonts w:ascii="Times New Roman" w:eastAsia="Times New Roman" w:hAnsi="Times New Roman" w:cs="Times New Roman"/>
          <w:color w:val="000000"/>
          <w:kern w:val="0"/>
          <w:lang w:val="it-GB" w:eastAsia="it-IT"/>
          <w14:ligatures w14:val="none"/>
        </w:rPr>
        <w:br/>
        <w:t>5.1 Revenue Projections</w:t>
      </w:r>
      <w:r w:rsidRPr="001F1808">
        <w:rPr>
          <w:rFonts w:ascii="Times New Roman" w:eastAsia="Times New Roman" w:hAnsi="Times New Roman" w:cs="Times New Roman"/>
          <w:color w:val="000000"/>
          <w:kern w:val="0"/>
          <w:lang w:val="it-GB" w:eastAsia="it-IT"/>
          <w14:ligatures w14:val="none"/>
        </w:rPr>
        <w:br/>
        <w:t>5.2 Expenses &amp; Profitability</w:t>
      </w:r>
      <w:r w:rsidRPr="001F1808">
        <w:rPr>
          <w:rFonts w:ascii="Times New Roman" w:eastAsia="Times New Roman" w:hAnsi="Times New Roman" w:cs="Times New Roman"/>
          <w:color w:val="000000"/>
          <w:kern w:val="0"/>
          <w:lang w:val="it-GB" w:eastAsia="it-IT"/>
          <w14:ligatures w14:val="none"/>
        </w:rPr>
        <w:br/>
        <w:t>5.3 Cost Structure &amp; Pricing Strategy</w:t>
      </w:r>
      <w:r w:rsidRPr="001F1808">
        <w:rPr>
          <w:rFonts w:ascii="Times New Roman" w:eastAsia="Times New Roman" w:hAnsi="Times New Roman" w:cs="Times New Roman"/>
          <w:color w:val="000000"/>
          <w:kern w:val="0"/>
          <w:lang w:val="it-GB" w:eastAsia="it-IT"/>
          <w14:ligatures w14:val="none"/>
        </w:rPr>
        <w:br/>
        <w:t>5.4 Funding Requirements</w:t>
      </w:r>
    </w:p>
    <w:p w14:paraId="76A094D3" w14:textId="77777777" w:rsidR="001F1808" w:rsidRPr="001F1808" w:rsidRDefault="001F1808" w:rsidP="001F1808">
      <w:pPr>
        <w:numPr>
          <w:ilvl w:val="0"/>
          <w:numId w:val="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Marketing &amp; Sustainability Strategies</w:t>
      </w:r>
      <w:r w:rsidRPr="001F1808">
        <w:rPr>
          <w:rFonts w:ascii="Times New Roman" w:eastAsia="Times New Roman" w:hAnsi="Times New Roman" w:cs="Times New Roman"/>
          <w:color w:val="000000"/>
          <w:kern w:val="0"/>
          <w:lang w:val="it-GB" w:eastAsia="it-IT"/>
          <w14:ligatures w14:val="none"/>
        </w:rPr>
        <w:br/>
        <w:t>6.1 Marketing Approach</w:t>
      </w:r>
      <w:r w:rsidRPr="001F1808">
        <w:rPr>
          <w:rFonts w:ascii="Times New Roman" w:eastAsia="Times New Roman" w:hAnsi="Times New Roman" w:cs="Times New Roman"/>
          <w:color w:val="000000"/>
          <w:kern w:val="0"/>
          <w:lang w:val="it-GB" w:eastAsia="it-IT"/>
          <w14:ligatures w14:val="none"/>
        </w:rPr>
        <w:br/>
        <w:t>6.2 Sustainability Initiatives</w:t>
      </w:r>
    </w:p>
    <w:p w14:paraId="097A4FE7" w14:textId="77777777" w:rsidR="001F1808" w:rsidRPr="001F1808" w:rsidRDefault="001F1808" w:rsidP="001F1808">
      <w:pPr>
        <w:numPr>
          <w:ilvl w:val="0"/>
          <w:numId w:val="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Conclusion</w:t>
      </w:r>
    </w:p>
    <w:p w14:paraId="2EB6337D" w14:textId="5AFA4507" w:rsidR="001F1808" w:rsidRPr="001F1808" w:rsidRDefault="001F1808" w:rsidP="001F1808">
      <w:pPr>
        <w:numPr>
          <w:ilvl w:val="0"/>
          <w:numId w:val="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References</w:t>
      </w:r>
    </w:p>
    <w:p w14:paraId="4A4BBCF9"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70AAE078"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4BE7F67A"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79320ACB"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7CBE46D9"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63037F72"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7D8CCFC5"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633E7ED4"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30734AB4"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301BC0FD" w14:textId="4D78DAEB"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2. Business Overview</w:t>
      </w:r>
    </w:p>
    <w:p w14:paraId="5EF04822"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2.1 Business Concept</w:t>
      </w:r>
    </w:p>
    <w:p w14:paraId="430C2E6C" w14:textId="77777777" w:rsidR="001F1808" w:rsidRPr="001F1808" w:rsidRDefault="001F1808" w:rsidP="001F1808">
      <w:pPr>
        <w:numPr>
          <w:ilvl w:val="0"/>
          <w:numId w:val="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Business Name: The Art of Wine</w:t>
      </w:r>
    </w:p>
    <w:p w14:paraId="455DB88E" w14:textId="5D10C365" w:rsidR="001F1808" w:rsidRPr="001F1808" w:rsidRDefault="001F1808" w:rsidP="001F1808">
      <w:pPr>
        <w:numPr>
          <w:ilvl w:val="0"/>
          <w:numId w:val="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 xml:space="preserve">Location: Swansea </w:t>
      </w:r>
      <w:r>
        <w:rPr>
          <w:rFonts w:ascii="Times New Roman" w:eastAsia="Times New Roman" w:hAnsi="Times New Roman" w:cs="Times New Roman"/>
          <w:color w:val="000000"/>
          <w:kern w:val="0"/>
          <w:lang w:eastAsia="it-IT"/>
          <w14:ligatures w14:val="none"/>
        </w:rPr>
        <w:t>Mumbles</w:t>
      </w:r>
    </w:p>
    <w:p w14:paraId="377DF8D4" w14:textId="77777777" w:rsidR="001F1808" w:rsidRPr="001F1808" w:rsidRDefault="001F1808" w:rsidP="001F1808">
      <w:pPr>
        <w:numPr>
          <w:ilvl w:val="0"/>
          <w:numId w:val="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Business Type: Wine Bar &amp; Cultural Hub</w:t>
      </w:r>
    </w:p>
    <w:p w14:paraId="2C8567B4" w14:textId="5014532D" w:rsidR="00930C99" w:rsidRPr="001F1808" w:rsidRDefault="001F1808" w:rsidP="00930C99">
      <w:pPr>
        <w:numPr>
          <w:ilvl w:val="0"/>
          <w:numId w:val="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Unique Selling Proposition: High-end wines, an authentic aperitivo concept, self-service dispensers,</w:t>
      </w:r>
      <w:r w:rsidR="00895A74">
        <w:rPr>
          <w:rFonts w:ascii="Times New Roman" w:eastAsia="Times New Roman" w:hAnsi="Times New Roman" w:cs="Times New Roman"/>
          <w:color w:val="000000"/>
          <w:kern w:val="0"/>
          <w:lang w:eastAsia="it-IT"/>
          <w14:ligatures w14:val="none"/>
        </w:rPr>
        <w:t xml:space="preserve"> </w:t>
      </w:r>
      <w:r w:rsidRPr="001F1808">
        <w:rPr>
          <w:rFonts w:ascii="Times New Roman" w:eastAsia="Times New Roman" w:hAnsi="Times New Roman" w:cs="Times New Roman"/>
          <w:color w:val="000000"/>
          <w:kern w:val="0"/>
          <w:lang w:val="it-GB" w:eastAsia="it-IT"/>
          <w14:ligatures w14:val="none"/>
        </w:rPr>
        <w:t>cultural events</w:t>
      </w:r>
      <w:r w:rsidR="00895A74">
        <w:rPr>
          <w:rFonts w:ascii="Times New Roman" w:eastAsia="Times New Roman" w:hAnsi="Times New Roman" w:cs="Times New Roman"/>
          <w:color w:val="000000"/>
          <w:kern w:val="0"/>
          <w:lang w:eastAsia="it-IT"/>
          <w14:ligatures w14:val="none"/>
        </w:rPr>
        <w:t xml:space="preserve"> and </w:t>
      </w:r>
      <w:r w:rsidR="00930C99">
        <w:rPr>
          <w:rFonts w:ascii="Times New Roman" w:eastAsia="Times New Roman" w:hAnsi="Times New Roman" w:cs="Times New Roman"/>
          <w:color w:val="000000"/>
          <w:kern w:val="0"/>
          <w:lang w:eastAsia="it-IT"/>
          <w14:ligatures w14:val="none"/>
        </w:rPr>
        <w:t>business owner Italian her</w:t>
      </w:r>
      <w:r w:rsidR="003D530B">
        <w:rPr>
          <w:rFonts w:ascii="Times New Roman" w:eastAsia="Times New Roman" w:hAnsi="Times New Roman" w:cs="Times New Roman"/>
          <w:color w:val="000000"/>
          <w:kern w:val="0"/>
          <w:lang w:eastAsia="it-IT"/>
          <w14:ligatures w14:val="none"/>
        </w:rPr>
        <w:t>itage.</w:t>
      </w:r>
    </w:p>
    <w:p w14:paraId="30028D55"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2.2 Mission and Vision Statements</w:t>
      </w:r>
    </w:p>
    <w:p w14:paraId="6CF4C12E" w14:textId="77777777" w:rsidR="001F1808" w:rsidRPr="001F1808" w:rsidRDefault="001F1808" w:rsidP="001F1808">
      <w:pPr>
        <w:numPr>
          <w:ilvl w:val="0"/>
          <w:numId w:val="3"/>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Mission Statement: To create a refined social hub that immerses customers in an authentic Italian aperitivo experience through premium wines, artisanal food pairings, and cultural engagement.</w:t>
      </w:r>
    </w:p>
    <w:p w14:paraId="04A3F09C" w14:textId="77777777" w:rsidR="001F1808" w:rsidRPr="001F1808" w:rsidRDefault="001F1808" w:rsidP="001F1808">
      <w:pPr>
        <w:numPr>
          <w:ilvl w:val="0"/>
          <w:numId w:val="3"/>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Vision Statement: To establish Swansea’s premier wine bar, blending sophistication, cultural enrichment, and premium hospitality into a successful and sustainable business.</w:t>
      </w:r>
    </w:p>
    <w:p w14:paraId="20523D8E"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2.3 Business Ethos and Brand Standard</w:t>
      </w:r>
    </w:p>
    <w:p w14:paraId="0E1042DC" w14:textId="77777777" w:rsidR="001F1808" w:rsidRPr="001F1808" w:rsidRDefault="001F1808" w:rsidP="001F1808">
      <w:pPr>
        <w:numPr>
          <w:ilvl w:val="0"/>
          <w:numId w:val="4"/>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Ethos: Commitment to authenticity, customer experience, and sustainability through ethical wine production, eco-friendly packaging, and responsible sourcing.</w:t>
      </w:r>
    </w:p>
    <w:p w14:paraId="20E1B655" w14:textId="77777777" w:rsidR="001F1808" w:rsidRPr="001F1808" w:rsidRDefault="001F1808" w:rsidP="001F1808">
      <w:pPr>
        <w:numPr>
          <w:ilvl w:val="0"/>
          <w:numId w:val="4"/>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Brand Standard: A balance of high-end yet accessible, warm and sophisticated ambiance, focusing on delivering quality and memorable experiences.</w:t>
      </w:r>
    </w:p>
    <w:p w14:paraId="0E1CAE81" w14:textId="77A2AA28" w:rsidR="001F1808" w:rsidRPr="001F1808" w:rsidRDefault="001F1808" w:rsidP="001F1808">
      <w:pPr>
        <w:rPr>
          <w:rFonts w:ascii="Times New Roman" w:eastAsia="Times New Roman" w:hAnsi="Times New Roman" w:cs="Times New Roman"/>
          <w:color w:val="000000"/>
          <w:kern w:val="0"/>
          <w:lang w:val="it-GB" w:eastAsia="it-IT"/>
          <w14:ligatures w14:val="none"/>
        </w:rPr>
      </w:pPr>
    </w:p>
    <w:p w14:paraId="1F95171E"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06827A06"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7D5F333F" w14:textId="35A498B0"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3. Market Research &amp; Industry Analysis</w:t>
      </w:r>
    </w:p>
    <w:p w14:paraId="483DF46B"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3.1 Industry Outlook</w:t>
      </w:r>
    </w:p>
    <w:p w14:paraId="3F540D4A" w14:textId="5707844F"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 xml:space="preserve">The UK wine market is experiencing steady growth, with a projected annual increase of 3.2%, largely driven by a rising consumer preference for premium and immersive dining experiences (Statista, 2024). </w:t>
      </w:r>
      <w:r>
        <w:rPr>
          <w:rFonts w:ascii="Times New Roman" w:eastAsia="Times New Roman" w:hAnsi="Times New Roman" w:cs="Times New Roman"/>
          <w:color w:val="000000"/>
          <w:kern w:val="0"/>
          <w:lang w:eastAsia="it-IT"/>
          <w14:ligatures w14:val="none"/>
        </w:rPr>
        <w:t>Additionally, r</w:t>
      </w:r>
      <w:r w:rsidRPr="001F1808">
        <w:rPr>
          <w:rFonts w:ascii="Times New Roman" w:eastAsia="Times New Roman" w:hAnsi="Times New Roman" w:cs="Times New Roman"/>
          <w:color w:val="000000"/>
          <w:kern w:val="0"/>
          <w:lang w:val="it-GB" w:eastAsia="it-IT"/>
          <w14:ligatures w14:val="none"/>
        </w:rPr>
        <w:t>esearch by NielsenIQ (2023)</w:t>
      </w:r>
      <w:r>
        <w:rPr>
          <w:rFonts w:ascii="Times New Roman" w:eastAsia="Times New Roman" w:hAnsi="Times New Roman" w:cs="Times New Roman"/>
          <w:color w:val="000000"/>
          <w:kern w:val="0"/>
          <w:lang w:eastAsia="it-IT"/>
          <w14:ligatures w14:val="none"/>
        </w:rPr>
        <w:t xml:space="preserve"> </w:t>
      </w:r>
      <w:r w:rsidRPr="001F1808">
        <w:rPr>
          <w:rFonts w:ascii="Times New Roman" w:eastAsia="Times New Roman" w:hAnsi="Times New Roman" w:cs="Times New Roman"/>
          <w:color w:val="000000"/>
          <w:kern w:val="0"/>
          <w:lang w:val="it-GB" w:eastAsia="it-IT"/>
          <w14:ligatures w14:val="none"/>
        </w:rPr>
        <w:t>indicates that 40% of UK consumers favor experiential venues over traditional hospitality settings, presenting a lucrative opportunity for the proposed wine bar</w:t>
      </w:r>
      <w:r>
        <w:rPr>
          <w:rFonts w:ascii="Times New Roman" w:eastAsia="Times New Roman" w:hAnsi="Times New Roman" w:cs="Times New Roman"/>
          <w:color w:val="000000"/>
          <w:kern w:val="0"/>
          <w:lang w:eastAsia="it-IT"/>
          <w14:ligatures w14:val="none"/>
        </w:rPr>
        <w:t>, f</w:t>
      </w:r>
      <w:r w:rsidRPr="001F1808">
        <w:rPr>
          <w:rFonts w:ascii="Times New Roman" w:eastAsia="Times New Roman" w:hAnsi="Times New Roman" w:cs="Times New Roman"/>
          <w:color w:val="000000"/>
          <w:kern w:val="0"/>
          <w:lang w:val="it-GB" w:eastAsia="it-IT"/>
          <w14:ligatures w14:val="none"/>
        </w:rPr>
        <w:t>urthermore, the global wine bar market is anticipated to expand at an annual rate of 6.5%, fueled by a growing appreciation for boutique drinking experiences (IBISWorld, 2024).</w:t>
      </w:r>
    </w:p>
    <w:p w14:paraId="168EB21E"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3.2 Target Market</w:t>
      </w:r>
    </w:p>
    <w:p w14:paraId="7B53E164"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The target market for the Italian aperitivo wine bar includes a diverse range of consumers who value quality, ambiance, and immersive experiences.</w:t>
      </w:r>
    </w:p>
    <w:p w14:paraId="5BFAB7E1"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lastRenderedPageBreak/>
        <w:t>Demographics:</w:t>
      </w:r>
    </w:p>
    <w:p w14:paraId="3C6D2B00" w14:textId="77777777" w:rsidR="001F1808" w:rsidRPr="001F1808" w:rsidRDefault="001F1808" w:rsidP="001F1808">
      <w:pPr>
        <w:numPr>
          <w:ilvl w:val="0"/>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Young professionals (aged 25-45) seeking upscale social settings.</w:t>
      </w:r>
    </w:p>
    <w:p w14:paraId="431766EE" w14:textId="77777777" w:rsidR="001F1808" w:rsidRPr="001F1808" w:rsidRDefault="001F1808" w:rsidP="001F1808">
      <w:pPr>
        <w:numPr>
          <w:ilvl w:val="0"/>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Affluent customers and wine enthusiasts interested in curated experiences.</w:t>
      </w:r>
    </w:p>
    <w:p w14:paraId="73D4A0AF" w14:textId="77777777" w:rsidR="001F1808" w:rsidRPr="001F1808" w:rsidRDefault="001F1808" w:rsidP="001F1808">
      <w:pPr>
        <w:numPr>
          <w:ilvl w:val="0"/>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Tourists looking for authentic and culturally rich dining options.</w:t>
      </w:r>
    </w:p>
    <w:p w14:paraId="3F254CD0" w14:textId="77777777" w:rsidR="001F1808" w:rsidRPr="001F1808" w:rsidRDefault="001F1808" w:rsidP="001F1808">
      <w:pPr>
        <w:numPr>
          <w:ilvl w:val="0"/>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Millennials and Gen Z consumers drawn to interactive and premium beverage experiences (UK Wine Report, 2023).</w:t>
      </w:r>
    </w:p>
    <w:p w14:paraId="1500AF57"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Psychographics:</w:t>
      </w:r>
    </w:p>
    <w:p w14:paraId="56536609" w14:textId="77777777" w:rsidR="001F1808" w:rsidRPr="001F1808" w:rsidRDefault="001F1808" w:rsidP="001F1808">
      <w:pPr>
        <w:numPr>
          <w:ilvl w:val="0"/>
          <w:numId w:val="6"/>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Consumers with a strong appreciation for fine wines and gourmet pairings.</w:t>
      </w:r>
    </w:p>
    <w:p w14:paraId="587E4168" w14:textId="77777777" w:rsidR="001F1808" w:rsidRPr="001F1808" w:rsidRDefault="001F1808" w:rsidP="001F1808">
      <w:pPr>
        <w:numPr>
          <w:ilvl w:val="0"/>
          <w:numId w:val="6"/>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Individuals interested in art, music, and cultural events.</w:t>
      </w:r>
    </w:p>
    <w:p w14:paraId="7EA02053" w14:textId="77777777" w:rsidR="001F1808" w:rsidRPr="001F1808" w:rsidRDefault="001F1808" w:rsidP="001F1808">
      <w:pPr>
        <w:numPr>
          <w:ilvl w:val="0"/>
          <w:numId w:val="6"/>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Preference for premium hospitality and sophisticated service.</w:t>
      </w:r>
    </w:p>
    <w:p w14:paraId="6004FF6B"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Consumer Trends:</w:t>
      </w:r>
    </w:p>
    <w:p w14:paraId="3AC7A209" w14:textId="77777777" w:rsidR="001F1808" w:rsidRPr="001F1808" w:rsidRDefault="001F1808" w:rsidP="001F1808">
      <w:pPr>
        <w:numPr>
          <w:ilvl w:val="0"/>
          <w:numId w:val="7"/>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62% of UK consumers are increasing their spending on high-quality wines (UK Wine Report, 2023).</w:t>
      </w:r>
    </w:p>
    <w:p w14:paraId="179FF7E8" w14:textId="77777777" w:rsidR="001F1808" w:rsidRPr="001F1808" w:rsidRDefault="001F1808" w:rsidP="001F1808">
      <w:pPr>
        <w:numPr>
          <w:ilvl w:val="0"/>
          <w:numId w:val="7"/>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Experiential bars report 20% higher revenue compared to traditional establishments (British Hospitality Association, 2024).</w:t>
      </w:r>
    </w:p>
    <w:p w14:paraId="6EF64171"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3.3 Competitive Analysis</w:t>
      </w:r>
    </w:p>
    <w:p w14:paraId="783974CC" w14:textId="7A7D0986"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Currently, there is limited direct competition for a dedicated aperitivo-style wine bar in Swansea, making it a prime market opportunity</w:t>
      </w:r>
      <w:r>
        <w:rPr>
          <w:rFonts w:ascii="Times New Roman" w:eastAsia="Times New Roman" w:hAnsi="Times New Roman" w:cs="Times New Roman"/>
          <w:color w:val="000000"/>
          <w:kern w:val="0"/>
          <w:lang w:eastAsia="it-IT"/>
          <w14:ligatures w14:val="none"/>
        </w:rPr>
        <w:t>: e</w:t>
      </w:r>
      <w:r w:rsidRPr="001F1808">
        <w:rPr>
          <w:rFonts w:ascii="Times New Roman" w:eastAsia="Times New Roman" w:hAnsi="Times New Roman" w:cs="Times New Roman"/>
          <w:color w:val="000000"/>
          <w:kern w:val="0"/>
          <w:lang w:val="it-GB" w:eastAsia="it-IT"/>
          <w14:ligatures w14:val="none"/>
        </w:rPr>
        <w:t>xisting wine bars largely cater to casual drinkers without emphasizing curated pairings, cultural immersion, or interactive service options.</w:t>
      </w:r>
    </w:p>
    <w:p w14:paraId="4F42B3C3"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Competitive advantages include:</w:t>
      </w:r>
    </w:p>
    <w:p w14:paraId="4CF73135" w14:textId="77777777" w:rsidR="001F1808" w:rsidRPr="001F1808" w:rsidRDefault="001F1808" w:rsidP="001F1808">
      <w:pPr>
        <w:numPr>
          <w:ilvl w:val="0"/>
          <w:numId w:val="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Exclusive tasting events.</w:t>
      </w:r>
    </w:p>
    <w:p w14:paraId="42279146" w14:textId="77777777" w:rsidR="001F1808" w:rsidRPr="001F1808" w:rsidRDefault="001F1808" w:rsidP="001F1808">
      <w:pPr>
        <w:numPr>
          <w:ilvl w:val="0"/>
          <w:numId w:val="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Self-service wine dispensers.</w:t>
      </w:r>
    </w:p>
    <w:p w14:paraId="02FD0E2A" w14:textId="77777777" w:rsidR="001F1808" w:rsidRPr="001F1808" w:rsidRDefault="001F1808" w:rsidP="001F1808">
      <w:pPr>
        <w:numPr>
          <w:ilvl w:val="0"/>
          <w:numId w:val="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Sustainability-focused offerings with ethically sourced wines.</w:t>
      </w:r>
    </w:p>
    <w:p w14:paraId="41150BAB" w14:textId="77777777" w:rsidR="001F1808" w:rsidRPr="001F1808" w:rsidRDefault="001F1808" w:rsidP="001F1808">
      <w:pPr>
        <w:numPr>
          <w:ilvl w:val="0"/>
          <w:numId w:val="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Partnerships with local artists and cultural institutions.</w:t>
      </w:r>
    </w:p>
    <w:p w14:paraId="5F6D719E"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Potential threats:</w:t>
      </w:r>
    </w:p>
    <w:p w14:paraId="04ACAAB8" w14:textId="77777777" w:rsidR="001F1808" w:rsidRPr="001F1808" w:rsidRDefault="001F1808" w:rsidP="001F1808">
      <w:pPr>
        <w:numPr>
          <w:ilvl w:val="0"/>
          <w:numId w:val="9"/>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High-end cocktail lounges competing for market share.</w:t>
      </w:r>
    </w:p>
    <w:p w14:paraId="6F1E1308" w14:textId="77777777" w:rsidR="001F1808" w:rsidRPr="001F1808" w:rsidRDefault="001F1808" w:rsidP="001F1808">
      <w:pPr>
        <w:numPr>
          <w:ilvl w:val="0"/>
          <w:numId w:val="9"/>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Seasonal demand fluctuations.</w:t>
      </w:r>
    </w:p>
    <w:p w14:paraId="6FCD10F7" w14:textId="77777777" w:rsidR="001F1808" w:rsidRPr="001F1808" w:rsidRDefault="001F1808" w:rsidP="001F1808">
      <w:pPr>
        <w:numPr>
          <w:ilvl w:val="0"/>
          <w:numId w:val="9"/>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Changing consumer preferences toward traditional beer-based venues.</w:t>
      </w:r>
    </w:p>
    <w:p w14:paraId="2910C5B3" w14:textId="77777777" w:rsid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3.4 PESTLE Analysis</w:t>
      </w:r>
    </w:p>
    <w:p w14:paraId="5DFDBD70" w14:textId="77777777" w:rsidR="00696077" w:rsidRPr="00696077" w:rsidRDefault="00696077" w:rsidP="00696077">
      <w:pPr>
        <w:spacing w:before="100" w:beforeAutospacing="1" w:after="100" w:afterAutospacing="1"/>
        <w:outlineLvl w:val="3"/>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Political Factors</w:t>
      </w:r>
    </w:p>
    <w:p w14:paraId="6A596A18" w14:textId="77777777" w:rsidR="00696077" w:rsidRPr="00696077" w:rsidRDefault="00696077" w:rsidP="00696077">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 xml:space="preserve">The wine bar must comply with UK hospitality regulations, including alcohol licensing laws, food hygiene and safety standards, and employment legislation. Strict adherence to the Licensing Act 2003 is required for alcohol sales, ensuring responsible service practices. Additionally, Brexit-related policy changes have created uncertainties in supply chains, affecting the availability and pricing of imported wines. Import tariffs, customs regulations, </w:t>
      </w:r>
      <w:r w:rsidRPr="00696077">
        <w:rPr>
          <w:rFonts w:ascii="Times New Roman" w:eastAsia="Times New Roman" w:hAnsi="Times New Roman" w:cs="Times New Roman"/>
          <w:color w:val="000000"/>
          <w:kern w:val="0"/>
          <w:lang w:val="it-GB" w:eastAsia="it-IT"/>
          <w14:ligatures w14:val="none"/>
        </w:rPr>
        <w:lastRenderedPageBreak/>
        <w:t>and potential delays at UK borders may impact inventory management and pricing strategies. Businesses must remain adaptable to regulatory updates and consider sourcing more domestic or EU-based wines to mitigate risks (Food Standards Agency, 2023).</w:t>
      </w:r>
    </w:p>
    <w:p w14:paraId="034816F4" w14:textId="77777777" w:rsidR="00696077" w:rsidRPr="00696077" w:rsidRDefault="00696077" w:rsidP="00696077">
      <w:pPr>
        <w:spacing w:before="100" w:beforeAutospacing="1" w:after="100" w:afterAutospacing="1"/>
        <w:outlineLvl w:val="3"/>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Economic Factors</w:t>
      </w:r>
    </w:p>
    <w:p w14:paraId="7FA54842" w14:textId="77777777" w:rsidR="00696077" w:rsidRPr="00696077" w:rsidRDefault="00696077" w:rsidP="00696077">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Macroeconomic trends such as inflation, rising operational costs, and labor market shifts influence the wine bar’s financial viability. Increased wages, in line with UK minimum wage policies and hospitality sector demands, may pressure profit margins. However, the resilience of premium hospitality experiences suggests a steady demand for high-quality food and drink offerings. The growth of experiential dining, where customers seek unique and social experiences, could work in the wine bar’s favor. Additionally, fluctuations in the foreign exchange market may impact the cost of importing wines, requiring pricing adjustments (ONS, 2024).</w:t>
      </w:r>
    </w:p>
    <w:p w14:paraId="02D1FFF9" w14:textId="77777777" w:rsidR="00696077" w:rsidRPr="00696077" w:rsidRDefault="00696077" w:rsidP="00696077">
      <w:pPr>
        <w:spacing w:before="100" w:beforeAutospacing="1" w:after="100" w:afterAutospacing="1"/>
        <w:outlineLvl w:val="3"/>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Social Factors</w:t>
      </w:r>
    </w:p>
    <w:p w14:paraId="4D559E64" w14:textId="77777777" w:rsidR="00696077" w:rsidRPr="00696077" w:rsidRDefault="00696077" w:rsidP="00696077">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Consumer preferences in the hospitality sector have evolved, with a growing inclination towards boutique drinking venues offering curated, artisanal experiences. There is increasing demand for sustainable, organic, and ethically sourced wines, which aligns well with the wine bar’s commitment to eco-conscious business practices. Millennials and Gen Z, key demographic segments, prioritize sustainability, authenticity, and quality when selecting hospitality venues. Additionally, the UK’s shift towards lower alcohol consumption and healthier lifestyle choices presents an opportunity to offer premium non-alcoholic wines and low-ABV alternatives (European Wine Review, 2024).</w:t>
      </w:r>
    </w:p>
    <w:p w14:paraId="68AA3F3D" w14:textId="77777777" w:rsidR="00696077" w:rsidRPr="00696077" w:rsidRDefault="00696077" w:rsidP="00696077">
      <w:pPr>
        <w:spacing w:before="100" w:beforeAutospacing="1" w:after="100" w:afterAutospacing="1"/>
        <w:outlineLvl w:val="3"/>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Technological Factors</w:t>
      </w:r>
    </w:p>
    <w:p w14:paraId="664900FE" w14:textId="77777777" w:rsidR="00696077" w:rsidRPr="00696077" w:rsidRDefault="00696077" w:rsidP="00696077">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Technological advancements are shaping the hospitality industry, offering opportunities for improved customer experience and operational efficiency. The adoption of self-service wine dispensers allows customers to sample different wines, enhancing engagement and reducing reliance on staff during peak hours. Digital marketing, including social media advertising, influencer partnerships, and search engine optimization (SEO), is crucial in attracting new customers and building brand awareness. Implementing a customer loyalty program via a mobile app or digital platform could also encourage repeat visits. Furthermore, contactless payment solutions and AI-driven inventory management systems can streamline operations and enhance the overall customer experience.</w:t>
      </w:r>
    </w:p>
    <w:p w14:paraId="19B7F774" w14:textId="77777777" w:rsidR="00696077" w:rsidRPr="00696077" w:rsidRDefault="00696077" w:rsidP="00696077">
      <w:pPr>
        <w:spacing w:before="100" w:beforeAutospacing="1" w:after="100" w:afterAutospacing="1"/>
        <w:outlineLvl w:val="3"/>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Legal Factors</w:t>
      </w:r>
    </w:p>
    <w:p w14:paraId="419CD530" w14:textId="77777777" w:rsidR="00696077" w:rsidRPr="00696077" w:rsidRDefault="00696077" w:rsidP="00696077">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The business must ensure compliance with UK employment laws, including fair wages, working hours, and health and safety regulations. Proper training in responsible alcohol service (Challenge 25 scheme) is necessary to prevent underage drinking and ensure staff adhere to licensing laws. Any promotional activities related to alcohol must comply with the Advertising Standards Authority (ASA) and UK alcohol advertising regulations. Additionally, data protection laws such as GDPR must be followed when collecting customer data for marketing purposes. Failure to comply with these legal frameworks could result in fines or operational restrictions.</w:t>
      </w:r>
    </w:p>
    <w:p w14:paraId="38AB672F" w14:textId="77777777" w:rsidR="00696077" w:rsidRPr="00696077" w:rsidRDefault="00696077" w:rsidP="00696077">
      <w:pPr>
        <w:spacing w:before="100" w:beforeAutospacing="1" w:after="100" w:afterAutospacing="1"/>
        <w:outlineLvl w:val="3"/>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Environmental Factors</w:t>
      </w:r>
    </w:p>
    <w:p w14:paraId="22A23A43" w14:textId="77777777" w:rsidR="00696077" w:rsidRPr="00696077" w:rsidRDefault="00696077" w:rsidP="00696077">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lastRenderedPageBreak/>
        <w:t>Sustainability is a key consideration in the hospitality industry, with increasing consumer awareness around carbon footprints and eco-friendly business practices. The wine bar can implement sustainability measures such as:</w:t>
      </w:r>
    </w:p>
    <w:p w14:paraId="44A1DB0E" w14:textId="77777777" w:rsidR="00696077" w:rsidRPr="00696077" w:rsidRDefault="00696077" w:rsidP="00696077">
      <w:pPr>
        <w:numPr>
          <w:ilvl w:val="0"/>
          <w:numId w:val="20"/>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Sourcing wines from organic and biodynamic vineyards.</w:t>
      </w:r>
    </w:p>
    <w:p w14:paraId="105D8334" w14:textId="77777777" w:rsidR="00696077" w:rsidRPr="00696077" w:rsidRDefault="00696077" w:rsidP="00696077">
      <w:pPr>
        <w:numPr>
          <w:ilvl w:val="0"/>
          <w:numId w:val="20"/>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Reducing waste through zero-waste initiatives, such as reusing glassware and offering wine on tap to minimize bottle waste.</w:t>
      </w:r>
    </w:p>
    <w:p w14:paraId="6E7F1092" w14:textId="77777777" w:rsidR="00696077" w:rsidRPr="00696077" w:rsidRDefault="00696077" w:rsidP="00696077">
      <w:pPr>
        <w:numPr>
          <w:ilvl w:val="0"/>
          <w:numId w:val="20"/>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Using eco-friendly packaging for takeaway services.</w:t>
      </w:r>
    </w:p>
    <w:p w14:paraId="1BAB911A" w14:textId="77777777" w:rsidR="00696077" w:rsidRPr="00696077" w:rsidRDefault="00696077" w:rsidP="00696077">
      <w:pPr>
        <w:numPr>
          <w:ilvl w:val="0"/>
          <w:numId w:val="20"/>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Implementing energy-efficient lighting and equipment to lower environmental impact.</w:t>
      </w:r>
    </w:p>
    <w:p w14:paraId="1FEA40AE" w14:textId="77777777" w:rsidR="00696077" w:rsidRPr="00696077" w:rsidRDefault="00696077" w:rsidP="00696077">
      <w:pPr>
        <w:numPr>
          <w:ilvl w:val="0"/>
          <w:numId w:val="20"/>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Partnering with local suppliers to reduce transportation emissions.</w:t>
      </w:r>
    </w:p>
    <w:p w14:paraId="78C00975" w14:textId="77777777" w:rsidR="00696077" w:rsidRPr="00696077" w:rsidRDefault="00696077" w:rsidP="00696077">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696077">
        <w:rPr>
          <w:rFonts w:ascii="Times New Roman" w:eastAsia="Times New Roman" w:hAnsi="Times New Roman" w:cs="Times New Roman"/>
          <w:color w:val="000000"/>
          <w:kern w:val="0"/>
          <w:lang w:val="it-GB" w:eastAsia="it-IT"/>
          <w14:ligatures w14:val="none"/>
        </w:rPr>
        <w:t>As sustainability becomes a competitive advantage, these initiatives will not only support environmental goals but also appeal to ethically conscious consumers.</w:t>
      </w:r>
    </w:p>
    <w:p w14:paraId="47A3D47D" w14:textId="77777777" w:rsidR="00696077" w:rsidRPr="001F1808" w:rsidRDefault="00696077"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2A262E08" w14:textId="77777777" w:rsidR="00F501B1" w:rsidRPr="00F501B1" w:rsidRDefault="00F501B1" w:rsidP="00F501B1">
      <w:pPr>
        <w:pStyle w:val="Titolo3"/>
        <w:rPr>
          <w:rFonts w:ascii="Times New Roman" w:hAnsi="Times New Roman" w:cs="Times New Roman"/>
          <w:color w:val="000000"/>
          <w:lang w:val="it-GB"/>
        </w:rPr>
      </w:pPr>
      <w:r w:rsidRPr="00F501B1">
        <w:rPr>
          <w:rFonts w:ascii="Times New Roman" w:hAnsi="Times New Roman" w:cs="Times New Roman"/>
          <w:color w:val="000000"/>
        </w:rPr>
        <w:t>3.5 SWOT Analysis</w:t>
      </w:r>
    </w:p>
    <w:p w14:paraId="15C0ADEB" w14:textId="77777777" w:rsidR="00F501B1" w:rsidRPr="00F501B1" w:rsidRDefault="00F501B1" w:rsidP="00F501B1">
      <w:pPr>
        <w:pStyle w:val="Titolo4"/>
        <w:rPr>
          <w:b w:val="0"/>
          <w:bCs w:val="0"/>
          <w:color w:val="000000"/>
        </w:rPr>
      </w:pPr>
      <w:r w:rsidRPr="00F501B1">
        <w:rPr>
          <w:b w:val="0"/>
          <w:bCs w:val="0"/>
          <w:color w:val="000000"/>
        </w:rPr>
        <w:t>Strengths</w:t>
      </w:r>
    </w:p>
    <w:p w14:paraId="1BDCCF04" w14:textId="77777777" w:rsidR="00F501B1" w:rsidRPr="00F501B1" w:rsidRDefault="00F501B1" w:rsidP="00F501B1">
      <w:pPr>
        <w:pStyle w:val="NormaleWeb"/>
        <w:numPr>
          <w:ilvl w:val="0"/>
          <w:numId w:val="29"/>
        </w:numPr>
        <w:rPr>
          <w:color w:val="000000"/>
        </w:rPr>
      </w:pPr>
      <w:r w:rsidRPr="00F501B1">
        <w:rPr>
          <w:rStyle w:val="Enfasigrassetto"/>
          <w:b w:val="0"/>
          <w:bCs w:val="0"/>
          <w:color w:val="000000"/>
        </w:rPr>
        <w:t>Unique Aperitivo Concept</w:t>
      </w:r>
      <w:r w:rsidRPr="00F501B1">
        <w:rPr>
          <w:color w:val="000000"/>
        </w:rPr>
        <w:br/>
        <w:t>The wine bar’s distinctive offering of an Italian-style aperitivo experience differentiates it from standard bars and pubs. This concept, which includes premium wines, artisanal cold cuts, olives, and bruschetta, caters to consumers seeking a sophisticated and social drinking experience (Euromonitor, 2023). The growing popularity of Mediterranean-inspired dining trends strengthens the market appeal (Statista, 2023).</w:t>
      </w:r>
    </w:p>
    <w:p w14:paraId="00FE7A3D" w14:textId="77777777" w:rsidR="00F501B1" w:rsidRPr="00F501B1" w:rsidRDefault="00F501B1" w:rsidP="00F501B1">
      <w:pPr>
        <w:pStyle w:val="NormaleWeb"/>
        <w:numPr>
          <w:ilvl w:val="0"/>
          <w:numId w:val="29"/>
        </w:numPr>
        <w:rPr>
          <w:color w:val="000000"/>
        </w:rPr>
      </w:pPr>
      <w:r w:rsidRPr="00F501B1">
        <w:rPr>
          <w:rStyle w:val="Enfasigrassetto"/>
          <w:b w:val="0"/>
          <w:bCs w:val="0"/>
          <w:color w:val="000000"/>
        </w:rPr>
        <w:t>High-Quality Wine Selection</w:t>
      </w:r>
      <w:r w:rsidRPr="00F501B1">
        <w:rPr>
          <w:color w:val="000000"/>
        </w:rPr>
        <w:br/>
        <w:t>A carefully curated wine list featuring world-class selections, including organic, biodynamic, and natural wines, attracts discerning wine enthusiasts (Forbes, 2023). The inclusion of rare and exclusive labels enhances the brand’s prestige, encouraging repeat visits from connoisseurs and casual wine drinkers alike (Wine Intelligence, 2023).</w:t>
      </w:r>
    </w:p>
    <w:p w14:paraId="3DA428F6" w14:textId="77777777" w:rsidR="00F501B1" w:rsidRPr="00F501B1" w:rsidRDefault="00F501B1" w:rsidP="00F501B1">
      <w:pPr>
        <w:pStyle w:val="NormaleWeb"/>
        <w:numPr>
          <w:ilvl w:val="0"/>
          <w:numId w:val="29"/>
        </w:numPr>
        <w:rPr>
          <w:color w:val="000000"/>
        </w:rPr>
      </w:pPr>
      <w:r w:rsidRPr="00F501B1">
        <w:rPr>
          <w:rStyle w:val="Enfasigrassetto"/>
          <w:b w:val="0"/>
          <w:bCs w:val="0"/>
          <w:color w:val="000000"/>
        </w:rPr>
        <w:t>Strong Brand Identity</w:t>
      </w:r>
      <w:r w:rsidRPr="00F501B1">
        <w:rPr>
          <w:color w:val="000000"/>
        </w:rPr>
        <w:br/>
        <w:t>The business's focus on quality, authenticity, and sustainability establishes a strong brand identity. A clear marketing strategy, including social media engagement, influencer collaborations, and storytelling around the wines and producers, will reinforce brand recognition and customer loyalty (Kotler et al., 2021).</w:t>
      </w:r>
    </w:p>
    <w:p w14:paraId="5DC4450D" w14:textId="77777777" w:rsidR="00F501B1" w:rsidRPr="00F501B1" w:rsidRDefault="00F501B1" w:rsidP="00F501B1">
      <w:pPr>
        <w:pStyle w:val="NormaleWeb"/>
        <w:numPr>
          <w:ilvl w:val="0"/>
          <w:numId w:val="29"/>
        </w:numPr>
        <w:rPr>
          <w:color w:val="000000"/>
        </w:rPr>
      </w:pPr>
      <w:r w:rsidRPr="00F501B1">
        <w:rPr>
          <w:rStyle w:val="Enfasigrassetto"/>
          <w:b w:val="0"/>
          <w:bCs w:val="0"/>
          <w:color w:val="000000"/>
        </w:rPr>
        <w:t>Sustainability Initiatives</w:t>
      </w:r>
      <w:r w:rsidRPr="00F501B1">
        <w:rPr>
          <w:color w:val="000000"/>
        </w:rPr>
        <w:br/>
        <w:t>The integration of eco-friendly practices, such as sustainable packaging, locally sourced products, and waste reduction efforts (e.g., wine-on-tap to reduce bottle waste), aligns with modern consumer values (UNEP, 2023). A commitment to carbon footprint reduction and environmental responsibility enhances the brand’s reputation and attracts ethically conscious customers (McKinsey &amp; Company, 2022).</w:t>
      </w:r>
    </w:p>
    <w:p w14:paraId="4D99E74D" w14:textId="77777777" w:rsidR="00F501B1" w:rsidRPr="00F501B1" w:rsidRDefault="00F501B1" w:rsidP="00F501B1">
      <w:pPr>
        <w:pStyle w:val="Titolo4"/>
        <w:rPr>
          <w:b w:val="0"/>
          <w:bCs w:val="0"/>
          <w:color w:val="000000"/>
        </w:rPr>
      </w:pPr>
      <w:r w:rsidRPr="00F501B1">
        <w:rPr>
          <w:b w:val="0"/>
          <w:bCs w:val="0"/>
          <w:color w:val="000000"/>
        </w:rPr>
        <w:t>Weaknesses</w:t>
      </w:r>
    </w:p>
    <w:p w14:paraId="244B5E2D" w14:textId="77777777" w:rsidR="00F501B1" w:rsidRPr="00F501B1" w:rsidRDefault="00F501B1" w:rsidP="00F501B1">
      <w:pPr>
        <w:pStyle w:val="NormaleWeb"/>
        <w:numPr>
          <w:ilvl w:val="0"/>
          <w:numId w:val="30"/>
        </w:numPr>
        <w:rPr>
          <w:color w:val="000000"/>
        </w:rPr>
      </w:pPr>
      <w:r w:rsidRPr="00F501B1">
        <w:rPr>
          <w:rStyle w:val="Enfasigrassetto"/>
          <w:b w:val="0"/>
          <w:bCs w:val="0"/>
          <w:color w:val="000000"/>
        </w:rPr>
        <w:t>High Initial Investment for Self-Service Wine Dispensers</w:t>
      </w:r>
      <w:r w:rsidRPr="00F501B1">
        <w:rPr>
          <w:color w:val="000000"/>
        </w:rPr>
        <w:br/>
        <w:t xml:space="preserve">The adoption of self-service wine dispensers, which enhance customer engagement and operational efficiency, requires a significant upfront investment (Hospitality </w:t>
      </w:r>
      <w:r w:rsidRPr="00F501B1">
        <w:rPr>
          <w:color w:val="000000"/>
        </w:rPr>
        <w:lastRenderedPageBreak/>
        <w:t>Tech, 2023). These machines also demand ongoing maintenance and potential technical troubleshooting, adding to operational complexities (Technavio, 2023).</w:t>
      </w:r>
    </w:p>
    <w:p w14:paraId="7A6898B8" w14:textId="77777777" w:rsidR="00F501B1" w:rsidRPr="00F501B1" w:rsidRDefault="00F501B1" w:rsidP="00F501B1">
      <w:pPr>
        <w:pStyle w:val="NormaleWeb"/>
        <w:numPr>
          <w:ilvl w:val="0"/>
          <w:numId w:val="30"/>
        </w:numPr>
        <w:rPr>
          <w:color w:val="000000"/>
        </w:rPr>
      </w:pPr>
      <w:r w:rsidRPr="00F501B1">
        <w:rPr>
          <w:rStyle w:val="Enfasigrassetto"/>
          <w:b w:val="0"/>
          <w:bCs w:val="0"/>
          <w:color w:val="000000"/>
        </w:rPr>
        <w:t>Reliance on Premium Suppliers</w:t>
      </w:r>
      <w:r w:rsidRPr="00F501B1">
        <w:rPr>
          <w:color w:val="000000"/>
        </w:rPr>
        <w:br/>
        <w:t>The business's focus on high-quality wines and artisanal food products means it is dependent on premium suppliers. This reliance can lead to higher costs, supply chain disruptions, and potential pricing volatility, particularly for imported wines affected by Brexit-related import tariffs and customs regulations (UK Hospitality, 2023).</w:t>
      </w:r>
    </w:p>
    <w:p w14:paraId="19B7C9C6" w14:textId="77777777" w:rsidR="00F501B1" w:rsidRPr="00F501B1" w:rsidRDefault="00F501B1" w:rsidP="00F501B1">
      <w:pPr>
        <w:pStyle w:val="NormaleWeb"/>
        <w:numPr>
          <w:ilvl w:val="0"/>
          <w:numId w:val="30"/>
        </w:numPr>
        <w:rPr>
          <w:color w:val="000000"/>
        </w:rPr>
      </w:pPr>
      <w:r w:rsidRPr="00F501B1">
        <w:rPr>
          <w:rStyle w:val="Enfasigrassetto"/>
          <w:b w:val="0"/>
          <w:bCs w:val="0"/>
          <w:color w:val="000000"/>
        </w:rPr>
        <w:t>Potential Seasonal Demand Fluctuations</w:t>
      </w:r>
      <w:r w:rsidRPr="00F501B1">
        <w:rPr>
          <w:color w:val="000000"/>
        </w:rPr>
        <w:br/>
        <w:t>The wine bar may experience seasonal variations in demand, particularly in summer when customers may prefer outdoor venues or beer gardens over indoor wine bars (ONS, 2023). Adapting marketing strategies and event programming, such as summer terrace pop-ups or themed wine-tasting evenings, will be essential in mitigating revenue fluctuations.</w:t>
      </w:r>
    </w:p>
    <w:p w14:paraId="3AC47F3B" w14:textId="77777777" w:rsidR="00F501B1" w:rsidRPr="00F501B1" w:rsidRDefault="00F501B1" w:rsidP="00F501B1">
      <w:pPr>
        <w:pStyle w:val="Titolo4"/>
        <w:rPr>
          <w:b w:val="0"/>
          <w:bCs w:val="0"/>
          <w:color w:val="000000"/>
        </w:rPr>
      </w:pPr>
      <w:r w:rsidRPr="00F501B1">
        <w:rPr>
          <w:b w:val="0"/>
          <w:bCs w:val="0"/>
          <w:color w:val="000000"/>
        </w:rPr>
        <w:t>Opportunities</w:t>
      </w:r>
    </w:p>
    <w:p w14:paraId="1F51CD28" w14:textId="77777777" w:rsidR="00F501B1" w:rsidRPr="00F501B1" w:rsidRDefault="00F501B1" w:rsidP="00F501B1">
      <w:pPr>
        <w:pStyle w:val="NormaleWeb"/>
        <w:numPr>
          <w:ilvl w:val="0"/>
          <w:numId w:val="31"/>
        </w:numPr>
        <w:rPr>
          <w:color w:val="000000"/>
        </w:rPr>
      </w:pPr>
      <w:r w:rsidRPr="00F501B1">
        <w:rPr>
          <w:rStyle w:val="Enfasigrassetto"/>
          <w:b w:val="0"/>
          <w:bCs w:val="0"/>
          <w:color w:val="000000"/>
        </w:rPr>
        <w:t>Growth in Experiential Hospitality</w:t>
      </w:r>
      <w:r w:rsidRPr="00F501B1">
        <w:rPr>
          <w:color w:val="000000"/>
        </w:rPr>
        <w:br/>
        <w:t>Consumers are increasingly drawn to immersive experiences rather than just food and drink (Pine &amp; Gilmore, 2019). Hosting wine-tasting events, pairing sessions, and masterclasses can capitalize on this trend. Additionally, integrating interactive digital experiences, such as virtual tastings with winemakers, could further engage a tech-savvy audience (Statista, 2023).</w:t>
      </w:r>
    </w:p>
    <w:p w14:paraId="20383F64" w14:textId="77777777" w:rsidR="00F501B1" w:rsidRPr="00F501B1" w:rsidRDefault="00F501B1" w:rsidP="00F501B1">
      <w:pPr>
        <w:pStyle w:val="NormaleWeb"/>
        <w:numPr>
          <w:ilvl w:val="0"/>
          <w:numId w:val="31"/>
        </w:numPr>
        <w:rPr>
          <w:color w:val="000000"/>
        </w:rPr>
      </w:pPr>
      <w:r w:rsidRPr="00F501B1">
        <w:rPr>
          <w:rStyle w:val="Enfasigrassetto"/>
          <w:b w:val="0"/>
          <w:bCs w:val="0"/>
          <w:color w:val="000000"/>
        </w:rPr>
        <w:t>Collaborations with Local Artists and Musicians</w:t>
      </w:r>
      <w:r w:rsidRPr="00F501B1">
        <w:rPr>
          <w:color w:val="000000"/>
        </w:rPr>
        <w:br/>
        <w:t>Partnering with local artists, musicians, and cultural influencers can enhance the venue’s appeal and create a multi-sensory experience. Events such as wine &amp; art nights, live jazz sessions, and spoken word evenings would attract diverse audiences while fostering a strong community presence (Eventbrite, 2023).</w:t>
      </w:r>
    </w:p>
    <w:p w14:paraId="28E49A39" w14:textId="77777777" w:rsidR="00F501B1" w:rsidRPr="00F501B1" w:rsidRDefault="00F501B1" w:rsidP="00F501B1">
      <w:pPr>
        <w:pStyle w:val="NormaleWeb"/>
        <w:numPr>
          <w:ilvl w:val="0"/>
          <w:numId w:val="31"/>
        </w:numPr>
        <w:rPr>
          <w:color w:val="000000"/>
        </w:rPr>
      </w:pPr>
      <w:r w:rsidRPr="00F501B1">
        <w:rPr>
          <w:rStyle w:val="Enfasigrassetto"/>
          <w:b w:val="0"/>
          <w:bCs w:val="0"/>
          <w:color w:val="000000"/>
        </w:rPr>
        <w:t>Expansion to Other Urban Areas</w:t>
      </w:r>
      <w:r w:rsidRPr="00F501B1">
        <w:rPr>
          <w:color w:val="000000"/>
        </w:rPr>
        <w:br/>
        <w:t>If successful, the brand could expand to other city-center locations with a similar demographic and demand for premium hospitality experiences (Mintel, 2023). Opportunities exist in cities with a strong food and drink culture, including London, Bristol, and Manchester. A franchising model or pop-up events in key hospitality hubs could be considered as a scalable growth strategy (Deloitte, 2023).</w:t>
      </w:r>
    </w:p>
    <w:p w14:paraId="64FD4DB4" w14:textId="77777777" w:rsidR="00F501B1" w:rsidRPr="00F501B1" w:rsidRDefault="00F501B1" w:rsidP="00F501B1">
      <w:pPr>
        <w:pStyle w:val="Titolo4"/>
        <w:rPr>
          <w:b w:val="0"/>
          <w:bCs w:val="0"/>
          <w:color w:val="000000"/>
        </w:rPr>
      </w:pPr>
      <w:r w:rsidRPr="00F501B1">
        <w:rPr>
          <w:b w:val="0"/>
          <w:bCs w:val="0"/>
          <w:color w:val="000000"/>
        </w:rPr>
        <w:t>Threats</w:t>
      </w:r>
    </w:p>
    <w:p w14:paraId="649AD9CA" w14:textId="77777777" w:rsidR="00F501B1" w:rsidRPr="00F501B1" w:rsidRDefault="00F501B1" w:rsidP="00F501B1">
      <w:pPr>
        <w:pStyle w:val="NormaleWeb"/>
        <w:numPr>
          <w:ilvl w:val="0"/>
          <w:numId w:val="32"/>
        </w:numPr>
        <w:rPr>
          <w:color w:val="000000"/>
        </w:rPr>
      </w:pPr>
      <w:r w:rsidRPr="00F501B1">
        <w:rPr>
          <w:rStyle w:val="Enfasigrassetto"/>
          <w:b w:val="0"/>
          <w:bCs w:val="0"/>
          <w:color w:val="000000"/>
        </w:rPr>
        <w:t>Economic Downturns</w:t>
      </w:r>
      <w:r w:rsidRPr="00F501B1">
        <w:rPr>
          <w:color w:val="000000"/>
        </w:rPr>
        <w:br/>
        <w:t>A decline in consumer discretionary spending due to inflation, recession, or rising living costs could impact the wine bar’s profitability (ONS, 2023). Since premium wines and experiential hospitality are non-essential luxuries, demand may decline in times of financial hardship (PwC, 2023).</w:t>
      </w:r>
    </w:p>
    <w:p w14:paraId="23A20DB3" w14:textId="77777777" w:rsidR="00F501B1" w:rsidRPr="00F501B1" w:rsidRDefault="00F501B1" w:rsidP="00F501B1">
      <w:pPr>
        <w:pStyle w:val="NormaleWeb"/>
        <w:numPr>
          <w:ilvl w:val="0"/>
          <w:numId w:val="32"/>
        </w:numPr>
        <w:rPr>
          <w:color w:val="000000"/>
        </w:rPr>
      </w:pPr>
      <w:r w:rsidRPr="00F501B1">
        <w:rPr>
          <w:rStyle w:val="Enfasigrassetto"/>
          <w:b w:val="0"/>
          <w:bCs w:val="0"/>
          <w:color w:val="000000"/>
        </w:rPr>
        <w:t>Changing Consumer Preferences</w:t>
      </w:r>
      <w:r w:rsidRPr="00F501B1">
        <w:rPr>
          <w:color w:val="000000"/>
        </w:rPr>
        <w:br/>
        <w:t>Evolving trends in health-conscious drinking habits, lower alcohol consumption, and the rise of non-alcoholic alternatives could affect traditional wine sales (Euromonitor, 2023). To mitigate this, the business could diversify its menu with high-quality alcohol-free wines, botanical cocktails, and kombucha-based drinks to cater to changing customer expectations (Beverage Daily, 2023).</w:t>
      </w:r>
    </w:p>
    <w:p w14:paraId="1AF45469" w14:textId="77777777" w:rsidR="00F501B1" w:rsidRPr="00F501B1" w:rsidRDefault="00F501B1" w:rsidP="00F501B1">
      <w:pPr>
        <w:pStyle w:val="NormaleWeb"/>
        <w:numPr>
          <w:ilvl w:val="0"/>
          <w:numId w:val="32"/>
        </w:numPr>
        <w:rPr>
          <w:color w:val="000000"/>
        </w:rPr>
      </w:pPr>
      <w:r w:rsidRPr="00F501B1">
        <w:rPr>
          <w:rStyle w:val="Enfasigrassetto"/>
          <w:b w:val="0"/>
          <w:bCs w:val="0"/>
          <w:color w:val="000000"/>
        </w:rPr>
        <w:t>Competition from Established High-End Bars</w:t>
      </w:r>
      <w:r w:rsidRPr="00F501B1">
        <w:rPr>
          <w:color w:val="000000"/>
        </w:rPr>
        <w:br/>
        <w:t xml:space="preserve">The presence of well-established wine bars, fine-dining restaurants, and luxury cocktail lounges may pose a competitive threat (Hospitality Trends, 2023). </w:t>
      </w:r>
      <w:r w:rsidRPr="00F501B1">
        <w:rPr>
          <w:color w:val="000000"/>
        </w:rPr>
        <w:lastRenderedPageBreak/>
        <w:t>Differentiation through unique experiences, personalized service, and sustainability-focused branding will be crucial in standing out in the premium hospitality market (Forbes, 2023).</w:t>
      </w:r>
    </w:p>
    <w:p w14:paraId="69B11077" w14:textId="77777777" w:rsidR="00213AD8" w:rsidRPr="001F1808" w:rsidRDefault="00213AD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68FA4D17"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0A16CDC1"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5E4F65AB"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19EDFE60" w14:textId="26FC3946"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4. Organizational Framework</w:t>
      </w:r>
    </w:p>
    <w:p w14:paraId="5A445A7A"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4.1 Leadership &amp; Management</w:t>
      </w:r>
    </w:p>
    <w:p w14:paraId="0B4FDD9B" w14:textId="77777777" w:rsidR="001F1808" w:rsidRPr="001F1808" w:rsidRDefault="001F1808" w:rsidP="001F1808">
      <w:pPr>
        <w:numPr>
          <w:ilvl w:val="0"/>
          <w:numId w:val="1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Owner/Managing Director: Oversees business operations, financial oversight, and strategic development.</w:t>
      </w:r>
    </w:p>
    <w:p w14:paraId="11F52A46" w14:textId="77777777" w:rsidR="001F1808" w:rsidRPr="001F1808" w:rsidRDefault="001F1808" w:rsidP="001F1808">
      <w:pPr>
        <w:numPr>
          <w:ilvl w:val="0"/>
          <w:numId w:val="1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General Manager: Supervises daily operations, HR, and customer service.</w:t>
      </w:r>
    </w:p>
    <w:p w14:paraId="0563844B" w14:textId="77777777" w:rsidR="001F1808" w:rsidRPr="001F1808" w:rsidRDefault="001F1808" w:rsidP="001F1808">
      <w:pPr>
        <w:numPr>
          <w:ilvl w:val="0"/>
          <w:numId w:val="1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Head Sommelier: Curates wine selection and leads educational tasting events.</w:t>
      </w:r>
    </w:p>
    <w:p w14:paraId="55D6E1F3" w14:textId="77777777" w:rsidR="001F1808" w:rsidRPr="001F1808" w:rsidRDefault="001F1808" w:rsidP="001F1808">
      <w:pPr>
        <w:numPr>
          <w:ilvl w:val="0"/>
          <w:numId w:val="1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Marketing &amp; Events Manager: Oversees branding, promotions, and event coordination.</w:t>
      </w:r>
    </w:p>
    <w:p w14:paraId="2FA703AA" w14:textId="77777777" w:rsidR="001F1808" w:rsidRPr="001F1808" w:rsidRDefault="001F1808" w:rsidP="001F1808">
      <w:pPr>
        <w:numPr>
          <w:ilvl w:val="0"/>
          <w:numId w:val="1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Finance &amp; Administration Manager: Manages budgeting, payroll, and regulatory compliance.</w:t>
      </w:r>
    </w:p>
    <w:p w14:paraId="3544692D" w14:textId="77777777" w:rsidR="001F1808" w:rsidRPr="001F1808" w:rsidRDefault="001F1808" w:rsidP="001F1808">
      <w:pPr>
        <w:numPr>
          <w:ilvl w:val="0"/>
          <w:numId w:val="1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Sustainability Officer: Implements eco-friendly initiatives, ensuring sustainable sourcing and waste reduction.</w:t>
      </w:r>
    </w:p>
    <w:p w14:paraId="1C83A3B7" w14:textId="3F9CE724" w:rsidR="001F1808" w:rsidRPr="001F1808" w:rsidRDefault="001F1808" w:rsidP="001F1808">
      <w:pPr>
        <w:rPr>
          <w:rFonts w:ascii="Times New Roman" w:eastAsia="Times New Roman" w:hAnsi="Times New Roman" w:cs="Times New Roman"/>
          <w:color w:val="000000"/>
          <w:kern w:val="0"/>
          <w:lang w:val="it-GB" w:eastAsia="it-IT"/>
          <w14:ligatures w14:val="none"/>
        </w:rPr>
      </w:pPr>
    </w:p>
    <w:p w14:paraId="453D0B03"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012C5816" w14:textId="015C1923"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5. Financial Plan</w:t>
      </w:r>
    </w:p>
    <w:p w14:paraId="1D3BE4BD"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5.1 Revenue Projections</w:t>
      </w:r>
    </w:p>
    <w:p w14:paraId="1DC2E89A" w14:textId="77777777" w:rsidR="001F1808" w:rsidRPr="001F1808" w:rsidRDefault="001F1808" w:rsidP="001F1808">
      <w:pPr>
        <w:numPr>
          <w:ilvl w:val="0"/>
          <w:numId w:val="13"/>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Year 1 Sales: £117,200</w:t>
      </w:r>
    </w:p>
    <w:p w14:paraId="596214ED" w14:textId="77777777" w:rsidR="001F1808" w:rsidRPr="001F1808" w:rsidRDefault="001F1808" w:rsidP="001F1808">
      <w:pPr>
        <w:numPr>
          <w:ilvl w:val="0"/>
          <w:numId w:val="13"/>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Year 2 Sales: £145,000</w:t>
      </w:r>
    </w:p>
    <w:p w14:paraId="22C9BA67" w14:textId="77777777" w:rsidR="001F1808" w:rsidRPr="001F1808" w:rsidRDefault="001F1808" w:rsidP="001F1808">
      <w:pPr>
        <w:numPr>
          <w:ilvl w:val="0"/>
          <w:numId w:val="13"/>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Year 3 Sales: £150,000</w:t>
      </w:r>
    </w:p>
    <w:p w14:paraId="3000CBAC"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5.2 Expenses &amp; Profitability</w:t>
      </w:r>
    </w:p>
    <w:p w14:paraId="29925F8D" w14:textId="77777777" w:rsidR="001F1808" w:rsidRPr="001F1808" w:rsidRDefault="001F1808" w:rsidP="001F1808">
      <w:pPr>
        <w:numPr>
          <w:ilvl w:val="0"/>
          <w:numId w:val="14"/>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Gross Profit (Year 1): £105,244</w:t>
      </w:r>
    </w:p>
    <w:p w14:paraId="6F68646F" w14:textId="77777777" w:rsidR="001F1808" w:rsidRPr="001F1808" w:rsidRDefault="001F1808" w:rsidP="001F1808">
      <w:pPr>
        <w:numPr>
          <w:ilvl w:val="0"/>
          <w:numId w:val="14"/>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Net Profit (Year 1): £58,423</w:t>
      </w:r>
    </w:p>
    <w:p w14:paraId="12E1E9B8" w14:textId="77777777" w:rsidR="001F1808" w:rsidRPr="001F1808" w:rsidRDefault="001F1808" w:rsidP="001F1808">
      <w:pPr>
        <w:numPr>
          <w:ilvl w:val="0"/>
          <w:numId w:val="14"/>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Net Profit (Year 3): £64,200</w:t>
      </w:r>
    </w:p>
    <w:p w14:paraId="7FCFE0D3"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5.3 Cost Structure &amp; Pricing Strategy</w:t>
      </w:r>
    </w:p>
    <w:p w14:paraId="64F10C91" w14:textId="77777777" w:rsidR="001F1808" w:rsidRPr="001F1808" w:rsidRDefault="001F1808" w:rsidP="001F1808">
      <w:pPr>
        <w:numPr>
          <w:ilvl w:val="0"/>
          <w:numId w:val="1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Main courses: £10-15 per dish (85-90% profit margin)</w:t>
      </w:r>
    </w:p>
    <w:p w14:paraId="0E7BF191" w14:textId="77777777" w:rsidR="001F1808" w:rsidRPr="001F1808" w:rsidRDefault="001F1808" w:rsidP="001F1808">
      <w:pPr>
        <w:numPr>
          <w:ilvl w:val="0"/>
          <w:numId w:val="1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Wine bottles: £18-60 (60-70% margin)</w:t>
      </w:r>
    </w:p>
    <w:p w14:paraId="43EF07D1" w14:textId="77777777" w:rsidR="001F1808" w:rsidRPr="001F1808" w:rsidRDefault="001F1808" w:rsidP="001F1808">
      <w:pPr>
        <w:numPr>
          <w:ilvl w:val="0"/>
          <w:numId w:val="1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Self-service wine dispensers: Unique pricing model based on volume</w:t>
      </w:r>
    </w:p>
    <w:p w14:paraId="440BA2FC"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lastRenderedPageBreak/>
        <w:t>5.4 Funding Requirements</w:t>
      </w:r>
    </w:p>
    <w:p w14:paraId="0D787105" w14:textId="77777777" w:rsidR="001F1808" w:rsidRPr="001F1808" w:rsidRDefault="001F1808" w:rsidP="001F1808">
      <w:pPr>
        <w:numPr>
          <w:ilvl w:val="0"/>
          <w:numId w:val="16"/>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Initial capital: £5,000</w:t>
      </w:r>
    </w:p>
    <w:p w14:paraId="60948DA1" w14:textId="77777777" w:rsidR="001F1808" w:rsidRPr="001F1808" w:rsidRDefault="001F1808" w:rsidP="001F1808">
      <w:pPr>
        <w:numPr>
          <w:ilvl w:val="0"/>
          <w:numId w:val="16"/>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Loan investment: £20,000</w:t>
      </w:r>
    </w:p>
    <w:p w14:paraId="3E0A37E6" w14:textId="77777777" w:rsidR="001F1808" w:rsidRPr="001F1808" w:rsidRDefault="001F1808" w:rsidP="001F1808">
      <w:pPr>
        <w:numPr>
          <w:ilvl w:val="0"/>
          <w:numId w:val="16"/>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Projected total funding: £25,000</w:t>
      </w:r>
    </w:p>
    <w:p w14:paraId="290F474D" w14:textId="51DC4DE1" w:rsidR="001F1808" w:rsidRPr="001F1808" w:rsidRDefault="001F1808" w:rsidP="001F1808">
      <w:pPr>
        <w:rPr>
          <w:rFonts w:ascii="Times New Roman" w:eastAsia="Times New Roman" w:hAnsi="Times New Roman" w:cs="Times New Roman"/>
          <w:color w:val="000000"/>
          <w:kern w:val="0"/>
          <w:lang w:val="it-GB" w:eastAsia="it-IT"/>
          <w14:ligatures w14:val="none"/>
        </w:rPr>
      </w:pPr>
    </w:p>
    <w:p w14:paraId="414B6E1D"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016CDCA0"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4A2F1928" w14:textId="05CC15CC"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6. Marketing &amp; Sustainability Strategies</w:t>
      </w:r>
    </w:p>
    <w:p w14:paraId="0BE4F89D"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6.1 Marketing Approach</w:t>
      </w:r>
    </w:p>
    <w:p w14:paraId="6A2253C8" w14:textId="77777777" w:rsidR="001F1808" w:rsidRPr="001F1808" w:rsidRDefault="001F1808" w:rsidP="001F1808">
      <w:pPr>
        <w:numPr>
          <w:ilvl w:val="0"/>
          <w:numId w:val="17"/>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Digital Marketing: Social media promotions, influencer partnerships, and SEO-driven content.</w:t>
      </w:r>
    </w:p>
    <w:p w14:paraId="41F51B10" w14:textId="77777777" w:rsidR="001F1808" w:rsidRPr="001F1808" w:rsidRDefault="001F1808" w:rsidP="001F1808">
      <w:pPr>
        <w:numPr>
          <w:ilvl w:val="0"/>
          <w:numId w:val="17"/>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Event Marketing: Weekly tasting events, networking nights, and themed evenings.</w:t>
      </w:r>
    </w:p>
    <w:p w14:paraId="731C14DE" w14:textId="77777777" w:rsidR="001F1808" w:rsidRPr="001F1808" w:rsidRDefault="001F1808" w:rsidP="001F1808">
      <w:pPr>
        <w:numPr>
          <w:ilvl w:val="0"/>
          <w:numId w:val="17"/>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Partnerships: Collaborations with local vineyards, artists, and cultural institutions.</w:t>
      </w:r>
    </w:p>
    <w:p w14:paraId="1759839C"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6.2 Sustainability Initiatives</w:t>
      </w:r>
    </w:p>
    <w:p w14:paraId="601AADFE" w14:textId="77777777" w:rsidR="001F1808" w:rsidRPr="001F1808" w:rsidRDefault="001F1808" w:rsidP="001F1808">
      <w:pPr>
        <w:numPr>
          <w:ilvl w:val="0"/>
          <w:numId w:val="1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Eco-friendly packaging and zero-waste policies.</w:t>
      </w:r>
    </w:p>
    <w:p w14:paraId="7A91DD8F" w14:textId="77777777" w:rsidR="001F1808" w:rsidRPr="001F1808" w:rsidRDefault="001F1808" w:rsidP="001F1808">
      <w:pPr>
        <w:numPr>
          <w:ilvl w:val="0"/>
          <w:numId w:val="1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Sourcing wines from fair-trade and ethical vineyards.</w:t>
      </w:r>
    </w:p>
    <w:p w14:paraId="48EDB38E" w14:textId="77777777" w:rsidR="001F1808" w:rsidRPr="001F1808" w:rsidRDefault="001F1808" w:rsidP="001F1808">
      <w:pPr>
        <w:numPr>
          <w:ilvl w:val="0"/>
          <w:numId w:val="1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Energy-efficient appliances and sustainable operations.</w:t>
      </w:r>
    </w:p>
    <w:p w14:paraId="620E2B1F" w14:textId="48588B5D" w:rsidR="001F1808" w:rsidRPr="001F1808" w:rsidRDefault="001F1808" w:rsidP="001F1808">
      <w:pPr>
        <w:rPr>
          <w:rFonts w:ascii="Times New Roman" w:eastAsia="Times New Roman" w:hAnsi="Times New Roman" w:cs="Times New Roman"/>
          <w:color w:val="000000"/>
          <w:kern w:val="0"/>
          <w:lang w:val="it-GB" w:eastAsia="it-IT"/>
          <w14:ligatures w14:val="none"/>
        </w:rPr>
      </w:pPr>
    </w:p>
    <w:p w14:paraId="54992A9D"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7. Conclusion</w:t>
      </w:r>
    </w:p>
    <w:p w14:paraId="1304A786"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The Italian aperitivo wine bar concept presents a lucrative opportunity to cater to Swansea’s growing market for premium drinking experiences. With a well-researched market demand, a differentiated offering, and a robust financial strategy, the business is positioned for success.</w:t>
      </w:r>
    </w:p>
    <w:p w14:paraId="349B7508"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By leveraging sustainability initiatives and strong customer engagement, the wine bar will establish a loyal clientelewhile attracting new customers through innovative and experiential offerings. Additionally, the alignment with industry growth trends, particularly in experiential hospitality, provides confidence in long-term profitability and investor returns.</w:t>
      </w:r>
    </w:p>
    <w:p w14:paraId="4AE573F8" w14:textId="77777777" w:rsidR="001F1808" w:rsidRPr="001F1808" w:rsidRDefault="001F1808" w:rsidP="001F1808">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1F1808">
        <w:rPr>
          <w:rFonts w:ascii="Times New Roman" w:eastAsia="Times New Roman" w:hAnsi="Times New Roman" w:cs="Times New Roman"/>
          <w:color w:val="000000"/>
          <w:kern w:val="0"/>
          <w:lang w:val="it-GB" w:eastAsia="it-IT"/>
          <w14:ligatures w14:val="none"/>
        </w:rPr>
        <w:t>The strategic approach in operations, marketing, and financial planning ensures resilience and adaptability in an evolving market. This business plan demonstrates that the Italian aperitivo wine bar is not just a concept but a viable and compelling business opportunity that will thrive in Swansea’s vibrant hospitality scene.</w:t>
      </w:r>
    </w:p>
    <w:p w14:paraId="5F9ED68C" w14:textId="07E75332" w:rsidR="001F1808" w:rsidRPr="001F1808" w:rsidRDefault="001F1808" w:rsidP="001F1808">
      <w:pPr>
        <w:rPr>
          <w:rFonts w:ascii="Times New Roman" w:eastAsia="Times New Roman" w:hAnsi="Times New Roman" w:cs="Times New Roman"/>
          <w:color w:val="000000"/>
          <w:kern w:val="0"/>
          <w:lang w:val="it-GB" w:eastAsia="it-IT"/>
          <w14:ligatures w14:val="none"/>
        </w:rPr>
      </w:pPr>
    </w:p>
    <w:p w14:paraId="61FEF0CE" w14:textId="77777777" w:rsidR="007046D1" w:rsidRDefault="007046D1" w:rsidP="00C06C5C">
      <w:pPr>
        <w:pStyle w:val="Titolo3"/>
        <w:jc w:val="both"/>
        <w:rPr>
          <w:rFonts w:ascii="Times New Roman" w:hAnsi="Times New Roman" w:cs="Times New Roman"/>
          <w:color w:val="000000"/>
        </w:rPr>
      </w:pPr>
    </w:p>
    <w:p w14:paraId="33B2587B" w14:textId="77777777" w:rsidR="007046D1" w:rsidRDefault="007046D1" w:rsidP="00C06C5C">
      <w:pPr>
        <w:pStyle w:val="Titolo3"/>
        <w:jc w:val="both"/>
        <w:rPr>
          <w:rFonts w:ascii="Times New Roman" w:hAnsi="Times New Roman" w:cs="Times New Roman"/>
          <w:color w:val="000000"/>
        </w:rPr>
      </w:pPr>
    </w:p>
    <w:p w14:paraId="66900E93" w14:textId="0C69035A" w:rsidR="00C06C5C" w:rsidRDefault="00C06C5C" w:rsidP="00C06C5C">
      <w:pPr>
        <w:pStyle w:val="Titolo3"/>
        <w:jc w:val="both"/>
        <w:rPr>
          <w:rFonts w:ascii="Times New Roman" w:hAnsi="Times New Roman" w:cs="Times New Roman"/>
          <w:color w:val="000000"/>
        </w:rPr>
      </w:pPr>
      <w:r w:rsidRPr="00C06C5C">
        <w:rPr>
          <w:rFonts w:ascii="Times New Roman" w:hAnsi="Times New Roman" w:cs="Times New Roman"/>
          <w:color w:val="000000"/>
        </w:rPr>
        <w:t xml:space="preserve">8. </w:t>
      </w:r>
      <w:r w:rsidRPr="00C06C5C">
        <w:rPr>
          <w:rFonts w:ascii="Times New Roman" w:hAnsi="Times New Roman" w:cs="Times New Roman"/>
          <w:color w:val="000000"/>
        </w:rPr>
        <w:t>References</w:t>
      </w:r>
    </w:p>
    <w:p w14:paraId="0C570EA8" w14:textId="77777777" w:rsidR="007046D1" w:rsidRDefault="007046D1" w:rsidP="007046D1"/>
    <w:p w14:paraId="34851284"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BBC (2023) Technology in Hospitality: Digital Tools for Enhanced Operations and Customer Engagement. Available at: </w:t>
      </w:r>
      <w:hyperlink r:id="rId7" w:tgtFrame="_new" w:history="1">
        <w:r w:rsidRPr="007046D1">
          <w:rPr>
            <w:rFonts w:ascii="Times New Roman" w:eastAsia="Times New Roman" w:hAnsi="Times New Roman" w:cs="Times New Roman"/>
            <w:color w:val="0000FF"/>
            <w:kern w:val="0"/>
            <w:u w:val="single"/>
            <w:lang w:val="it-GB" w:eastAsia="it-IT"/>
            <w14:ligatures w14:val="none"/>
          </w:rPr>
          <w:t>www.bbc.co.uk</w:t>
        </w:r>
      </w:hyperlink>
      <w:r w:rsidRPr="007046D1">
        <w:rPr>
          <w:rFonts w:ascii="Times New Roman" w:eastAsia="Times New Roman" w:hAnsi="Times New Roman" w:cs="Times New Roman"/>
          <w:color w:val="000000"/>
          <w:kern w:val="0"/>
          <w:lang w:val="it-GB" w:eastAsia="it-IT"/>
          <w14:ligatures w14:val="none"/>
        </w:rPr>
        <w:t> [Accessed 10 Feb. 2025].</w:t>
      </w:r>
    </w:p>
    <w:p w14:paraId="70243262"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Beverage Daily (2023) The Rise of Non-Alcoholic Beverages: Market Trends and Consumer Demand. Available at: </w:t>
      </w:r>
      <w:hyperlink r:id="rId8" w:tgtFrame="_new" w:history="1">
        <w:r w:rsidRPr="007046D1">
          <w:rPr>
            <w:rFonts w:ascii="Times New Roman" w:eastAsia="Times New Roman" w:hAnsi="Times New Roman" w:cs="Times New Roman"/>
            <w:color w:val="0000FF"/>
            <w:kern w:val="0"/>
            <w:u w:val="single"/>
            <w:lang w:val="it-GB" w:eastAsia="it-IT"/>
            <w14:ligatures w14:val="none"/>
          </w:rPr>
          <w:t>www.beveragedaily.com</w:t>
        </w:r>
      </w:hyperlink>
      <w:r w:rsidRPr="007046D1">
        <w:rPr>
          <w:rFonts w:ascii="Times New Roman" w:eastAsia="Times New Roman" w:hAnsi="Times New Roman" w:cs="Times New Roman"/>
          <w:color w:val="000000"/>
          <w:kern w:val="0"/>
          <w:lang w:val="it-GB" w:eastAsia="it-IT"/>
          <w14:ligatures w14:val="none"/>
        </w:rPr>
        <w:t> [Accessed 10 Feb. 2025].</w:t>
      </w:r>
    </w:p>
    <w:p w14:paraId="37ADD10A"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British Hospitality Association (2024) Industry Report on Experiential Bars and Consumer Spending Trends. London: British Hospitality Association.</w:t>
      </w:r>
    </w:p>
    <w:p w14:paraId="223934A4"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Deloitte (2023) Hospitality Market Outlook: Key Trends Shaping the Industry. Available at: www2.deloitte.com [Accessed 10 Feb. 2025].</w:t>
      </w:r>
    </w:p>
    <w:p w14:paraId="07A5406A"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Davidson, M.C.G., McPhail, R., &amp; Barry, S. (2011) Hospitality Workforce Planning: Strategic Insights for Sustainable Employment. International Journal of Hospitality Management, 30(3), pp.569-579. DOI: 10.1016/j.ijhm.2010.10.008.</w:t>
      </w:r>
    </w:p>
    <w:p w14:paraId="69A4C4E6"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Euromonitor (2023) Global Alcohol Consumption Trends: The Rise of Premium and Low-Alcohol Beverages. Available at: </w:t>
      </w:r>
      <w:hyperlink r:id="rId9" w:tgtFrame="_new" w:history="1">
        <w:r w:rsidRPr="007046D1">
          <w:rPr>
            <w:rFonts w:ascii="Times New Roman" w:eastAsia="Times New Roman" w:hAnsi="Times New Roman" w:cs="Times New Roman"/>
            <w:color w:val="0000FF"/>
            <w:kern w:val="0"/>
            <w:u w:val="single"/>
            <w:lang w:val="it-GB" w:eastAsia="it-IT"/>
            <w14:ligatures w14:val="none"/>
          </w:rPr>
          <w:t>www.euromonitor.com</w:t>
        </w:r>
      </w:hyperlink>
      <w:r w:rsidRPr="007046D1">
        <w:rPr>
          <w:rFonts w:ascii="Times New Roman" w:eastAsia="Times New Roman" w:hAnsi="Times New Roman" w:cs="Times New Roman"/>
          <w:color w:val="000000"/>
          <w:kern w:val="0"/>
          <w:lang w:val="it-GB" w:eastAsia="it-IT"/>
          <w14:ligatures w14:val="none"/>
        </w:rPr>
        <w:t> [Accessed 10 Feb. 2025].</w:t>
      </w:r>
    </w:p>
    <w:p w14:paraId="712293B4"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European Wine Review (2024) Sustainability and Consumer Preferences in the European Wine Industry. Brussels: European Wine Association.</w:t>
      </w:r>
    </w:p>
    <w:p w14:paraId="56894CA9"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Eventbrite (2023) Cultural Events and Consumer Engagement: The Role of Experiential Marketing. Available at: </w:t>
      </w:r>
      <w:hyperlink r:id="rId10" w:tgtFrame="_new" w:history="1">
        <w:r w:rsidRPr="007046D1">
          <w:rPr>
            <w:rFonts w:ascii="Times New Roman" w:eastAsia="Times New Roman" w:hAnsi="Times New Roman" w:cs="Times New Roman"/>
            <w:color w:val="0000FF"/>
            <w:kern w:val="0"/>
            <w:u w:val="single"/>
            <w:lang w:val="it-GB" w:eastAsia="it-IT"/>
            <w14:ligatures w14:val="none"/>
          </w:rPr>
          <w:t>www.eventbrite.com</w:t>
        </w:r>
      </w:hyperlink>
      <w:r w:rsidRPr="007046D1">
        <w:rPr>
          <w:rFonts w:ascii="Times New Roman" w:eastAsia="Times New Roman" w:hAnsi="Times New Roman" w:cs="Times New Roman"/>
          <w:color w:val="000000"/>
          <w:kern w:val="0"/>
          <w:lang w:val="it-GB" w:eastAsia="it-IT"/>
          <w14:ligatures w14:val="none"/>
        </w:rPr>
        <w:t> [Accessed 10 Feb. 2025].</w:t>
      </w:r>
    </w:p>
    <w:p w14:paraId="6C4EDB5D"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Forbes (2023) The Future of Fine Wines: Market Trends and Investment Insights. Available at: </w:t>
      </w:r>
      <w:hyperlink r:id="rId11" w:tgtFrame="_new" w:history="1">
        <w:r w:rsidRPr="007046D1">
          <w:rPr>
            <w:rFonts w:ascii="Times New Roman" w:eastAsia="Times New Roman" w:hAnsi="Times New Roman" w:cs="Times New Roman"/>
            <w:color w:val="0000FF"/>
            <w:kern w:val="0"/>
            <w:u w:val="single"/>
            <w:lang w:val="it-GB" w:eastAsia="it-IT"/>
            <w14:ligatures w14:val="none"/>
          </w:rPr>
          <w:t>www.forbes.com</w:t>
        </w:r>
      </w:hyperlink>
      <w:r w:rsidRPr="007046D1">
        <w:rPr>
          <w:rFonts w:ascii="Times New Roman" w:eastAsia="Times New Roman" w:hAnsi="Times New Roman" w:cs="Times New Roman"/>
          <w:color w:val="000000"/>
          <w:kern w:val="0"/>
          <w:lang w:val="it-GB" w:eastAsia="it-IT"/>
          <w14:ligatures w14:val="none"/>
        </w:rPr>
        <w:t>[Accessed 10 Feb. 2025].</w:t>
      </w:r>
    </w:p>
    <w:p w14:paraId="2842752C"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Forbes (2023) Staff Retention Strategies in the Hospitality Sector: A Review of Best Practices. Available at: </w:t>
      </w:r>
      <w:hyperlink r:id="rId12" w:tgtFrame="_new" w:history="1">
        <w:r w:rsidRPr="007046D1">
          <w:rPr>
            <w:rFonts w:ascii="Times New Roman" w:eastAsia="Times New Roman" w:hAnsi="Times New Roman" w:cs="Times New Roman"/>
            <w:color w:val="0000FF"/>
            <w:kern w:val="0"/>
            <w:u w:val="single"/>
            <w:lang w:val="it-GB" w:eastAsia="it-IT"/>
            <w14:ligatures w14:val="none"/>
          </w:rPr>
          <w:t>www.forbes.com</w:t>
        </w:r>
      </w:hyperlink>
      <w:r w:rsidRPr="007046D1">
        <w:rPr>
          <w:rFonts w:ascii="Times New Roman" w:eastAsia="Times New Roman" w:hAnsi="Times New Roman" w:cs="Times New Roman"/>
          <w:color w:val="000000"/>
          <w:kern w:val="0"/>
          <w:lang w:val="it-GB" w:eastAsia="it-IT"/>
          <w14:ligatures w14:val="none"/>
        </w:rPr>
        <w:t> [Accessed 10 Feb. 2025].</w:t>
      </w:r>
    </w:p>
    <w:p w14:paraId="1895F287"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Food Standards Agency (2023) Guidelines on Food Safety and Alcohol Licensing in the UK. Available at: </w:t>
      </w:r>
      <w:hyperlink r:id="rId13" w:tgtFrame="_new" w:history="1">
        <w:r w:rsidRPr="007046D1">
          <w:rPr>
            <w:rFonts w:ascii="Times New Roman" w:eastAsia="Times New Roman" w:hAnsi="Times New Roman" w:cs="Times New Roman"/>
            <w:color w:val="0000FF"/>
            <w:kern w:val="0"/>
            <w:u w:val="single"/>
            <w:lang w:val="it-GB" w:eastAsia="it-IT"/>
            <w14:ligatures w14:val="none"/>
          </w:rPr>
          <w:t>www.food.gov.uk</w:t>
        </w:r>
      </w:hyperlink>
      <w:r w:rsidRPr="007046D1">
        <w:rPr>
          <w:rFonts w:ascii="Times New Roman" w:eastAsia="Times New Roman" w:hAnsi="Times New Roman" w:cs="Times New Roman"/>
          <w:color w:val="000000"/>
          <w:kern w:val="0"/>
          <w:lang w:val="it-GB" w:eastAsia="it-IT"/>
          <w14:ligatures w14:val="none"/>
        </w:rPr>
        <w:t> [Accessed 10 Feb. 2025].</w:t>
      </w:r>
    </w:p>
    <w:p w14:paraId="4B85DAD7"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Gursoy, D., Maier, T. A., &amp; Chi, C. G. (2019) Generational Differences in the Hospitality Workforce: A Review of Trends and Future Research Directions. International Journal of Hospitality Management, 82, pp.251-268. DOI: 10.1016/j.ijhm.2019.05.010.</w:t>
      </w:r>
    </w:p>
    <w:p w14:paraId="692953FA"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Hospitality Tech (2023) The Impact of Self-Service Technology in Bars and Restaurants. Available at: </w:t>
      </w:r>
      <w:hyperlink r:id="rId14" w:tgtFrame="_new" w:history="1">
        <w:r w:rsidRPr="007046D1">
          <w:rPr>
            <w:rFonts w:ascii="Times New Roman" w:eastAsia="Times New Roman" w:hAnsi="Times New Roman" w:cs="Times New Roman"/>
            <w:color w:val="0000FF"/>
            <w:kern w:val="0"/>
            <w:u w:val="single"/>
            <w:lang w:val="it-GB" w:eastAsia="it-IT"/>
            <w14:ligatures w14:val="none"/>
          </w:rPr>
          <w:t>www.hospitalitytech.com</w:t>
        </w:r>
      </w:hyperlink>
      <w:r w:rsidRPr="007046D1">
        <w:rPr>
          <w:rFonts w:ascii="Times New Roman" w:eastAsia="Times New Roman" w:hAnsi="Times New Roman" w:cs="Times New Roman"/>
          <w:color w:val="000000"/>
          <w:kern w:val="0"/>
          <w:lang w:val="it-GB" w:eastAsia="it-IT"/>
          <w14:ligatures w14:val="none"/>
        </w:rPr>
        <w:t> [Accessed 10 Feb. 2025].</w:t>
      </w:r>
    </w:p>
    <w:p w14:paraId="718790E8"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Hospitality Trends (2023) Luxury Hospitality and Experiential Dining: Key Consumer Behaviors. Available at: </w:t>
      </w:r>
      <w:hyperlink r:id="rId15" w:tgtFrame="_new" w:history="1">
        <w:r w:rsidRPr="007046D1">
          <w:rPr>
            <w:rFonts w:ascii="Times New Roman" w:eastAsia="Times New Roman" w:hAnsi="Times New Roman" w:cs="Times New Roman"/>
            <w:color w:val="0000FF"/>
            <w:kern w:val="0"/>
            <w:u w:val="single"/>
            <w:lang w:val="it-GB" w:eastAsia="it-IT"/>
            <w14:ligatures w14:val="none"/>
          </w:rPr>
          <w:t>www.hospitalitytrends.com</w:t>
        </w:r>
      </w:hyperlink>
      <w:r w:rsidRPr="007046D1">
        <w:rPr>
          <w:rFonts w:ascii="Times New Roman" w:eastAsia="Times New Roman" w:hAnsi="Times New Roman" w:cs="Times New Roman"/>
          <w:color w:val="000000"/>
          <w:kern w:val="0"/>
          <w:lang w:val="it-GB" w:eastAsia="it-IT"/>
          <w14:ligatures w14:val="none"/>
        </w:rPr>
        <w:t> [Accessed 10 Feb. 2025].</w:t>
      </w:r>
    </w:p>
    <w:p w14:paraId="78CF147B"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lastRenderedPageBreak/>
        <w:t>IBISWorld (2024) Wine Bar Industry in the UK: Market Trends and Growth Projections. London: IBISWorld.</w:t>
      </w:r>
    </w:p>
    <w:p w14:paraId="3B51AACB"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Kotler, P., Keller, K.L., Goodman, M. and Hansen, T. (2021) Marketing Management: A European Perspective. 4th edn. Pearson.</w:t>
      </w:r>
    </w:p>
    <w:p w14:paraId="47120E2E"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McKinsey &amp; Company (2022) Sustainable Consumer Behavior: How Businesses Can Adapt. Available at: </w:t>
      </w:r>
      <w:hyperlink r:id="rId16" w:tgtFrame="_new" w:history="1">
        <w:r w:rsidRPr="007046D1">
          <w:rPr>
            <w:rFonts w:ascii="Times New Roman" w:eastAsia="Times New Roman" w:hAnsi="Times New Roman" w:cs="Times New Roman"/>
            <w:color w:val="0000FF"/>
            <w:kern w:val="0"/>
            <w:u w:val="single"/>
            <w:lang w:val="it-GB" w:eastAsia="it-IT"/>
            <w14:ligatures w14:val="none"/>
          </w:rPr>
          <w:t>www.mckinsey.com</w:t>
        </w:r>
      </w:hyperlink>
      <w:r w:rsidRPr="007046D1">
        <w:rPr>
          <w:rFonts w:ascii="Times New Roman" w:eastAsia="Times New Roman" w:hAnsi="Times New Roman" w:cs="Times New Roman"/>
          <w:color w:val="000000"/>
          <w:kern w:val="0"/>
          <w:lang w:val="it-GB" w:eastAsia="it-IT"/>
          <w14:ligatures w14:val="none"/>
        </w:rPr>
        <w:t> [Accessed 10 Feb. 2025].</w:t>
      </w:r>
    </w:p>
    <w:p w14:paraId="1AB6CBC9"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Mintel (2023) Foodservice Market Report: Growth Opportunities and Risks. Available at: </w:t>
      </w:r>
      <w:hyperlink r:id="rId17" w:tgtFrame="_new" w:history="1">
        <w:r w:rsidRPr="007046D1">
          <w:rPr>
            <w:rFonts w:ascii="Times New Roman" w:eastAsia="Times New Roman" w:hAnsi="Times New Roman" w:cs="Times New Roman"/>
            <w:color w:val="0000FF"/>
            <w:kern w:val="0"/>
            <w:u w:val="single"/>
            <w:lang w:val="it-GB" w:eastAsia="it-IT"/>
            <w14:ligatures w14:val="none"/>
          </w:rPr>
          <w:t>www.mintel.com</w:t>
        </w:r>
      </w:hyperlink>
      <w:r w:rsidRPr="007046D1">
        <w:rPr>
          <w:rFonts w:ascii="Times New Roman" w:eastAsia="Times New Roman" w:hAnsi="Times New Roman" w:cs="Times New Roman"/>
          <w:color w:val="000000"/>
          <w:kern w:val="0"/>
          <w:lang w:val="it-GB" w:eastAsia="it-IT"/>
          <w14:ligatures w14:val="none"/>
        </w:rPr>
        <w:t>[Accessed 10 Feb. 2025].</w:t>
      </w:r>
    </w:p>
    <w:p w14:paraId="71B4A606"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NielsenIQ (2023) Consumer Preferences in the Hospitality Industry: A Focus on Experiential Dining. Available at: </w:t>
      </w:r>
      <w:hyperlink r:id="rId18" w:tgtFrame="_new" w:history="1">
        <w:r w:rsidRPr="007046D1">
          <w:rPr>
            <w:rFonts w:ascii="Times New Roman" w:eastAsia="Times New Roman" w:hAnsi="Times New Roman" w:cs="Times New Roman"/>
            <w:color w:val="0000FF"/>
            <w:kern w:val="0"/>
            <w:u w:val="single"/>
            <w:lang w:val="it-GB" w:eastAsia="it-IT"/>
            <w14:ligatures w14:val="none"/>
          </w:rPr>
          <w:t>www.nielseniq.com</w:t>
        </w:r>
      </w:hyperlink>
      <w:r w:rsidRPr="007046D1">
        <w:rPr>
          <w:rFonts w:ascii="Times New Roman" w:eastAsia="Times New Roman" w:hAnsi="Times New Roman" w:cs="Times New Roman"/>
          <w:color w:val="000000"/>
          <w:kern w:val="0"/>
          <w:lang w:val="it-GB" w:eastAsia="it-IT"/>
          <w14:ligatures w14:val="none"/>
        </w:rPr>
        <w:t> [Accessed 10 Feb. 2025].</w:t>
      </w:r>
    </w:p>
    <w:p w14:paraId="3A522360"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Office for National Statistics (ONS) (2024) Economic Indicators and Consumer Spending Trends in the UK Hospitality Sector. Available at: </w:t>
      </w:r>
      <w:hyperlink r:id="rId19" w:tgtFrame="_new" w:history="1">
        <w:r w:rsidRPr="007046D1">
          <w:rPr>
            <w:rFonts w:ascii="Times New Roman" w:eastAsia="Times New Roman" w:hAnsi="Times New Roman" w:cs="Times New Roman"/>
            <w:color w:val="0000FF"/>
            <w:kern w:val="0"/>
            <w:u w:val="single"/>
            <w:lang w:val="it-GB" w:eastAsia="it-IT"/>
            <w14:ligatures w14:val="none"/>
          </w:rPr>
          <w:t>www.ons.gov.uk</w:t>
        </w:r>
      </w:hyperlink>
      <w:r w:rsidRPr="007046D1">
        <w:rPr>
          <w:rFonts w:ascii="Times New Roman" w:eastAsia="Times New Roman" w:hAnsi="Times New Roman" w:cs="Times New Roman"/>
          <w:color w:val="000000"/>
          <w:kern w:val="0"/>
          <w:lang w:val="it-GB" w:eastAsia="it-IT"/>
          <w14:ligatures w14:val="none"/>
        </w:rPr>
        <w:t> [Accessed 10 Feb. 2025].</w:t>
      </w:r>
    </w:p>
    <w:p w14:paraId="7C23E2A1"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Office for National Statistics (ONS) (2023) UK Consumer Spending Trends and Economic Forecasts. Available at: </w:t>
      </w:r>
      <w:hyperlink r:id="rId20" w:tgtFrame="_new" w:history="1">
        <w:r w:rsidRPr="007046D1">
          <w:rPr>
            <w:rFonts w:ascii="Times New Roman" w:eastAsia="Times New Roman" w:hAnsi="Times New Roman" w:cs="Times New Roman"/>
            <w:color w:val="0000FF"/>
            <w:kern w:val="0"/>
            <w:u w:val="single"/>
            <w:lang w:val="it-GB" w:eastAsia="it-IT"/>
            <w14:ligatures w14:val="none"/>
          </w:rPr>
          <w:t>www.ons.gov.uk</w:t>
        </w:r>
      </w:hyperlink>
      <w:r w:rsidRPr="007046D1">
        <w:rPr>
          <w:rFonts w:ascii="Times New Roman" w:eastAsia="Times New Roman" w:hAnsi="Times New Roman" w:cs="Times New Roman"/>
          <w:color w:val="000000"/>
          <w:kern w:val="0"/>
          <w:lang w:val="it-GB" w:eastAsia="it-IT"/>
          <w14:ligatures w14:val="none"/>
        </w:rPr>
        <w:t> [Accessed 10 Feb. 2025].</w:t>
      </w:r>
    </w:p>
    <w:p w14:paraId="07BA22A4"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Pine, B.J. and Gilmore, J.H. (2019) The Experience Economy: Competing for Customer Time, Attention, and Money. Harvard Business Review Press.</w:t>
      </w:r>
    </w:p>
    <w:p w14:paraId="0ACFB37D"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PwC (2023) UK Hospitality Industry: Trends and Financial Insights. Available at: </w:t>
      </w:r>
      <w:hyperlink r:id="rId21" w:tgtFrame="_new" w:history="1">
        <w:r w:rsidRPr="007046D1">
          <w:rPr>
            <w:rFonts w:ascii="Times New Roman" w:eastAsia="Times New Roman" w:hAnsi="Times New Roman" w:cs="Times New Roman"/>
            <w:color w:val="0000FF"/>
            <w:kern w:val="0"/>
            <w:u w:val="single"/>
            <w:lang w:val="it-GB" w:eastAsia="it-IT"/>
            <w14:ligatures w14:val="none"/>
          </w:rPr>
          <w:t>www.pwc.co.uk</w:t>
        </w:r>
      </w:hyperlink>
      <w:r w:rsidRPr="007046D1">
        <w:rPr>
          <w:rFonts w:ascii="Times New Roman" w:eastAsia="Times New Roman" w:hAnsi="Times New Roman" w:cs="Times New Roman"/>
          <w:color w:val="000000"/>
          <w:kern w:val="0"/>
          <w:lang w:val="it-GB" w:eastAsia="it-IT"/>
          <w14:ligatures w14:val="none"/>
        </w:rPr>
        <w:t> [Accessed 10 Feb. 2025].</w:t>
      </w:r>
    </w:p>
    <w:p w14:paraId="5D2587F1"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Statista (2024) Annual Growth in the UK Wine Market and Premium Consumption Trends. Available at: </w:t>
      </w:r>
      <w:hyperlink r:id="rId22" w:tgtFrame="_new" w:history="1">
        <w:r w:rsidRPr="007046D1">
          <w:rPr>
            <w:rFonts w:ascii="Times New Roman" w:eastAsia="Times New Roman" w:hAnsi="Times New Roman" w:cs="Times New Roman"/>
            <w:color w:val="0000FF"/>
            <w:kern w:val="0"/>
            <w:u w:val="single"/>
            <w:lang w:val="it-GB" w:eastAsia="it-IT"/>
            <w14:ligatures w14:val="none"/>
          </w:rPr>
          <w:t>www.statista.com</w:t>
        </w:r>
      </w:hyperlink>
      <w:r w:rsidRPr="007046D1">
        <w:rPr>
          <w:rFonts w:ascii="Times New Roman" w:eastAsia="Times New Roman" w:hAnsi="Times New Roman" w:cs="Times New Roman"/>
          <w:color w:val="000000"/>
          <w:kern w:val="0"/>
          <w:lang w:val="it-GB" w:eastAsia="it-IT"/>
          <w14:ligatures w14:val="none"/>
        </w:rPr>
        <w:t> [Accessed 10 Feb. 2025].</w:t>
      </w:r>
    </w:p>
    <w:p w14:paraId="03DD17F9"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Statista (2023) Consumer Behavior in the Food and Beverage Industry. Available at: </w:t>
      </w:r>
      <w:hyperlink r:id="rId23" w:tgtFrame="_new" w:history="1">
        <w:r w:rsidRPr="007046D1">
          <w:rPr>
            <w:rFonts w:ascii="Times New Roman" w:eastAsia="Times New Roman" w:hAnsi="Times New Roman" w:cs="Times New Roman"/>
            <w:color w:val="0000FF"/>
            <w:kern w:val="0"/>
            <w:u w:val="single"/>
            <w:lang w:val="it-GB" w:eastAsia="it-IT"/>
            <w14:ligatures w14:val="none"/>
          </w:rPr>
          <w:t>www.statista.com</w:t>
        </w:r>
      </w:hyperlink>
      <w:r w:rsidRPr="007046D1">
        <w:rPr>
          <w:rFonts w:ascii="Times New Roman" w:eastAsia="Times New Roman" w:hAnsi="Times New Roman" w:cs="Times New Roman"/>
          <w:color w:val="000000"/>
          <w:kern w:val="0"/>
          <w:lang w:val="it-GB" w:eastAsia="it-IT"/>
          <w14:ligatures w14:val="none"/>
        </w:rPr>
        <w:t> [Accessed 10 Feb. 2025].</w:t>
      </w:r>
    </w:p>
    <w:p w14:paraId="53ED62C1"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Technavio (2023) Global Wine Dispenser Market Analysis and Forecasts. Available at: </w:t>
      </w:r>
      <w:hyperlink r:id="rId24" w:tgtFrame="_new" w:history="1">
        <w:r w:rsidRPr="007046D1">
          <w:rPr>
            <w:rFonts w:ascii="Times New Roman" w:eastAsia="Times New Roman" w:hAnsi="Times New Roman" w:cs="Times New Roman"/>
            <w:color w:val="0000FF"/>
            <w:kern w:val="0"/>
            <w:u w:val="single"/>
            <w:lang w:val="it-GB" w:eastAsia="it-IT"/>
            <w14:ligatures w14:val="none"/>
          </w:rPr>
          <w:t>www.technavio.com</w:t>
        </w:r>
      </w:hyperlink>
      <w:r w:rsidRPr="007046D1">
        <w:rPr>
          <w:rFonts w:ascii="Times New Roman" w:eastAsia="Times New Roman" w:hAnsi="Times New Roman" w:cs="Times New Roman"/>
          <w:color w:val="000000"/>
          <w:kern w:val="0"/>
          <w:lang w:val="it-GB" w:eastAsia="it-IT"/>
          <w14:ligatures w14:val="none"/>
        </w:rPr>
        <w:t>[Accessed 10 Feb. 2025].</w:t>
      </w:r>
    </w:p>
    <w:p w14:paraId="54F261E6"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The Guardian (2023) The Changing Face of Hospitality: How Experiential Dining is Shaping the Industry. London: The Guardian. Available at: </w:t>
      </w:r>
      <w:hyperlink r:id="rId25" w:tgtFrame="_new" w:history="1">
        <w:r w:rsidRPr="007046D1">
          <w:rPr>
            <w:rFonts w:ascii="Times New Roman" w:eastAsia="Times New Roman" w:hAnsi="Times New Roman" w:cs="Times New Roman"/>
            <w:color w:val="0000FF"/>
            <w:kern w:val="0"/>
            <w:u w:val="single"/>
            <w:lang w:val="it-GB" w:eastAsia="it-IT"/>
            <w14:ligatures w14:val="none"/>
          </w:rPr>
          <w:t>www.theguardian.com</w:t>
        </w:r>
      </w:hyperlink>
      <w:r w:rsidRPr="007046D1">
        <w:rPr>
          <w:rFonts w:ascii="Times New Roman" w:eastAsia="Times New Roman" w:hAnsi="Times New Roman" w:cs="Times New Roman"/>
          <w:color w:val="000000"/>
          <w:kern w:val="0"/>
          <w:lang w:val="it-GB" w:eastAsia="it-IT"/>
          <w14:ligatures w14:val="none"/>
        </w:rPr>
        <w:t> [Accessed 10 Feb. 2025].</w:t>
      </w:r>
    </w:p>
    <w:p w14:paraId="71A2A1F3"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Tracey, J. B., &amp; Hinkin, T. R. (2008) Contextual Influences on Service Employee Retention and Turnover. Cornell Hospitality Quarterly, 49(1), pp.110-118. DOI: 10.1177/1938965507312176.</w:t>
      </w:r>
    </w:p>
    <w:p w14:paraId="072BC89D"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UK Hospitality (2023) Brexit and the UK Hospitality Industry: Challenges and Solutions. Available at: </w:t>
      </w:r>
      <w:hyperlink r:id="rId26" w:tgtFrame="_new" w:history="1">
        <w:r w:rsidRPr="007046D1">
          <w:rPr>
            <w:rFonts w:ascii="Times New Roman" w:eastAsia="Times New Roman" w:hAnsi="Times New Roman" w:cs="Times New Roman"/>
            <w:color w:val="0000FF"/>
            <w:kern w:val="0"/>
            <w:u w:val="single"/>
            <w:lang w:val="it-GB" w:eastAsia="it-IT"/>
            <w14:ligatures w14:val="none"/>
          </w:rPr>
          <w:t>www.ukhospitality.org.uk</w:t>
        </w:r>
      </w:hyperlink>
      <w:r w:rsidRPr="007046D1">
        <w:rPr>
          <w:rFonts w:ascii="Times New Roman" w:eastAsia="Times New Roman" w:hAnsi="Times New Roman" w:cs="Times New Roman"/>
          <w:color w:val="000000"/>
          <w:kern w:val="0"/>
          <w:lang w:val="it-GB" w:eastAsia="it-IT"/>
          <w14:ligatures w14:val="none"/>
        </w:rPr>
        <w:t> [Accessed 10 Feb. 2025].</w:t>
      </w:r>
    </w:p>
    <w:p w14:paraId="35BBE0B7"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UK Hospitality Report (2023) Labour Market Trends and Economic Factors Impacting the UK Restaurant Industry. London: UK Hospitality Association.</w:t>
      </w:r>
    </w:p>
    <w:p w14:paraId="03A8905F"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lastRenderedPageBreak/>
        <w:t>UK Wine Report (2023) Consumer Behaviour and Preferences in the UK Wine Market. London: Wine &amp; Spirits Trade Association.</w:t>
      </w:r>
    </w:p>
    <w:p w14:paraId="74B72F5A"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UNEP (2023) Sustainable Packaging and Waste Reduction in the Hospitality Sector. Available at: </w:t>
      </w:r>
      <w:hyperlink r:id="rId27" w:tgtFrame="_new" w:history="1">
        <w:r w:rsidRPr="007046D1">
          <w:rPr>
            <w:rFonts w:ascii="Times New Roman" w:eastAsia="Times New Roman" w:hAnsi="Times New Roman" w:cs="Times New Roman"/>
            <w:color w:val="0000FF"/>
            <w:kern w:val="0"/>
            <w:u w:val="single"/>
            <w:lang w:val="it-GB" w:eastAsia="it-IT"/>
            <w14:ligatures w14:val="none"/>
          </w:rPr>
          <w:t>www.unep.org</w:t>
        </w:r>
      </w:hyperlink>
      <w:r w:rsidRPr="007046D1">
        <w:rPr>
          <w:rFonts w:ascii="Times New Roman" w:eastAsia="Times New Roman" w:hAnsi="Times New Roman" w:cs="Times New Roman"/>
          <w:color w:val="000000"/>
          <w:kern w:val="0"/>
          <w:lang w:val="it-GB" w:eastAsia="it-IT"/>
          <w14:ligatures w14:val="none"/>
        </w:rPr>
        <w:t>[Accessed 10 Feb. 2025].</w:t>
      </w:r>
    </w:p>
    <w:p w14:paraId="32A07B4B" w14:textId="77777777" w:rsidR="007046D1" w:rsidRPr="007046D1" w:rsidRDefault="007046D1" w:rsidP="007046D1">
      <w:pPr>
        <w:spacing w:before="100" w:beforeAutospacing="1" w:after="100" w:afterAutospacing="1"/>
        <w:ind w:left="360"/>
        <w:rPr>
          <w:rFonts w:ascii="Times New Roman" w:eastAsia="Times New Roman" w:hAnsi="Times New Roman" w:cs="Times New Roman"/>
          <w:color w:val="000000"/>
          <w:kern w:val="0"/>
          <w:lang w:val="it-GB" w:eastAsia="it-IT"/>
          <w14:ligatures w14:val="none"/>
        </w:rPr>
      </w:pPr>
      <w:r w:rsidRPr="007046D1">
        <w:rPr>
          <w:rFonts w:ascii="Times New Roman" w:eastAsia="Times New Roman" w:hAnsi="Times New Roman" w:cs="Times New Roman"/>
          <w:color w:val="000000"/>
          <w:kern w:val="0"/>
          <w:lang w:val="it-GB" w:eastAsia="it-IT"/>
          <w14:ligatures w14:val="none"/>
        </w:rPr>
        <w:t>Wine Intelligence (2023) Trends in Consumer Wine Preferences and Purchasing Behavior. Available at: </w:t>
      </w:r>
      <w:hyperlink r:id="rId28" w:tgtFrame="_new" w:history="1">
        <w:r w:rsidRPr="007046D1">
          <w:rPr>
            <w:rFonts w:ascii="Times New Roman" w:eastAsia="Times New Roman" w:hAnsi="Times New Roman" w:cs="Times New Roman"/>
            <w:color w:val="0000FF"/>
            <w:kern w:val="0"/>
            <w:u w:val="single"/>
            <w:lang w:val="it-GB" w:eastAsia="it-IT"/>
            <w14:ligatures w14:val="none"/>
          </w:rPr>
          <w:t>www.wineintelligence.com</w:t>
        </w:r>
      </w:hyperlink>
      <w:r w:rsidRPr="007046D1">
        <w:rPr>
          <w:rFonts w:ascii="Times New Roman" w:eastAsia="Times New Roman" w:hAnsi="Times New Roman" w:cs="Times New Roman"/>
          <w:color w:val="000000"/>
          <w:kern w:val="0"/>
          <w:lang w:val="it-GB" w:eastAsia="it-IT"/>
          <w14:ligatures w14:val="none"/>
        </w:rPr>
        <w:t> [Accessed 10 Feb. 2025].</w:t>
      </w:r>
    </w:p>
    <w:p w14:paraId="7E908DDF" w14:textId="77777777" w:rsidR="007046D1" w:rsidRPr="007046D1" w:rsidRDefault="007046D1" w:rsidP="007046D1">
      <w:pPr>
        <w:rPr>
          <w:rFonts w:ascii="Times New Roman" w:hAnsi="Times New Roman" w:cs="Times New Roman"/>
        </w:rPr>
      </w:pPr>
    </w:p>
    <w:p w14:paraId="039760A3" w14:textId="77777777" w:rsidR="007F3020" w:rsidRPr="007046D1" w:rsidRDefault="007F3020" w:rsidP="007046D1">
      <w:pPr>
        <w:jc w:val="both"/>
        <w:rPr>
          <w:rFonts w:ascii="Times New Roman" w:hAnsi="Times New Roman" w:cs="Times New Roman"/>
          <w:lang w:val="it-GB"/>
        </w:rPr>
      </w:pPr>
    </w:p>
    <w:sectPr w:rsidR="007F3020" w:rsidRPr="007046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F52D3" w14:textId="77777777" w:rsidR="00AD13FA" w:rsidRDefault="00AD13FA" w:rsidP="007046D1">
      <w:r>
        <w:separator/>
      </w:r>
    </w:p>
  </w:endnote>
  <w:endnote w:type="continuationSeparator" w:id="0">
    <w:p w14:paraId="37F67577" w14:textId="77777777" w:rsidR="00AD13FA" w:rsidRDefault="00AD13FA" w:rsidP="007046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83622" w14:textId="77777777" w:rsidR="00AD13FA" w:rsidRDefault="00AD13FA" w:rsidP="007046D1">
      <w:r>
        <w:separator/>
      </w:r>
    </w:p>
  </w:footnote>
  <w:footnote w:type="continuationSeparator" w:id="0">
    <w:p w14:paraId="2B1BF7CF" w14:textId="77777777" w:rsidR="00AD13FA" w:rsidRDefault="00AD13FA" w:rsidP="007046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C58DC"/>
    <w:multiLevelType w:val="hybridMultilevel"/>
    <w:tmpl w:val="7D0230F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0C332F3C"/>
    <w:multiLevelType w:val="multilevel"/>
    <w:tmpl w:val="880EF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12A82"/>
    <w:multiLevelType w:val="multilevel"/>
    <w:tmpl w:val="DB805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AA0B51"/>
    <w:multiLevelType w:val="multilevel"/>
    <w:tmpl w:val="A4BEA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176D3B"/>
    <w:multiLevelType w:val="multilevel"/>
    <w:tmpl w:val="756C0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2C5AB8"/>
    <w:multiLevelType w:val="multilevel"/>
    <w:tmpl w:val="001ED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963B55"/>
    <w:multiLevelType w:val="multilevel"/>
    <w:tmpl w:val="DE446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18733C"/>
    <w:multiLevelType w:val="multilevel"/>
    <w:tmpl w:val="11AC3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AD7C0C"/>
    <w:multiLevelType w:val="multilevel"/>
    <w:tmpl w:val="65447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C51E33"/>
    <w:multiLevelType w:val="multilevel"/>
    <w:tmpl w:val="8C0C3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3904CD"/>
    <w:multiLevelType w:val="multilevel"/>
    <w:tmpl w:val="B9661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DD2D88"/>
    <w:multiLevelType w:val="multilevel"/>
    <w:tmpl w:val="CA42C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FF4DE7"/>
    <w:multiLevelType w:val="multilevel"/>
    <w:tmpl w:val="D0B8D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C66A3A"/>
    <w:multiLevelType w:val="multilevel"/>
    <w:tmpl w:val="EE78F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202B49"/>
    <w:multiLevelType w:val="multilevel"/>
    <w:tmpl w:val="B05AE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341EBF"/>
    <w:multiLevelType w:val="multilevel"/>
    <w:tmpl w:val="39DAB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0A21EC"/>
    <w:multiLevelType w:val="multilevel"/>
    <w:tmpl w:val="0CAA2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F15F64"/>
    <w:multiLevelType w:val="multilevel"/>
    <w:tmpl w:val="96748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4537F8"/>
    <w:multiLevelType w:val="multilevel"/>
    <w:tmpl w:val="CB0E8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A87A2B"/>
    <w:multiLevelType w:val="multilevel"/>
    <w:tmpl w:val="39DAB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BA40837"/>
    <w:multiLevelType w:val="multilevel"/>
    <w:tmpl w:val="B18AB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2507B9"/>
    <w:multiLevelType w:val="multilevel"/>
    <w:tmpl w:val="F91C3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D863C6"/>
    <w:multiLevelType w:val="multilevel"/>
    <w:tmpl w:val="FE409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911A7C"/>
    <w:multiLevelType w:val="multilevel"/>
    <w:tmpl w:val="916A2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0E6AB5"/>
    <w:multiLevelType w:val="multilevel"/>
    <w:tmpl w:val="EEB8A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9379D8"/>
    <w:multiLevelType w:val="multilevel"/>
    <w:tmpl w:val="7036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285C94"/>
    <w:multiLevelType w:val="multilevel"/>
    <w:tmpl w:val="DBFE6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BE5BFB"/>
    <w:multiLevelType w:val="multilevel"/>
    <w:tmpl w:val="E6005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145BA0"/>
    <w:multiLevelType w:val="multilevel"/>
    <w:tmpl w:val="A9468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B46D57"/>
    <w:multiLevelType w:val="multilevel"/>
    <w:tmpl w:val="05865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2B4859"/>
    <w:multiLevelType w:val="hybridMultilevel"/>
    <w:tmpl w:val="643E0C6C"/>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1" w15:restartNumberingAfterBreak="0">
    <w:nsid w:val="7E486026"/>
    <w:multiLevelType w:val="multilevel"/>
    <w:tmpl w:val="9F7AB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663024"/>
    <w:multiLevelType w:val="multilevel"/>
    <w:tmpl w:val="20AE3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6593063">
    <w:abstractNumId w:val="19"/>
  </w:num>
  <w:num w:numId="2" w16cid:durableId="991637718">
    <w:abstractNumId w:val="8"/>
  </w:num>
  <w:num w:numId="3" w16cid:durableId="1154688467">
    <w:abstractNumId w:val="1"/>
  </w:num>
  <w:num w:numId="4" w16cid:durableId="1094714121">
    <w:abstractNumId w:val="2"/>
  </w:num>
  <w:num w:numId="5" w16cid:durableId="248076712">
    <w:abstractNumId w:val="26"/>
  </w:num>
  <w:num w:numId="6" w16cid:durableId="1275399880">
    <w:abstractNumId w:val="23"/>
  </w:num>
  <w:num w:numId="7" w16cid:durableId="926382315">
    <w:abstractNumId w:val="4"/>
  </w:num>
  <w:num w:numId="8" w16cid:durableId="658921632">
    <w:abstractNumId w:val="29"/>
  </w:num>
  <w:num w:numId="9" w16cid:durableId="852649928">
    <w:abstractNumId w:val="7"/>
  </w:num>
  <w:num w:numId="10" w16cid:durableId="564877518">
    <w:abstractNumId w:val="21"/>
  </w:num>
  <w:num w:numId="11" w16cid:durableId="317656892">
    <w:abstractNumId w:val="9"/>
  </w:num>
  <w:num w:numId="12" w16cid:durableId="164176245">
    <w:abstractNumId w:val="18"/>
  </w:num>
  <w:num w:numId="13" w16cid:durableId="1125736693">
    <w:abstractNumId w:val="17"/>
  </w:num>
  <w:num w:numId="14" w16cid:durableId="1956013320">
    <w:abstractNumId w:val="3"/>
  </w:num>
  <w:num w:numId="15" w16cid:durableId="950360214">
    <w:abstractNumId w:val="10"/>
  </w:num>
  <w:num w:numId="16" w16cid:durableId="808061193">
    <w:abstractNumId w:val="11"/>
  </w:num>
  <w:num w:numId="17" w16cid:durableId="1176655506">
    <w:abstractNumId w:val="22"/>
  </w:num>
  <w:num w:numId="18" w16cid:durableId="1750729130">
    <w:abstractNumId w:val="27"/>
  </w:num>
  <w:num w:numId="19" w16cid:durableId="1989357239">
    <w:abstractNumId w:val="5"/>
  </w:num>
  <w:num w:numId="20" w16cid:durableId="1091462362">
    <w:abstractNumId w:val="31"/>
  </w:num>
  <w:num w:numId="21" w16cid:durableId="622351793">
    <w:abstractNumId w:val="14"/>
  </w:num>
  <w:num w:numId="22" w16cid:durableId="1018969686">
    <w:abstractNumId w:val="20"/>
  </w:num>
  <w:num w:numId="23" w16cid:durableId="765610798">
    <w:abstractNumId w:val="6"/>
  </w:num>
  <w:num w:numId="24" w16cid:durableId="2048486946">
    <w:abstractNumId w:val="32"/>
  </w:num>
  <w:num w:numId="25" w16cid:durableId="1853882847">
    <w:abstractNumId w:val="0"/>
  </w:num>
  <w:num w:numId="26" w16cid:durableId="2060008479">
    <w:abstractNumId w:val="25"/>
  </w:num>
  <w:num w:numId="27" w16cid:durableId="596713049">
    <w:abstractNumId w:val="30"/>
  </w:num>
  <w:num w:numId="28" w16cid:durableId="1139148094">
    <w:abstractNumId w:val="15"/>
  </w:num>
  <w:num w:numId="29" w16cid:durableId="565262248">
    <w:abstractNumId w:val="12"/>
  </w:num>
  <w:num w:numId="30" w16cid:durableId="2041587203">
    <w:abstractNumId w:val="13"/>
  </w:num>
  <w:num w:numId="31" w16cid:durableId="1783111494">
    <w:abstractNumId w:val="16"/>
  </w:num>
  <w:num w:numId="32" w16cid:durableId="1848329050">
    <w:abstractNumId w:val="28"/>
  </w:num>
  <w:num w:numId="33" w16cid:durableId="60249175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808"/>
    <w:rsid w:val="00145CDC"/>
    <w:rsid w:val="001F1808"/>
    <w:rsid w:val="00213AD8"/>
    <w:rsid w:val="003D530B"/>
    <w:rsid w:val="005B065A"/>
    <w:rsid w:val="00696077"/>
    <w:rsid w:val="007046D1"/>
    <w:rsid w:val="007F3020"/>
    <w:rsid w:val="00895A74"/>
    <w:rsid w:val="00930C99"/>
    <w:rsid w:val="00A06D65"/>
    <w:rsid w:val="00A432A6"/>
    <w:rsid w:val="00A7047B"/>
    <w:rsid w:val="00AD13FA"/>
    <w:rsid w:val="00C06C5C"/>
    <w:rsid w:val="00D40A01"/>
    <w:rsid w:val="00EE1273"/>
    <w:rsid w:val="00EF58E6"/>
    <w:rsid w:val="00F501B1"/>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8A2A3"/>
  <w15:chartTrackingRefBased/>
  <w15:docId w15:val="{DE14B021-3693-9248-9625-0CC616311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it-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3">
    <w:name w:val="heading 3"/>
    <w:basedOn w:val="Normale"/>
    <w:next w:val="Normale"/>
    <w:link w:val="Titolo3Carattere"/>
    <w:uiPriority w:val="9"/>
    <w:semiHidden/>
    <w:unhideWhenUsed/>
    <w:qFormat/>
    <w:rsid w:val="00C06C5C"/>
    <w:pPr>
      <w:keepNext/>
      <w:keepLines/>
      <w:spacing w:before="40"/>
      <w:outlineLvl w:val="2"/>
    </w:pPr>
    <w:rPr>
      <w:rFonts w:asciiTheme="majorHAnsi" w:eastAsiaTheme="majorEastAsia" w:hAnsiTheme="majorHAnsi" w:cstheme="majorBidi"/>
      <w:color w:val="1F3763" w:themeColor="accent1" w:themeShade="7F"/>
    </w:rPr>
  </w:style>
  <w:style w:type="paragraph" w:styleId="Titolo4">
    <w:name w:val="heading 4"/>
    <w:basedOn w:val="Normale"/>
    <w:link w:val="Titolo4Carattere"/>
    <w:uiPriority w:val="9"/>
    <w:qFormat/>
    <w:rsid w:val="00696077"/>
    <w:pPr>
      <w:spacing w:before="100" w:beforeAutospacing="1" w:after="100" w:afterAutospacing="1"/>
      <w:outlineLvl w:val="3"/>
    </w:pPr>
    <w:rPr>
      <w:rFonts w:ascii="Times New Roman" w:eastAsia="Times New Roman" w:hAnsi="Times New Roman" w:cs="Times New Roman"/>
      <w:b/>
      <w:bCs/>
      <w:kern w:val="0"/>
      <w:lang w:val="it-GB" w:eastAsia="it-IT"/>
      <w14:ligatures w14:val="none"/>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semiHidden/>
    <w:unhideWhenUsed/>
    <w:rsid w:val="001F1808"/>
    <w:pPr>
      <w:spacing w:before="100" w:beforeAutospacing="1" w:after="100" w:afterAutospacing="1"/>
    </w:pPr>
    <w:rPr>
      <w:rFonts w:ascii="Times New Roman" w:eastAsia="Times New Roman" w:hAnsi="Times New Roman" w:cs="Times New Roman"/>
      <w:kern w:val="0"/>
      <w:lang w:val="it-GB" w:eastAsia="it-IT"/>
      <w14:ligatures w14:val="none"/>
    </w:rPr>
  </w:style>
  <w:style w:type="character" w:styleId="Enfasigrassetto">
    <w:name w:val="Strong"/>
    <w:basedOn w:val="Carpredefinitoparagrafo"/>
    <w:uiPriority w:val="22"/>
    <w:qFormat/>
    <w:rsid w:val="001F1808"/>
    <w:rPr>
      <w:b/>
      <w:bCs/>
    </w:rPr>
  </w:style>
  <w:style w:type="character" w:customStyle="1" w:styleId="apple-converted-space">
    <w:name w:val="apple-converted-space"/>
    <w:basedOn w:val="Carpredefinitoparagrafo"/>
    <w:rsid w:val="001F1808"/>
  </w:style>
  <w:style w:type="character" w:customStyle="1" w:styleId="Titolo4Carattere">
    <w:name w:val="Titolo 4 Carattere"/>
    <w:basedOn w:val="Carpredefinitoparagrafo"/>
    <w:link w:val="Titolo4"/>
    <w:uiPriority w:val="9"/>
    <w:rsid w:val="00696077"/>
    <w:rPr>
      <w:rFonts w:ascii="Times New Roman" w:eastAsia="Times New Roman" w:hAnsi="Times New Roman" w:cs="Times New Roman"/>
      <w:b/>
      <w:bCs/>
      <w:kern w:val="0"/>
      <w:lang w:eastAsia="it-IT"/>
      <w14:ligatures w14:val="none"/>
    </w:rPr>
  </w:style>
  <w:style w:type="paragraph" w:styleId="Paragrafoelenco">
    <w:name w:val="List Paragraph"/>
    <w:basedOn w:val="Normale"/>
    <w:uiPriority w:val="34"/>
    <w:qFormat/>
    <w:rsid w:val="00213AD8"/>
    <w:pPr>
      <w:ind w:left="720"/>
      <w:contextualSpacing/>
    </w:pPr>
  </w:style>
  <w:style w:type="character" w:customStyle="1" w:styleId="Titolo3Carattere">
    <w:name w:val="Titolo 3 Carattere"/>
    <w:basedOn w:val="Carpredefinitoparagrafo"/>
    <w:link w:val="Titolo3"/>
    <w:uiPriority w:val="9"/>
    <w:semiHidden/>
    <w:rsid w:val="00C06C5C"/>
    <w:rPr>
      <w:rFonts w:asciiTheme="majorHAnsi" w:eastAsiaTheme="majorEastAsia" w:hAnsiTheme="majorHAnsi" w:cstheme="majorBidi"/>
      <w:color w:val="1F3763" w:themeColor="accent1" w:themeShade="7F"/>
      <w:lang w:val="en-GB"/>
    </w:rPr>
  </w:style>
  <w:style w:type="character" w:styleId="Enfasicorsivo">
    <w:name w:val="Emphasis"/>
    <w:basedOn w:val="Carpredefinitoparagrafo"/>
    <w:uiPriority w:val="20"/>
    <w:qFormat/>
    <w:rsid w:val="00C06C5C"/>
    <w:rPr>
      <w:i/>
      <w:iCs/>
    </w:rPr>
  </w:style>
  <w:style w:type="character" w:styleId="Collegamentoipertestuale">
    <w:name w:val="Hyperlink"/>
    <w:basedOn w:val="Carpredefinitoparagrafo"/>
    <w:uiPriority w:val="99"/>
    <w:semiHidden/>
    <w:unhideWhenUsed/>
    <w:rsid w:val="00C06C5C"/>
    <w:rPr>
      <w:color w:val="0000FF"/>
      <w:u w:val="single"/>
    </w:rPr>
  </w:style>
  <w:style w:type="paragraph" w:styleId="Intestazione">
    <w:name w:val="header"/>
    <w:basedOn w:val="Normale"/>
    <w:link w:val="IntestazioneCarattere"/>
    <w:uiPriority w:val="99"/>
    <w:unhideWhenUsed/>
    <w:rsid w:val="007046D1"/>
    <w:pPr>
      <w:tabs>
        <w:tab w:val="center" w:pos="4513"/>
        <w:tab w:val="right" w:pos="9026"/>
      </w:tabs>
    </w:pPr>
  </w:style>
  <w:style w:type="character" w:customStyle="1" w:styleId="IntestazioneCarattere">
    <w:name w:val="Intestazione Carattere"/>
    <w:basedOn w:val="Carpredefinitoparagrafo"/>
    <w:link w:val="Intestazione"/>
    <w:uiPriority w:val="99"/>
    <w:rsid w:val="007046D1"/>
    <w:rPr>
      <w:lang w:val="en-GB"/>
    </w:rPr>
  </w:style>
  <w:style w:type="paragraph" w:styleId="Pidipagina">
    <w:name w:val="footer"/>
    <w:basedOn w:val="Normale"/>
    <w:link w:val="PidipaginaCarattere"/>
    <w:uiPriority w:val="99"/>
    <w:unhideWhenUsed/>
    <w:rsid w:val="007046D1"/>
    <w:pPr>
      <w:tabs>
        <w:tab w:val="center" w:pos="4513"/>
        <w:tab w:val="right" w:pos="9026"/>
      </w:tabs>
    </w:pPr>
  </w:style>
  <w:style w:type="character" w:customStyle="1" w:styleId="PidipaginaCarattere">
    <w:name w:val="Piè di pagina Carattere"/>
    <w:basedOn w:val="Carpredefinitoparagrafo"/>
    <w:link w:val="Pidipagina"/>
    <w:uiPriority w:val="99"/>
    <w:rsid w:val="007046D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342540">
      <w:bodyDiv w:val="1"/>
      <w:marLeft w:val="0"/>
      <w:marRight w:val="0"/>
      <w:marTop w:val="0"/>
      <w:marBottom w:val="0"/>
      <w:divBdr>
        <w:top w:val="none" w:sz="0" w:space="0" w:color="auto"/>
        <w:left w:val="none" w:sz="0" w:space="0" w:color="auto"/>
        <w:bottom w:val="none" w:sz="0" w:space="0" w:color="auto"/>
        <w:right w:val="none" w:sz="0" w:space="0" w:color="auto"/>
      </w:divBdr>
      <w:divsChild>
        <w:div w:id="1324121722">
          <w:marLeft w:val="0"/>
          <w:marRight w:val="0"/>
          <w:marTop w:val="0"/>
          <w:marBottom w:val="0"/>
          <w:divBdr>
            <w:top w:val="none" w:sz="0" w:space="0" w:color="auto"/>
            <w:left w:val="none" w:sz="0" w:space="0" w:color="auto"/>
            <w:bottom w:val="none" w:sz="0" w:space="0" w:color="auto"/>
            <w:right w:val="none" w:sz="0" w:space="0" w:color="auto"/>
          </w:divBdr>
        </w:div>
        <w:div w:id="2022926866">
          <w:marLeft w:val="0"/>
          <w:marRight w:val="0"/>
          <w:marTop w:val="0"/>
          <w:marBottom w:val="0"/>
          <w:divBdr>
            <w:top w:val="none" w:sz="0" w:space="0" w:color="auto"/>
            <w:left w:val="none" w:sz="0" w:space="0" w:color="auto"/>
            <w:bottom w:val="none" w:sz="0" w:space="0" w:color="auto"/>
            <w:right w:val="none" w:sz="0" w:space="0" w:color="auto"/>
          </w:divBdr>
        </w:div>
        <w:div w:id="1035469042">
          <w:marLeft w:val="0"/>
          <w:marRight w:val="0"/>
          <w:marTop w:val="0"/>
          <w:marBottom w:val="0"/>
          <w:divBdr>
            <w:top w:val="none" w:sz="0" w:space="0" w:color="auto"/>
            <w:left w:val="none" w:sz="0" w:space="0" w:color="auto"/>
            <w:bottom w:val="none" w:sz="0" w:space="0" w:color="auto"/>
            <w:right w:val="none" w:sz="0" w:space="0" w:color="auto"/>
          </w:divBdr>
        </w:div>
        <w:div w:id="1248199287">
          <w:marLeft w:val="0"/>
          <w:marRight w:val="0"/>
          <w:marTop w:val="0"/>
          <w:marBottom w:val="0"/>
          <w:divBdr>
            <w:top w:val="none" w:sz="0" w:space="0" w:color="auto"/>
            <w:left w:val="none" w:sz="0" w:space="0" w:color="auto"/>
            <w:bottom w:val="none" w:sz="0" w:space="0" w:color="auto"/>
            <w:right w:val="none" w:sz="0" w:space="0" w:color="auto"/>
          </w:divBdr>
        </w:div>
      </w:divsChild>
    </w:div>
    <w:div w:id="360742851">
      <w:bodyDiv w:val="1"/>
      <w:marLeft w:val="0"/>
      <w:marRight w:val="0"/>
      <w:marTop w:val="0"/>
      <w:marBottom w:val="0"/>
      <w:divBdr>
        <w:top w:val="none" w:sz="0" w:space="0" w:color="auto"/>
        <w:left w:val="none" w:sz="0" w:space="0" w:color="auto"/>
        <w:bottom w:val="none" w:sz="0" w:space="0" w:color="auto"/>
        <w:right w:val="none" w:sz="0" w:space="0" w:color="auto"/>
      </w:divBdr>
    </w:div>
    <w:div w:id="438329779">
      <w:bodyDiv w:val="1"/>
      <w:marLeft w:val="0"/>
      <w:marRight w:val="0"/>
      <w:marTop w:val="0"/>
      <w:marBottom w:val="0"/>
      <w:divBdr>
        <w:top w:val="none" w:sz="0" w:space="0" w:color="auto"/>
        <w:left w:val="none" w:sz="0" w:space="0" w:color="auto"/>
        <w:bottom w:val="none" w:sz="0" w:space="0" w:color="auto"/>
        <w:right w:val="none" w:sz="0" w:space="0" w:color="auto"/>
      </w:divBdr>
    </w:div>
    <w:div w:id="611862327">
      <w:bodyDiv w:val="1"/>
      <w:marLeft w:val="0"/>
      <w:marRight w:val="0"/>
      <w:marTop w:val="0"/>
      <w:marBottom w:val="0"/>
      <w:divBdr>
        <w:top w:val="none" w:sz="0" w:space="0" w:color="auto"/>
        <w:left w:val="none" w:sz="0" w:space="0" w:color="auto"/>
        <w:bottom w:val="none" w:sz="0" w:space="0" w:color="auto"/>
        <w:right w:val="none" w:sz="0" w:space="0" w:color="auto"/>
      </w:divBdr>
    </w:div>
    <w:div w:id="836388381">
      <w:bodyDiv w:val="1"/>
      <w:marLeft w:val="0"/>
      <w:marRight w:val="0"/>
      <w:marTop w:val="0"/>
      <w:marBottom w:val="0"/>
      <w:divBdr>
        <w:top w:val="none" w:sz="0" w:space="0" w:color="auto"/>
        <w:left w:val="none" w:sz="0" w:space="0" w:color="auto"/>
        <w:bottom w:val="none" w:sz="0" w:space="0" w:color="auto"/>
        <w:right w:val="none" w:sz="0" w:space="0" w:color="auto"/>
      </w:divBdr>
      <w:divsChild>
        <w:div w:id="1136217535">
          <w:marLeft w:val="0"/>
          <w:marRight w:val="0"/>
          <w:marTop w:val="0"/>
          <w:marBottom w:val="0"/>
          <w:divBdr>
            <w:top w:val="none" w:sz="0" w:space="0" w:color="auto"/>
            <w:left w:val="none" w:sz="0" w:space="0" w:color="auto"/>
            <w:bottom w:val="none" w:sz="0" w:space="0" w:color="auto"/>
            <w:right w:val="none" w:sz="0" w:space="0" w:color="auto"/>
          </w:divBdr>
        </w:div>
        <w:div w:id="1905215207">
          <w:marLeft w:val="0"/>
          <w:marRight w:val="0"/>
          <w:marTop w:val="0"/>
          <w:marBottom w:val="0"/>
          <w:divBdr>
            <w:top w:val="none" w:sz="0" w:space="0" w:color="auto"/>
            <w:left w:val="none" w:sz="0" w:space="0" w:color="auto"/>
            <w:bottom w:val="none" w:sz="0" w:space="0" w:color="auto"/>
            <w:right w:val="none" w:sz="0" w:space="0" w:color="auto"/>
          </w:divBdr>
        </w:div>
        <w:div w:id="1013336956">
          <w:marLeft w:val="0"/>
          <w:marRight w:val="0"/>
          <w:marTop w:val="0"/>
          <w:marBottom w:val="0"/>
          <w:divBdr>
            <w:top w:val="none" w:sz="0" w:space="0" w:color="auto"/>
            <w:left w:val="none" w:sz="0" w:space="0" w:color="auto"/>
            <w:bottom w:val="none" w:sz="0" w:space="0" w:color="auto"/>
            <w:right w:val="none" w:sz="0" w:space="0" w:color="auto"/>
          </w:divBdr>
        </w:div>
        <w:div w:id="881482349">
          <w:marLeft w:val="0"/>
          <w:marRight w:val="0"/>
          <w:marTop w:val="0"/>
          <w:marBottom w:val="0"/>
          <w:divBdr>
            <w:top w:val="none" w:sz="0" w:space="0" w:color="auto"/>
            <w:left w:val="none" w:sz="0" w:space="0" w:color="auto"/>
            <w:bottom w:val="none" w:sz="0" w:space="0" w:color="auto"/>
            <w:right w:val="none" w:sz="0" w:space="0" w:color="auto"/>
          </w:divBdr>
        </w:div>
      </w:divsChild>
    </w:div>
    <w:div w:id="1638219077">
      <w:bodyDiv w:val="1"/>
      <w:marLeft w:val="0"/>
      <w:marRight w:val="0"/>
      <w:marTop w:val="0"/>
      <w:marBottom w:val="0"/>
      <w:divBdr>
        <w:top w:val="none" w:sz="0" w:space="0" w:color="auto"/>
        <w:left w:val="none" w:sz="0" w:space="0" w:color="auto"/>
        <w:bottom w:val="none" w:sz="0" w:space="0" w:color="auto"/>
        <w:right w:val="none" w:sz="0" w:space="0" w:color="auto"/>
      </w:divBdr>
    </w:div>
    <w:div w:id="1924873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veragedaily.com/" TargetMode="External"/><Relationship Id="rId13" Type="http://schemas.openxmlformats.org/officeDocument/2006/relationships/hyperlink" Target="http://www.food.gov.uk/" TargetMode="External"/><Relationship Id="rId18" Type="http://schemas.openxmlformats.org/officeDocument/2006/relationships/hyperlink" Target="http://www.nielseniq.com/" TargetMode="External"/><Relationship Id="rId26" Type="http://schemas.openxmlformats.org/officeDocument/2006/relationships/hyperlink" Target="http://www.ukhospitality.org.uk/" TargetMode="External"/><Relationship Id="rId3" Type="http://schemas.openxmlformats.org/officeDocument/2006/relationships/settings" Target="settings.xml"/><Relationship Id="rId21" Type="http://schemas.openxmlformats.org/officeDocument/2006/relationships/hyperlink" Target="http://www.pwc.co.uk/" TargetMode="External"/><Relationship Id="rId7" Type="http://schemas.openxmlformats.org/officeDocument/2006/relationships/hyperlink" Target="http://www.bbc.co.uk/" TargetMode="External"/><Relationship Id="rId12" Type="http://schemas.openxmlformats.org/officeDocument/2006/relationships/hyperlink" Target="http://www.forbes.com/" TargetMode="External"/><Relationship Id="rId17" Type="http://schemas.openxmlformats.org/officeDocument/2006/relationships/hyperlink" Target="http://www.mintel.com/" TargetMode="External"/><Relationship Id="rId25" Type="http://schemas.openxmlformats.org/officeDocument/2006/relationships/hyperlink" Target="http://www.theguardian.com/" TargetMode="External"/><Relationship Id="rId2" Type="http://schemas.openxmlformats.org/officeDocument/2006/relationships/styles" Target="styles.xml"/><Relationship Id="rId16" Type="http://schemas.openxmlformats.org/officeDocument/2006/relationships/hyperlink" Target="http://www.mckinsey.com/" TargetMode="External"/><Relationship Id="rId20" Type="http://schemas.openxmlformats.org/officeDocument/2006/relationships/hyperlink" Target="http://www.ons.gov.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orbes.com/" TargetMode="External"/><Relationship Id="rId24" Type="http://schemas.openxmlformats.org/officeDocument/2006/relationships/hyperlink" Target="http://www.technavio.com/" TargetMode="External"/><Relationship Id="rId5" Type="http://schemas.openxmlformats.org/officeDocument/2006/relationships/footnotes" Target="footnotes.xml"/><Relationship Id="rId15" Type="http://schemas.openxmlformats.org/officeDocument/2006/relationships/hyperlink" Target="http://www.hospitalitytrends.com/" TargetMode="External"/><Relationship Id="rId23" Type="http://schemas.openxmlformats.org/officeDocument/2006/relationships/hyperlink" Target="http://www.statista.com/" TargetMode="External"/><Relationship Id="rId28" Type="http://schemas.openxmlformats.org/officeDocument/2006/relationships/hyperlink" Target="http://www.wineintelligence.com/" TargetMode="External"/><Relationship Id="rId10" Type="http://schemas.openxmlformats.org/officeDocument/2006/relationships/hyperlink" Target="http://www.eventbrite.com/" TargetMode="External"/><Relationship Id="rId19" Type="http://schemas.openxmlformats.org/officeDocument/2006/relationships/hyperlink" Target="http://www.ons.gov.uk/" TargetMode="External"/><Relationship Id="rId4" Type="http://schemas.openxmlformats.org/officeDocument/2006/relationships/webSettings" Target="webSettings.xml"/><Relationship Id="rId9" Type="http://schemas.openxmlformats.org/officeDocument/2006/relationships/hyperlink" Target="http://www.euromonitor.com/" TargetMode="External"/><Relationship Id="rId14" Type="http://schemas.openxmlformats.org/officeDocument/2006/relationships/hyperlink" Target="http://www.hospitalitytech.com/" TargetMode="External"/><Relationship Id="rId22" Type="http://schemas.openxmlformats.org/officeDocument/2006/relationships/hyperlink" Target="http://www.statista.com/" TargetMode="External"/><Relationship Id="rId27" Type="http://schemas.openxmlformats.org/officeDocument/2006/relationships/hyperlink" Target="http://www.unep.org/" TargetMode="External"/><Relationship Id="rId30"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12</Pages>
  <Words>3092</Words>
  <Characters>19728</Characters>
  <Application>Microsoft Office Word</Application>
  <DocSecurity>0</DocSecurity>
  <Lines>505</Lines>
  <Paragraphs>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Silvio Lisciandrelli (2133468)</dc:creator>
  <cp:keywords/>
  <dc:description/>
  <cp:lastModifiedBy>Silvio Lisciandrelli (2133468)</cp:lastModifiedBy>
  <cp:revision>3</cp:revision>
  <dcterms:created xsi:type="dcterms:W3CDTF">2025-02-28T15:49:00Z</dcterms:created>
  <dcterms:modified xsi:type="dcterms:W3CDTF">2025-02-28T16:25:00Z</dcterms:modified>
</cp:coreProperties>
</file>